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54" w:rsidRDefault="00AE76B7">
      <w:pPr>
        <w:pStyle w:val="WA"/>
      </w:pPr>
      <w:bookmarkStart w:id="0" w:name="UpToHere"/>
      <w:bookmarkStart w:id="1" w:name="_GoBack"/>
      <w:bookmarkEnd w:id="0"/>
      <w:bookmarkEnd w:id="1"/>
      <w:r>
        <w:t>Western Australia</w:t>
      </w:r>
    </w:p>
    <w:p w:rsidR="00946E54" w:rsidRDefault="00AE76B7">
      <w:pPr>
        <w:pStyle w:val="NameofActRegPage1"/>
        <w:spacing w:before="3760" w:after="4200"/>
      </w:pPr>
      <w:r>
        <w:fldChar w:fldCharType="begin"/>
      </w:r>
      <w:r>
        <w:instrText xml:space="preserve"> STYLEREF "Name Of Act/Reg"</w:instrText>
      </w:r>
      <w:r>
        <w:fldChar w:fldCharType="separate"/>
      </w:r>
      <w:r w:rsidR="006650CC">
        <w:rPr>
          <w:noProof/>
        </w:rPr>
        <w:t>Victims of Crime Act 1994</w:t>
      </w:r>
      <w:r>
        <w:fldChar w:fldCharType="end"/>
      </w:r>
    </w:p>
    <w:p w:rsidR="00946E54" w:rsidRDefault="00946E54">
      <w:pPr>
        <w:jc w:val="center"/>
        <w:rPr>
          <w:b/>
        </w:rPr>
        <w:sectPr w:rsidR="00946E54">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rsidR="00946E54" w:rsidRDefault="00AE76B7">
      <w:pPr>
        <w:pStyle w:val="WA"/>
      </w:pPr>
      <w:r>
        <w:lastRenderedPageBreak/>
        <w:t>Western Australia</w:t>
      </w:r>
    </w:p>
    <w:p w:rsidR="00946E54" w:rsidRDefault="00AE76B7">
      <w:pPr>
        <w:pStyle w:val="NameofActRegPage1"/>
      </w:pPr>
      <w:r>
        <w:fldChar w:fldCharType="begin"/>
      </w:r>
      <w:r>
        <w:instrText xml:space="preserve"> STYLEREF "Name Of Act/Reg"</w:instrText>
      </w:r>
      <w:r>
        <w:fldChar w:fldCharType="separate"/>
      </w:r>
      <w:r w:rsidR="006650CC">
        <w:rPr>
          <w:noProof/>
        </w:rPr>
        <w:t>Victims of Crime Act 1994</w:t>
      </w:r>
      <w:r>
        <w:fldChar w:fldCharType="end"/>
      </w:r>
    </w:p>
    <w:p w:rsidR="00946E54" w:rsidRDefault="00AE76B7">
      <w:pPr>
        <w:pStyle w:val="Arrangement"/>
      </w:pPr>
      <w:r>
        <w:t>CONTENTS</w:t>
      </w:r>
    </w:p>
    <w:p w:rsidR="00946E54" w:rsidRDefault="00AE76B7">
      <w:pPr>
        <w:pStyle w:val="TOC8"/>
        <w:rPr>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_Toc147133602 \h </w:instrText>
      </w:r>
      <w:r>
        <w:fldChar w:fldCharType="separate"/>
      </w:r>
      <w:r w:rsidR="006650CC">
        <w:t>1</w:t>
      </w:r>
      <w:r>
        <w:fldChar w:fldCharType="end"/>
      </w:r>
    </w:p>
    <w:p w:rsidR="00946E54" w:rsidRDefault="00AE76B7">
      <w:pPr>
        <w:pStyle w:val="TOC8"/>
        <w:rPr>
          <w:sz w:val="24"/>
        </w:rPr>
      </w:pPr>
      <w:r>
        <w:t>2</w:t>
      </w:r>
      <w:r>
        <w:rPr>
          <w:snapToGrid w:val="0"/>
        </w:rPr>
        <w:t>.</w:t>
      </w:r>
      <w:r>
        <w:rPr>
          <w:snapToGrid w:val="0"/>
        </w:rPr>
        <w:tab/>
        <w:t>Interpretation</w:t>
      </w:r>
      <w:r>
        <w:tab/>
      </w:r>
      <w:r>
        <w:fldChar w:fldCharType="begin"/>
      </w:r>
      <w:r>
        <w:instrText xml:space="preserve"> PAGEREF _Toc147133603 \h </w:instrText>
      </w:r>
      <w:r>
        <w:fldChar w:fldCharType="separate"/>
      </w:r>
      <w:r w:rsidR="006650CC">
        <w:t>1</w:t>
      </w:r>
      <w:r>
        <w:fldChar w:fldCharType="end"/>
      </w:r>
    </w:p>
    <w:p w:rsidR="00946E54" w:rsidRDefault="00AE76B7">
      <w:pPr>
        <w:pStyle w:val="TOC8"/>
        <w:rPr>
          <w:sz w:val="24"/>
        </w:rPr>
      </w:pPr>
      <w:r>
        <w:t>3</w:t>
      </w:r>
      <w:r>
        <w:rPr>
          <w:snapToGrid w:val="0"/>
        </w:rPr>
        <w:t>.</w:t>
      </w:r>
      <w:r>
        <w:rPr>
          <w:snapToGrid w:val="0"/>
        </w:rPr>
        <w:tab/>
        <w:t>Guidelines about treatment of victims</w:t>
      </w:r>
      <w:r>
        <w:tab/>
      </w:r>
      <w:r>
        <w:fldChar w:fldCharType="begin"/>
      </w:r>
      <w:r>
        <w:instrText xml:space="preserve"> PAGEREF _Toc147133604 \h </w:instrText>
      </w:r>
      <w:r>
        <w:fldChar w:fldCharType="separate"/>
      </w:r>
      <w:r w:rsidR="006650CC">
        <w:t>2</w:t>
      </w:r>
      <w:r>
        <w:fldChar w:fldCharType="end"/>
      </w:r>
    </w:p>
    <w:p w:rsidR="00946E54" w:rsidRDefault="00AE76B7">
      <w:pPr>
        <w:pStyle w:val="TOC8"/>
        <w:rPr>
          <w:sz w:val="24"/>
        </w:rPr>
      </w:pPr>
      <w:r>
        <w:t>4.</w:t>
      </w:r>
      <w:r>
        <w:tab/>
        <w:t>Information about victims, provision of by police and DPP</w:t>
      </w:r>
      <w:r>
        <w:tab/>
      </w:r>
      <w:r>
        <w:fldChar w:fldCharType="begin"/>
      </w:r>
      <w:r>
        <w:instrText xml:space="preserve"> PAGEREF _Toc147133605 \h </w:instrText>
      </w:r>
      <w:r>
        <w:fldChar w:fldCharType="separate"/>
      </w:r>
      <w:r w:rsidR="006650CC">
        <w:t>2</w:t>
      </w:r>
      <w:r>
        <w:fldChar w:fldCharType="end"/>
      </w:r>
    </w:p>
    <w:p w:rsidR="00946E54" w:rsidRDefault="00AE76B7">
      <w:pPr>
        <w:pStyle w:val="TOC8"/>
        <w:rPr>
          <w:sz w:val="24"/>
        </w:rPr>
      </w:pPr>
      <w:r>
        <w:t>6</w:t>
      </w:r>
      <w:r>
        <w:rPr>
          <w:snapToGrid w:val="0"/>
        </w:rPr>
        <w:t>.</w:t>
      </w:r>
      <w:r>
        <w:rPr>
          <w:snapToGrid w:val="0"/>
        </w:rPr>
        <w:tab/>
        <w:t>Review of Act</w:t>
      </w:r>
      <w:r>
        <w:tab/>
      </w:r>
      <w:r>
        <w:fldChar w:fldCharType="begin"/>
      </w:r>
      <w:r>
        <w:instrText xml:space="preserve"> PAGEREF _Toc147133606 \h </w:instrText>
      </w:r>
      <w:r>
        <w:fldChar w:fldCharType="separate"/>
      </w:r>
      <w:r w:rsidR="006650CC">
        <w:t>4</w:t>
      </w:r>
      <w:r>
        <w:fldChar w:fldCharType="end"/>
      </w:r>
    </w:p>
    <w:p w:rsidR="00946E54" w:rsidRDefault="00AE76B7">
      <w:pPr>
        <w:pStyle w:val="TOC2"/>
        <w:tabs>
          <w:tab w:val="right" w:leader="dot" w:pos="7086"/>
        </w:tabs>
        <w:rPr>
          <w:b w:val="0"/>
          <w:sz w:val="24"/>
        </w:rPr>
      </w:pPr>
      <w:r>
        <w:t>Schedule 1</w:t>
      </w:r>
    </w:p>
    <w:p w:rsidR="00946E54" w:rsidRDefault="00AE76B7">
      <w:pPr>
        <w:pStyle w:val="TOC2"/>
        <w:tabs>
          <w:tab w:val="right" w:leader="dot" w:pos="7086"/>
        </w:tabs>
        <w:rPr>
          <w:b w:val="0"/>
          <w:sz w:val="24"/>
        </w:rPr>
      </w:pPr>
      <w:r>
        <w:t>Guidelines as to how victims should be treated</w:t>
      </w:r>
    </w:p>
    <w:p w:rsidR="00946E54" w:rsidRDefault="00AE76B7">
      <w:pPr>
        <w:pStyle w:val="TOC2"/>
        <w:tabs>
          <w:tab w:val="right" w:leader="dot" w:pos="7086"/>
        </w:tabs>
        <w:rPr>
          <w:b w:val="0"/>
          <w:sz w:val="24"/>
        </w:rPr>
      </w:pPr>
      <w:r>
        <w:t>Notes</w:t>
      </w:r>
    </w:p>
    <w:p w:rsidR="00946E54" w:rsidRDefault="00AE76B7">
      <w:pPr>
        <w:pStyle w:val="TOC8"/>
        <w:rPr>
          <w:sz w:val="24"/>
        </w:rPr>
      </w:pPr>
      <w:r>
        <w:rPr>
          <w:snapToGrid w:val="0"/>
        </w:rPr>
        <w:tab/>
        <w:t>Compilation table</w:t>
      </w:r>
      <w:r>
        <w:tab/>
      </w:r>
      <w:r>
        <w:fldChar w:fldCharType="begin"/>
      </w:r>
      <w:r>
        <w:instrText xml:space="preserve"> PAGEREF _Toc147133610 \h </w:instrText>
      </w:r>
      <w:r>
        <w:fldChar w:fldCharType="separate"/>
      </w:r>
      <w:r w:rsidR="006650CC">
        <w:t>7</w:t>
      </w:r>
      <w:r>
        <w:fldChar w:fldCharType="end"/>
      </w:r>
    </w:p>
    <w:p w:rsidR="00946E54" w:rsidRDefault="00AE76B7">
      <w:pPr>
        <w:pStyle w:val="TOC8"/>
        <w:rPr>
          <w:sz w:val="24"/>
        </w:rPr>
      </w:pPr>
      <w:r>
        <w:rPr>
          <w:snapToGrid w:val="0"/>
        </w:rPr>
        <w:tab/>
        <w:t>Provisions that have not come into operation</w:t>
      </w:r>
      <w:r>
        <w:tab/>
      </w:r>
      <w:r>
        <w:fldChar w:fldCharType="begin"/>
      </w:r>
      <w:r>
        <w:instrText xml:space="preserve"> PAGEREF _Toc147133611 \h </w:instrText>
      </w:r>
      <w:r>
        <w:fldChar w:fldCharType="separate"/>
      </w:r>
      <w:r w:rsidR="006650CC">
        <w:t>7</w:t>
      </w:r>
      <w:r>
        <w:fldChar w:fldCharType="end"/>
      </w:r>
    </w:p>
    <w:p w:rsidR="00946E54" w:rsidRDefault="00AE76B7">
      <w:pPr>
        <w:pStyle w:val="TOC4"/>
      </w:pPr>
      <w:r>
        <w:fldChar w:fldCharType="end"/>
      </w:r>
    </w:p>
    <w:p w:rsidR="00946E54" w:rsidRDefault="00AE76B7">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946E54" w:rsidRDefault="00946E54">
      <w:pPr>
        <w:pStyle w:val="NoteHeading"/>
        <w:sectPr w:rsidR="00946E54">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946E54" w:rsidRDefault="00AE76B7">
      <w:pPr>
        <w:pStyle w:val="WA"/>
        <w:spacing w:before="120"/>
      </w:pPr>
      <w:r>
        <w:t>Western Australia</w:t>
      </w:r>
    </w:p>
    <w:p w:rsidR="00946E54" w:rsidRDefault="00AE76B7">
      <w:pPr>
        <w:pStyle w:val="NameofActReg"/>
      </w:pPr>
      <w:r>
        <w:t>Victims of Crime Act 1994</w:t>
      </w:r>
    </w:p>
    <w:p w:rsidR="00946E54" w:rsidRDefault="00AE76B7">
      <w:pPr>
        <w:pStyle w:val="LongTitle"/>
        <w:rPr>
          <w:snapToGrid w:val="0"/>
        </w:rPr>
      </w:pPr>
      <w:r>
        <w:rPr>
          <w:snapToGrid w:val="0"/>
        </w:rPr>
        <w:t>An Act about victims of crime.</w:t>
      </w:r>
    </w:p>
    <w:p w:rsidR="00946E54" w:rsidRDefault="00AE76B7">
      <w:pPr>
        <w:pStyle w:val="Heading5"/>
        <w:rPr>
          <w:snapToGrid w:val="0"/>
        </w:rPr>
      </w:pPr>
      <w:bookmarkStart w:id="2" w:name="_Toc85872020"/>
      <w:bookmarkStart w:id="3" w:name="_Toc99962047"/>
      <w:bookmarkStart w:id="4" w:name="_Toc125436697"/>
      <w:bookmarkStart w:id="5" w:name="_Toc147055567"/>
      <w:bookmarkStart w:id="6" w:name="_Toc147133602"/>
      <w:r>
        <w:rPr>
          <w:rStyle w:val="CharSectno"/>
        </w:rPr>
        <w:t>1</w:t>
      </w:r>
      <w:r>
        <w:rPr>
          <w:snapToGrid w:val="0"/>
        </w:rPr>
        <w:t>.</w:t>
      </w:r>
      <w:r>
        <w:rPr>
          <w:snapToGrid w:val="0"/>
        </w:rPr>
        <w:tab/>
        <w:t>Short title</w:t>
      </w:r>
      <w:bookmarkEnd w:id="2"/>
      <w:bookmarkEnd w:id="3"/>
      <w:bookmarkEnd w:id="4"/>
      <w:bookmarkEnd w:id="5"/>
      <w:bookmarkEnd w:id="6"/>
    </w:p>
    <w:p w:rsidR="00946E54" w:rsidRDefault="00AE76B7">
      <w:pPr>
        <w:pStyle w:val="Subsection"/>
        <w:rPr>
          <w:snapToGrid w:val="0"/>
        </w:rPr>
      </w:pPr>
      <w:r>
        <w:rPr>
          <w:snapToGrid w:val="0"/>
        </w:rPr>
        <w:tab/>
      </w:r>
      <w:r>
        <w:rPr>
          <w:snapToGrid w:val="0"/>
        </w:rPr>
        <w:tab/>
        <w:t xml:space="preserve">This Act may be cited as the </w:t>
      </w:r>
      <w:r>
        <w:rPr>
          <w:i/>
          <w:snapToGrid w:val="0"/>
        </w:rPr>
        <w:t>Victims of Crime Act 1994</w:t>
      </w:r>
      <w:r>
        <w:rPr>
          <w:snapToGrid w:val="0"/>
          <w:vertAlign w:val="superscript"/>
        </w:rPr>
        <w:t> 1</w:t>
      </w:r>
      <w:r>
        <w:rPr>
          <w:snapToGrid w:val="0"/>
        </w:rPr>
        <w:t>.</w:t>
      </w:r>
    </w:p>
    <w:p w:rsidR="00946E54" w:rsidRDefault="00AE76B7">
      <w:pPr>
        <w:pStyle w:val="Heading5"/>
        <w:rPr>
          <w:snapToGrid w:val="0"/>
        </w:rPr>
      </w:pPr>
      <w:bookmarkStart w:id="7" w:name="_Toc85872021"/>
      <w:bookmarkStart w:id="8" w:name="_Toc99962048"/>
      <w:bookmarkStart w:id="9" w:name="_Toc125436698"/>
      <w:bookmarkStart w:id="10" w:name="_Toc147055568"/>
      <w:bookmarkStart w:id="11" w:name="_Toc147133603"/>
      <w:r>
        <w:rPr>
          <w:rStyle w:val="CharSectno"/>
        </w:rPr>
        <w:t>2</w:t>
      </w:r>
      <w:r>
        <w:rPr>
          <w:snapToGrid w:val="0"/>
        </w:rPr>
        <w:t>.</w:t>
      </w:r>
      <w:r>
        <w:rPr>
          <w:snapToGrid w:val="0"/>
        </w:rPr>
        <w:tab/>
        <w:t>Interpretation</w:t>
      </w:r>
      <w:bookmarkEnd w:id="7"/>
      <w:bookmarkEnd w:id="8"/>
      <w:bookmarkEnd w:id="9"/>
      <w:bookmarkEnd w:id="10"/>
      <w:bookmarkEnd w:id="11"/>
    </w:p>
    <w:p w:rsidR="00946E54" w:rsidRDefault="00AE76B7">
      <w:pPr>
        <w:pStyle w:val="Subsection"/>
        <w:rPr>
          <w:snapToGrid w:val="0"/>
        </w:rPr>
      </w:pPr>
      <w:r>
        <w:rPr>
          <w:snapToGrid w:val="0"/>
        </w:rPr>
        <w:tab/>
      </w:r>
      <w:r>
        <w:rPr>
          <w:snapToGrid w:val="0"/>
        </w:rPr>
        <w:tab/>
        <w:t>In this Act, unless the contrary intention appears — </w:t>
      </w:r>
    </w:p>
    <w:p w:rsidR="00946E54" w:rsidRDefault="00AE76B7">
      <w:pPr>
        <w:pStyle w:val="Defstart"/>
      </w:pPr>
      <w:r>
        <w:rPr>
          <w:b/>
        </w:rPr>
        <w:tab/>
        <w:t>“</w:t>
      </w:r>
      <w:r>
        <w:rPr>
          <w:rStyle w:val="CharDefText"/>
        </w:rPr>
        <w:t>guidelines</w:t>
      </w:r>
      <w:r>
        <w:rPr>
          <w:b/>
        </w:rPr>
        <w:t>”</w:t>
      </w:r>
      <w:r>
        <w:t xml:space="preserve"> means the guidelines in Schedule 1;</w:t>
      </w:r>
    </w:p>
    <w:p w:rsidR="00946E54" w:rsidRDefault="00AE76B7">
      <w:pPr>
        <w:pStyle w:val="Defstart"/>
      </w:pPr>
      <w:r>
        <w:rPr>
          <w:b/>
        </w:rPr>
        <w:tab/>
        <w:t>“</w:t>
      </w:r>
      <w:r>
        <w:rPr>
          <w:rStyle w:val="CharDefText"/>
        </w:rPr>
        <w:t>offence</w:t>
      </w:r>
      <w:r>
        <w:rPr>
          <w:b/>
        </w:rPr>
        <w:t>”</w:t>
      </w:r>
      <w:r>
        <w:t xml:space="preserve"> includes an alleged offence;</w:t>
      </w:r>
    </w:p>
    <w:p w:rsidR="00946E54" w:rsidRDefault="00AE76B7">
      <w:pPr>
        <w:pStyle w:val="Defstart"/>
      </w:pPr>
      <w:r>
        <w:rPr>
          <w:b/>
        </w:rPr>
        <w:tab/>
        <w:t>“</w:t>
      </w:r>
      <w:r>
        <w:rPr>
          <w:rStyle w:val="CharDefText"/>
        </w:rPr>
        <w:t>public officers and bodies</w:t>
      </w:r>
      <w:r>
        <w:rPr>
          <w:b/>
        </w:rPr>
        <w:t>”</w:t>
      </w:r>
      <w:r>
        <w:t xml:space="preserve"> includes — </w:t>
      </w:r>
    </w:p>
    <w:p w:rsidR="00946E54" w:rsidRDefault="00AE76B7">
      <w:pPr>
        <w:pStyle w:val="Defpara"/>
      </w:pPr>
      <w:r>
        <w:tab/>
        <w:t>(a)</w:t>
      </w:r>
      <w:r>
        <w:tab/>
        <w:t>Ministers of the Crown;</w:t>
      </w:r>
    </w:p>
    <w:p w:rsidR="00946E54" w:rsidRDefault="00AE76B7">
      <w:pPr>
        <w:pStyle w:val="Defpara"/>
      </w:pPr>
      <w:r>
        <w:tab/>
        <w:t>(b)</w:t>
      </w:r>
      <w:r>
        <w:tab/>
        <w:t>judges, magistrates and other judicial officers;</w:t>
      </w:r>
    </w:p>
    <w:p w:rsidR="00946E54" w:rsidRDefault="00AE76B7">
      <w:pPr>
        <w:pStyle w:val="Defpara"/>
      </w:pPr>
      <w:r>
        <w:tab/>
        <w:t>(c)</w:t>
      </w:r>
      <w:r>
        <w:tab/>
        <w:t>officers of courts;</w:t>
      </w:r>
    </w:p>
    <w:p w:rsidR="00946E54" w:rsidRDefault="00AE76B7">
      <w:pPr>
        <w:pStyle w:val="Defpara"/>
      </w:pPr>
      <w:r>
        <w:tab/>
        <w:t>(d)</w:t>
      </w:r>
      <w:r>
        <w:tab/>
        <w:t>the Director of Public Prosecutions and other people who are involved in the prosecution of offences;</w:t>
      </w:r>
    </w:p>
    <w:p w:rsidR="00946E54" w:rsidRDefault="00AE76B7">
      <w:pPr>
        <w:pStyle w:val="Defpara"/>
      </w:pPr>
      <w:r>
        <w:tab/>
        <w:t>(e)</w:t>
      </w:r>
      <w:r>
        <w:tab/>
        <w:t>the Commissioner of Police and members of the Police Force;</w:t>
      </w:r>
    </w:p>
    <w:p w:rsidR="00946E54" w:rsidRDefault="00AE76B7">
      <w:pPr>
        <w:pStyle w:val="Defpara"/>
      </w:pPr>
      <w:r>
        <w:tab/>
        <w:t>(f)</w:t>
      </w:r>
      <w:r>
        <w:tab/>
        <w:t>the Parole Board;</w:t>
      </w:r>
    </w:p>
    <w:p w:rsidR="00946E54" w:rsidRDefault="00AE76B7">
      <w:pPr>
        <w:pStyle w:val="Defpara"/>
      </w:pPr>
      <w:r>
        <w:tab/>
        <w:t>(g)</w:t>
      </w:r>
      <w:r>
        <w:tab/>
        <w:t>the Supervised Release Review Board;</w:t>
      </w:r>
    </w:p>
    <w:p w:rsidR="00946E54" w:rsidRDefault="00AE76B7">
      <w:pPr>
        <w:pStyle w:val="Defpara"/>
      </w:pPr>
      <w:r>
        <w:tab/>
        <w:t>(h)</w:t>
      </w:r>
      <w:r>
        <w:tab/>
        <w:t>juvenile justice teams; and</w:t>
      </w:r>
    </w:p>
    <w:p w:rsidR="00946E54" w:rsidRDefault="00AE76B7">
      <w:pPr>
        <w:pStyle w:val="Defpara"/>
      </w:pPr>
      <w:r>
        <w:tab/>
        <w:t>(i)</w:t>
      </w:r>
      <w:r>
        <w:tab/>
        <w:t>employees or bodies in the public sector whose functions involve dealing with offenders or victims;</w:t>
      </w:r>
    </w:p>
    <w:p w:rsidR="00946E54" w:rsidRDefault="00AE76B7">
      <w:pPr>
        <w:pStyle w:val="Defstart"/>
      </w:pPr>
      <w:r>
        <w:rPr>
          <w:b/>
        </w:rPr>
        <w:tab/>
        <w:t>“</w:t>
      </w:r>
      <w:r>
        <w:rPr>
          <w:rStyle w:val="CharDefText"/>
        </w:rPr>
        <w:t>victim</w:t>
      </w:r>
      <w:r>
        <w:rPr>
          <w:b/>
        </w:rPr>
        <w:t>”</w:t>
      </w:r>
      <w:r>
        <w:t xml:space="preserve"> means — </w:t>
      </w:r>
    </w:p>
    <w:p w:rsidR="00946E54" w:rsidRDefault="00AE76B7">
      <w:pPr>
        <w:pStyle w:val="Defpara"/>
      </w:pPr>
      <w:r>
        <w:tab/>
        <w:t>(a)</w:t>
      </w:r>
      <w:r>
        <w:tab/>
        <w:t>a person who has suffered injury, loss or damage as a direct result of an offence, whether or not that injury, loss or damage was reasonably foreseeable by the offender; or</w:t>
      </w:r>
    </w:p>
    <w:p w:rsidR="00946E54" w:rsidRDefault="00AE76B7">
      <w:pPr>
        <w:pStyle w:val="Defpara"/>
      </w:pPr>
      <w:r>
        <w:tab/>
        <w:t>(b)</w:t>
      </w:r>
      <w:r>
        <w:tab/>
        <w:t>where an offence results in a death, any member of the immediate family of the deceased.</w:t>
      </w:r>
    </w:p>
    <w:p w:rsidR="00946E54" w:rsidRDefault="00AE76B7">
      <w:pPr>
        <w:pStyle w:val="Heading5"/>
        <w:rPr>
          <w:snapToGrid w:val="0"/>
        </w:rPr>
      </w:pPr>
      <w:bookmarkStart w:id="12" w:name="_Toc85872022"/>
      <w:bookmarkStart w:id="13" w:name="_Toc99962049"/>
      <w:bookmarkStart w:id="14" w:name="_Toc125436699"/>
      <w:bookmarkStart w:id="15" w:name="_Toc147055569"/>
      <w:bookmarkStart w:id="16" w:name="_Toc147133604"/>
      <w:r>
        <w:rPr>
          <w:rStyle w:val="CharSectno"/>
        </w:rPr>
        <w:t>3</w:t>
      </w:r>
      <w:r>
        <w:rPr>
          <w:snapToGrid w:val="0"/>
        </w:rPr>
        <w:t>.</w:t>
      </w:r>
      <w:r>
        <w:rPr>
          <w:snapToGrid w:val="0"/>
        </w:rPr>
        <w:tab/>
        <w:t>Guidelines about treatment of victims</w:t>
      </w:r>
      <w:bookmarkEnd w:id="12"/>
      <w:bookmarkEnd w:id="13"/>
      <w:bookmarkEnd w:id="14"/>
      <w:bookmarkEnd w:id="15"/>
      <w:bookmarkEnd w:id="16"/>
      <w:r>
        <w:rPr>
          <w:snapToGrid w:val="0"/>
        </w:rPr>
        <w:t xml:space="preserve"> </w:t>
      </w:r>
    </w:p>
    <w:p w:rsidR="00946E54" w:rsidRDefault="00AE76B7">
      <w:pPr>
        <w:pStyle w:val="Subsection"/>
        <w:rPr>
          <w:snapToGrid w:val="0"/>
        </w:rPr>
      </w:pPr>
      <w:r>
        <w:rPr>
          <w:snapToGrid w:val="0"/>
        </w:rPr>
        <w:tab/>
        <w:t>(1)</w:t>
      </w:r>
      <w:r>
        <w:rPr>
          <w:snapToGrid w:val="0"/>
        </w:rPr>
        <w:tab/>
        <w:t>Public officers and bodies are authorised to have regard to and apply the guidelines in Schedule 1 and they should do so to the extent that it is — </w:t>
      </w:r>
    </w:p>
    <w:p w:rsidR="00946E54" w:rsidRDefault="00AE76B7">
      <w:pPr>
        <w:pStyle w:val="Indenta"/>
        <w:rPr>
          <w:snapToGrid w:val="0"/>
        </w:rPr>
      </w:pPr>
      <w:r>
        <w:rPr>
          <w:snapToGrid w:val="0"/>
        </w:rPr>
        <w:tab/>
        <w:t>(a)</w:t>
      </w:r>
      <w:r>
        <w:rPr>
          <w:snapToGrid w:val="0"/>
        </w:rPr>
        <w:tab/>
        <w:t>within or relevant to their functions to do so; and</w:t>
      </w:r>
    </w:p>
    <w:p w:rsidR="00946E54" w:rsidRDefault="00AE76B7">
      <w:pPr>
        <w:pStyle w:val="Indenta"/>
        <w:rPr>
          <w:snapToGrid w:val="0"/>
        </w:rPr>
      </w:pPr>
      <w:r>
        <w:rPr>
          <w:snapToGrid w:val="0"/>
        </w:rPr>
        <w:tab/>
        <w:t>(b)</w:t>
      </w:r>
      <w:r>
        <w:rPr>
          <w:snapToGrid w:val="0"/>
        </w:rPr>
        <w:tab/>
        <w:t>practicable for them to do so.</w:t>
      </w:r>
    </w:p>
    <w:p w:rsidR="00946E54" w:rsidRDefault="00AE76B7">
      <w:pPr>
        <w:pStyle w:val="Subsection"/>
        <w:rPr>
          <w:snapToGrid w:val="0"/>
        </w:rPr>
      </w:pPr>
      <w:r>
        <w:rPr>
          <w:snapToGrid w:val="0"/>
        </w:rPr>
        <w:tab/>
        <w:t>(2)</w:t>
      </w:r>
      <w:r>
        <w:rPr>
          <w:snapToGrid w:val="0"/>
        </w:rPr>
        <w:tab/>
        <w:t>If because of age, disability or any other reason it is not practicable for a victim to receive counselling or information, make requests or express views or concerns under the guidelines, another person may do those things on the victim’s behalf if the public officer or body concerned is satisfied that it is appropriate for that other person to do so.</w:t>
      </w:r>
    </w:p>
    <w:p w:rsidR="00946E54" w:rsidRDefault="00AE76B7">
      <w:pPr>
        <w:pStyle w:val="Subsection"/>
        <w:rPr>
          <w:snapToGrid w:val="0"/>
        </w:rPr>
      </w:pPr>
      <w:r>
        <w:rPr>
          <w:snapToGrid w:val="0"/>
        </w:rPr>
        <w:tab/>
        <w:t>(3)</w:t>
      </w:r>
      <w:r>
        <w:rPr>
          <w:snapToGrid w:val="0"/>
        </w:rPr>
        <w:tab/>
        <w:t>Nothing in this Act provides, or is to be taken as providing, any person with a legally enforceable right or entitlement, and a failure to apply this Act, or to have regard to a guideline, or to treat a victim in accordance with a guideline, does not — </w:t>
      </w:r>
    </w:p>
    <w:p w:rsidR="00946E54" w:rsidRDefault="00AE76B7">
      <w:pPr>
        <w:pStyle w:val="Indenta"/>
        <w:rPr>
          <w:snapToGrid w:val="0"/>
        </w:rPr>
      </w:pPr>
      <w:r>
        <w:rPr>
          <w:snapToGrid w:val="0"/>
        </w:rPr>
        <w:tab/>
        <w:t>(a)</w:t>
      </w:r>
      <w:r>
        <w:rPr>
          <w:snapToGrid w:val="0"/>
        </w:rPr>
        <w:tab/>
        <w:t>affect the validity of anything done or not done or of any proceedings; or</w:t>
      </w:r>
    </w:p>
    <w:p w:rsidR="00946E54" w:rsidRDefault="00AE76B7">
      <w:pPr>
        <w:pStyle w:val="Indenta"/>
        <w:rPr>
          <w:snapToGrid w:val="0"/>
        </w:rPr>
      </w:pPr>
      <w:r>
        <w:rPr>
          <w:snapToGrid w:val="0"/>
        </w:rPr>
        <w:tab/>
        <w:t>(b)</w:t>
      </w:r>
      <w:r>
        <w:rPr>
          <w:snapToGrid w:val="0"/>
        </w:rPr>
        <w:tab/>
        <w:t>provide grounds for any act, omission or decision to be challenged, appealed against, reviewed, quashed or called in question in or by any court or tribunal or for any injunctive, declaratory or other relief, remedy or order to be asked for or granted whether by way of prerogative writ or otherwise.</w:t>
      </w:r>
    </w:p>
    <w:p w:rsidR="00946E54" w:rsidRDefault="00AE76B7">
      <w:pPr>
        <w:pStyle w:val="Heading5"/>
      </w:pPr>
      <w:bookmarkStart w:id="17" w:name="_Toc85872023"/>
      <w:bookmarkStart w:id="18" w:name="_Toc99962050"/>
      <w:bookmarkStart w:id="19" w:name="_Toc125436700"/>
      <w:bookmarkStart w:id="20" w:name="_Toc147055570"/>
      <w:bookmarkStart w:id="21" w:name="_Toc147133605"/>
      <w:r>
        <w:rPr>
          <w:rStyle w:val="CharSectno"/>
        </w:rPr>
        <w:t>4</w:t>
      </w:r>
      <w:r>
        <w:t>.</w:t>
      </w:r>
      <w:r>
        <w:tab/>
        <w:t>Information about victims, provision of by police and DPP</w:t>
      </w:r>
      <w:bookmarkEnd w:id="17"/>
      <w:bookmarkEnd w:id="18"/>
      <w:bookmarkEnd w:id="19"/>
      <w:bookmarkEnd w:id="20"/>
      <w:bookmarkEnd w:id="21"/>
    </w:p>
    <w:p w:rsidR="00946E54" w:rsidRDefault="00AE76B7">
      <w:pPr>
        <w:pStyle w:val="Subsection"/>
      </w:pPr>
      <w:r>
        <w:tab/>
        <w:t>(1)</w:t>
      </w:r>
      <w:r>
        <w:tab/>
        <w:t xml:space="preserve">In this section — </w:t>
      </w:r>
    </w:p>
    <w:p w:rsidR="00946E54" w:rsidRDefault="00AE76B7">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rsidR="00946E54" w:rsidRDefault="00AE76B7">
      <w:pPr>
        <w:pStyle w:val="Defstart"/>
      </w:pPr>
      <w:r>
        <w:rPr>
          <w:b/>
        </w:rPr>
        <w:tab/>
        <w:t>“</w:t>
      </w:r>
      <w:r>
        <w:rPr>
          <w:rStyle w:val="CharDefText"/>
        </w:rPr>
        <w:t>DPP</w:t>
      </w:r>
      <w:r>
        <w:rPr>
          <w:b/>
        </w:rPr>
        <w:t>”</w:t>
      </w:r>
      <w:r>
        <w:t xml:space="preserve"> means the Director of Public Prosecutions appointed under the </w:t>
      </w:r>
      <w:r>
        <w:rPr>
          <w:i/>
        </w:rPr>
        <w:t>Director of Public Prosecutions Act 1991</w:t>
      </w:r>
      <w:r>
        <w:t>;</w:t>
      </w:r>
    </w:p>
    <w:p w:rsidR="00946E54" w:rsidRDefault="00AE76B7">
      <w:pPr>
        <w:pStyle w:val="Defstart"/>
      </w:pPr>
      <w:r>
        <w:tab/>
      </w:r>
      <w:r>
        <w:rPr>
          <w:b/>
        </w:rPr>
        <w:t>“</w:t>
      </w:r>
      <w:r>
        <w:rPr>
          <w:rStyle w:val="CharDefText"/>
        </w:rPr>
        <w:t>prescribed information</w:t>
      </w:r>
      <w:r>
        <w:rPr>
          <w:b/>
        </w:rPr>
        <w:t>”</w:t>
      </w:r>
      <w:r>
        <w:t>, in relation to a victim, means —</w:t>
      </w:r>
    </w:p>
    <w:p w:rsidR="00946E54" w:rsidRDefault="00AE76B7">
      <w:pPr>
        <w:pStyle w:val="Defpara"/>
      </w:pPr>
      <w:r>
        <w:tab/>
        <w:t>(a)</w:t>
      </w:r>
      <w:r>
        <w:tab/>
        <w:t>the name, address, telephone number, age and ethnicity of the victim;</w:t>
      </w:r>
    </w:p>
    <w:p w:rsidR="00946E54" w:rsidRDefault="00AE76B7">
      <w:pPr>
        <w:pStyle w:val="Defpara"/>
      </w:pPr>
      <w:r>
        <w:tab/>
        <w:t>(b)</w:t>
      </w:r>
      <w:r>
        <w:tab/>
        <w:t>a description of the offence and an abridged description of the circumstances of its commission;</w:t>
      </w:r>
    </w:p>
    <w:p w:rsidR="00946E54" w:rsidRDefault="00AE76B7">
      <w:pPr>
        <w:pStyle w:val="Defpara"/>
      </w:pPr>
      <w:r>
        <w:tab/>
        <w:t>(c)</w:t>
      </w:r>
      <w:r>
        <w:tab/>
        <w:t>the name of the offender or alleged offender, if known;</w:t>
      </w:r>
    </w:p>
    <w:p w:rsidR="00946E54" w:rsidRDefault="00AE76B7">
      <w:pPr>
        <w:pStyle w:val="Defpara"/>
      </w:pPr>
      <w:r>
        <w:tab/>
        <w:t>(d)</w:t>
      </w:r>
      <w:r>
        <w:tab/>
        <w:t>the name, rank and registered number of the member of the Police Force in charge of investigating the offence;</w:t>
      </w:r>
    </w:p>
    <w:p w:rsidR="00946E54" w:rsidRDefault="00AE76B7">
      <w:pPr>
        <w:pStyle w:val="Defpara"/>
      </w:pPr>
      <w:r>
        <w:tab/>
        <w:t>(e)</w:t>
      </w:r>
      <w:r>
        <w:tab/>
        <w:t>the police station or office where information about the investigation of the offence is held;</w:t>
      </w:r>
    </w:p>
    <w:p w:rsidR="00946E54" w:rsidRDefault="00AE76B7">
      <w:pPr>
        <w:pStyle w:val="Defpara"/>
      </w:pPr>
      <w:r>
        <w:tab/>
        <w:t>(f)</w:t>
      </w:r>
      <w:r>
        <w:tab/>
        <w:t>the status of the investigation and prosecution of the offence by the Police Force; and</w:t>
      </w:r>
    </w:p>
    <w:p w:rsidR="00946E54" w:rsidRDefault="00AE76B7">
      <w:pPr>
        <w:pStyle w:val="Defpara"/>
      </w:pPr>
      <w:r>
        <w:tab/>
        <w:t>(g)</w:t>
      </w:r>
      <w:r>
        <w:tab/>
        <w:t>any information prescribed by the regulations.</w:t>
      </w:r>
    </w:p>
    <w:p w:rsidR="00946E54" w:rsidRDefault="00AE76B7">
      <w:pPr>
        <w:pStyle w:val="Subsection"/>
      </w:pPr>
      <w:r>
        <w:tab/>
        <w:t>(2)</w:t>
      </w:r>
      <w:r>
        <w:tab/>
        <w:t>The Commissioner of Police may provide the chief executive officer of the Department with prescribed information in relation to a victim so that the Department can offer the victim the services it has available for victims.</w:t>
      </w:r>
    </w:p>
    <w:p w:rsidR="00946E54" w:rsidRDefault="00AE76B7">
      <w:pPr>
        <w:pStyle w:val="Subsection"/>
      </w:pPr>
      <w:r>
        <w:tab/>
        <w:t>(3)</w:t>
      </w:r>
      <w:r>
        <w:tab/>
        <w:t>The DPP may provide the chief executive officer of the Department with such information in relation to a victim as the DPP thinks fit so that the Department can offer the victim the services it has available for victims.</w:t>
      </w:r>
    </w:p>
    <w:p w:rsidR="00946E54" w:rsidRDefault="00AE76B7">
      <w:pPr>
        <w:pStyle w:val="Subsection"/>
      </w:pPr>
      <w:r>
        <w:tab/>
        <w:t>(4)</w:t>
      </w:r>
      <w:r>
        <w:tab/>
        <w:t>Any information provided under subsection (2) or (3) must be provided in confidence.</w:t>
      </w:r>
    </w:p>
    <w:p w:rsidR="00946E54" w:rsidRDefault="00AE76B7">
      <w:pPr>
        <w:pStyle w:val="Subsection"/>
      </w:pPr>
      <w:r>
        <w:tab/>
        <w:t>(5)</w:t>
      </w:r>
      <w:r>
        <w:tab/>
        <w:t>The provision of information under subsection (2) or (3) in confidence and in good faith does not constitute a breach of any written or other law.</w:t>
      </w:r>
    </w:p>
    <w:p w:rsidR="00946E54" w:rsidRDefault="00AE76B7">
      <w:pPr>
        <w:pStyle w:val="Subsection"/>
      </w:pPr>
      <w:r>
        <w:tab/>
        <w:t>(6)</w:t>
      </w:r>
      <w:r>
        <w:tab/>
        <w:t>Information provided under subsection (2) or (3) must not be used by the Department for purposes other than those specified in subsection (2) or (3).</w:t>
      </w:r>
    </w:p>
    <w:p w:rsidR="00946E54" w:rsidRDefault="00AE76B7">
      <w:pPr>
        <w:pStyle w:val="Footnotesection"/>
      </w:pPr>
      <w:r>
        <w:tab/>
        <w:t>[Section 4 inserted by No. 30 of 2004 s. 4.]</w:t>
      </w:r>
    </w:p>
    <w:p w:rsidR="00946E54" w:rsidRDefault="00AE76B7">
      <w:pPr>
        <w:pStyle w:val="Ednotesection"/>
      </w:pPr>
      <w:r>
        <w:t>[</w:t>
      </w:r>
      <w:r>
        <w:rPr>
          <w:b/>
        </w:rPr>
        <w:t>5.</w:t>
      </w:r>
      <w:r>
        <w:tab/>
        <w:t xml:space="preserve">Repealed by No. 78 of 1995 s. 129.] </w:t>
      </w:r>
    </w:p>
    <w:p w:rsidR="00946E54" w:rsidRDefault="00AE76B7">
      <w:pPr>
        <w:pStyle w:val="Heading5"/>
        <w:rPr>
          <w:snapToGrid w:val="0"/>
        </w:rPr>
      </w:pPr>
      <w:bookmarkStart w:id="22" w:name="_Toc85872024"/>
      <w:bookmarkStart w:id="23" w:name="_Toc99962051"/>
      <w:bookmarkStart w:id="24" w:name="_Toc125436701"/>
      <w:bookmarkStart w:id="25" w:name="_Toc147055571"/>
      <w:bookmarkStart w:id="26" w:name="_Toc147133606"/>
      <w:r>
        <w:rPr>
          <w:rStyle w:val="CharSectno"/>
        </w:rPr>
        <w:t>6</w:t>
      </w:r>
      <w:r>
        <w:rPr>
          <w:snapToGrid w:val="0"/>
        </w:rPr>
        <w:t>.</w:t>
      </w:r>
      <w:r>
        <w:rPr>
          <w:snapToGrid w:val="0"/>
        </w:rPr>
        <w:tab/>
        <w:t>Review of Act</w:t>
      </w:r>
      <w:bookmarkEnd w:id="22"/>
      <w:bookmarkEnd w:id="23"/>
      <w:bookmarkEnd w:id="24"/>
      <w:bookmarkEnd w:id="25"/>
      <w:bookmarkEnd w:id="26"/>
    </w:p>
    <w:p w:rsidR="00946E54" w:rsidRDefault="00AE76B7">
      <w:pPr>
        <w:pStyle w:val="Subsection"/>
        <w:rPr>
          <w:snapToGrid w:val="0"/>
        </w:rPr>
      </w:pPr>
      <w:r>
        <w:rPr>
          <w:snapToGrid w:val="0"/>
        </w:rPr>
        <w:tab/>
        <w:t>(1)</w:t>
      </w:r>
      <w:r>
        <w:rPr>
          <w:snapToGrid w:val="0"/>
        </w:rPr>
        <w:tab/>
        <w:t>The Minister is to cause reviews of the operation and effectiveness of this Act to be carried out annually.</w:t>
      </w:r>
    </w:p>
    <w:p w:rsidR="00946E54" w:rsidRDefault="00AE76B7">
      <w:pPr>
        <w:pStyle w:val="Subsection"/>
        <w:rPr>
          <w:snapToGrid w:val="0"/>
        </w:rPr>
      </w:pPr>
      <w:r>
        <w:rPr>
          <w:snapToGrid w:val="0"/>
        </w:rPr>
        <w:tab/>
        <w:t>(2)</w:t>
      </w:r>
      <w:r>
        <w:rPr>
          <w:snapToGrid w:val="0"/>
        </w:rPr>
        <w:tab/>
        <w:t>The Minister is to cause a report to be prepared on each review and is to cause the report to be tabled before each House of Parliament as soon as practicable after it is prepared.</w:t>
      </w:r>
    </w:p>
    <w:p w:rsidR="00946E54" w:rsidRDefault="00946E54">
      <w:pPr>
        <w:sectPr w:rsidR="00946E54">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946E54" w:rsidRDefault="00AE76B7">
      <w:pPr>
        <w:pStyle w:val="yScheduleHeading"/>
      </w:pPr>
      <w:bookmarkStart w:id="27" w:name="_Toc99962052"/>
      <w:bookmarkStart w:id="28" w:name="_Toc125436702"/>
      <w:bookmarkStart w:id="29" w:name="_Toc147055526"/>
      <w:bookmarkStart w:id="30" w:name="_Toc147055572"/>
      <w:bookmarkStart w:id="31" w:name="_Toc147055643"/>
      <w:bookmarkStart w:id="32" w:name="_Toc147133607"/>
      <w:r>
        <w:rPr>
          <w:rStyle w:val="CharSchNo"/>
        </w:rPr>
        <w:t>Schedule 1</w:t>
      </w:r>
      <w:bookmarkEnd w:id="27"/>
      <w:bookmarkEnd w:id="28"/>
      <w:bookmarkEnd w:id="29"/>
      <w:bookmarkEnd w:id="30"/>
      <w:bookmarkEnd w:id="31"/>
      <w:bookmarkEnd w:id="32"/>
    </w:p>
    <w:p w:rsidR="00946E54" w:rsidRDefault="00AE76B7">
      <w:pPr>
        <w:pStyle w:val="yShoulderClause"/>
        <w:rPr>
          <w:snapToGrid w:val="0"/>
        </w:rPr>
      </w:pPr>
      <w:r>
        <w:rPr>
          <w:snapToGrid w:val="0"/>
        </w:rPr>
        <w:t>[Section 3]</w:t>
      </w:r>
    </w:p>
    <w:p w:rsidR="00946E54" w:rsidRDefault="00AE76B7">
      <w:pPr>
        <w:pStyle w:val="yHeading2"/>
      </w:pPr>
      <w:bookmarkStart w:id="33" w:name="_Toc97020670"/>
      <w:bookmarkStart w:id="34" w:name="_Toc99962053"/>
      <w:bookmarkStart w:id="35" w:name="_Toc125436703"/>
      <w:bookmarkStart w:id="36" w:name="_Toc147055527"/>
      <w:bookmarkStart w:id="37" w:name="_Toc147055573"/>
      <w:bookmarkStart w:id="38" w:name="_Toc147055644"/>
      <w:bookmarkStart w:id="39" w:name="_Toc147133608"/>
      <w:r>
        <w:rPr>
          <w:rStyle w:val="CharSchText"/>
        </w:rPr>
        <w:t>Guidelines as to how victims should be treated</w:t>
      </w:r>
      <w:bookmarkEnd w:id="33"/>
      <w:bookmarkEnd w:id="34"/>
      <w:bookmarkEnd w:id="35"/>
      <w:bookmarkEnd w:id="36"/>
      <w:bookmarkEnd w:id="37"/>
      <w:bookmarkEnd w:id="38"/>
      <w:bookmarkEnd w:id="39"/>
    </w:p>
    <w:p w:rsidR="00946E54" w:rsidRDefault="00946E54">
      <w:pPr>
        <w:pStyle w:val="yHeading5"/>
        <w:outlineLvl w:val="9"/>
        <w:rPr>
          <w:snapToGrid w:val="0"/>
        </w:rPr>
      </w:pPr>
    </w:p>
    <w:p w:rsidR="00946E54" w:rsidRDefault="00AE76B7">
      <w:pPr>
        <w:pStyle w:val="ySubsection"/>
        <w:rPr>
          <w:snapToGrid w:val="0"/>
        </w:rPr>
      </w:pPr>
      <w:r>
        <w:rPr>
          <w:snapToGrid w:val="0"/>
        </w:rPr>
        <w:tab/>
        <w:t>1.</w:t>
      </w:r>
      <w:r>
        <w:rPr>
          <w:snapToGrid w:val="0"/>
        </w:rPr>
        <w:tab/>
        <w:t>A victim should be treated with courtesy and compassion and with respect for the victim’s dignity.</w:t>
      </w:r>
    </w:p>
    <w:p w:rsidR="00946E54" w:rsidRDefault="00AE76B7">
      <w:pPr>
        <w:pStyle w:val="ySubsection"/>
        <w:rPr>
          <w:snapToGrid w:val="0"/>
        </w:rPr>
      </w:pPr>
      <w:r>
        <w:rPr>
          <w:snapToGrid w:val="0"/>
        </w:rPr>
        <w:tab/>
        <w:t>2.</w:t>
      </w:r>
      <w:r>
        <w:rPr>
          <w:snapToGrid w:val="0"/>
        </w:rPr>
        <w:tab/>
      </w:r>
      <w:r>
        <w:t>A</w:t>
      </w:r>
      <w:r>
        <w:rPr>
          <w:snapToGrid w:val="0"/>
        </w:rPr>
        <w:t xml:space="preserve"> victim should be given access to counselling about the availability of welfare, health, medical and legal assistance services and criminal injuries compensation.</w:t>
      </w:r>
    </w:p>
    <w:p w:rsidR="00946E54" w:rsidRDefault="00AE76B7">
      <w:pPr>
        <w:pStyle w:val="ySubsection"/>
        <w:rPr>
          <w:snapToGrid w:val="0"/>
        </w:rPr>
      </w:pPr>
      <w:r>
        <w:rPr>
          <w:snapToGrid w:val="0"/>
        </w:rPr>
        <w:tab/>
        <w:t>3.</w:t>
      </w:r>
      <w:r>
        <w:rPr>
          <w:snapToGrid w:val="0"/>
        </w:rPr>
        <w:tab/>
        <w:t>A victim should be informed about the availability of lawful protection against violence and intimidation by the offender.</w:t>
      </w:r>
    </w:p>
    <w:p w:rsidR="00946E54" w:rsidRDefault="00AE76B7">
      <w:pPr>
        <w:pStyle w:val="ySubsection"/>
        <w:rPr>
          <w:snapToGrid w:val="0"/>
        </w:rPr>
      </w:pPr>
      <w:r>
        <w:rPr>
          <w:snapToGrid w:val="0"/>
        </w:rPr>
        <w:tab/>
        <w:t>4.</w:t>
      </w:r>
      <w:r>
        <w:rPr>
          <w:snapToGrid w:val="0"/>
        </w:rPr>
        <w:tab/>
        <w:t xml:space="preserve">Inconvenience to a victim should be minimized. </w:t>
      </w:r>
    </w:p>
    <w:p w:rsidR="00946E54" w:rsidRDefault="00AE76B7">
      <w:pPr>
        <w:pStyle w:val="ySubsection"/>
        <w:rPr>
          <w:snapToGrid w:val="0"/>
        </w:rPr>
      </w:pPr>
      <w:r>
        <w:rPr>
          <w:snapToGrid w:val="0"/>
        </w:rPr>
        <w:tab/>
        <w:t>5.</w:t>
      </w:r>
      <w:r>
        <w:rPr>
          <w:snapToGrid w:val="0"/>
        </w:rPr>
        <w:tab/>
        <w:t>The privacy of a victim should be protected.</w:t>
      </w:r>
    </w:p>
    <w:p w:rsidR="00946E54" w:rsidRDefault="00AE76B7">
      <w:pPr>
        <w:pStyle w:val="ySubsection"/>
        <w:rPr>
          <w:snapToGrid w:val="0"/>
        </w:rPr>
      </w:pPr>
      <w:r>
        <w:rPr>
          <w:snapToGrid w:val="0"/>
        </w:rPr>
        <w:tab/>
        <w:t>6.</w:t>
      </w:r>
      <w:r>
        <w:rPr>
          <w:snapToGrid w:val="0"/>
        </w:rPr>
        <w:tab/>
        <w:t>A victim who has so requested should be kept informed about — </w:t>
      </w:r>
    </w:p>
    <w:p w:rsidR="00946E54" w:rsidRDefault="00AE76B7">
      <w:pPr>
        <w:pStyle w:val="yIndenta"/>
        <w:rPr>
          <w:snapToGrid w:val="0"/>
        </w:rPr>
      </w:pPr>
      <w:r>
        <w:rPr>
          <w:snapToGrid w:val="0"/>
        </w:rPr>
        <w:tab/>
        <w:t>(a)</w:t>
      </w:r>
      <w:r>
        <w:rPr>
          <w:snapToGrid w:val="0"/>
        </w:rPr>
        <w:tab/>
        <w:t>the progress of the investigation into the offence (except where to do so may jeopardize the investigation);</w:t>
      </w:r>
    </w:p>
    <w:p w:rsidR="00946E54" w:rsidRDefault="00AE76B7">
      <w:pPr>
        <w:pStyle w:val="yIndenta"/>
        <w:rPr>
          <w:snapToGrid w:val="0"/>
        </w:rPr>
      </w:pPr>
      <w:r>
        <w:rPr>
          <w:snapToGrid w:val="0"/>
        </w:rPr>
        <w:tab/>
        <w:t>(b)</w:t>
      </w:r>
      <w:r>
        <w:rPr>
          <w:snapToGrid w:val="0"/>
        </w:rPr>
        <w:tab/>
        <w:t>charges laid;</w:t>
      </w:r>
    </w:p>
    <w:p w:rsidR="00946E54" w:rsidRDefault="00AE76B7">
      <w:pPr>
        <w:pStyle w:val="yIndenta"/>
        <w:rPr>
          <w:snapToGrid w:val="0"/>
        </w:rPr>
      </w:pPr>
      <w:r>
        <w:rPr>
          <w:snapToGrid w:val="0"/>
        </w:rPr>
        <w:tab/>
        <w:t>(c)</w:t>
      </w:r>
      <w:r>
        <w:rPr>
          <w:snapToGrid w:val="0"/>
        </w:rPr>
        <w:tab/>
        <w:t>any bail application made by the offender; and</w:t>
      </w:r>
    </w:p>
    <w:p w:rsidR="00946E54" w:rsidRDefault="00AE76B7">
      <w:pPr>
        <w:pStyle w:val="yIndenta"/>
        <w:rPr>
          <w:snapToGrid w:val="0"/>
        </w:rPr>
      </w:pPr>
      <w:r>
        <w:rPr>
          <w:snapToGrid w:val="0"/>
        </w:rPr>
        <w:tab/>
        <w:t>(d)</w:t>
      </w:r>
      <w:r>
        <w:rPr>
          <w:snapToGrid w:val="0"/>
        </w:rPr>
        <w:tab/>
        <w:t>variations to the charges and the reasons for variations.</w:t>
      </w:r>
    </w:p>
    <w:p w:rsidR="00946E54" w:rsidRDefault="00AE76B7">
      <w:pPr>
        <w:pStyle w:val="ySubsection"/>
        <w:rPr>
          <w:snapToGrid w:val="0"/>
        </w:rPr>
      </w:pPr>
      <w:r>
        <w:rPr>
          <w:snapToGrid w:val="0"/>
        </w:rPr>
        <w:tab/>
        <w:t>7.</w:t>
      </w:r>
      <w:r>
        <w:rPr>
          <w:snapToGrid w:val="0"/>
        </w:rPr>
        <w:tab/>
        <w:t>A victim who is a witness in the trial of the offender and has so requested should be informed about the trial process and the role of the victim as a witness in the prosecution of the offence.</w:t>
      </w:r>
    </w:p>
    <w:p w:rsidR="00946E54" w:rsidRDefault="00AE76B7">
      <w:pPr>
        <w:pStyle w:val="ySubsection"/>
        <w:rPr>
          <w:snapToGrid w:val="0"/>
        </w:rPr>
      </w:pPr>
      <w:r>
        <w:rPr>
          <w:snapToGrid w:val="0"/>
        </w:rPr>
        <w:tab/>
        <w:t>8.</w:t>
      </w:r>
      <w:r>
        <w:rPr>
          <w:snapToGrid w:val="0"/>
        </w:rPr>
        <w:tab/>
        <w:t>A victim who has so requested should be informed about any sentence imposed on the offender, or any other order made in respect of the offender, as a result of the trial and about any appeal and the result of any appeal.</w:t>
      </w:r>
    </w:p>
    <w:p w:rsidR="00946E54" w:rsidRDefault="00AE76B7">
      <w:pPr>
        <w:pStyle w:val="ySubsection"/>
        <w:rPr>
          <w:snapToGrid w:val="0"/>
        </w:rPr>
      </w:pPr>
      <w:r>
        <w:rPr>
          <w:snapToGrid w:val="0"/>
        </w:rPr>
        <w:tab/>
        <w:t>9.</w:t>
      </w:r>
      <w:r>
        <w:rPr>
          <w:snapToGrid w:val="0"/>
        </w:rPr>
        <w:tab/>
        <w:t>A victim’s property held by the Crown or the police for the purposes of investigation or evidence should be returned as soon as possible.</w:t>
      </w:r>
    </w:p>
    <w:p w:rsidR="00946E54" w:rsidRDefault="00AE76B7">
      <w:pPr>
        <w:pStyle w:val="ySubsection"/>
        <w:rPr>
          <w:snapToGrid w:val="0"/>
        </w:rPr>
      </w:pPr>
      <w:r>
        <w:rPr>
          <w:snapToGrid w:val="0"/>
        </w:rPr>
        <w:tab/>
        <w:t>10.</w:t>
      </w:r>
      <w:r>
        <w:rPr>
          <w:snapToGrid w:val="0"/>
        </w:rPr>
        <w:tab/>
        <w:t>Arrangements should be made so that a victim’s views and concerns can be considered when a decision is being made about whether or not to release the offender from custody (otherwise than at the completion of a term of imprisonment or detention).</w:t>
      </w:r>
    </w:p>
    <w:p w:rsidR="00946E54" w:rsidRDefault="00AE76B7">
      <w:pPr>
        <w:pStyle w:val="ySubsection"/>
        <w:rPr>
          <w:snapToGrid w:val="0"/>
        </w:rPr>
      </w:pPr>
      <w:r>
        <w:rPr>
          <w:snapToGrid w:val="0"/>
        </w:rPr>
        <w:tab/>
        <w:t>11.</w:t>
      </w:r>
      <w:r>
        <w:rPr>
          <w:snapToGrid w:val="0"/>
        </w:rPr>
        <w:tab/>
        <w:t>A victim who has so requested should be informed about the impending release of the offender from custody and, where appropriate, about the proposed residential address of the offender after release.</w:t>
      </w:r>
    </w:p>
    <w:p w:rsidR="00946E54" w:rsidRDefault="00AE76B7">
      <w:pPr>
        <w:pStyle w:val="ySubsection"/>
        <w:rPr>
          <w:snapToGrid w:val="0"/>
        </w:rPr>
      </w:pPr>
      <w:r>
        <w:rPr>
          <w:snapToGrid w:val="0"/>
        </w:rPr>
        <w:tab/>
        <w:t>12.</w:t>
      </w:r>
      <w:r>
        <w:rPr>
          <w:snapToGrid w:val="0"/>
        </w:rPr>
        <w:tab/>
        <w:t>A victim who has so requested should be informed of any escape from custody by the offender.</w:t>
      </w:r>
    </w:p>
    <w:p w:rsidR="00946E54" w:rsidRDefault="00946E54">
      <w:pPr>
        <w:sectPr w:rsidR="00946E54">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946E54" w:rsidRDefault="00AE76B7">
      <w:pPr>
        <w:pStyle w:val="nHeading2"/>
      </w:pPr>
      <w:bookmarkStart w:id="40" w:name="_Toc85871898"/>
      <w:bookmarkStart w:id="41" w:name="_Toc85871938"/>
      <w:bookmarkStart w:id="42" w:name="_Toc85872026"/>
      <w:bookmarkStart w:id="43" w:name="_Toc85872089"/>
      <w:bookmarkStart w:id="44" w:name="_Toc95530932"/>
      <w:bookmarkStart w:id="45" w:name="_Toc95530940"/>
      <w:bookmarkStart w:id="46" w:name="_Toc95531300"/>
      <w:bookmarkStart w:id="47" w:name="_Toc95531347"/>
      <w:bookmarkStart w:id="48" w:name="_Toc97020671"/>
      <w:bookmarkStart w:id="49" w:name="_Toc99962054"/>
      <w:bookmarkStart w:id="50" w:name="_Toc125436704"/>
      <w:bookmarkStart w:id="51" w:name="_Toc147055528"/>
      <w:bookmarkStart w:id="52" w:name="_Toc147055574"/>
      <w:bookmarkStart w:id="53" w:name="_Toc147055645"/>
      <w:bookmarkStart w:id="54" w:name="_Toc147133609"/>
      <w:r>
        <w:t>Notes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946E54" w:rsidRDefault="00AE76B7">
      <w:pPr>
        <w:pStyle w:val="nSubsection"/>
        <w:rPr>
          <w:snapToGrid w:val="0"/>
        </w:rPr>
      </w:pPr>
      <w:r>
        <w:rPr>
          <w:snapToGrid w:val="0"/>
          <w:vertAlign w:val="superscript"/>
        </w:rPr>
        <w:t>1</w:t>
      </w:r>
      <w:r>
        <w:rPr>
          <w:snapToGrid w:val="0"/>
        </w:rPr>
        <w:tab/>
        <w:t xml:space="preserve">This is a compilation of the </w:t>
      </w:r>
      <w:r>
        <w:rPr>
          <w:i/>
          <w:noProof/>
          <w:snapToGrid w:val="0"/>
        </w:rPr>
        <w:t>Victims of Crime Act 1994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rsidR="00946E54" w:rsidRDefault="00AE76B7">
      <w:pPr>
        <w:pStyle w:val="nHeading3"/>
        <w:rPr>
          <w:snapToGrid w:val="0"/>
        </w:rPr>
      </w:pPr>
      <w:bookmarkStart w:id="55" w:name="_Toc99962055"/>
      <w:bookmarkStart w:id="56" w:name="_Toc125436705"/>
      <w:bookmarkStart w:id="57" w:name="_Toc147055575"/>
      <w:bookmarkStart w:id="58" w:name="_Toc147133610"/>
      <w:r>
        <w:rPr>
          <w:snapToGrid w:val="0"/>
        </w:rPr>
        <w:t>Compilation table</w:t>
      </w:r>
      <w:bookmarkEnd w:id="55"/>
      <w:bookmarkEnd w:id="56"/>
      <w:bookmarkEnd w:id="57"/>
      <w:bookmarkEnd w:id="5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946E54">
        <w:trPr>
          <w:tblHeader/>
        </w:trPr>
        <w:tc>
          <w:tcPr>
            <w:tcW w:w="2268" w:type="dxa"/>
            <w:tcBorders>
              <w:top w:val="single" w:sz="8" w:space="0" w:color="auto"/>
              <w:bottom w:val="single" w:sz="8" w:space="0" w:color="auto"/>
            </w:tcBorders>
          </w:tcPr>
          <w:p w:rsidR="00946E54" w:rsidRDefault="00AE76B7">
            <w:pPr>
              <w:pStyle w:val="nTable"/>
              <w:spacing w:after="40"/>
              <w:rPr>
                <w:b/>
                <w:sz w:val="19"/>
              </w:rPr>
            </w:pPr>
            <w:r>
              <w:rPr>
                <w:b/>
                <w:sz w:val="19"/>
              </w:rPr>
              <w:t>Short title</w:t>
            </w:r>
          </w:p>
        </w:tc>
        <w:tc>
          <w:tcPr>
            <w:tcW w:w="1134" w:type="dxa"/>
            <w:tcBorders>
              <w:top w:val="single" w:sz="8" w:space="0" w:color="auto"/>
              <w:bottom w:val="single" w:sz="8" w:space="0" w:color="auto"/>
            </w:tcBorders>
          </w:tcPr>
          <w:p w:rsidR="00946E54" w:rsidRDefault="00AE76B7">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946E54" w:rsidRDefault="00AE76B7">
            <w:pPr>
              <w:pStyle w:val="nTable"/>
              <w:spacing w:after="40"/>
              <w:rPr>
                <w:b/>
                <w:sz w:val="19"/>
              </w:rPr>
            </w:pPr>
            <w:r>
              <w:rPr>
                <w:b/>
                <w:sz w:val="19"/>
              </w:rPr>
              <w:t>Assent</w:t>
            </w:r>
          </w:p>
        </w:tc>
        <w:tc>
          <w:tcPr>
            <w:tcW w:w="2552" w:type="dxa"/>
            <w:tcBorders>
              <w:top w:val="single" w:sz="8" w:space="0" w:color="auto"/>
              <w:bottom w:val="single" w:sz="8" w:space="0" w:color="auto"/>
            </w:tcBorders>
          </w:tcPr>
          <w:p w:rsidR="00946E54" w:rsidRDefault="00AE76B7">
            <w:pPr>
              <w:pStyle w:val="nTable"/>
              <w:spacing w:after="40"/>
              <w:rPr>
                <w:b/>
                <w:sz w:val="19"/>
              </w:rPr>
            </w:pPr>
            <w:r>
              <w:rPr>
                <w:b/>
                <w:sz w:val="19"/>
              </w:rPr>
              <w:t>Commencement</w:t>
            </w:r>
          </w:p>
        </w:tc>
      </w:tr>
      <w:tr w:rsidR="00946E54">
        <w:tc>
          <w:tcPr>
            <w:tcW w:w="2268" w:type="dxa"/>
            <w:tcBorders>
              <w:top w:val="single" w:sz="8" w:space="0" w:color="auto"/>
            </w:tcBorders>
          </w:tcPr>
          <w:p w:rsidR="00946E54" w:rsidRDefault="00AE76B7">
            <w:pPr>
              <w:pStyle w:val="nTable"/>
              <w:spacing w:after="40"/>
              <w:rPr>
                <w:sz w:val="19"/>
              </w:rPr>
            </w:pPr>
            <w:r>
              <w:rPr>
                <w:i/>
                <w:sz w:val="19"/>
              </w:rPr>
              <w:t>Victims of Crime Act 1994</w:t>
            </w:r>
          </w:p>
        </w:tc>
        <w:tc>
          <w:tcPr>
            <w:tcW w:w="1134" w:type="dxa"/>
            <w:tcBorders>
              <w:top w:val="single" w:sz="8" w:space="0" w:color="auto"/>
            </w:tcBorders>
          </w:tcPr>
          <w:p w:rsidR="00946E54" w:rsidRDefault="00AE76B7">
            <w:pPr>
              <w:pStyle w:val="nTable"/>
              <w:spacing w:after="40"/>
              <w:rPr>
                <w:sz w:val="19"/>
              </w:rPr>
            </w:pPr>
            <w:r>
              <w:rPr>
                <w:sz w:val="19"/>
              </w:rPr>
              <w:t>81 of 1994</w:t>
            </w:r>
          </w:p>
        </w:tc>
        <w:tc>
          <w:tcPr>
            <w:tcW w:w="1134" w:type="dxa"/>
            <w:tcBorders>
              <w:top w:val="single" w:sz="8" w:space="0" w:color="auto"/>
            </w:tcBorders>
          </w:tcPr>
          <w:p w:rsidR="00946E54" w:rsidRDefault="00AE76B7">
            <w:pPr>
              <w:pStyle w:val="nTable"/>
              <w:spacing w:after="40"/>
              <w:rPr>
                <w:sz w:val="19"/>
              </w:rPr>
            </w:pPr>
            <w:r>
              <w:rPr>
                <w:sz w:val="19"/>
              </w:rPr>
              <w:t>23 Dec 1994</w:t>
            </w:r>
          </w:p>
        </w:tc>
        <w:tc>
          <w:tcPr>
            <w:tcW w:w="2552" w:type="dxa"/>
            <w:tcBorders>
              <w:top w:val="single" w:sz="8" w:space="0" w:color="auto"/>
            </w:tcBorders>
          </w:tcPr>
          <w:p w:rsidR="00946E54" w:rsidRDefault="00AE76B7">
            <w:pPr>
              <w:pStyle w:val="nTable"/>
              <w:spacing w:after="40"/>
              <w:rPr>
                <w:sz w:val="19"/>
              </w:rPr>
            </w:pPr>
            <w:r>
              <w:rPr>
                <w:sz w:val="19"/>
              </w:rPr>
              <w:t>20 Jan 1995</w:t>
            </w:r>
          </w:p>
        </w:tc>
      </w:tr>
      <w:tr w:rsidR="00946E54">
        <w:tc>
          <w:tcPr>
            <w:tcW w:w="2268" w:type="dxa"/>
          </w:tcPr>
          <w:p w:rsidR="00946E54" w:rsidRDefault="00AE76B7">
            <w:pPr>
              <w:pStyle w:val="nTable"/>
              <w:spacing w:after="40"/>
              <w:rPr>
                <w:sz w:val="19"/>
              </w:rPr>
            </w:pPr>
            <w:r>
              <w:rPr>
                <w:i/>
                <w:sz w:val="19"/>
              </w:rPr>
              <w:t>Sentencing (Consequential Provisions) Act 1995</w:t>
            </w:r>
            <w:r>
              <w:rPr>
                <w:sz w:val="19"/>
              </w:rPr>
              <w:t xml:space="preserve"> Pt. 79</w:t>
            </w:r>
          </w:p>
        </w:tc>
        <w:tc>
          <w:tcPr>
            <w:tcW w:w="1134" w:type="dxa"/>
          </w:tcPr>
          <w:p w:rsidR="00946E54" w:rsidRDefault="00AE76B7">
            <w:pPr>
              <w:pStyle w:val="nTable"/>
              <w:spacing w:after="40"/>
              <w:rPr>
                <w:sz w:val="19"/>
              </w:rPr>
            </w:pPr>
            <w:r>
              <w:rPr>
                <w:sz w:val="19"/>
              </w:rPr>
              <w:t>78 of 1995</w:t>
            </w:r>
          </w:p>
        </w:tc>
        <w:tc>
          <w:tcPr>
            <w:tcW w:w="1134" w:type="dxa"/>
          </w:tcPr>
          <w:p w:rsidR="00946E54" w:rsidRDefault="00AE76B7">
            <w:pPr>
              <w:pStyle w:val="nTable"/>
              <w:spacing w:after="40"/>
              <w:rPr>
                <w:sz w:val="19"/>
              </w:rPr>
            </w:pPr>
            <w:r>
              <w:rPr>
                <w:sz w:val="19"/>
              </w:rPr>
              <w:t>16 Jan 1996</w:t>
            </w:r>
          </w:p>
        </w:tc>
        <w:tc>
          <w:tcPr>
            <w:tcW w:w="2552" w:type="dxa"/>
          </w:tcPr>
          <w:p w:rsidR="00946E54" w:rsidRDefault="00AE76B7">
            <w:pPr>
              <w:pStyle w:val="nTable"/>
              <w:spacing w:after="40"/>
              <w:rPr>
                <w:sz w:val="19"/>
              </w:rPr>
            </w:pPr>
            <w:r>
              <w:rPr>
                <w:sz w:val="19"/>
              </w:rPr>
              <w:t xml:space="preserve">4 Nov 1996 (see s. 2 and </w:t>
            </w:r>
            <w:r>
              <w:rPr>
                <w:i/>
                <w:sz w:val="19"/>
              </w:rPr>
              <w:t>Gazette</w:t>
            </w:r>
            <w:r>
              <w:rPr>
                <w:sz w:val="19"/>
              </w:rPr>
              <w:t xml:space="preserve"> 25 Oct 1996 p. 5632)</w:t>
            </w:r>
          </w:p>
        </w:tc>
      </w:tr>
      <w:tr w:rsidR="00946E54">
        <w:tc>
          <w:tcPr>
            <w:tcW w:w="2268" w:type="dxa"/>
          </w:tcPr>
          <w:p w:rsidR="00946E54" w:rsidRDefault="00AE76B7">
            <w:pPr>
              <w:pStyle w:val="nTable"/>
              <w:spacing w:after="40"/>
              <w:rPr>
                <w:i/>
                <w:sz w:val="19"/>
              </w:rPr>
            </w:pPr>
            <w:r>
              <w:rPr>
                <w:i/>
                <w:sz w:val="19"/>
              </w:rPr>
              <w:t>Victims of Crime Amendment Act 2004</w:t>
            </w:r>
          </w:p>
        </w:tc>
        <w:tc>
          <w:tcPr>
            <w:tcW w:w="1134" w:type="dxa"/>
          </w:tcPr>
          <w:p w:rsidR="00946E54" w:rsidRDefault="00AE76B7">
            <w:pPr>
              <w:pStyle w:val="nTable"/>
              <w:spacing w:after="40"/>
              <w:rPr>
                <w:sz w:val="19"/>
              </w:rPr>
            </w:pPr>
            <w:r>
              <w:rPr>
                <w:sz w:val="19"/>
              </w:rPr>
              <w:t>30 of 2004</w:t>
            </w:r>
          </w:p>
        </w:tc>
        <w:tc>
          <w:tcPr>
            <w:tcW w:w="1134" w:type="dxa"/>
          </w:tcPr>
          <w:p w:rsidR="00946E54" w:rsidRDefault="00AE76B7">
            <w:pPr>
              <w:pStyle w:val="nTable"/>
              <w:spacing w:after="40"/>
              <w:rPr>
                <w:sz w:val="19"/>
              </w:rPr>
            </w:pPr>
            <w:r>
              <w:rPr>
                <w:sz w:val="19"/>
              </w:rPr>
              <w:t>14 Oct 2004</w:t>
            </w:r>
          </w:p>
        </w:tc>
        <w:tc>
          <w:tcPr>
            <w:tcW w:w="2552" w:type="dxa"/>
          </w:tcPr>
          <w:p w:rsidR="00946E54" w:rsidRDefault="00AE76B7">
            <w:pPr>
              <w:pStyle w:val="nTable"/>
              <w:spacing w:after="40"/>
              <w:rPr>
                <w:sz w:val="19"/>
              </w:rPr>
            </w:pPr>
            <w:r>
              <w:rPr>
                <w:sz w:val="19"/>
              </w:rPr>
              <w:t>14 Oct 2004 (see s. 2)</w:t>
            </w:r>
          </w:p>
        </w:tc>
      </w:tr>
      <w:tr w:rsidR="00946E54">
        <w:trPr>
          <w:cantSplit/>
        </w:trPr>
        <w:tc>
          <w:tcPr>
            <w:tcW w:w="7088" w:type="dxa"/>
            <w:gridSpan w:val="4"/>
            <w:tcBorders>
              <w:bottom w:val="single" w:sz="8" w:space="0" w:color="auto"/>
            </w:tcBorders>
          </w:tcPr>
          <w:p w:rsidR="00946E54" w:rsidRDefault="00AE76B7">
            <w:pPr>
              <w:pStyle w:val="nTable"/>
              <w:spacing w:after="40"/>
              <w:rPr>
                <w:sz w:val="19"/>
              </w:rPr>
            </w:pPr>
            <w:r>
              <w:rPr>
                <w:b/>
                <w:sz w:val="19"/>
              </w:rPr>
              <w:t xml:space="preserve">Reprint 1: The </w:t>
            </w:r>
            <w:r>
              <w:rPr>
                <w:b/>
                <w:i/>
                <w:sz w:val="19"/>
              </w:rPr>
              <w:t>Victims of Crime Act 1994</w:t>
            </w:r>
            <w:r>
              <w:rPr>
                <w:b/>
                <w:sz w:val="19"/>
              </w:rPr>
              <w:t xml:space="preserve"> as at 4 Mar 2005</w:t>
            </w:r>
            <w:r>
              <w:rPr>
                <w:sz w:val="19"/>
              </w:rPr>
              <w:t xml:space="preserve"> (includes amendments listed above)</w:t>
            </w:r>
          </w:p>
        </w:tc>
      </w:tr>
    </w:tbl>
    <w:p w:rsidR="00946E54" w:rsidRDefault="00AE76B7">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946E54" w:rsidRDefault="00AE76B7">
      <w:pPr>
        <w:pStyle w:val="nHeading3"/>
        <w:rPr>
          <w:snapToGrid w:val="0"/>
        </w:rPr>
      </w:pPr>
      <w:bookmarkStart w:id="59" w:name="_Toc534778309"/>
      <w:bookmarkStart w:id="60" w:name="_Toc7405063"/>
      <w:bookmarkStart w:id="61" w:name="_Toc147055576"/>
      <w:bookmarkStart w:id="62" w:name="_Toc147133611"/>
      <w:r>
        <w:rPr>
          <w:snapToGrid w:val="0"/>
        </w:rPr>
        <w:t>Provisions that have not come into operation</w:t>
      </w:r>
      <w:bookmarkEnd w:id="59"/>
      <w:bookmarkEnd w:id="60"/>
      <w:bookmarkEnd w:id="61"/>
      <w:bookmarkEnd w:id="62"/>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946E54">
        <w:tc>
          <w:tcPr>
            <w:tcW w:w="2268" w:type="dxa"/>
            <w:tcBorders>
              <w:top w:val="single" w:sz="8" w:space="0" w:color="auto"/>
              <w:bottom w:val="single" w:sz="8" w:space="0" w:color="auto"/>
            </w:tcBorders>
          </w:tcPr>
          <w:p w:rsidR="00946E54" w:rsidRDefault="00AE76B7">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rsidR="00946E54" w:rsidRDefault="00AE76B7">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rsidR="00946E54" w:rsidRDefault="00AE76B7">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rsidR="00946E54" w:rsidRDefault="00AE76B7">
            <w:pPr>
              <w:pStyle w:val="nTable"/>
              <w:spacing w:after="40"/>
              <w:rPr>
                <w:b/>
                <w:snapToGrid w:val="0"/>
                <w:sz w:val="19"/>
                <w:lang w:val="en-US"/>
              </w:rPr>
            </w:pPr>
            <w:r>
              <w:rPr>
                <w:b/>
                <w:snapToGrid w:val="0"/>
                <w:sz w:val="19"/>
                <w:lang w:val="en-US"/>
              </w:rPr>
              <w:t>Commencement</w:t>
            </w:r>
          </w:p>
        </w:tc>
      </w:tr>
      <w:tr w:rsidR="00946E54">
        <w:tc>
          <w:tcPr>
            <w:tcW w:w="2268" w:type="dxa"/>
            <w:tcBorders>
              <w:top w:val="single" w:sz="8" w:space="0" w:color="auto"/>
              <w:bottom w:val="single" w:sz="8" w:space="0" w:color="auto"/>
            </w:tcBorders>
          </w:tcPr>
          <w:p w:rsidR="00946E54" w:rsidRDefault="00AE76B7">
            <w:pPr>
              <w:pStyle w:val="nTable"/>
              <w:spacing w:after="40"/>
              <w:rPr>
                <w:snapToGrid w:val="0"/>
                <w:sz w:val="19"/>
                <w:vertAlign w:val="superscript"/>
                <w:lang w:val="en-US"/>
              </w:rPr>
            </w:pPr>
            <w:r>
              <w:rPr>
                <w:i/>
                <w:snapToGrid w:val="0"/>
                <w:sz w:val="19"/>
                <w:lang w:val="en-US"/>
              </w:rPr>
              <w:t xml:space="preserve">Parole and Sentencing Legislation Amendment Act 2006 </w:t>
            </w:r>
            <w:r>
              <w:rPr>
                <w:snapToGrid w:val="0"/>
                <w:sz w:val="19"/>
                <w:lang w:val="en-US"/>
              </w:rPr>
              <w:t>s. 97 </w:t>
            </w:r>
            <w:r>
              <w:rPr>
                <w:snapToGrid w:val="0"/>
                <w:sz w:val="19"/>
                <w:vertAlign w:val="superscript"/>
                <w:lang w:val="en-US"/>
              </w:rPr>
              <w:t>2</w:t>
            </w:r>
          </w:p>
        </w:tc>
        <w:tc>
          <w:tcPr>
            <w:tcW w:w="1134" w:type="dxa"/>
            <w:tcBorders>
              <w:top w:val="single" w:sz="8" w:space="0" w:color="auto"/>
              <w:bottom w:val="single" w:sz="8" w:space="0" w:color="auto"/>
            </w:tcBorders>
          </w:tcPr>
          <w:p w:rsidR="00946E54" w:rsidRDefault="00AE76B7">
            <w:pPr>
              <w:pStyle w:val="nTable"/>
              <w:spacing w:after="40"/>
              <w:rPr>
                <w:snapToGrid w:val="0"/>
                <w:sz w:val="19"/>
                <w:lang w:val="en-US"/>
              </w:rPr>
            </w:pPr>
            <w:r>
              <w:rPr>
                <w:snapToGrid w:val="0"/>
                <w:sz w:val="19"/>
                <w:lang w:val="en-US"/>
              </w:rPr>
              <w:t>41 of 2006</w:t>
            </w:r>
          </w:p>
        </w:tc>
        <w:tc>
          <w:tcPr>
            <w:tcW w:w="1134" w:type="dxa"/>
            <w:tcBorders>
              <w:top w:val="single" w:sz="8" w:space="0" w:color="auto"/>
              <w:bottom w:val="single" w:sz="8" w:space="0" w:color="auto"/>
            </w:tcBorders>
          </w:tcPr>
          <w:p w:rsidR="00946E54" w:rsidRDefault="00AE76B7">
            <w:pPr>
              <w:pStyle w:val="nTable"/>
              <w:spacing w:after="40"/>
              <w:rPr>
                <w:snapToGrid w:val="0"/>
                <w:sz w:val="19"/>
                <w:lang w:val="en-US"/>
              </w:rPr>
            </w:pPr>
            <w:r>
              <w:rPr>
                <w:snapToGrid w:val="0"/>
                <w:sz w:val="19"/>
                <w:lang w:val="en-US"/>
              </w:rPr>
              <w:t>22 Sep 2006</w:t>
            </w:r>
          </w:p>
        </w:tc>
        <w:tc>
          <w:tcPr>
            <w:tcW w:w="2552" w:type="dxa"/>
            <w:tcBorders>
              <w:top w:val="single" w:sz="8" w:space="0" w:color="auto"/>
              <w:bottom w:val="single" w:sz="8" w:space="0" w:color="auto"/>
            </w:tcBorders>
          </w:tcPr>
          <w:p w:rsidR="00946E54" w:rsidRDefault="00AE76B7">
            <w:pPr>
              <w:pStyle w:val="nTable"/>
              <w:rPr>
                <w:snapToGrid w:val="0"/>
                <w:sz w:val="19"/>
                <w:lang w:val="en-US"/>
              </w:rPr>
            </w:pPr>
            <w:r>
              <w:rPr>
                <w:snapToGrid w:val="0"/>
                <w:sz w:val="19"/>
                <w:lang w:val="en-US"/>
              </w:rPr>
              <w:t>To be proclaimed (see s. 2)</w:t>
            </w:r>
          </w:p>
        </w:tc>
      </w:tr>
    </w:tbl>
    <w:p w:rsidR="00946E54" w:rsidRDefault="00AE76B7">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Parole and Sentencing Legislation Amendment Act 2006 </w:t>
      </w:r>
      <w:r>
        <w:rPr>
          <w:snapToGrid w:val="0"/>
        </w:rPr>
        <w:t>s. 97 had not come into operation.  It reads as follows:</w:t>
      </w:r>
    </w:p>
    <w:p w:rsidR="00946E54" w:rsidRDefault="00AE76B7">
      <w:pPr>
        <w:pStyle w:val="MiscOpen"/>
        <w:rPr>
          <w:snapToGrid w:val="0"/>
        </w:rPr>
      </w:pPr>
      <w:r>
        <w:rPr>
          <w:snapToGrid w:val="0"/>
        </w:rPr>
        <w:t>“</w:t>
      </w:r>
    </w:p>
    <w:p w:rsidR="00946E54" w:rsidRDefault="00AE76B7">
      <w:pPr>
        <w:pStyle w:val="nzHeading5"/>
      </w:pPr>
      <w:bookmarkStart w:id="63" w:name="_Toc146359148"/>
      <w:bookmarkStart w:id="64" w:name="_Toc146707246"/>
      <w:r>
        <w:rPr>
          <w:rStyle w:val="CharSectno"/>
        </w:rPr>
        <w:t>97</w:t>
      </w:r>
      <w:r>
        <w:t>.</w:t>
      </w:r>
      <w:r>
        <w:tab/>
      </w:r>
      <w:r>
        <w:rPr>
          <w:i/>
        </w:rPr>
        <w:t xml:space="preserve">Victims of Crime Act 1994 </w:t>
      </w:r>
      <w:r>
        <w:t>amended</w:t>
      </w:r>
      <w:bookmarkEnd w:id="63"/>
      <w:bookmarkEnd w:id="64"/>
    </w:p>
    <w:p w:rsidR="00946E54" w:rsidRDefault="00AE76B7">
      <w:pPr>
        <w:pStyle w:val="nzSubsection"/>
      </w:pPr>
      <w:r>
        <w:tab/>
        <w:t>(1)</w:t>
      </w:r>
      <w:r>
        <w:tab/>
        <w:t xml:space="preserve">The amendments in this section are to the </w:t>
      </w:r>
      <w:r>
        <w:rPr>
          <w:i/>
        </w:rPr>
        <w:t>Victims of Crime Act 1994.</w:t>
      </w:r>
    </w:p>
    <w:p w:rsidR="00946E54" w:rsidRDefault="00AE76B7">
      <w:pPr>
        <w:pStyle w:val="nzSubsection"/>
      </w:pPr>
      <w:r>
        <w:tab/>
        <w:t>(2)</w:t>
      </w:r>
      <w:r>
        <w:tab/>
        <w:t>Section 2 is amended in the definition of “public officers and bodies” by deleting paragraph (f) and inserting instead —</w:t>
      </w:r>
    </w:p>
    <w:p w:rsidR="00946E54" w:rsidRDefault="00AE76B7">
      <w:pPr>
        <w:pStyle w:val="MiscOpen"/>
        <w:ind w:left="1340"/>
      </w:pPr>
      <w:r>
        <w:t xml:space="preserve">“    </w:t>
      </w:r>
    </w:p>
    <w:p w:rsidR="00946E54" w:rsidRDefault="00AE76B7">
      <w:pPr>
        <w:pStyle w:val="nzIndenta"/>
      </w:pPr>
      <w:r>
        <w:tab/>
        <w:t>(f)</w:t>
      </w:r>
      <w:r>
        <w:tab/>
        <w:t>the Prisoners Review Board;</w:t>
      </w:r>
    </w:p>
    <w:p w:rsidR="00946E54" w:rsidRDefault="00AE76B7">
      <w:pPr>
        <w:pStyle w:val="nzIndenta"/>
      </w:pPr>
      <w:r>
        <w:tab/>
        <w:t>(fa)</w:t>
      </w:r>
      <w:r>
        <w:tab/>
        <w:t>the Mentally Impaired Accused Review Board;</w:t>
      </w:r>
    </w:p>
    <w:p w:rsidR="00946E54" w:rsidRDefault="00AE76B7">
      <w:pPr>
        <w:pStyle w:val="MiscClose"/>
        <w:keepNext/>
        <w:ind w:right="258"/>
      </w:pPr>
      <w:r>
        <w:t xml:space="preserve">    ”.</w:t>
      </w:r>
    </w:p>
    <w:p w:rsidR="00946E54" w:rsidRDefault="00AE76B7">
      <w:pPr>
        <w:pStyle w:val="MiscClose"/>
        <w:keepNext/>
      </w:pPr>
      <w:r>
        <w:t>”.</w:t>
      </w:r>
    </w:p>
    <w:p w:rsidR="00946E54" w:rsidRDefault="00946E54"/>
    <w:p w:rsidR="00946E54" w:rsidRDefault="00946E54">
      <w:pPr>
        <w:sectPr w:rsidR="00946E54">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rsidR="00946E54" w:rsidRDefault="00946E54"/>
    <w:sectPr w:rsidR="00946E54">
      <w:headerReference w:type="even" r:id="rId32"/>
      <w:headerReference w:type="default" r:id="rId33"/>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54" w:rsidRDefault="00AE76B7">
      <w:r>
        <w:separator/>
      </w:r>
    </w:p>
  </w:endnote>
  <w:endnote w:type="continuationSeparator" w:id="0">
    <w:p w:rsidR="00946E54" w:rsidRDefault="00AE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p>
  <w:p w:rsidR="00946E54" w:rsidRDefault="00AE76B7">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rsidR="00946E54" w:rsidRDefault="00AE76B7">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rsidR="00946E54" w:rsidRDefault="00AE76B7">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p>
  <w:p w:rsidR="00946E54" w:rsidRDefault="00AE76B7">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946E54" w:rsidRDefault="00AE76B7">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650CC">
      <w:rPr>
        <w:rStyle w:val="PageNumber"/>
        <w:rFonts w:ascii="Arial" w:hAnsi="Arial" w:cs="Arial"/>
        <w:noProof/>
      </w:rPr>
      <w:t>i</w:t>
    </w:r>
    <w:r>
      <w:rPr>
        <w:rStyle w:val="PageNumber"/>
        <w:rFonts w:ascii="Arial" w:hAnsi="Arial" w:cs="Arial"/>
      </w:rPr>
      <w:fldChar w:fldCharType="end"/>
    </w:r>
  </w:p>
  <w:p w:rsidR="00946E54" w:rsidRDefault="00AE76B7">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650CC">
      <w:rPr>
        <w:rStyle w:val="CharPageNo"/>
        <w:rFonts w:ascii="Arial" w:hAnsi="Arial"/>
        <w:noProof/>
      </w:rPr>
      <w:t>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 xml:space="preserve"> </w:t>
    </w:r>
  </w:p>
  <w:p w:rsidR="00946E54" w:rsidRDefault="00AE76B7">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650CC">
      <w:rPr>
        <w:rStyle w:val="CharPageNo"/>
        <w:rFonts w:ascii="Arial" w:hAnsi="Arial"/>
        <w:noProof/>
      </w:rPr>
      <w:t>7</w:t>
    </w:r>
    <w:r>
      <w:rPr>
        <w:rStyle w:val="CharPageNo"/>
        <w:rFonts w:ascii="Arial" w:hAnsi="Arial"/>
      </w:rPr>
      <w:fldChar w:fldCharType="end"/>
    </w:r>
  </w:p>
  <w:p w:rsidR="00946E54" w:rsidRDefault="00AE76B7">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Footer"/>
      <w:tabs>
        <w:tab w:val="clear" w:pos="4153"/>
        <w:tab w:val="right" w:pos="7088"/>
      </w:tabs>
      <w:rPr>
        <w:rStyle w:val="PageNumber"/>
      </w:rPr>
    </w:pPr>
  </w:p>
  <w:p w:rsidR="00946E54" w:rsidRDefault="00AE76B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650CC">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650CC">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650CC">
      <w:rPr>
        <w:rStyle w:val="CharPageNo"/>
        <w:rFonts w:ascii="Arial" w:hAnsi="Arial"/>
        <w:noProof/>
      </w:rPr>
      <w:t>1</w:t>
    </w:r>
    <w:r>
      <w:rPr>
        <w:rStyle w:val="CharPageNo"/>
        <w:rFonts w:ascii="Arial" w:hAnsi="Arial"/>
      </w:rPr>
      <w:fldChar w:fldCharType="end"/>
    </w:r>
  </w:p>
  <w:p w:rsidR="00946E54" w:rsidRDefault="00AE76B7">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54" w:rsidRDefault="00AE76B7">
      <w:r>
        <w:separator/>
      </w:r>
    </w:p>
  </w:footnote>
  <w:footnote w:type="continuationSeparator" w:id="0">
    <w:p w:rsidR="00946E54" w:rsidRDefault="00AE7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946E54">
      <w:tc>
        <w:tcPr>
          <w:tcW w:w="7263" w:type="dxa"/>
          <w:gridSpan w:val="2"/>
          <w:vAlign w:val="bottom"/>
        </w:tcPr>
        <w:p w:rsidR="00946E54" w:rsidRDefault="00AE76B7">
          <w:pPr>
            <w:pStyle w:val="HeaderActNameLeft"/>
          </w:pPr>
          <w:fldSimple w:instr=" Styleref &quot;Name of Act/Reg&quot; ">
            <w:r w:rsidR="006650CC">
              <w:rPr>
                <w:noProof/>
              </w:rPr>
              <w:t>Victims of Crime Act 1994</w:t>
            </w:r>
          </w:fldSimple>
        </w:p>
      </w:tc>
    </w:tr>
    <w:tr w:rsidR="00946E54">
      <w:tc>
        <w:tcPr>
          <w:tcW w:w="1490" w:type="dxa"/>
        </w:tcPr>
        <w:p w:rsidR="00946E54" w:rsidRDefault="00946E54">
          <w:pPr>
            <w:pStyle w:val="HeaderNumberLeft"/>
            <w:rPr>
              <w:b w:val="0"/>
            </w:rPr>
          </w:pPr>
        </w:p>
      </w:tc>
      <w:tc>
        <w:tcPr>
          <w:tcW w:w="5773" w:type="dxa"/>
          <w:vAlign w:val="bottom"/>
        </w:tcPr>
        <w:p w:rsidR="00946E54" w:rsidRDefault="00946E54">
          <w:pPr>
            <w:pStyle w:val="HeaderTextLeft"/>
          </w:pPr>
        </w:p>
      </w:tc>
    </w:tr>
    <w:tr w:rsidR="00946E54">
      <w:tc>
        <w:tcPr>
          <w:tcW w:w="1490" w:type="dxa"/>
        </w:tcPr>
        <w:p w:rsidR="00946E54" w:rsidRDefault="00946E54">
          <w:pPr>
            <w:pStyle w:val="HeaderNumberLeft"/>
          </w:pPr>
        </w:p>
      </w:tc>
      <w:tc>
        <w:tcPr>
          <w:tcW w:w="5773" w:type="dxa"/>
          <w:vAlign w:val="bottom"/>
        </w:tcPr>
        <w:p w:rsidR="00946E54" w:rsidRDefault="00946E54">
          <w:pPr>
            <w:pStyle w:val="HeaderTextLeft"/>
          </w:pPr>
        </w:p>
      </w:tc>
    </w:tr>
    <w:tr w:rsidR="00946E54">
      <w:tc>
        <w:tcPr>
          <w:tcW w:w="1490" w:type="dxa"/>
        </w:tcPr>
        <w:p w:rsidR="00946E54" w:rsidRDefault="00AE76B7">
          <w:pPr>
            <w:pStyle w:val="HeaderSectionRight"/>
            <w:ind w:right="17"/>
            <w:jc w:val="left"/>
          </w:pPr>
          <w:r>
            <w:fldChar w:fldCharType="begin"/>
          </w:r>
          <w:r>
            <w:instrText xml:space="preserve"> STYLEREF CharSchNo \* MERGEFORMAT </w:instrText>
          </w:r>
          <w:r>
            <w:fldChar w:fldCharType="end"/>
          </w:r>
        </w:p>
      </w:tc>
      <w:tc>
        <w:tcPr>
          <w:tcW w:w="5773" w:type="dxa"/>
          <w:vAlign w:val="bottom"/>
        </w:tcPr>
        <w:p w:rsidR="00946E54" w:rsidRDefault="00AE76B7">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separate"/>
          </w:r>
          <w:r w:rsidR="006650CC">
            <w:rPr>
              <w:b w:val="0"/>
              <w:noProof/>
            </w:rPr>
            <w:t>Guidelines as to how victims should be treated</w:t>
          </w:r>
          <w:r>
            <w:rPr>
              <w:b w:val="0"/>
            </w:rPr>
            <w:fldChar w:fldCharType="end"/>
          </w:r>
        </w:p>
      </w:tc>
    </w:tr>
  </w:tbl>
  <w:p w:rsidR="00946E54" w:rsidRDefault="00946E54">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946E54">
      <w:tc>
        <w:tcPr>
          <w:tcW w:w="7263" w:type="dxa"/>
          <w:gridSpan w:val="2"/>
          <w:vAlign w:val="bottom"/>
        </w:tcPr>
        <w:p w:rsidR="00946E54" w:rsidRDefault="00AE76B7">
          <w:pPr>
            <w:pStyle w:val="HeaderActNameRight"/>
            <w:ind w:right="17"/>
          </w:pPr>
          <w:fldSimple w:instr=" Styleref &quot;Name of Act/Reg&quot; ">
            <w:r w:rsidR="006650CC">
              <w:rPr>
                <w:noProof/>
              </w:rPr>
              <w:t>Victims of Crime Act 1994</w:t>
            </w:r>
          </w:fldSimple>
        </w:p>
      </w:tc>
    </w:tr>
    <w:tr w:rsidR="00946E54">
      <w:tc>
        <w:tcPr>
          <w:tcW w:w="5742" w:type="dxa"/>
          <w:vAlign w:val="bottom"/>
        </w:tcPr>
        <w:p w:rsidR="00946E54" w:rsidRDefault="00946E54">
          <w:pPr>
            <w:pStyle w:val="HeaderTextRight"/>
          </w:pPr>
        </w:p>
      </w:tc>
      <w:tc>
        <w:tcPr>
          <w:tcW w:w="1521" w:type="dxa"/>
        </w:tcPr>
        <w:p w:rsidR="00946E54" w:rsidRDefault="00946E54">
          <w:pPr>
            <w:pStyle w:val="HeaderNumberRight"/>
            <w:ind w:right="17"/>
          </w:pPr>
        </w:p>
      </w:tc>
    </w:tr>
    <w:tr w:rsidR="00946E54">
      <w:tc>
        <w:tcPr>
          <w:tcW w:w="5742" w:type="dxa"/>
          <w:vAlign w:val="bottom"/>
        </w:tcPr>
        <w:p w:rsidR="00946E54" w:rsidRDefault="00946E54">
          <w:pPr>
            <w:pStyle w:val="HeaderTextRight"/>
          </w:pPr>
        </w:p>
      </w:tc>
      <w:tc>
        <w:tcPr>
          <w:tcW w:w="1521" w:type="dxa"/>
        </w:tcPr>
        <w:p w:rsidR="00946E54" w:rsidRDefault="00946E54">
          <w:pPr>
            <w:pStyle w:val="HeaderNumberRight"/>
            <w:ind w:right="17"/>
          </w:pPr>
        </w:p>
      </w:tc>
    </w:tr>
    <w:tr w:rsidR="00946E54">
      <w:tc>
        <w:tcPr>
          <w:tcW w:w="5742" w:type="dxa"/>
          <w:vAlign w:val="bottom"/>
        </w:tcPr>
        <w:p w:rsidR="00946E54" w:rsidRDefault="00AE76B7">
          <w:pPr>
            <w:pStyle w:val="HeaderSectionRight"/>
            <w:ind w:right="17"/>
            <w:rPr>
              <w:b w:val="0"/>
            </w:rPr>
          </w:pPr>
          <w:r>
            <w:rPr>
              <w:b w:val="0"/>
            </w:rPr>
            <w:fldChar w:fldCharType="begin"/>
          </w:r>
          <w:r>
            <w:rPr>
              <w:b w:val="0"/>
            </w:rPr>
            <w:instrText xml:space="preserve"> STYLEREF CharSchText \* MERGEFORMAT </w:instrText>
          </w:r>
          <w:r>
            <w:rPr>
              <w:b w:val="0"/>
            </w:rPr>
            <w:fldChar w:fldCharType="separate"/>
          </w:r>
          <w:r w:rsidR="006650CC">
            <w:rPr>
              <w:b w:val="0"/>
              <w:noProof/>
            </w:rPr>
            <w:t>Guidelines as to how victims should be treated</w:t>
          </w:r>
          <w:r>
            <w:rPr>
              <w:b w:val="0"/>
            </w:rPr>
            <w:fldChar w:fldCharType="end"/>
          </w:r>
        </w:p>
      </w:tc>
      <w:tc>
        <w:tcPr>
          <w:tcW w:w="1521" w:type="dxa"/>
        </w:tcPr>
        <w:p w:rsidR="00946E54" w:rsidRDefault="00AE76B7">
          <w:pPr>
            <w:pStyle w:val="HeaderSectionRight"/>
            <w:ind w:right="17"/>
          </w:pPr>
          <w:r>
            <w:fldChar w:fldCharType="begin"/>
          </w:r>
          <w:r>
            <w:instrText xml:space="preserve"> STYLEREF CharSchNo \* MERGEFORMAT </w:instrText>
          </w:r>
          <w:r>
            <w:fldChar w:fldCharType="end"/>
          </w:r>
        </w:p>
      </w:tc>
    </w:tr>
  </w:tbl>
  <w:p w:rsidR="00946E54" w:rsidRDefault="00946E54">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46E54">
      <w:trPr>
        <w:cantSplit/>
      </w:trPr>
      <w:tc>
        <w:tcPr>
          <w:tcW w:w="7312" w:type="dxa"/>
          <w:gridSpan w:val="2"/>
        </w:tcPr>
        <w:p w:rsidR="00946E54" w:rsidRDefault="00AE76B7">
          <w:pPr>
            <w:pStyle w:val="HeaderActNameLeft"/>
          </w:pPr>
          <w:fldSimple w:instr=" Styleref &quot;Name of Act/Reg&quot; ">
            <w:r w:rsidR="006650CC">
              <w:rPr>
                <w:noProof/>
              </w:rPr>
              <w:t>Victims of Crime Act 1994</w:t>
            </w:r>
          </w:fldSimple>
        </w:p>
      </w:tc>
    </w:tr>
    <w:tr w:rsidR="00946E54">
      <w:tc>
        <w:tcPr>
          <w:tcW w:w="1548" w:type="dxa"/>
        </w:tcPr>
        <w:p w:rsidR="00946E54" w:rsidRDefault="00946E54">
          <w:pPr>
            <w:pStyle w:val="HeaderNumberLeft"/>
          </w:pPr>
        </w:p>
      </w:tc>
      <w:tc>
        <w:tcPr>
          <w:tcW w:w="5764" w:type="dxa"/>
        </w:tcPr>
        <w:p w:rsidR="00946E54" w:rsidRDefault="00946E54">
          <w:pPr>
            <w:pStyle w:val="HeaderTextLeft"/>
          </w:pPr>
        </w:p>
      </w:tc>
    </w:tr>
    <w:tr w:rsidR="00946E54">
      <w:tc>
        <w:tcPr>
          <w:tcW w:w="1548" w:type="dxa"/>
        </w:tcPr>
        <w:p w:rsidR="00946E54" w:rsidRDefault="00946E54">
          <w:pPr>
            <w:pStyle w:val="HeaderNumberLeft"/>
          </w:pPr>
        </w:p>
      </w:tc>
      <w:tc>
        <w:tcPr>
          <w:tcW w:w="5764" w:type="dxa"/>
        </w:tcPr>
        <w:p w:rsidR="00946E54" w:rsidRDefault="00946E54">
          <w:pPr>
            <w:pStyle w:val="HeaderTextLeft"/>
          </w:pPr>
        </w:p>
      </w:tc>
    </w:tr>
    <w:tr w:rsidR="00946E54">
      <w:trPr>
        <w:cantSplit/>
      </w:trPr>
      <w:tc>
        <w:tcPr>
          <w:tcW w:w="7312" w:type="dxa"/>
          <w:gridSpan w:val="2"/>
        </w:tcPr>
        <w:p w:rsidR="00946E54" w:rsidRDefault="00946E54">
          <w:pPr>
            <w:pStyle w:val="HeaderSectionLeft"/>
          </w:pPr>
        </w:p>
      </w:tc>
    </w:tr>
  </w:tbl>
  <w:p w:rsidR="00946E54" w:rsidRDefault="00946E54">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46E54">
      <w:tc>
        <w:tcPr>
          <w:tcW w:w="7263" w:type="dxa"/>
          <w:gridSpan w:val="2"/>
          <w:vAlign w:val="bottom"/>
        </w:tcPr>
        <w:p w:rsidR="00946E54" w:rsidRDefault="00AE76B7">
          <w:pPr>
            <w:pStyle w:val="HeaderActNameRight"/>
            <w:ind w:right="17"/>
          </w:pPr>
          <w:fldSimple w:instr=" Styleref &quot;Name of Act/Reg&quot; ">
            <w:r w:rsidR="006650CC">
              <w:rPr>
                <w:noProof/>
              </w:rPr>
              <w:t>Victims of Crime Act 1994</w:t>
            </w:r>
          </w:fldSimple>
        </w:p>
      </w:tc>
    </w:tr>
    <w:tr w:rsidR="00946E54">
      <w:tc>
        <w:tcPr>
          <w:tcW w:w="5715" w:type="dxa"/>
          <w:vAlign w:val="bottom"/>
        </w:tcPr>
        <w:p w:rsidR="00946E54" w:rsidRDefault="00946E54">
          <w:pPr>
            <w:pStyle w:val="HeaderTextRight"/>
          </w:pPr>
        </w:p>
      </w:tc>
      <w:tc>
        <w:tcPr>
          <w:tcW w:w="1548" w:type="dxa"/>
          <w:vAlign w:val="bottom"/>
        </w:tcPr>
        <w:p w:rsidR="00946E54" w:rsidRDefault="00946E54">
          <w:pPr>
            <w:pStyle w:val="HeaderNumberRight"/>
            <w:ind w:right="17"/>
          </w:pPr>
        </w:p>
      </w:tc>
    </w:tr>
    <w:tr w:rsidR="00946E54">
      <w:tc>
        <w:tcPr>
          <w:tcW w:w="5715" w:type="dxa"/>
          <w:vAlign w:val="bottom"/>
        </w:tcPr>
        <w:p w:rsidR="00946E54" w:rsidRDefault="00946E54">
          <w:pPr>
            <w:pStyle w:val="HeaderTextRight"/>
          </w:pPr>
        </w:p>
      </w:tc>
      <w:tc>
        <w:tcPr>
          <w:tcW w:w="1548" w:type="dxa"/>
          <w:vAlign w:val="bottom"/>
        </w:tcPr>
        <w:p w:rsidR="00946E54" w:rsidRDefault="00946E54">
          <w:pPr>
            <w:pStyle w:val="HeaderNumberRight"/>
            <w:ind w:right="17"/>
          </w:pPr>
        </w:p>
      </w:tc>
    </w:tr>
    <w:tr w:rsidR="00946E54">
      <w:tc>
        <w:tcPr>
          <w:tcW w:w="7263" w:type="dxa"/>
          <w:gridSpan w:val="2"/>
          <w:vAlign w:val="bottom"/>
        </w:tcPr>
        <w:p w:rsidR="00946E54" w:rsidRDefault="00946E54">
          <w:pPr>
            <w:pStyle w:val="HeaderSectionRight"/>
            <w:ind w:right="17"/>
          </w:pPr>
        </w:p>
      </w:tc>
    </w:tr>
  </w:tbl>
  <w:p w:rsidR="00946E54" w:rsidRDefault="00946E54">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AE76B7">
    <w:pPr>
      <w:pStyle w:val="headerpartodd"/>
      <w:ind w:left="0" w:firstLine="0"/>
      <w:rPr>
        <w:i/>
      </w:rPr>
    </w:pPr>
    <w:r>
      <w:rPr>
        <w:i/>
      </w:rPr>
      <w:fldChar w:fldCharType="begin"/>
    </w:r>
    <w:r>
      <w:rPr>
        <w:i/>
      </w:rPr>
      <w:instrText xml:space="preserve"> Styleref "Name of Act/Reg" </w:instrText>
    </w:r>
    <w:r>
      <w:rPr>
        <w:i/>
      </w:rPr>
      <w:fldChar w:fldCharType="separate"/>
    </w:r>
    <w:r w:rsidR="006650CC">
      <w:rPr>
        <w:i/>
        <w:noProof/>
      </w:rPr>
      <w:t>Victims of Crime Act 1994</w:t>
    </w:r>
    <w:r>
      <w:rPr>
        <w:i/>
      </w:rPr>
      <w:fldChar w:fldCharType="end"/>
    </w:r>
  </w:p>
  <w:p w:rsidR="00946E54" w:rsidRDefault="00946E54">
    <w:pPr>
      <w:pStyle w:val="headerpartodd"/>
      <w:ind w:left="0" w:firstLine="0"/>
      <w:rPr>
        <w:b w:val="0"/>
        <w:i/>
      </w:rPr>
    </w:pPr>
  </w:p>
  <w:p w:rsidR="00946E54" w:rsidRDefault="00946E54">
    <w:pPr>
      <w:pStyle w:val="headerpart"/>
    </w:pPr>
  </w:p>
  <w:p w:rsidR="00946E54" w:rsidRDefault="00946E54">
    <w:pPr>
      <w:pStyle w:val="headerpart"/>
    </w:pPr>
  </w:p>
  <w:p w:rsidR="00946E54" w:rsidRDefault="00946E54">
    <w:pPr>
      <w:pBdr>
        <w:bottom w:val="single" w:sz="6" w:space="1" w:color="auto"/>
      </w:pBdr>
      <w:rPr>
        <w:b/>
      </w:rPr>
    </w:pPr>
  </w:p>
  <w:p w:rsidR="00946E54" w:rsidRDefault="00946E5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AE76B7">
    <w:pPr>
      <w:pStyle w:val="headerpartodd"/>
      <w:ind w:left="0" w:firstLine="0"/>
      <w:jc w:val="right"/>
      <w:rPr>
        <w:i/>
      </w:rPr>
    </w:pPr>
    <w:r>
      <w:rPr>
        <w:i/>
      </w:rPr>
      <w:fldChar w:fldCharType="begin"/>
    </w:r>
    <w:r>
      <w:rPr>
        <w:i/>
      </w:rPr>
      <w:instrText xml:space="preserve"> Styleref "Name of Act/Reg" </w:instrText>
    </w:r>
    <w:r>
      <w:rPr>
        <w:i/>
      </w:rPr>
      <w:fldChar w:fldCharType="separate"/>
    </w:r>
    <w:r w:rsidR="006650CC">
      <w:rPr>
        <w:i/>
        <w:noProof/>
      </w:rPr>
      <w:t>Victims of Crime Act 1994</w:t>
    </w:r>
    <w:r>
      <w:rPr>
        <w:i/>
      </w:rPr>
      <w:fldChar w:fldCharType="end"/>
    </w:r>
  </w:p>
  <w:p w:rsidR="00946E54" w:rsidRDefault="00946E54">
    <w:pPr>
      <w:pStyle w:val="headerpartodd"/>
      <w:ind w:left="0" w:firstLine="0"/>
      <w:jc w:val="right"/>
      <w:rPr>
        <w:b w:val="0"/>
        <w:i/>
      </w:rPr>
    </w:pPr>
  </w:p>
  <w:p w:rsidR="00946E54" w:rsidRDefault="00946E54">
    <w:pPr>
      <w:pStyle w:val="headerpart"/>
      <w:jc w:val="right"/>
    </w:pPr>
  </w:p>
  <w:p w:rsidR="00946E54" w:rsidRDefault="00946E54">
    <w:pPr>
      <w:pStyle w:val="headerpart"/>
      <w:jc w:val="right"/>
    </w:pPr>
  </w:p>
  <w:p w:rsidR="00946E54" w:rsidRDefault="00946E54">
    <w:pPr>
      <w:pBdr>
        <w:bottom w:val="single" w:sz="6" w:space="1" w:color="auto"/>
      </w:pBdr>
      <w:jc w:val="right"/>
      <w:rPr>
        <w:b/>
      </w:rPr>
    </w:pPr>
  </w:p>
  <w:p w:rsidR="00946E54" w:rsidRDefault="00946E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46E54">
      <w:trPr>
        <w:cantSplit/>
      </w:trPr>
      <w:tc>
        <w:tcPr>
          <w:tcW w:w="7312" w:type="dxa"/>
          <w:gridSpan w:val="2"/>
        </w:tcPr>
        <w:p w:rsidR="00946E54" w:rsidRDefault="00AE76B7">
          <w:pPr>
            <w:pStyle w:val="HeaderActNameLeft"/>
          </w:pPr>
          <w:fldSimple w:instr=" Styleref &quot;Name of Act/Reg&quot; ">
            <w:r w:rsidR="006650CC">
              <w:rPr>
                <w:noProof/>
              </w:rPr>
              <w:t>Victims of Crime Act 1994</w:t>
            </w:r>
          </w:fldSimple>
        </w:p>
      </w:tc>
    </w:tr>
    <w:tr w:rsidR="00946E54">
      <w:tc>
        <w:tcPr>
          <w:tcW w:w="1548" w:type="dxa"/>
        </w:tcPr>
        <w:p w:rsidR="00946E54" w:rsidRDefault="00946E54">
          <w:pPr>
            <w:pStyle w:val="HeaderNumberLeft"/>
          </w:pPr>
        </w:p>
      </w:tc>
      <w:tc>
        <w:tcPr>
          <w:tcW w:w="5764" w:type="dxa"/>
        </w:tcPr>
        <w:p w:rsidR="00946E54" w:rsidRDefault="00946E54">
          <w:pPr>
            <w:pStyle w:val="HeaderTextLeft"/>
          </w:pPr>
        </w:p>
      </w:tc>
    </w:tr>
    <w:tr w:rsidR="00946E54">
      <w:tc>
        <w:tcPr>
          <w:tcW w:w="1548" w:type="dxa"/>
        </w:tcPr>
        <w:p w:rsidR="00946E54" w:rsidRDefault="00946E54">
          <w:pPr>
            <w:pStyle w:val="HeaderNumberLeft"/>
          </w:pPr>
        </w:p>
      </w:tc>
      <w:tc>
        <w:tcPr>
          <w:tcW w:w="5764" w:type="dxa"/>
        </w:tcPr>
        <w:p w:rsidR="00946E54" w:rsidRDefault="00946E54">
          <w:pPr>
            <w:pStyle w:val="HeaderTextLeft"/>
          </w:pPr>
        </w:p>
      </w:tc>
    </w:tr>
    <w:tr w:rsidR="00946E54">
      <w:trPr>
        <w:cantSplit/>
        <w:trHeight w:val="216"/>
      </w:trPr>
      <w:tc>
        <w:tcPr>
          <w:tcW w:w="7312" w:type="dxa"/>
          <w:gridSpan w:val="2"/>
        </w:tcPr>
        <w:p w:rsidR="00946E54" w:rsidRDefault="00AE76B7">
          <w:pPr>
            <w:pStyle w:val="HeaderSectionLeft"/>
            <w:rPr>
              <w:b w:val="0"/>
            </w:rPr>
          </w:pPr>
          <w:r>
            <w:rPr>
              <w:b w:val="0"/>
            </w:rPr>
            <w:t>Contents</w:t>
          </w:r>
        </w:p>
      </w:tc>
    </w:tr>
  </w:tbl>
  <w:p w:rsidR="00946E54" w:rsidRDefault="00946E54">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946E54">
      <w:trPr>
        <w:cantSplit/>
      </w:trPr>
      <w:tc>
        <w:tcPr>
          <w:tcW w:w="7312" w:type="dxa"/>
          <w:gridSpan w:val="2"/>
        </w:tcPr>
        <w:p w:rsidR="00946E54" w:rsidRDefault="00AE76B7">
          <w:pPr>
            <w:pStyle w:val="HeaderActNameRight"/>
          </w:pPr>
          <w:fldSimple w:instr=" Styleref &quot;Name of Act/Reg&quot; ">
            <w:r w:rsidR="006650CC">
              <w:rPr>
                <w:noProof/>
              </w:rPr>
              <w:t>Victims of Crime Act 1994</w:t>
            </w:r>
          </w:fldSimple>
        </w:p>
      </w:tc>
    </w:tr>
    <w:tr w:rsidR="00946E54">
      <w:tc>
        <w:tcPr>
          <w:tcW w:w="5760" w:type="dxa"/>
        </w:tcPr>
        <w:p w:rsidR="00946E54" w:rsidRDefault="00946E54">
          <w:pPr>
            <w:pStyle w:val="HeaderTextRight"/>
          </w:pPr>
        </w:p>
      </w:tc>
      <w:tc>
        <w:tcPr>
          <w:tcW w:w="1552" w:type="dxa"/>
        </w:tcPr>
        <w:p w:rsidR="00946E54" w:rsidRDefault="00946E54">
          <w:pPr>
            <w:pStyle w:val="HeaderNumberRight"/>
          </w:pPr>
        </w:p>
      </w:tc>
    </w:tr>
    <w:tr w:rsidR="00946E54">
      <w:tc>
        <w:tcPr>
          <w:tcW w:w="5760" w:type="dxa"/>
        </w:tcPr>
        <w:p w:rsidR="00946E54" w:rsidRDefault="00946E54">
          <w:pPr>
            <w:pStyle w:val="HeaderTextRight"/>
          </w:pPr>
        </w:p>
      </w:tc>
      <w:tc>
        <w:tcPr>
          <w:tcW w:w="1552" w:type="dxa"/>
        </w:tcPr>
        <w:p w:rsidR="00946E54" w:rsidRDefault="00946E54">
          <w:pPr>
            <w:pStyle w:val="HeaderNumberRight"/>
          </w:pPr>
        </w:p>
      </w:tc>
    </w:tr>
    <w:tr w:rsidR="00946E54">
      <w:trPr>
        <w:cantSplit/>
      </w:trPr>
      <w:tc>
        <w:tcPr>
          <w:tcW w:w="7312" w:type="dxa"/>
          <w:gridSpan w:val="2"/>
        </w:tcPr>
        <w:p w:rsidR="00946E54" w:rsidRDefault="00AE76B7">
          <w:pPr>
            <w:pStyle w:val="HeaderSectionRight"/>
            <w:rPr>
              <w:b w:val="0"/>
            </w:rPr>
          </w:pPr>
          <w:r>
            <w:rPr>
              <w:b w:val="0"/>
            </w:rPr>
            <w:t>Contents</w:t>
          </w:r>
        </w:p>
      </w:tc>
    </w:tr>
  </w:tbl>
  <w:p w:rsidR="00946E54" w:rsidRDefault="00946E54">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rsidR="00946E54">
      <w:tc>
        <w:tcPr>
          <w:tcW w:w="7263" w:type="dxa"/>
          <w:gridSpan w:val="2"/>
          <w:vAlign w:val="bottom"/>
        </w:tcPr>
        <w:p w:rsidR="00946E54" w:rsidRDefault="00AE76B7">
          <w:pPr>
            <w:pStyle w:val="HeaderActNameLeft"/>
          </w:pPr>
          <w:fldSimple w:instr=" Styleref &quot;Name of Act/Reg&quot; ">
            <w:r w:rsidR="006650CC">
              <w:rPr>
                <w:noProof/>
              </w:rPr>
              <w:t>Victims of Crime Act 1994</w:t>
            </w:r>
          </w:fldSimple>
        </w:p>
      </w:tc>
    </w:tr>
    <w:tr w:rsidR="00946E54">
      <w:tc>
        <w:tcPr>
          <w:tcW w:w="1514" w:type="dxa"/>
        </w:tcPr>
        <w:p w:rsidR="00946E54" w:rsidRDefault="00AE76B7">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rsidR="00946E54" w:rsidRDefault="00AE76B7">
          <w:pPr>
            <w:pStyle w:val="HeaderTextLeft"/>
          </w:pPr>
          <w:r>
            <w:fldChar w:fldCharType="begin"/>
          </w:r>
          <w:r>
            <w:instrText xml:space="preserve"> STYLEREF CharPartText </w:instrText>
          </w:r>
          <w:r>
            <w:fldChar w:fldCharType="end"/>
          </w:r>
        </w:p>
      </w:tc>
    </w:tr>
    <w:tr w:rsidR="00946E54">
      <w:tc>
        <w:tcPr>
          <w:tcW w:w="1514" w:type="dxa"/>
        </w:tcPr>
        <w:p w:rsidR="00946E54" w:rsidRDefault="00AE76B7">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rsidR="00946E54" w:rsidRDefault="00AE76B7">
          <w:pPr>
            <w:pStyle w:val="HeaderTextLeft"/>
          </w:pPr>
          <w:r>
            <w:fldChar w:fldCharType="begin"/>
          </w:r>
          <w:r>
            <w:instrText xml:space="preserve"> STYLEREF CharDivText </w:instrText>
          </w:r>
          <w:r>
            <w:fldChar w:fldCharType="end"/>
          </w:r>
        </w:p>
      </w:tc>
    </w:tr>
    <w:tr w:rsidR="00946E54">
      <w:tc>
        <w:tcPr>
          <w:tcW w:w="7263" w:type="dxa"/>
          <w:gridSpan w:val="2"/>
        </w:tcPr>
        <w:p w:rsidR="00946E54" w:rsidRDefault="00AE76B7">
          <w:pPr>
            <w:pStyle w:val="HeaderSectionLeft"/>
          </w:pPr>
          <w:r>
            <w:t xml:space="preserve">s. </w:t>
          </w:r>
          <w:fldSimple w:instr=" styleref CharSectno ">
            <w:r w:rsidR="006650CC">
              <w:rPr>
                <w:noProof/>
              </w:rPr>
              <w:t>1</w:t>
            </w:r>
          </w:fldSimple>
        </w:p>
      </w:tc>
    </w:tr>
  </w:tbl>
  <w:p w:rsidR="00946E54" w:rsidRDefault="00946E54">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946E54">
      <w:tc>
        <w:tcPr>
          <w:tcW w:w="7263" w:type="dxa"/>
          <w:gridSpan w:val="2"/>
          <w:vAlign w:val="bottom"/>
        </w:tcPr>
        <w:p w:rsidR="00946E54" w:rsidRDefault="00AE76B7">
          <w:pPr>
            <w:pStyle w:val="HeaderActNameRight"/>
            <w:ind w:right="17"/>
          </w:pPr>
          <w:fldSimple w:instr=" Styleref &quot;Name of Act/Reg&quot; ">
            <w:r w:rsidR="006650CC">
              <w:rPr>
                <w:noProof/>
              </w:rPr>
              <w:t>Victims of Crime Act 1994</w:t>
            </w:r>
          </w:fldSimple>
        </w:p>
      </w:tc>
    </w:tr>
    <w:tr w:rsidR="00946E54">
      <w:tc>
        <w:tcPr>
          <w:tcW w:w="5742" w:type="dxa"/>
          <w:vAlign w:val="bottom"/>
        </w:tcPr>
        <w:p w:rsidR="00946E54" w:rsidRDefault="00AE76B7">
          <w:pPr>
            <w:pStyle w:val="HeaderTextRight"/>
          </w:pPr>
          <w:r>
            <w:fldChar w:fldCharType="begin"/>
          </w:r>
          <w:r>
            <w:instrText xml:space="preserve"> STYLEREF CharPartText </w:instrText>
          </w:r>
          <w:r>
            <w:fldChar w:fldCharType="end"/>
          </w:r>
        </w:p>
      </w:tc>
      <w:tc>
        <w:tcPr>
          <w:tcW w:w="1521" w:type="dxa"/>
        </w:tcPr>
        <w:p w:rsidR="00946E54" w:rsidRDefault="00AE76B7">
          <w:pPr>
            <w:pStyle w:val="HeaderNumberRight"/>
            <w:ind w:right="17"/>
          </w:pPr>
          <w:r>
            <w:fldChar w:fldCharType="begin"/>
          </w:r>
          <w:r>
            <w:instrText xml:space="preserve"> STYLEREF CharPartNo </w:instrText>
          </w:r>
          <w:r>
            <w:fldChar w:fldCharType="end"/>
          </w:r>
        </w:p>
      </w:tc>
    </w:tr>
    <w:tr w:rsidR="00946E54">
      <w:tc>
        <w:tcPr>
          <w:tcW w:w="5742" w:type="dxa"/>
          <w:vAlign w:val="bottom"/>
        </w:tcPr>
        <w:p w:rsidR="00946E54" w:rsidRDefault="00AE76B7">
          <w:pPr>
            <w:pStyle w:val="HeaderTextRight"/>
          </w:pPr>
          <w:r>
            <w:fldChar w:fldCharType="begin"/>
          </w:r>
          <w:r>
            <w:instrText xml:space="preserve"> STYLEREF CharDivText </w:instrText>
          </w:r>
          <w:r>
            <w:fldChar w:fldCharType="end"/>
          </w:r>
        </w:p>
      </w:tc>
      <w:tc>
        <w:tcPr>
          <w:tcW w:w="1521" w:type="dxa"/>
        </w:tcPr>
        <w:p w:rsidR="00946E54" w:rsidRDefault="00AE76B7">
          <w:pPr>
            <w:pStyle w:val="HeaderNumberRight"/>
            <w:ind w:right="17"/>
          </w:pPr>
          <w:r>
            <w:fldChar w:fldCharType="begin"/>
          </w:r>
          <w:r>
            <w:instrText xml:space="preserve"> STYLEREF CharDivNo </w:instrText>
          </w:r>
          <w:r>
            <w:fldChar w:fldCharType="end"/>
          </w:r>
        </w:p>
      </w:tc>
    </w:tr>
    <w:tr w:rsidR="00946E54">
      <w:tc>
        <w:tcPr>
          <w:tcW w:w="7263" w:type="dxa"/>
          <w:gridSpan w:val="2"/>
        </w:tcPr>
        <w:p w:rsidR="00946E54" w:rsidRDefault="00AE76B7">
          <w:pPr>
            <w:pStyle w:val="HeaderSectionRight"/>
            <w:ind w:right="17"/>
          </w:pPr>
          <w:r>
            <w:t xml:space="preserve">s. </w:t>
          </w:r>
          <w:fldSimple w:instr=" styleref CharSectno ">
            <w:r w:rsidR="006650CC">
              <w:rPr>
                <w:noProof/>
              </w:rPr>
              <w:t>1</w:t>
            </w:r>
          </w:fldSimple>
        </w:p>
      </w:tc>
    </w:tr>
  </w:tbl>
  <w:p w:rsidR="00946E54" w:rsidRDefault="00946E54">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54" w:rsidRDefault="0094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9CF7A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303F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3F690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6C8223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44E180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76A42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E80A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74ECB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670AEA8"/>
    <w:lvl w:ilvl="0">
      <w:start w:val="1"/>
      <w:numFmt w:val="decimal"/>
      <w:pStyle w:val="ListNumber"/>
      <w:lvlText w:val="%1."/>
      <w:lvlJc w:val="left"/>
      <w:pPr>
        <w:tabs>
          <w:tab w:val="num" w:pos="360"/>
        </w:tabs>
        <w:ind w:left="360" w:hanging="360"/>
      </w:pPr>
    </w:lvl>
  </w:abstractNum>
  <w:abstractNum w:abstractNumId="9">
    <w:nsid w:val="FFFFFF89"/>
    <w:multiLevelType w:val="singleLevel"/>
    <w:tmpl w:val="BCDCBC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99C45D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917A7DD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B7"/>
    <w:rsid w:val="002341DE"/>
    <w:rsid w:val="006650CC"/>
    <w:rsid w:val="00946E54"/>
    <w:rsid w:val="00AE76B7"/>
    <w:rsid w:val="00D10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1610</Words>
  <Characters>7682</Characters>
  <Application>Microsoft Office Word</Application>
  <DocSecurity>0</DocSecurity>
  <Lines>240</Lines>
  <Paragraphs>163</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Act 1994 - 01-b0-02</dc:title>
  <dc:subject/>
  <dc:creator>harroldd</dc:creator>
  <cp:keywords/>
  <cp:lastModifiedBy>svcMRProcess</cp:lastModifiedBy>
  <cp:revision>4</cp:revision>
  <cp:lastPrinted>2005-02-25T03:27:00Z</cp:lastPrinted>
  <dcterms:created xsi:type="dcterms:W3CDTF">2013-02-20T20:16:00Z</dcterms:created>
  <dcterms:modified xsi:type="dcterms:W3CDTF">2013-02-20T20:16:00Z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81 of 1994</vt:lpwstr>
  </property>
  <property fmtid="{D5CDD505-2E9C-101B-9397-08002B2CF9AE}" pid="3" name="CommencementDate">
    <vt:lpwstr>20060922</vt:lpwstr>
  </property>
  <property fmtid="{D5CDD505-2E9C-101B-9397-08002B2CF9AE}" pid="4" name="DocumentType">
    <vt:lpwstr>Act</vt:lpwstr>
  </property>
  <property fmtid="{D5CDD505-2E9C-101B-9397-08002B2CF9AE}" pid="5" name="OwlsUID">
    <vt:i4>857</vt:i4>
  </property>
  <property fmtid="{D5CDD505-2E9C-101B-9397-08002B2CF9AE}" pid="6" name="ReprintNo">
    <vt:lpwstr>1</vt:lpwstr>
  </property>
  <property fmtid="{D5CDD505-2E9C-101B-9397-08002B2CF9AE}" pid="7" name="AsAtDate">
    <vt:lpwstr>22 Sep 2006</vt:lpwstr>
  </property>
  <property fmtid="{D5CDD505-2E9C-101B-9397-08002B2CF9AE}" pid="8" name="Suffix">
    <vt:lpwstr>01-b0-02</vt:lpwstr>
  </property>
</Properties>
</file>