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Vocational Education and Training Act 1996</w:t>
      </w:r>
    </w:p>
    <w:p>
      <w:pPr>
        <w:pStyle w:val="NameofActRegPage1"/>
        <w:spacing w:before="1800" w:after="4200"/>
      </w:pPr>
      <w:r>
        <w:fldChar w:fldCharType="begin"/>
      </w:r>
      <w:r>
        <w:instrText xml:space="preserve"> STYLEREF "Name Of Act/Reg"</w:instrText>
      </w:r>
      <w:r>
        <w:fldChar w:fldCharType="separate"/>
      </w:r>
      <w:r>
        <w:rPr>
          <w:noProof/>
        </w:rPr>
        <w:t>Vocational Education and Training (General) Regulations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Vocational Education and Training (General) Regulations 2009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sz w:val="24"/>
          <w:szCs w:val="24"/>
          <w:lang w:val="en-US"/>
        </w:rPr>
      </w:pPr>
      <w:r>
        <w:t>1.</w:t>
      </w:r>
      <w:r>
        <w:tab/>
        <w:t>Citation</w:t>
      </w:r>
      <w:r>
        <w:tab/>
      </w:r>
      <w:r>
        <w:fldChar w:fldCharType="begin"/>
      </w:r>
      <w:r>
        <w:instrText xml:space="preserve"> PAGEREF _Toc333227000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_Toc333227001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_Toc333227002 \h </w:instrText>
      </w:r>
      <w:r>
        <w:fldChar w:fldCharType="separate"/>
      </w:r>
      <w:r>
        <w:t>1</w:t>
      </w:r>
      <w:r>
        <w:fldChar w:fldCharType="end"/>
      </w:r>
    </w:p>
    <w:p>
      <w:pPr>
        <w:pStyle w:val="TOC2"/>
        <w:tabs>
          <w:tab w:val="right" w:leader="dot" w:pos="7086"/>
        </w:tabs>
        <w:rPr>
          <w:b w:val="0"/>
          <w:sz w:val="24"/>
          <w:szCs w:val="24"/>
          <w:lang w:val="en-US"/>
        </w:rPr>
      </w:pPr>
      <w:r>
        <w:t>Part 2 — General matters</w:t>
      </w:r>
    </w:p>
    <w:p>
      <w:pPr>
        <w:pStyle w:val="TOC8"/>
        <w:rPr>
          <w:sz w:val="24"/>
          <w:szCs w:val="24"/>
          <w:lang w:val="en-US"/>
        </w:rPr>
      </w:pPr>
      <w:r>
        <w:t>4.</w:t>
      </w:r>
      <w:r>
        <w:tab/>
        <w:t>Approved VET courses (Act s. 5)</w:t>
      </w:r>
      <w:r>
        <w:tab/>
      </w:r>
      <w:r>
        <w:fldChar w:fldCharType="begin"/>
      </w:r>
      <w:r>
        <w:instrText xml:space="preserve"> PAGEREF _Toc333227004 \h </w:instrText>
      </w:r>
      <w:r>
        <w:fldChar w:fldCharType="separate"/>
      </w:r>
      <w:r>
        <w:t>3</w:t>
      </w:r>
      <w:r>
        <w:fldChar w:fldCharType="end"/>
      </w:r>
    </w:p>
    <w:p>
      <w:pPr>
        <w:pStyle w:val="TOC8"/>
        <w:rPr>
          <w:sz w:val="24"/>
          <w:szCs w:val="24"/>
          <w:lang w:val="en-US"/>
        </w:rPr>
      </w:pPr>
      <w:r>
        <w:t>5.</w:t>
      </w:r>
      <w:r>
        <w:tab/>
        <w:t>Corresponding laws (Act s. 5)</w:t>
      </w:r>
      <w:r>
        <w:tab/>
      </w:r>
      <w:r>
        <w:fldChar w:fldCharType="begin"/>
      </w:r>
      <w:r>
        <w:instrText xml:space="preserve"> PAGEREF _Toc333227005 \h </w:instrText>
      </w:r>
      <w:r>
        <w:fldChar w:fldCharType="separate"/>
      </w:r>
      <w:r>
        <w:t>3</w:t>
      </w:r>
      <w:r>
        <w:fldChar w:fldCharType="end"/>
      </w:r>
    </w:p>
    <w:p>
      <w:pPr>
        <w:pStyle w:val="TOC8"/>
        <w:rPr>
          <w:sz w:val="24"/>
          <w:szCs w:val="24"/>
          <w:lang w:val="en-US"/>
        </w:rPr>
      </w:pPr>
      <w:r>
        <w:t>6.</w:t>
      </w:r>
      <w:r>
        <w:tab/>
        <w:t>Prescribed VET qualifications (Act s. 5)</w:t>
      </w:r>
      <w:r>
        <w:tab/>
      </w:r>
      <w:r>
        <w:fldChar w:fldCharType="begin"/>
      </w:r>
      <w:r>
        <w:instrText xml:space="preserve"> PAGEREF _Toc333227006 \h </w:instrText>
      </w:r>
      <w:r>
        <w:fldChar w:fldCharType="separate"/>
      </w:r>
      <w:r>
        <w:t>4</w:t>
      </w:r>
      <w:r>
        <w:fldChar w:fldCharType="end"/>
      </w:r>
    </w:p>
    <w:p>
      <w:pPr>
        <w:pStyle w:val="TOC2"/>
        <w:tabs>
          <w:tab w:val="right" w:leader="dot" w:pos="7086"/>
        </w:tabs>
        <w:rPr>
          <w:b w:val="0"/>
          <w:sz w:val="24"/>
          <w:szCs w:val="24"/>
          <w:lang w:val="en-US"/>
        </w:rPr>
      </w:pPr>
      <w:r>
        <w:t>Part 3 — Regulations for Part 7A of the Act</w:t>
      </w:r>
    </w:p>
    <w:p>
      <w:pPr>
        <w:pStyle w:val="TOC4"/>
        <w:tabs>
          <w:tab w:val="right" w:leader="dot" w:pos="7086"/>
        </w:tabs>
        <w:rPr>
          <w:b w:val="0"/>
          <w:sz w:val="24"/>
          <w:szCs w:val="24"/>
          <w:lang w:val="en-US"/>
        </w:rPr>
      </w:pPr>
      <w:r>
        <w:t>Division 1 — General matters</w:t>
      </w:r>
    </w:p>
    <w:p>
      <w:pPr>
        <w:pStyle w:val="TOC8"/>
        <w:rPr>
          <w:sz w:val="24"/>
          <w:szCs w:val="24"/>
          <w:lang w:val="en-US"/>
        </w:rPr>
      </w:pPr>
      <w:r>
        <w:t>7.</w:t>
      </w:r>
      <w:r>
        <w:tab/>
        <w:t>Terms used</w:t>
      </w:r>
      <w:r>
        <w:tab/>
      </w:r>
      <w:r>
        <w:fldChar w:fldCharType="begin"/>
      </w:r>
      <w:r>
        <w:instrText xml:space="preserve"> PAGEREF _Toc333227009 \h </w:instrText>
      </w:r>
      <w:r>
        <w:fldChar w:fldCharType="separate"/>
      </w:r>
      <w:r>
        <w:t>5</w:t>
      </w:r>
      <w:r>
        <w:fldChar w:fldCharType="end"/>
      </w:r>
    </w:p>
    <w:p>
      <w:pPr>
        <w:pStyle w:val="TOC8"/>
        <w:rPr>
          <w:sz w:val="24"/>
          <w:szCs w:val="24"/>
          <w:lang w:val="en-US"/>
        </w:rPr>
      </w:pPr>
      <w:r>
        <w:t>8.</w:t>
      </w:r>
      <w:r>
        <w:tab/>
        <w:t>AQTF standards, use of by Council</w:t>
      </w:r>
      <w:r>
        <w:tab/>
      </w:r>
      <w:r>
        <w:fldChar w:fldCharType="begin"/>
      </w:r>
      <w:r>
        <w:instrText xml:space="preserve"> PAGEREF _Toc333227010 \h </w:instrText>
      </w:r>
      <w:r>
        <w:fldChar w:fldCharType="separate"/>
      </w:r>
      <w:r>
        <w:t>6</w:t>
      </w:r>
      <w:r>
        <w:fldChar w:fldCharType="end"/>
      </w:r>
    </w:p>
    <w:p>
      <w:pPr>
        <w:pStyle w:val="TOC8"/>
        <w:rPr>
          <w:sz w:val="24"/>
          <w:szCs w:val="24"/>
          <w:lang w:val="en-US"/>
        </w:rPr>
      </w:pPr>
      <w:r>
        <w:t>9.</w:t>
      </w:r>
      <w:r>
        <w:tab/>
        <w:t>Register</w:t>
      </w:r>
      <w:r>
        <w:tab/>
      </w:r>
      <w:r>
        <w:fldChar w:fldCharType="begin"/>
      </w:r>
      <w:r>
        <w:instrText xml:space="preserve"> PAGEREF _Toc333227011 \h </w:instrText>
      </w:r>
      <w:r>
        <w:fldChar w:fldCharType="separate"/>
      </w:r>
      <w:r>
        <w:t>7</w:t>
      </w:r>
      <w:r>
        <w:fldChar w:fldCharType="end"/>
      </w:r>
    </w:p>
    <w:p>
      <w:pPr>
        <w:pStyle w:val="TOC4"/>
        <w:tabs>
          <w:tab w:val="right" w:leader="dot" w:pos="7086"/>
        </w:tabs>
        <w:rPr>
          <w:b w:val="0"/>
          <w:sz w:val="24"/>
          <w:szCs w:val="24"/>
          <w:lang w:val="en-US"/>
        </w:rPr>
      </w:pPr>
      <w:r>
        <w:t>Division 2 — Registration of training providers</w:t>
      </w:r>
    </w:p>
    <w:p>
      <w:pPr>
        <w:pStyle w:val="TOC8"/>
        <w:rPr>
          <w:sz w:val="24"/>
          <w:szCs w:val="24"/>
          <w:lang w:val="en-US"/>
        </w:rPr>
      </w:pPr>
      <w:r>
        <w:t>10.</w:t>
      </w:r>
      <w:r>
        <w:tab/>
        <w:t>Applying to be a registered training provider</w:t>
      </w:r>
      <w:r>
        <w:tab/>
      </w:r>
      <w:r>
        <w:fldChar w:fldCharType="begin"/>
      </w:r>
      <w:r>
        <w:instrText xml:space="preserve"> PAGEREF _Toc333227013 \h </w:instrText>
      </w:r>
      <w:r>
        <w:fldChar w:fldCharType="separate"/>
      </w:r>
      <w:r>
        <w:t>8</w:t>
      </w:r>
      <w:r>
        <w:fldChar w:fldCharType="end"/>
      </w:r>
    </w:p>
    <w:p>
      <w:pPr>
        <w:pStyle w:val="TOC8"/>
        <w:rPr>
          <w:sz w:val="24"/>
          <w:szCs w:val="24"/>
          <w:lang w:val="en-US"/>
        </w:rPr>
      </w:pPr>
      <w:r>
        <w:t>11.</w:t>
      </w:r>
      <w:r>
        <w:tab/>
        <w:t>Dealing with applications</w:t>
      </w:r>
      <w:r>
        <w:tab/>
      </w:r>
      <w:r>
        <w:fldChar w:fldCharType="begin"/>
      </w:r>
      <w:r>
        <w:instrText xml:space="preserve"> PAGEREF _Toc333227014 \h </w:instrText>
      </w:r>
      <w:r>
        <w:fldChar w:fldCharType="separate"/>
      </w:r>
      <w:r>
        <w:t>8</w:t>
      </w:r>
      <w:r>
        <w:fldChar w:fldCharType="end"/>
      </w:r>
    </w:p>
    <w:p>
      <w:pPr>
        <w:pStyle w:val="TOC8"/>
        <w:rPr>
          <w:sz w:val="24"/>
          <w:szCs w:val="24"/>
          <w:lang w:val="en-US"/>
        </w:rPr>
      </w:pPr>
      <w:r>
        <w:t>12.</w:t>
      </w:r>
      <w:r>
        <w:tab/>
        <w:t>Registering training providers</w:t>
      </w:r>
      <w:r>
        <w:tab/>
      </w:r>
      <w:r>
        <w:fldChar w:fldCharType="begin"/>
      </w:r>
      <w:r>
        <w:instrText xml:space="preserve"> PAGEREF _Toc333227015 \h </w:instrText>
      </w:r>
      <w:r>
        <w:fldChar w:fldCharType="separate"/>
      </w:r>
      <w:r>
        <w:t>9</w:t>
      </w:r>
      <w:r>
        <w:fldChar w:fldCharType="end"/>
      </w:r>
    </w:p>
    <w:p>
      <w:pPr>
        <w:pStyle w:val="TOC8"/>
        <w:rPr>
          <w:sz w:val="24"/>
          <w:szCs w:val="24"/>
          <w:lang w:val="en-US"/>
        </w:rPr>
      </w:pPr>
      <w:r>
        <w:t>13.</w:t>
      </w:r>
      <w:r>
        <w:tab/>
        <w:t>Conditions of registration</w:t>
      </w:r>
      <w:r>
        <w:tab/>
      </w:r>
      <w:r>
        <w:fldChar w:fldCharType="begin"/>
      </w:r>
      <w:r>
        <w:instrText xml:space="preserve"> PAGEREF _Toc333227016 \h </w:instrText>
      </w:r>
      <w:r>
        <w:fldChar w:fldCharType="separate"/>
      </w:r>
      <w:r>
        <w:t>11</w:t>
      </w:r>
      <w:r>
        <w:fldChar w:fldCharType="end"/>
      </w:r>
    </w:p>
    <w:p>
      <w:pPr>
        <w:pStyle w:val="TOC8"/>
        <w:rPr>
          <w:sz w:val="24"/>
          <w:szCs w:val="24"/>
          <w:lang w:val="en-US"/>
        </w:rPr>
      </w:pPr>
      <w:r>
        <w:t>14.</w:t>
      </w:r>
      <w:r>
        <w:tab/>
        <w:t>Period of registration</w:t>
      </w:r>
      <w:r>
        <w:tab/>
      </w:r>
      <w:r>
        <w:fldChar w:fldCharType="begin"/>
      </w:r>
      <w:r>
        <w:instrText xml:space="preserve"> PAGEREF _Toc333227017 \h </w:instrText>
      </w:r>
      <w:r>
        <w:fldChar w:fldCharType="separate"/>
      </w:r>
      <w:r>
        <w:t>12</w:t>
      </w:r>
      <w:r>
        <w:fldChar w:fldCharType="end"/>
      </w:r>
    </w:p>
    <w:p>
      <w:pPr>
        <w:pStyle w:val="TOC8"/>
        <w:rPr>
          <w:sz w:val="24"/>
          <w:szCs w:val="24"/>
          <w:lang w:val="en-US"/>
        </w:rPr>
      </w:pPr>
      <w:r>
        <w:t>15.</w:t>
      </w:r>
      <w:r>
        <w:tab/>
        <w:t>Annual fees payable by registered training providers</w:t>
      </w:r>
      <w:r>
        <w:tab/>
      </w:r>
      <w:r>
        <w:fldChar w:fldCharType="begin"/>
      </w:r>
      <w:r>
        <w:instrText xml:space="preserve"> PAGEREF _Toc333227018 \h </w:instrText>
      </w:r>
      <w:r>
        <w:fldChar w:fldCharType="separate"/>
      </w:r>
      <w:r>
        <w:t>12</w:t>
      </w:r>
      <w:r>
        <w:fldChar w:fldCharType="end"/>
      </w:r>
    </w:p>
    <w:p>
      <w:pPr>
        <w:pStyle w:val="TOC8"/>
        <w:rPr>
          <w:sz w:val="24"/>
          <w:szCs w:val="24"/>
          <w:lang w:val="en-US"/>
        </w:rPr>
      </w:pPr>
      <w:r>
        <w:t>16.</w:t>
      </w:r>
      <w:r>
        <w:tab/>
        <w:t>Renewal of registration</w:t>
      </w:r>
      <w:r>
        <w:tab/>
      </w:r>
      <w:r>
        <w:fldChar w:fldCharType="begin"/>
      </w:r>
      <w:r>
        <w:instrText xml:space="preserve"> PAGEREF _Toc333227019 \h </w:instrText>
      </w:r>
      <w:r>
        <w:fldChar w:fldCharType="separate"/>
      </w:r>
      <w:r>
        <w:t>13</w:t>
      </w:r>
      <w:r>
        <w:fldChar w:fldCharType="end"/>
      </w:r>
    </w:p>
    <w:p>
      <w:pPr>
        <w:pStyle w:val="TOC8"/>
        <w:rPr>
          <w:sz w:val="24"/>
          <w:szCs w:val="24"/>
          <w:lang w:val="en-US"/>
        </w:rPr>
      </w:pPr>
      <w:r>
        <w:t>17.</w:t>
      </w:r>
      <w:r>
        <w:tab/>
        <w:t>Varying registrations</w:t>
      </w:r>
      <w:r>
        <w:tab/>
      </w:r>
      <w:r>
        <w:fldChar w:fldCharType="begin"/>
      </w:r>
      <w:r>
        <w:instrText xml:space="preserve"> PAGEREF _Toc333227020 \h </w:instrText>
      </w:r>
      <w:r>
        <w:fldChar w:fldCharType="separate"/>
      </w:r>
      <w:r>
        <w:t>14</w:t>
      </w:r>
      <w:r>
        <w:fldChar w:fldCharType="end"/>
      </w:r>
    </w:p>
    <w:p>
      <w:pPr>
        <w:pStyle w:val="TOC8"/>
        <w:rPr>
          <w:sz w:val="24"/>
          <w:szCs w:val="24"/>
          <w:lang w:val="en-US"/>
        </w:rPr>
      </w:pPr>
      <w:r>
        <w:t>18.</w:t>
      </w:r>
      <w:r>
        <w:tab/>
        <w:t>Cancelling registration if provider’s operations change</w:t>
      </w:r>
      <w:r>
        <w:tab/>
      </w:r>
      <w:r>
        <w:fldChar w:fldCharType="begin"/>
      </w:r>
      <w:r>
        <w:instrText xml:space="preserve"> PAGEREF _Toc333227021 \h </w:instrText>
      </w:r>
      <w:r>
        <w:fldChar w:fldCharType="separate"/>
      </w:r>
      <w:r>
        <w:t>15</w:t>
      </w:r>
      <w:r>
        <w:fldChar w:fldCharType="end"/>
      </w:r>
    </w:p>
    <w:p>
      <w:pPr>
        <w:pStyle w:val="TOC8"/>
        <w:rPr>
          <w:sz w:val="24"/>
          <w:szCs w:val="24"/>
          <w:lang w:val="en-US"/>
        </w:rPr>
      </w:pPr>
      <w:r>
        <w:t>19.</w:t>
      </w:r>
      <w:r>
        <w:tab/>
        <w:t>Suspending or cancelling registration</w:t>
      </w:r>
      <w:r>
        <w:tab/>
      </w:r>
      <w:r>
        <w:fldChar w:fldCharType="begin"/>
      </w:r>
      <w:r>
        <w:instrText xml:space="preserve"> PAGEREF _Toc333227022 \h </w:instrText>
      </w:r>
      <w:r>
        <w:fldChar w:fldCharType="separate"/>
      </w:r>
      <w:r>
        <w:t>15</w:t>
      </w:r>
      <w:r>
        <w:fldChar w:fldCharType="end"/>
      </w:r>
    </w:p>
    <w:p>
      <w:pPr>
        <w:pStyle w:val="TOC8"/>
        <w:rPr>
          <w:sz w:val="24"/>
          <w:szCs w:val="24"/>
          <w:lang w:val="en-US"/>
        </w:rPr>
      </w:pPr>
      <w:r>
        <w:t>20.</w:t>
      </w:r>
      <w:r>
        <w:tab/>
        <w:t>Suspension of WA registered provider may be on terms</w:t>
      </w:r>
      <w:r>
        <w:tab/>
      </w:r>
      <w:r>
        <w:fldChar w:fldCharType="begin"/>
      </w:r>
      <w:r>
        <w:instrText xml:space="preserve"> PAGEREF _Toc333227023 \h </w:instrText>
      </w:r>
      <w:r>
        <w:fldChar w:fldCharType="separate"/>
      </w:r>
      <w:r>
        <w:t>17</w:t>
      </w:r>
      <w:r>
        <w:fldChar w:fldCharType="end"/>
      </w:r>
    </w:p>
    <w:p>
      <w:pPr>
        <w:pStyle w:val="TOC8"/>
        <w:rPr>
          <w:sz w:val="24"/>
          <w:szCs w:val="24"/>
          <w:lang w:val="en-US"/>
        </w:rPr>
      </w:pPr>
      <w:r>
        <w:t>21.</w:t>
      </w:r>
      <w:r>
        <w:tab/>
        <w:t>Effect of suspension of WA registered provider</w:t>
      </w:r>
      <w:r>
        <w:tab/>
      </w:r>
      <w:r>
        <w:fldChar w:fldCharType="begin"/>
      </w:r>
      <w:r>
        <w:instrText xml:space="preserve"> PAGEREF _Toc333227024 \h </w:instrText>
      </w:r>
      <w:r>
        <w:fldChar w:fldCharType="separate"/>
      </w:r>
      <w:r>
        <w:t>18</w:t>
      </w:r>
      <w:r>
        <w:fldChar w:fldCharType="end"/>
      </w:r>
    </w:p>
    <w:p>
      <w:pPr>
        <w:pStyle w:val="TOC8"/>
        <w:rPr>
          <w:sz w:val="24"/>
          <w:szCs w:val="24"/>
          <w:lang w:val="en-US"/>
        </w:rPr>
      </w:pPr>
      <w:r>
        <w:t>22.</w:t>
      </w:r>
      <w:r>
        <w:tab/>
        <w:t>Orders against providers registered outside WA</w:t>
      </w:r>
      <w:r>
        <w:tab/>
      </w:r>
      <w:r>
        <w:fldChar w:fldCharType="begin"/>
      </w:r>
      <w:r>
        <w:instrText xml:space="preserve"> PAGEREF _Toc333227025 \h </w:instrText>
      </w:r>
      <w:r>
        <w:fldChar w:fldCharType="separate"/>
      </w:r>
      <w:r>
        <w:t>18</w:t>
      </w:r>
      <w:r>
        <w:fldChar w:fldCharType="end"/>
      </w:r>
    </w:p>
    <w:p>
      <w:pPr>
        <w:pStyle w:val="TOC8"/>
        <w:rPr>
          <w:sz w:val="24"/>
          <w:szCs w:val="24"/>
          <w:lang w:val="en-US"/>
        </w:rPr>
      </w:pPr>
      <w:r>
        <w:t>23.</w:t>
      </w:r>
      <w:r>
        <w:tab/>
        <w:t>Fees</w:t>
      </w:r>
      <w:r>
        <w:tab/>
      </w:r>
      <w:r>
        <w:fldChar w:fldCharType="begin"/>
      </w:r>
      <w:r>
        <w:instrText xml:space="preserve"> PAGEREF _Toc333227026 \h </w:instrText>
      </w:r>
      <w:r>
        <w:fldChar w:fldCharType="separate"/>
      </w:r>
      <w:r>
        <w:t>19</w:t>
      </w:r>
      <w:r>
        <w:fldChar w:fldCharType="end"/>
      </w:r>
    </w:p>
    <w:p>
      <w:pPr>
        <w:pStyle w:val="TOC4"/>
        <w:tabs>
          <w:tab w:val="right" w:leader="dot" w:pos="7086"/>
        </w:tabs>
        <w:rPr>
          <w:b w:val="0"/>
          <w:sz w:val="24"/>
          <w:szCs w:val="24"/>
          <w:lang w:val="en-US"/>
        </w:rPr>
      </w:pPr>
      <w:r>
        <w:t>Division 3 — Audits of training providers</w:t>
      </w:r>
    </w:p>
    <w:p>
      <w:pPr>
        <w:pStyle w:val="TOC8"/>
        <w:rPr>
          <w:sz w:val="24"/>
          <w:szCs w:val="24"/>
          <w:lang w:val="en-US"/>
        </w:rPr>
      </w:pPr>
      <w:r>
        <w:t>24.</w:t>
      </w:r>
      <w:r>
        <w:tab/>
        <w:t>Term used: compliance audit</w:t>
      </w:r>
      <w:r>
        <w:tab/>
      </w:r>
      <w:r>
        <w:fldChar w:fldCharType="begin"/>
      </w:r>
      <w:r>
        <w:instrText xml:space="preserve"> PAGEREF _Toc333227028 \h </w:instrText>
      </w:r>
      <w:r>
        <w:fldChar w:fldCharType="separate"/>
      </w:r>
      <w:r>
        <w:t>19</w:t>
      </w:r>
      <w:r>
        <w:fldChar w:fldCharType="end"/>
      </w:r>
    </w:p>
    <w:p>
      <w:pPr>
        <w:pStyle w:val="TOC8"/>
        <w:rPr>
          <w:sz w:val="24"/>
          <w:szCs w:val="24"/>
          <w:lang w:val="en-US"/>
        </w:rPr>
      </w:pPr>
      <w:r>
        <w:t>25.</w:t>
      </w:r>
      <w:r>
        <w:tab/>
        <w:t>Audits</w:t>
      </w:r>
      <w:r>
        <w:tab/>
      </w:r>
      <w:r>
        <w:fldChar w:fldCharType="begin"/>
      </w:r>
      <w:r>
        <w:instrText xml:space="preserve"> PAGEREF _Toc333227029 \h </w:instrText>
      </w:r>
      <w:r>
        <w:fldChar w:fldCharType="separate"/>
      </w:r>
      <w:r>
        <w:t>19</w:t>
      </w:r>
      <w:r>
        <w:fldChar w:fldCharType="end"/>
      </w:r>
    </w:p>
    <w:p>
      <w:pPr>
        <w:pStyle w:val="TOC4"/>
        <w:tabs>
          <w:tab w:val="right" w:leader="dot" w:pos="7086"/>
        </w:tabs>
        <w:rPr>
          <w:b w:val="0"/>
          <w:sz w:val="24"/>
          <w:szCs w:val="24"/>
          <w:lang w:val="en-US"/>
        </w:rPr>
      </w:pPr>
      <w:r>
        <w:t>Division 4 — Obligations of registered training providers</w:t>
      </w:r>
    </w:p>
    <w:p>
      <w:pPr>
        <w:pStyle w:val="TOC8"/>
        <w:rPr>
          <w:sz w:val="24"/>
          <w:szCs w:val="24"/>
          <w:lang w:val="en-US"/>
        </w:rPr>
      </w:pPr>
      <w:r>
        <w:t>26.</w:t>
      </w:r>
      <w:r>
        <w:tab/>
        <w:t>Reporting to the Council</w:t>
      </w:r>
      <w:r>
        <w:tab/>
      </w:r>
      <w:r>
        <w:fldChar w:fldCharType="begin"/>
      </w:r>
      <w:r>
        <w:instrText xml:space="preserve"> PAGEREF _Toc333227031 \h </w:instrText>
      </w:r>
      <w:r>
        <w:fldChar w:fldCharType="separate"/>
      </w:r>
      <w:r>
        <w:t>20</w:t>
      </w:r>
      <w:r>
        <w:fldChar w:fldCharType="end"/>
      </w:r>
    </w:p>
    <w:p>
      <w:pPr>
        <w:pStyle w:val="TOC8"/>
        <w:rPr>
          <w:sz w:val="24"/>
          <w:szCs w:val="24"/>
          <w:lang w:val="en-US"/>
        </w:rPr>
      </w:pPr>
      <w:r>
        <w:t>27.</w:t>
      </w:r>
      <w:r>
        <w:tab/>
        <w:t>Giving Council information on ceasing operations</w:t>
      </w:r>
      <w:r>
        <w:tab/>
      </w:r>
      <w:r>
        <w:fldChar w:fldCharType="begin"/>
      </w:r>
      <w:r>
        <w:instrText xml:space="preserve"> PAGEREF _Toc333227032 \h </w:instrText>
      </w:r>
      <w:r>
        <w:fldChar w:fldCharType="separate"/>
      </w:r>
      <w:r>
        <w:t>21</w:t>
      </w:r>
      <w:r>
        <w:fldChar w:fldCharType="end"/>
      </w:r>
    </w:p>
    <w:p>
      <w:pPr>
        <w:pStyle w:val="TOC4"/>
        <w:tabs>
          <w:tab w:val="right" w:leader="dot" w:pos="7086"/>
        </w:tabs>
        <w:rPr>
          <w:b w:val="0"/>
          <w:sz w:val="24"/>
          <w:szCs w:val="24"/>
          <w:lang w:val="en-US"/>
        </w:rPr>
      </w:pPr>
      <w:r>
        <w:t>Division 5 — Accreditation of VET courses</w:t>
      </w:r>
    </w:p>
    <w:p>
      <w:pPr>
        <w:pStyle w:val="TOC8"/>
        <w:rPr>
          <w:sz w:val="24"/>
          <w:szCs w:val="24"/>
          <w:lang w:val="en-US"/>
        </w:rPr>
      </w:pPr>
      <w:r>
        <w:t>28.</w:t>
      </w:r>
      <w:r>
        <w:tab/>
        <w:t>Applying to have a VET course accredited</w:t>
      </w:r>
      <w:r>
        <w:tab/>
      </w:r>
      <w:r>
        <w:fldChar w:fldCharType="begin"/>
      </w:r>
      <w:r>
        <w:instrText xml:space="preserve"> PAGEREF _Toc333227034 \h </w:instrText>
      </w:r>
      <w:r>
        <w:fldChar w:fldCharType="separate"/>
      </w:r>
      <w:r>
        <w:t>22</w:t>
      </w:r>
      <w:r>
        <w:fldChar w:fldCharType="end"/>
      </w:r>
    </w:p>
    <w:p>
      <w:pPr>
        <w:pStyle w:val="TOC8"/>
        <w:rPr>
          <w:sz w:val="24"/>
          <w:szCs w:val="24"/>
          <w:lang w:val="en-US"/>
        </w:rPr>
      </w:pPr>
      <w:r>
        <w:t>29.</w:t>
      </w:r>
      <w:r>
        <w:tab/>
        <w:t>Dealing with applications</w:t>
      </w:r>
      <w:r>
        <w:tab/>
      </w:r>
      <w:r>
        <w:fldChar w:fldCharType="begin"/>
      </w:r>
      <w:r>
        <w:instrText xml:space="preserve"> PAGEREF _Toc333227035 \h </w:instrText>
      </w:r>
      <w:r>
        <w:fldChar w:fldCharType="separate"/>
      </w:r>
      <w:r>
        <w:t>22</w:t>
      </w:r>
      <w:r>
        <w:fldChar w:fldCharType="end"/>
      </w:r>
    </w:p>
    <w:p>
      <w:pPr>
        <w:pStyle w:val="TOC8"/>
        <w:rPr>
          <w:sz w:val="24"/>
          <w:szCs w:val="24"/>
          <w:lang w:val="en-US"/>
        </w:rPr>
      </w:pPr>
      <w:r>
        <w:t>30.</w:t>
      </w:r>
      <w:r>
        <w:tab/>
        <w:t>Accrediting VET courses</w:t>
      </w:r>
      <w:r>
        <w:tab/>
      </w:r>
      <w:r>
        <w:fldChar w:fldCharType="begin"/>
      </w:r>
      <w:r>
        <w:instrText xml:space="preserve"> PAGEREF _Toc333227036 \h </w:instrText>
      </w:r>
      <w:r>
        <w:fldChar w:fldCharType="separate"/>
      </w:r>
      <w:r>
        <w:t>23</w:t>
      </w:r>
      <w:r>
        <w:fldChar w:fldCharType="end"/>
      </w:r>
    </w:p>
    <w:p>
      <w:pPr>
        <w:pStyle w:val="TOC8"/>
        <w:rPr>
          <w:sz w:val="24"/>
          <w:szCs w:val="24"/>
          <w:lang w:val="en-US"/>
        </w:rPr>
      </w:pPr>
      <w:r>
        <w:t>31.</w:t>
      </w:r>
      <w:r>
        <w:tab/>
        <w:t>Period of accreditation</w:t>
      </w:r>
      <w:r>
        <w:tab/>
      </w:r>
      <w:r>
        <w:fldChar w:fldCharType="begin"/>
      </w:r>
      <w:r>
        <w:instrText xml:space="preserve"> PAGEREF _Toc333227037 \h </w:instrText>
      </w:r>
      <w:r>
        <w:fldChar w:fldCharType="separate"/>
      </w:r>
      <w:r>
        <w:t>24</w:t>
      </w:r>
      <w:r>
        <w:fldChar w:fldCharType="end"/>
      </w:r>
    </w:p>
    <w:p>
      <w:pPr>
        <w:pStyle w:val="TOC8"/>
        <w:rPr>
          <w:sz w:val="24"/>
          <w:szCs w:val="24"/>
          <w:lang w:val="en-US"/>
        </w:rPr>
      </w:pPr>
      <w:r>
        <w:t>32.</w:t>
      </w:r>
      <w:r>
        <w:tab/>
        <w:t>Renewing accreditation</w:t>
      </w:r>
      <w:r>
        <w:tab/>
      </w:r>
      <w:r>
        <w:fldChar w:fldCharType="begin"/>
      </w:r>
      <w:r>
        <w:instrText xml:space="preserve"> PAGEREF _Toc333227038 \h </w:instrText>
      </w:r>
      <w:r>
        <w:fldChar w:fldCharType="separate"/>
      </w:r>
      <w:r>
        <w:t>24</w:t>
      </w:r>
      <w:r>
        <w:fldChar w:fldCharType="end"/>
      </w:r>
    </w:p>
    <w:p>
      <w:pPr>
        <w:pStyle w:val="TOC8"/>
        <w:rPr>
          <w:sz w:val="24"/>
          <w:szCs w:val="24"/>
          <w:lang w:val="en-US"/>
        </w:rPr>
      </w:pPr>
      <w:r>
        <w:t>33.</w:t>
      </w:r>
      <w:r>
        <w:tab/>
        <w:t>Cancelling accreditation</w:t>
      </w:r>
      <w:r>
        <w:tab/>
      </w:r>
      <w:r>
        <w:fldChar w:fldCharType="begin"/>
      </w:r>
      <w:r>
        <w:instrText xml:space="preserve"> PAGEREF _Toc333227039 \h </w:instrText>
      </w:r>
      <w:r>
        <w:fldChar w:fldCharType="separate"/>
      </w:r>
      <w:r>
        <w:t>24</w:t>
      </w:r>
      <w:r>
        <w:fldChar w:fldCharType="end"/>
      </w:r>
    </w:p>
    <w:p>
      <w:pPr>
        <w:pStyle w:val="TOC2"/>
        <w:tabs>
          <w:tab w:val="right" w:leader="dot" w:pos="7086"/>
        </w:tabs>
        <w:rPr>
          <w:b w:val="0"/>
          <w:sz w:val="24"/>
          <w:szCs w:val="24"/>
          <w:lang w:val="en-US"/>
        </w:rPr>
      </w:pPr>
      <w:r>
        <w:t>Part 4 — Regulations for Part 7 of the Act</w:t>
      </w:r>
    </w:p>
    <w:p>
      <w:pPr>
        <w:pStyle w:val="TOC4"/>
        <w:tabs>
          <w:tab w:val="right" w:leader="dot" w:pos="7086"/>
        </w:tabs>
        <w:rPr>
          <w:b w:val="0"/>
          <w:sz w:val="24"/>
          <w:szCs w:val="24"/>
          <w:lang w:val="en-US"/>
        </w:rPr>
      </w:pPr>
      <w:r>
        <w:t>Division 1 — General matters</w:t>
      </w:r>
    </w:p>
    <w:p>
      <w:pPr>
        <w:pStyle w:val="TOC8"/>
        <w:rPr>
          <w:sz w:val="24"/>
          <w:szCs w:val="24"/>
          <w:lang w:val="en-US"/>
        </w:rPr>
      </w:pPr>
      <w:r>
        <w:t>34.</w:t>
      </w:r>
      <w:r>
        <w:tab/>
        <w:t>Term used: nominated training provider</w:t>
      </w:r>
      <w:r>
        <w:tab/>
      </w:r>
      <w:r>
        <w:fldChar w:fldCharType="begin"/>
      </w:r>
      <w:r>
        <w:instrText xml:space="preserve"> PAGEREF _Toc333227042 \h </w:instrText>
      </w:r>
      <w:r>
        <w:fldChar w:fldCharType="separate"/>
      </w:r>
      <w:r>
        <w:t>25</w:t>
      </w:r>
      <w:r>
        <w:fldChar w:fldCharType="end"/>
      </w:r>
    </w:p>
    <w:p>
      <w:pPr>
        <w:pStyle w:val="TOC8"/>
        <w:rPr>
          <w:sz w:val="24"/>
          <w:szCs w:val="24"/>
          <w:lang w:val="en-US"/>
        </w:rPr>
      </w:pPr>
      <w:r>
        <w:t>35.</w:t>
      </w:r>
      <w:r>
        <w:tab/>
        <w:t>Chief executive may delegate</w:t>
      </w:r>
      <w:r>
        <w:tab/>
      </w:r>
      <w:r>
        <w:fldChar w:fldCharType="begin"/>
      </w:r>
      <w:r>
        <w:instrText xml:space="preserve"> PAGEREF _Toc333227043 \h </w:instrText>
      </w:r>
      <w:r>
        <w:fldChar w:fldCharType="separate"/>
      </w:r>
      <w:r>
        <w:t>25</w:t>
      </w:r>
      <w:r>
        <w:fldChar w:fldCharType="end"/>
      </w:r>
    </w:p>
    <w:p>
      <w:pPr>
        <w:pStyle w:val="TOC4"/>
        <w:tabs>
          <w:tab w:val="right" w:leader="dot" w:pos="7086"/>
        </w:tabs>
        <w:rPr>
          <w:b w:val="0"/>
          <w:sz w:val="24"/>
          <w:szCs w:val="24"/>
          <w:lang w:val="en-US"/>
        </w:rPr>
      </w:pPr>
      <w:r>
        <w:t>Division 2 — Classifying prescribed VET qualifications</w:t>
      </w:r>
    </w:p>
    <w:p>
      <w:pPr>
        <w:pStyle w:val="TOC8"/>
        <w:rPr>
          <w:sz w:val="24"/>
          <w:szCs w:val="24"/>
          <w:lang w:val="en-US"/>
        </w:rPr>
      </w:pPr>
      <w:r>
        <w:t>36.</w:t>
      </w:r>
      <w:r>
        <w:tab/>
        <w:t>Who Board must consult (Act s. 60C)</w:t>
      </w:r>
      <w:r>
        <w:tab/>
      </w:r>
      <w:r>
        <w:fldChar w:fldCharType="begin"/>
      </w:r>
      <w:r>
        <w:instrText xml:space="preserve"> PAGEREF _Toc333227045 \h </w:instrText>
      </w:r>
      <w:r>
        <w:fldChar w:fldCharType="separate"/>
      </w:r>
      <w:r>
        <w:t>26</w:t>
      </w:r>
      <w:r>
        <w:fldChar w:fldCharType="end"/>
      </w:r>
    </w:p>
    <w:p>
      <w:pPr>
        <w:pStyle w:val="TOC8"/>
        <w:rPr>
          <w:sz w:val="24"/>
          <w:szCs w:val="24"/>
          <w:lang w:val="en-US"/>
        </w:rPr>
      </w:pPr>
      <w:r>
        <w:t>37.</w:t>
      </w:r>
      <w:r>
        <w:tab/>
        <w:t>Board’s advice and recommendations to Minister (Act s. 60C)</w:t>
      </w:r>
      <w:r>
        <w:tab/>
      </w:r>
      <w:r>
        <w:fldChar w:fldCharType="begin"/>
      </w:r>
      <w:r>
        <w:instrText xml:space="preserve"> PAGEREF _Toc333227046 \h </w:instrText>
      </w:r>
      <w:r>
        <w:fldChar w:fldCharType="separate"/>
      </w:r>
      <w:r>
        <w:t>26</w:t>
      </w:r>
      <w:r>
        <w:fldChar w:fldCharType="end"/>
      </w:r>
    </w:p>
    <w:p>
      <w:pPr>
        <w:pStyle w:val="TOC4"/>
        <w:tabs>
          <w:tab w:val="right" w:leader="dot" w:pos="7086"/>
        </w:tabs>
        <w:rPr>
          <w:b w:val="0"/>
          <w:sz w:val="24"/>
          <w:szCs w:val="24"/>
          <w:lang w:val="en-US"/>
        </w:rPr>
      </w:pPr>
      <w:r>
        <w:t>Division 3 — Training contracts</w:t>
      </w:r>
    </w:p>
    <w:p>
      <w:pPr>
        <w:pStyle w:val="TOC8"/>
        <w:rPr>
          <w:sz w:val="24"/>
          <w:szCs w:val="24"/>
          <w:lang w:val="en-US"/>
        </w:rPr>
      </w:pPr>
      <w:r>
        <w:t>38.</w:t>
      </w:r>
      <w:r>
        <w:tab/>
        <w:t>Form and content of training contracts</w:t>
      </w:r>
      <w:r>
        <w:tab/>
      </w:r>
      <w:r>
        <w:fldChar w:fldCharType="begin"/>
      </w:r>
      <w:r>
        <w:instrText xml:space="preserve"> PAGEREF _Toc333227048 \h </w:instrText>
      </w:r>
      <w:r>
        <w:fldChar w:fldCharType="separate"/>
      </w:r>
      <w:r>
        <w:t>27</w:t>
      </w:r>
      <w:r>
        <w:fldChar w:fldCharType="end"/>
      </w:r>
    </w:p>
    <w:p>
      <w:pPr>
        <w:pStyle w:val="TOC8"/>
        <w:rPr>
          <w:sz w:val="24"/>
          <w:szCs w:val="24"/>
          <w:lang w:val="en-US"/>
        </w:rPr>
      </w:pPr>
      <w:r>
        <w:t>39.</w:t>
      </w:r>
      <w:r>
        <w:tab/>
        <w:t>Probation periods of training contracts</w:t>
      </w:r>
      <w:r>
        <w:tab/>
      </w:r>
      <w:r>
        <w:fldChar w:fldCharType="begin"/>
      </w:r>
      <w:r>
        <w:instrText xml:space="preserve"> PAGEREF _Toc333227049 \h </w:instrText>
      </w:r>
      <w:r>
        <w:fldChar w:fldCharType="separate"/>
      </w:r>
      <w:r>
        <w:t>28</w:t>
      </w:r>
      <w:r>
        <w:fldChar w:fldCharType="end"/>
      </w:r>
    </w:p>
    <w:p>
      <w:pPr>
        <w:pStyle w:val="TOC8"/>
        <w:rPr>
          <w:sz w:val="24"/>
          <w:szCs w:val="24"/>
          <w:lang w:val="en-US"/>
        </w:rPr>
      </w:pPr>
      <w:r>
        <w:t>40.</w:t>
      </w:r>
      <w:r>
        <w:tab/>
        <w:t>Children’s capacity to enter into training contracts</w:t>
      </w:r>
      <w:r>
        <w:tab/>
      </w:r>
      <w:r>
        <w:fldChar w:fldCharType="begin"/>
      </w:r>
      <w:r>
        <w:instrText xml:space="preserve"> PAGEREF _Toc333227050 \h </w:instrText>
      </w:r>
      <w:r>
        <w:fldChar w:fldCharType="separate"/>
      </w:r>
      <w:r>
        <w:t>28</w:t>
      </w:r>
      <w:r>
        <w:fldChar w:fldCharType="end"/>
      </w:r>
    </w:p>
    <w:p>
      <w:pPr>
        <w:pStyle w:val="TOC8"/>
        <w:rPr>
          <w:sz w:val="24"/>
          <w:szCs w:val="24"/>
          <w:lang w:val="en-US"/>
        </w:rPr>
      </w:pPr>
      <w:r>
        <w:t>41.</w:t>
      </w:r>
      <w:r>
        <w:tab/>
        <w:t>Lodging training contracts for registration (Act s. 60F)</w:t>
      </w:r>
      <w:r>
        <w:tab/>
      </w:r>
      <w:r>
        <w:fldChar w:fldCharType="begin"/>
      </w:r>
      <w:r>
        <w:instrText xml:space="preserve"> PAGEREF _Toc333227051 \h </w:instrText>
      </w:r>
      <w:r>
        <w:fldChar w:fldCharType="separate"/>
      </w:r>
      <w:r>
        <w:t>30</w:t>
      </w:r>
      <w:r>
        <w:fldChar w:fldCharType="end"/>
      </w:r>
    </w:p>
    <w:p>
      <w:pPr>
        <w:pStyle w:val="TOC8"/>
        <w:rPr>
          <w:sz w:val="24"/>
          <w:szCs w:val="24"/>
          <w:lang w:val="en-US"/>
        </w:rPr>
      </w:pPr>
      <w:r>
        <w:t>42.</w:t>
      </w:r>
      <w:r>
        <w:tab/>
        <w:t>Registering training contracts (Act s. 60F)</w:t>
      </w:r>
      <w:r>
        <w:tab/>
      </w:r>
      <w:r>
        <w:fldChar w:fldCharType="begin"/>
      </w:r>
      <w:r>
        <w:instrText xml:space="preserve"> PAGEREF _Toc333227052 \h </w:instrText>
      </w:r>
      <w:r>
        <w:fldChar w:fldCharType="separate"/>
      </w:r>
      <w:r>
        <w:t>30</w:t>
      </w:r>
      <w:r>
        <w:fldChar w:fldCharType="end"/>
      </w:r>
    </w:p>
    <w:p>
      <w:pPr>
        <w:pStyle w:val="TOC8"/>
        <w:rPr>
          <w:sz w:val="24"/>
          <w:szCs w:val="24"/>
          <w:lang w:val="en-US"/>
        </w:rPr>
      </w:pPr>
      <w:r>
        <w:t>43.</w:t>
      </w:r>
      <w:r>
        <w:tab/>
        <w:t>Training plans for training contracts</w:t>
      </w:r>
      <w:r>
        <w:tab/>
      </w:r>
      <w:r>
        <w:fldChar w:fldCharType="begin"/>
      </w:r>
      <w:r>
        <w:instrText xml:space="preserve"> PAGEREF _Toc333227053 \h </w:instrText>
      </w:r>
      <w:r>
        <w:fldChar w:fldCharType="separate"/>
      </w:r>
      <w:r>
        <w:t>31</w:t>
      </w:r>
      <w:r>
        <w:fldChar w:fldCharType="end"/>
      </w:r>
    </w:p>
    <w:p>
      <w:pPr>
        <w:pStyle w:val="TOC8"/>
        <w:rPr>
          <w:sz w:val="24"/>
          <w:szCs w:val="24"/>
          <w:lang w:val="en-US"/>
        </w:rPr>
      </w:pPr>
      <w:r>
        <w:t>44.</w:t>
      </w:r>
      <w:r>
        <w:tab/>
        <w:t>Cancellation of registration by chief executive (Act s. 60F)</w:t>
      </w:r>
      <w:r>
        <w:tab/>
      </w:r>
      <w:r>
        <w:fldChar w:fldCharType="begin"/>
      </w:r>
      <w:r>
        <w:instrText xml:space="preserve"> PAGEREF _Toc333227054 \h </w:instrText>
      </w:r>
      <w:r>
        <w:fldChar w:fldCharType="separate"/>
      </w:r>
      <w:r>
        <w:t>32</w:t>
      </w:r>
      <w:r>
        <w:fldChar w:fldCharType="end"/>
      </w:r>
    </w:p>
    <w:p>
      <w:pPr>
        <w:pStyle w:val="TOC8"/>
        <w:rPr>
          <w:sz w:val="24"/>
          <w:szCs w:val="24"/>
          <w:lang w:val="en-US"/>
        </w:rPr>
      </w:pPr>
      <w:r>
        <w:t>45.</w:t>
      </w:r>
      <w:r>
        <w:tab/>
        <w:t>Chief executive may require persons involved in training contracts to provide information</w:t>
      </w:r>
      <w:r>
        <w:tab/>
      </w:r>
      <w:r>
        <w:fldChar w:fldCharType="begin"/>
      </w:r>
      <w:r>
        <w:instrText xml:space="preserve"> PAGEREF _Toc333227055 \h </w:instrText>
      </w:r>
      <w:r>
        <w:fldChar w:fldCharType="separate"/>
      </w:r>
      <w:r>
        <w:t>33</w:t>
      </w:r>
      <w:r>
        <w:fldChar w:fldCharType="end"/>
      </w:r>
    </w:p>
    <w:p>
      <w:pPr>
        <w:pStyle w:val="TOC8"/>
        <w:rPr>
          <w:sz w:val="24"/>
          <w:szCs w:val="24"/>
          <w:lang w:val="en-US"/>
        </w:rPr>
      </w:pPr>
      <w:r>
        <w:t>46.</w:t>
      </w:r>
      <w:r>
        <w:tab/>
        <w:t>Variation of training contract by parties (Act s. 60E)</w:t>
      </w:r>
      <w:r>
        <w:tab/>
      </w:r>
      <w:r>
        <w:fldChar w:fldCharType="begin"/>
      </w:r>
      <w:r>
        <w:instrText xml:space="preserve"> PAGEREF _Toc333227056 \h </w:instrText>
      </w:r>
      <w:r>
        <w:fldChar w:fldCharType="separate"/>
      </w:r>
      <w:r>
        <w:t>33</w:t>
      </w:r>
      <w:r>
        <w:fldChar w:fldCharType="end"/>
      </w:r>
    </w:p>
    <w:p>
      <w:pPr>
        <w:pStyle w:val="TOC8"/>
        <w:rPr>
          <w:sz w:val="24"/>
          <w:szCs w:val="24"/>
          <w:lang w:val="en-US"/>
        </w:rPr>
      </w:pPr>
      <w:r>
        <w:t>47.</w:t>
      </w:r>
      <w:r>
        <w:tab/>
        <w:t>Assignment of training contract to another employer (Act s. 60E)</w:t>
      </w:r>
      <w:r>
        <w:tab/>
      </w:r>
      <w:r>
        <w:fldChar w:fldCharType="begin"/>
      </w:r>
      <w:r>
        <w:instrText xml:space="preserve"> PAGEREF _Toc333227057 \h </w:instrText>
      </w:r>
      <w:r>
        <w:fldChar w:fldCharType="separate"/>
      </w:r>
      <w:r>
        <w:t>34</w:t>
      </w:r>
      <w:r>
        <w:fldChar w:fldCharType="end"/>
      </w:r>
    </w:p>
    <w:p>
      <w:pPr>
        <w:pStyle w:val="TOC8"/>
        <w:rPr>
          <w:sz w:val="24"/>
          <w:szCs w:val="24"/>
          <w:lang w:val="en-US"/>
        </w:rPr>
      </w:pPr>
      <w:r>
        <w:t>48.</w:t>
      </w:r>
      <w:r>
        <w:tab/>
        <w:t>Suspension of training contract by parties (Act s. 60E)</w:t>
      </w:r>
      <w:r>
        <w:tab/>
      </w:r>
      <w:r>
        <w:fldChar w:fldCharType="begin"/>
      </w:r>
      <w:r>
        <w:instrText xml:space="preserve"> PAGEREF _Toc333227058 \h </w:instrText>
      </w:r>
      <w:r>
        <w:fldChar w:fldCharType="separate"/>
      </w:r>
      <w:r>
        <w:t>35</w:t>
      </w:r>
      <w:r>
        <w:fldChar w:fldCharType="end"/>
      </w:r>
    </w:p>
    <w:p>
      <w:pPr>
        <w:pStyle w:val="TOC8"/>
        <w:rPr>
          <w:sz w:val="24"/>
          <w:szCs w:val="24"/>
          <w:lang w:val="en-US"/>
        </w:rPr>
      </w:pPr>
      <w:r>
        <w:t>49.</w:t>
      </w:r>
      <w:r>
        <w:tab/>
        <w:t>Suspension by employer (Act s. 60E)</w:t>
      </w:r>
      <w:r>
        <w:tab/>
      </w:r>
      <w:r>
        <w:fldChar w:fldCharType="begin"/>
      </w:r>
      <w:r>
        <w:instrText xml:space="preserve"> PAGEREF _Toc333227059 \h </w:instrText>
      </w:r>
      <w:r>
        <w:fldChar w:fldCharType="separate"/>
      </w:r>
      <w:r>
        <w:t>36</w:t>
      </w:r>
      <w:r>
        <w:fldChar w:fldCharType="end"/>
      </w:r>
    </w:p>
    <w:p>
      <w:pPr>
        <w:pStyle w:val="TOC8"/>
        <w:rPr>
          <w:sz w:val="24"/>
          <w:szCs w:val="24"/>
          <w:lang w:val="en-US"/>
        </w:rPr>
      </w:pPr>
      <w:r>
        <w:t>50.</w:t>
      </w:r>
      <w:r>
        <w:tab/>
        <w:t>Termination of training contract by parties (Act s. 60G)</w:t>
      </w:r>
      <w:r>
        <w:tab/>
      </w:r>
      <w:r>
        <w:fldChar w:fldCharType="begin"/>
      </w:r>
      <w:r>
        <w:instrText xml:space="preserve"> PAGEREF _Toc333227060 \h </w:instrText>
      </w:r>
      <w:r>
        <w:fldChar w:fldCharType="separate"/>
      </w:r>
      <w:r>
        <w:t>37</w:t>
      </w:r>
      <w:r>
        <w:fldChar w:fldCharType="end"/>
      </w:r>
    </w:p>
    <w:p>
      <w:pPr>
        <w:pStyle w:val="TOC8"/>
        <w:rPr>
          <w:sz w:val="24"/>
          <w:szCs w:val="24"/>
          <w:lang w:val="en-US"/>
        </w:rPr>
      </w:pPr>
      <w:r>
        <w:t>51.</w:t>
      </w:r>
      <w:r>
        <w:tab/>
        <w:t>Approval of termination of training contract by chief executive (Act s. 60G)</w:t>
      </w:r>
      <w:r>
        <w:tab/>
      </w:r>
      <w:r>
        <w:fldChar w:fldCharType="begin"/>
      </w:r>
      <w:r>
        <w:instrText xml:space="preserve"> PAGEREF _Toc333227061 \h </w:instrText>
      </w:r>
      <w:r>
        <w:fldChar w:fldCharType="separate"/>
      </w:r>
      <w:r>
        <w:t>38</w:t>
      </w:r>
      <w:r>
        <w:fldChar w:fldCharType="end"/>
      </w:r>
    </w:p>
    <w:p>
      <w:pPr>
        <w:pStyle w:val="TOC8"/>
        <w:rPr>
          <w:sz w:val="24"/>
          <w:szCs w:val="24"/>
          <w:lang w:val="en-US"/>
        </w:rPr>
      </w:pPr>
      <w:r>
        <w:t>52.</w:t>
      </w:r>
      <w:r>
        <w:tab/>
        <w:t>Completion of training contract</w:t>
      </w:r>
      <w:r>
        <w:tab/>
      </w:r>
      <w:r>
        <w:fldChar w:fldCharType="begin"/>
      </w:r>
      <w:r>
        <w:instrText xml:space="preserve"> PAGEREF _Toc333227062 \h </w:instrText>
      </w:r>
      <w:r>
        <w:fldChar w:fldCharType="separate"/>
      </w:r>
      <w:r>
        <w:t>38</w:t>
      </w:r>
      <w:r>
        <w:fldChar w:fldCharType="end"/>
      </w:r>
    </w:p>
    <w:p>
      <w:pPr>
        <w:pStyle w:val="TOC4"/>
        <w:tabs>
          <w:tab w:val="right" w:leader="dot" w:pos="7086"/>
        </w:tabs>
        <w:rPr>
          <w:b w:val="0"/>
          <w:sz w:val="24"/>
          <w:szCs w:val="24"/>
          <w:lang w:val="en-US"/>
        </w:rPr>
      </w:pPr>
      <w:r>
        <w:t>Division 4 — Procedure and appeals</w:t>
      </w:r>
    </w:p>
    <w:p>
      <w:pPr>
        <w:pStyle w:val="TOC8"/>
        <w:rPr>
          <w:sz w:val="24"/>
          <w:szCs w:val="24"/>
          <w:lang w:val="en-US"/>
        </w:rPr>
      </w:pPr>
      <w:r>
        <w:t>53.</w:t>
      </w:r>
      <w:r>
        <w:tab/>
        <w:t>Procedure on applications</w:t>
      </w:r>
      <w:r>
        <w:tab/>
      </w:r>
      <w:r>
        <w:fldChar w:fldCharType="begin"/>
      </w:r>
      <w:r>
        <w:instrText xml:space="preserve"> PAGEREF _Toc333227064 \h </w:instrText>
      </w:r>
      <w:r>
        <w:fldChar w:fldCharType="separate"/>
      </w:r>
      <w:r>
        <w:t>38</w:t>
      </w:r>
      <w:r>
        <w:fldChar w:fldCharType="end"/>
      </w:r>
    </w:p>
    <w:p>
      <w:pPr>
        <w:pStyle w:val="TOC8"/>
        <w:rPr>
          <w:sz w:val="24"/>
          <w:szCs w:val="24"/>
          <w:lang w:val="en-US"/>
        </w:rPr>
      </w:pPr>
      <w:r>
        <w:t>54.</w:t>
      </w:r>
      <w:r>
        <w:tab/>
        <w:t>Appeals</w:t>
      </w:r>
      <w:r>
        <w:tab/>
      </w:r>
      <w:r>
        <w:fldChar w:fldCharType="begin"/>
      </w:r>
      <w:r>
        <w:instrText xml:space="preserve"> PAGEREF _Toc333227065 \h </w:instrText>
      </w:r>
      <w:r>
        <w:fldChar w:fldCharType="separate"/>
      </w:r>
      <w:r>
        <w:t>39</w:t>
      </w:r>
      <w:r>
        <w:fldChar w:fldCharType="end"/>
      </w:r>
    </w:p>
    <w:p>
      <w:pPr>
        <w:pStyle w:val="TOC2"/>
        <w:tabs>
          <w:tab w:val="right" w:leader="dot" w:pos="7086"/>
        </w:tabs>
        <w:rPr>
          <w:b w:val="0"/>
          <w:sz w:val="24"/>
          <w:szCs w:val="24"/>
          <w:lang w:val="en-US"/>
        </w:rPr>
      </w:pPr>
      <w:r>
        <w:t>Part 5 — Repeals and transitional matters</w:t>
      </w:r>
    </w:p>
    <w:p>
      <w:pPr>
        <w:pStyle w:val="TOC8"/>
        <w:rPr>
          <w:sz w:val="24"/>
          <w:szCs w:val="24"/>
          <w:lang w:val="en-US"/>
        </w:rPr>
      </w:pPr>
      <w:r>
        <w:t>55.</w:t>
      </w:r>
      <w:r>
        <w:tab/>
        <w:t>Term used: commencement</w:t>
      </w:r>
      <w:r>
        <w:tab/>
      </w:r>
      <w:r>
        <w:fldChar w:fldCharType="begin"/>
      </w:r>
      <w:r>
        <w:instrText xml:space="preserve"> PAGEREF _Toc333227067 \h </w:instrText>
      </w:r>
      <w:r>
        <w:fldChar w:fldCharType="separate"/>
      </w:r>
      <w:r>
        <w:t>40</w:t>
      </w:r>
      <w:r>
        <w:fldChar w:fldCharType="end"/>
      </w:r>
    </w:p>
    <w:p>
      <w:pPr>
        <w:pStyle w:val="TOC8"/>
        <w:rPr>
          <w:sz w:val="24"/>
          <w:szCs w:val="24"/>
          <w:lang w:val="en-US"/>
        </w:rPr>
      </w:pPr>
      <w:r>
        <w:t>56.</w:t>
      </w:r>
      <w:r>
        <w:tab/>
        <w:t>Repeals</w:t>
      </w:r>
      <w:r>
        <w:tab/>
      </w:r>
      <w:r>
        <w:fldChar w:fldCharType="begin"/>
      </w:r>
      <w:r>
        <w:instrText xml:space="preserve"> PAGEREF _Toc333227068 \h </w:instrText>
      </w:r>
      <w:r>
        <w:fldChar w:fldCharType="separate"/>
      </w:r>
      <w:r>
        <w:t>40</w:t>
      </w:r>
      <w:r>
        <w:fldChar w:fldCharType="end"/>
      </w:r>
    </w:p>
    <w:p>
      <w:pPr>
        <w:pStyle w:val="TOC8"/>
        <w:rPr>
          <w:sz w:val="24"/>
          <w:szCs w:val="24"/>
          <w:lang w:val="en-US"/>
        </w:rPr>
      </w:pPr>
      <w:r>
        <w:t>57.</w:t>
      </w:r>
      <w:r>
        <w:tab/>
        <w:t>Registered training providers</w:t>
      </w:r>
      <w:r>
        <w:tab/>
      </w:r>
      <w:r>
        <w:fldChar w:fldCharType="begin"/>
      </w:r>
      <w:r>
        <w:instrText xml:space="preserve"> PAGEREF _Toc333227069 \h </w:instrText>
      </w:r>
      <w:r>
        <w:fldChar w:fldCharType="separate"/>
      </w:r>
      <w:r>
        <w:t>40</w:t>
      </w:r>
      <w:r>
        <w:fldChar w:fldCharType="end"/>
      </w:r>
    </w:p>
    <w:p>
      <w:pPr>
        <w:pStyle w:val="TOC8"/>
        <w:rPr>
          <w:sz w:val="24"/>
          <w:szCs w:val="24"/>
          <w:lang w:val="en-US"/>
        </w:rPr>
      </w:pPr>
      <w:r>
        <w:t>58.</w:t>
      </w:r>
      <w:r>
        <w:tab/>
        <w:t>Accredited courses</w:t>
      </w:r>
      <w:r>
        <w:tab/>
      </w:r>
      <w:r>
        <w:fldChar w:fldCharType="begin"/>
      </w:r>
      <w:r>
        <w:instrText xml:space="preserve"> PAGEREF _Toc333227070 \h </w:instrText>
      </w:r>
      <w:r>
        <w:fldChar w:fldCharType="separate"/>
      </w:r>
      <w:r>
        <w:t>40</w:t>
      </w:r>
      <w:r>
        <w:fldChar w:fldCharType="end"/>
      </w:r>
    </w:p>
    <w:p>
      <w:pPr>
        <w:pStyle w:val="TOC8"/>
        <w:rPr>
          <w:sz w:val="24"/>
          <w:szCs w:val="24"/>
          <w:lang w:val="en-US"/>
        </w:rPr>
      </w:pPr>
      <w:r>
        <w:t>59.</w:t>
      </w:r>
      <w:r>
        <w:tab/>
        <w:t>Traineeship contracts</w:t>
      </w:r>
      <w:r>
        <w:tab/>
      </w:r>
      <w:r>
        <w:fldChar w:fldCharType="begin"/>
      </w:r>
      <w:r>
        <w:instrText xml:space="preserve"> PAGEREF _Toc333227071 \h </w:instrText>
      </w:r>
      <w:r>
        <w:fldChar w:fldCharType="separate"/>
      </w:r>
      <w:r>
        <w:t>40</w:t>
      </w:r>
      <w:r>
        <w:fldChar w:fldCharType="end"/>
      </w:r>
    </w:p>
    <w:p>
      <w:pPr>
        <w:pStyle w:val="TOC8"/>
        <w:rPr>
          <w:sz w:val="24"/>
          <w:szCs w:val="24"/>
          <w:lang w:val="en-US"/>
        </w:rPr>
      </w:pPr>
      <w:r>
        <w:t>60.</w:t>
      </w:r>
      <w:r>
        <w:tab/>
        <w:t>Apprentices learning trades, transitional provisions for</w:t>
      </w:r>
      <w:r>
        <w:tab/>
      </w:r>
      <w:r>
        <w:fldChar w:fldCharType="begin"/>
      </w:r>
      <w:r>
        <w:instrText xml:space="preserve"> PAGEREF _Toc333227072 \h </w:instrText>
      </w:r>
      <w:r>
        <w:fldChar w:fldCharType="separate"/>
      </w:r>
      <w:r>
        <w:t>41</w:t>
      </w:r>
      <w:r>
        <w:fldChar w:fldCharType="end"/>
      </w:r>
    </w:p>
    <w:p>
      <w:pPr>
        <w:pStyle w:val="TOC2"/>
        <w:tabs>
          <w:tab w:val="right" w:leader="dot" w:pos="7086"/>
        </w:tabs>
        <w:rPr>
          <w:b w:val="0"/>
          <w:sz w:val="24"/>
          <w:szCs w:val="24"/>
          <w:lang w:val="en-US"/>
        </w:rPr>
      </w:pPr>
      <w:r>
        <w:t>Schedule 1 — Training contract</w:t>
      </w:r>
    </w:p>
    <w:p>
      <w:pPr>
        <w:pStyle w:val="TOC2"/>
        <w:tabs>
          <w:tab w:val="right" w:leader="dot" w:pos="7086"/>
        </w:tabs>
        <w:rPr>
          <w:b w:val="0"/>
          <w:sz w:val="24"/>
          <w:szCs w:val="24"/>
          <w:lang w:val="en-US"/>
        </w:rPr>
      </w:pPr>
      <w:r>
        <w:t>Schedule 2 — Provisions about old agreements and old training contracts</w:t>
      </w:r>
    </w:p>
    <w:p>
      <w:pPr>
        <w:pStyle w:val="TOC8"/>
        <w:rPr>
          <w:sz w:val="24"/>
          <w:szCs w:val="24"/>
          <w:lang w:val="en-US"/>
        </w:rPr>
      </w:pPr>
      <w:r>
        <w:t>1.</w:t>
      </w:r>
      <w:r>
        <w:tab/>
        <w:t>Terms used</w:t>
      </w:r>
      <w:r>
        <w:tab/>
      </w:r>
      <w:r>
        <w:fldChar w:fldCharType="begin"/>
      </w:r>
      <w:r>
        <w:instrText xml:space="preserve"> PAGEREF _Toc333227075 \h </w:instrText>
      </w:r>
      <w:r>
        <w:fldChar w:fldCharType="separate"/>
      </w:r>
      <w:r>
        <w:t>57</w:t>
      </w:r>
      <w:r>
        <w:fldChar w:fldCharType="end"/>
      </w:r>
    </w:p>
    <w:p>
      <w:pPr>
        <w:pStyle w:val="TOC8"/>
        <w:rPr>
          <w:sz w:val="24"/>
          <w:szCs w:val="24"/>
          <w:lang w:val="en-US"/>
        </w:rPr>
      </w:pPr>
      <w:r>
        <w:t>2.</w:t>
      </w:r>
      <w:r>
        <w:tab/>
        <w:t>Old agreements to be read with modifications</w:t>
      </w:r>
      <w:r>
        <w:tab/>
      </w:r>
      <w:r>
        <w:fldChar w:fldCharType="begin"/>
      </w:r>
      <w:r>
        <w:instrText xml:space="preserve"> PAGEREF _Toc333227076 \h </w:instrText>
      </w:r>
      <w:r>
        <w:fldChar w:fldCharType="separate"/>
      </w:r>
      <w:r>
        <w:t>57</w:t>
      </w:r>
      <w:r>
        <w:fldChar w:fldCharType="end"/>
      </w:r>
    </w:p>
    <w:p>
      <w:pPr>
        <w:pStyle w:val="TOC8"/>
        <w:rPr>
          <w:sz w:val="24"/>
          <w:szCs w:val="24"/>
          <w:lang w:val="en-US"/>
        </w:rPr>
      </w:pPr>
      <w:r>
        <w:t>3.</w:t>
      </w:r>
      <w:r>
        <w:tab/>
        <w:t>Old agreements and contracts not terminated by sale of business</w:t>
      </w:r>
      <w:r>
        <w:tab/>
      </w:r>
      <w:r>
        <w:fldChar w:fldCharType="begin"/>
      </w:r>
      <w:r>
        <w:instrText xml:space="preserve"> PAGEREF _Toc333227077 \h </w:instrText>
      </w:r>
      <w:r>
        <w:fldChar w:fldCharType="separate"/>
      </w:r>
      <w:r>
        <w:t>59</w:t>
      </w:r>
      <w:r>
        <w:fldChar w:fldCharType="end"/>
      </w:r>
    </w:p>
    <w:p>
      <w:pPr>
        <w:pStyle w:val="TOC8"/>
        <w:rPr>
          <w:sz w:val="24"/>
          <w:szCs w:val="24"/>
          <w:lang w:val="en-US"/>
        </w:rPr>
      </w:pPr>
      <w:r>
        <w:t>4.</w:t>
      </w:r>
      <w:r>
        <w:tab/>
        <w:t>Technical instruction requirements for trade apprentices</w:t>
      </w:r>
      <w:r>
        <w:tab/>
      </w:r>
      <w:r>
        <w:fldChar w:fldCharType="begin"/>
      </w:r>
      <w:r>
        <w:instrText xml:space="preserve"> PAGEREF _Toc333227078 \h </w:instrText>
      </w:r>
      <w:r>
        <w:fldChar w:fldCharType="separate"/>
      </w:r>
      <w:r>
        <w:t>59</w:t>
      </w:r>
      <w:r>
        <w:fldChar w:fldCharType="end"/>
      </w:r>
    </w:p>
    <w:p>
      <w:pPr>
        <w:pStyle w:val="TOC8"/>
        <w:rPr>
          <w:sz w:val="24"/>
          <w:szCs w:val="24"/>
          <w:lang w:val="en-US"/>
        </w:rPr>
      </w:pPr>
      <w:r>
        <w:t>5.</w:t>
      </w:r>
      <w:r>
        <w:tab/>
        <w:t>Final certificates for trade apprentices</w:t>
      </w:r>
      <w:r>
        <w:tab/>
      </w:r>
      <w:r>
        <w:fldChar w:fldCharType="begin"/>
      </w:r>
      <w:r>
        <w:instrText xml:space="preserve"> PAGEREF _Toc333227079 \h </w:instrText>
      </w:r>
      <w:r>
        <w:fldChar w:fldCharType="separate"/>
      </w:r>
      <w:r>
        <w:t>59</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_Toc333227081 \h </w:instrText>
      </w:r>
      <w:r>
        <w:fldChar w:fldCharType="separate"/>
      </w:r>
      <w:r>
        <w:t>60</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Vocational Education and Training Act 1996</w:t>
      </w:r>
    </w:p>
    <w:p>
      <w:pPr>
        <w:pStyle w:val="NameofActReg"/>
      </w:pPr>
      <w:r>
        <w:t>Vocational Education and Training (General) Regulations 2009</w:t>
      </w:r>
    </w:p>
    <w:p>
      <w:pPr>
        <w:pStyle w:val="Heading2"/>
        <w:pageBreakBefore w:val="0"/>
      </w:pPr>
      <w:bookmarkStart w:id="1" w:name="_Toc229464985"/>
      <w:bookmarkStart w:id="2" w:name="_Toc229465026"/>
      <w:bookmarkStart w:id="3" w:name="_Toc229465554"/>
      <w:bookmarkStart w:id="4" w:name="_Toc229465677"/>
      <w:bookmarkStart w:id="5" w:name="_Toc229466357"/>
      <w:bookmarkStart w:id="6" w:name="_Toc229467274"/>
      <w:bookmarkStart w:id="7" w:name="_Toc229467463"/>
      <w:bookmarkStart w:id="8" w:name="_Toc229471568"/>
      <w:bookmarkStart w:id="9" w:name="_Toc229472292"/>
      <w:bookmarkStart w:id="10" w:name="_Toc231116500"/>
      <w:bookmarkStart w:id="11" w:name="_Toc231120736"/>
      <w:bookmarkStart w:id="12" w:name="_Toc231121779"/>
      <w:bookmarkStart w:id="13" w:name="_Toc231178929"/>
      <w:bookmarkStart w:id="14" w:name="_Toc232395100"/>
      <w:bookmarkStart w:id="15" w:name="_Toc232396085"/>
      <w:bookmarkStart w:id="16" w:name="_Toc307322557"/>
      <w:bookmarkStart w:id="17" w:name="_Toc312913866"/>
      <w:bookmarkStart w:id="18" w:name="_Toc319582845"/>
      <w:bookmarkStart w:id="19" w:name="_Toc333225969"/>
      <w:bookmarkStart w:id="20" w:name="_Toc333226845"/>
      <w:bookmarkStart w:id="21" w:name="_Toc333226999"/>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423332722"/>
      <w:bookmarkStart w:id="23" w:name="_Toc425219441"/>
      <w:bookmarkStart w:id="24" w:name="_Toc426249308"/>
      <w:bookmarkStart w:id="25" w:name="_Toc449924704"/>
      <w:bookmarkStart w:id="26" w:name="_Toc449947722"/>
      <w:bookmarkStart w:id="27" w:name="_Toc454185713"/>
      <w:bookmarkStart w:id="28" w:name="_Toc515958686"/>
      <w:bookmarkStart w:id="29" w:name="_Toc229472293"/>
      <w:bookmarkStart w:id="30" w:name="_Toc231116501"/>
      <w:bookmarkStart w:id="31" w:name="_Toc333227000"/>
      <w:r>
        <w:rPr>
          <w:rStyle w:val="CharSectno"/>
        </w:rPr>
        <w:t>1</w:t>
      </w:r>
      <w:r>
        <w:t>.</w:t>
      </w:r>
      <w:r>
        <w:tab/>
        <w:t>Citation</w:t>
      </w:r>
      <w:bookmarkEnd w:id="22"/>
      <w:bookmarkEnd w:id="23"/>
      <w:bookmarkEnd w:id="24"/>
      <w:bookmarkEnd w:id="25"/>
      <w:bookmarkEnd w:id="26"/>
      <w:bookmarkEnd w:id="27"/>
      <w:bookmarkEnd w:id="28"/>
      <w:bookmarkEnd w:id="29"/>
      <w:bookmarkEnd w:id="30"/>
      <w:bookmarkEnd w:id="31"/>
    </w:p>
    <w:p>
      <w:pPr>
        <w:pStyle w:val="Subsection"/>
        <w:rPr>
          <w:i/>
        </w:rPr>
      </w:pPr>
      <w:r>
        <w:tab/>
      </w:r>
      <w:r>
        <w:tab/>
      </w:r>
      <w:bookmarkStart w:id="32" w:name="Start_Cursor"/>
      <w:bookmarkEnd w:id="32"/>
      <w:r>
        <w:rPr>
          <w:spacing w:val="-2"/>
        </w:rPr>
        <w:t>These</w:t>
      </w:r>
      <w:r>
        <w:t xml:space="preserve"> </w:t>
      </w:r>
      <w:r>
        <w:rPr>
          <w:spacing w:val="-2"/>
        </w:rPr>
        <w:t>regulations</w:t>
      </w:r>
      <w:r>
        <w:t xml:space="preserve"> are the </w:t>
      </w:r>
      <w:r>
        <w:rPr>
          <w:i/>
        </w:rPr>
        <w:t>Vocational Education and Training (General) Regulations 2009 </w:t>
      </w:r>
      <w:r>
        <w:rPr>
          <w:iCs/>
          <w:vertAlign w:val="superscript"/>
        </w:rPr>
        <w:t>1</w:t>
      </w:r>
      <w:r>
        <w:t>.</w:t>
      </w:r>
    </w:p>
    <w:p>
      <w:pPr>
        <w:pStyle w:val="Heading5"/>
        <w:rPr>
          <w:spacing w:val="-2"/>
        </w:rPr>
      </w:pPr>
      <w:bookmarkStart w:id="33" w:name="_Toc423332723"/>
      <w:bookmarkStart w:id="34" w:name="_Toc425219442"/>
      <w:bookmarkStart w:id="35" w:name="_Toc426249309"/>
      <w:bookmarkStart w:id="36" w:name="_Toc449924705"/>
      <w:bookmarkStart w:id="37" w:name="_Toc449947723"/>
      <w:bookmarkStart w:id="38" w:name="_Toc454185714"/>
      <w:bookmarkStart w:id="39" w:name="_Toc515958687"/>
      <w:bookmarkStart w:id="40" w:name="_Toc229472294"/>
      <w:bookmarkStart w:id="41" w:name="_Toc231116502"/>
      <w:bookmarkStart w:id="42" w:name="_Toc333227001"/>
      <w:r>
        <w:rPr>
          <w:rStyle w:val="CharSectno"/>
        </w:rPr>
        <w:t>2</w:t>
      </w:r>
      <w:r>
        <w:rPr>
          <w:spacing w:val="-2"/>
        </w:rPr>
        <w:t>.</w:t>
      </w:r>
      <w:r>
        <w:rPr>
          <w:spacing w:val="-2"/>
        </w:rPr>
        <w:tab/>
        <w:t>Commencement</w:t>
      </w:r>
      <w:bookmarkEnd w:id="33"/>
      <w:bookmarkEnd w:id="34"/>
      <w:bookmarkEnd w:id="35"/>
      <w:bookmarkEnd w:id="36"/>
      <w:bookmarkEnd w:id="37"/>
      <w:bookmarkEnd w:id="38"/>
      <w:bookmarkEnd w:id="39"/>
      <w:bookmarkEnd w:id="40"/>
      <w:bookmarkEnd w:id="41"/>
      <w:bookmarkEnd w:id="4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p>
    <w:p>
      <w:pPr>
        <w:pStyle w:val="Heading5"/>
      </w:pPr>
      <w:bookmarkStart w:id="43" w:name="_Toc232329270"/>
      <w:bookmarkStart w:id="44" w:name="_Toc333227002"/>
      <w:bookmarkStart w:id="45" w:name="_Toc113695922"/>
      <w:bookmarkStart w:id="46" w:name="_Toc231120739"/>
      <w:bookmarkStart w:id="47" w:name="_Toc231121782"/>
      <w:bookmarkStart w:id="48" w:name="_Toc229304362"/>
      <w:bookmarkStart w:id="49" w:name="_Toc229472295"/>
      <w:r>
        <w:rPr>
          <w:rStyle w:val="CharSectno"/>
        </w:rPr>
        <w:t>3</w:t>
      </w:r>
      <w:r>
        <w:t>.</w:t>
      </w:r>
      <w:r>
        <w:tab/>
        <w:t>Terms used</w:t>
      </w:r>
      <w:bookmarkEnd w:id="43"/>
      <w:bookmarkEnd w:id="44"/>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AQF Implementation handbook</w:t>
      </w:r>
      <w:r>
        <w:t xml:space="preserve"> means the </w:t>
      </w:r>
      <w:r>
        <w:rPr>
          <w:i/>
          <w:iCs/>
        </w:rPr>
        <w:t>Australian Qualifications Framework Implementation Handbook</w:t>
      </w:r>
      <w:r>
        <w:t>, Fourth Edition, 2007, published by the Australian Qualifications Framework Advisory Board (ISBN 978-186366-644-2);</w:t>
      </w:r>
    </w:p>
    <w:p>
      <w:pPr>
        <w:pStyle w:val="Defstart"/>
      </w:pPr>
      <w:r>
        <w:tab/>
      </w:r>
      <w:r>
        <w:rPr>
          <w:rStyle w:val="CharDefText"/>
        </w:rPr>
        <w:t>AQTF</w:t>
      </w:r>
      <w:r>
        <w:t xml:space="preserve"> means the Australian Quality Training Framework;</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NTIS</w:t>
      </w:r>
      <w:r>
        <w:t xml:space="preserve"> means the National Training Information Service managed by the Commonwealth;</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w:t>
      </w:r>
    </w:p>
    <w:p>
      <w:pPr>
        <w:pStyle w:val="Defstart"/>
      </w:pPr>
      <w:r>
        <w:tab/>
      </w:r>
      <w:r>
        <w:rPr>
          <w:rStyle w:val="CharDefText"/>
        </w:rPr>
        <w:t>WA</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Heading2"/>
      </w:pPr>
      <w:bookmarkStart w:id="50" w:name="_Toc232329271"/>
      <w:bookmarkStart w:id="51" w:name="_Toc232395104"/>
      <w:bookmarkStart w:id="52" w:name="_Toc232396089"/>
      <w:bookmarkStart w:id="53" w:name="_Toc307322561"/>
      <w:bookmarkStart w:id="54" w:name="_Toc312913870"/>
      <w:bookmarkStart w:id="55" w:name="_Toc319582849"/>
      <w:bookmarkStart w:id="56" w:name="_Toc333225973"/>
      <w:bookmarkStart w:id="57" w:name="_Toc333226849"/>
      <w:bookmarkStart w:id="58" w:name="_Toc333227003"/>
      <w:r>
        <w:rPr>
          <w:rStyle w:val="CharPartNo"/>
        </w:rPr>
        <w:t>Part 2</w:t>
      </w:r>
      <w:r>
        <w:rPr>
          <w:rStyle w:val="CharDivNo"/>
        </w:rPr>
        <w:t> </w:t>
      </w:r>
      <w:r>
        <w:t>—</w:t>
      </w:r>
      <w:r>
        <w:rPr>
          <w:rStyle w:val="CharDivText"/>
        </w:rPr>
        <w:t> </w:t>
      </w:r>
      <w:r>
        <w:rPr>
          <w:rStyle w:val="CharPartText"/>
        </w:rPr>
        <w:t>General matters</w:t>
      </w:r>
      <w:bookmarkEnd w:id="50"/>
      <w:bookmarkEnd w:id="51"/>
      <w:bookmarkEnd w:id="52"/>
      <w:bookmarkEnd w:id="53"/>
      <w:bookmarkEnd w:id="54"/>
      <w:bookmarkEnd w:id="55"/>
      <w:bookmarkEnd w:id="56"/>
      <w:bookmarkEnd w:id="57"/>
      <w:bookmarkEnd w:id="58"/>
    </w:p>
    <w:p>
      <w:pPr>
        <w:pStyle w:val="Heading5"/>
      </w:pPr>
      <w:bookmarkStart w:id="59" w:name="_Toc232329272"/>
      <w:bookmarkStart w:id="60" w:name="_Toc333227004"/>
      <w:r>
        <w:rPr>
          <w:rStyle w:val="CharSectno"/>
        </w:rPr>
        <w:t>4</w:t>
      </w:r>
      <w:r>
        <w:t>.</w:t>
      </w:r>
      <w:r>
        <w:tab/>
        <w:t>Approved VET courses (Act s. 5)</w:t>
      </w:r>
      <w:bookmarkEnd w:id="59"/>
      <w:bookmarkEnd w:id="60"/>
    </w:p>
    <w:p>
      <w:pPr>
        <w:pStyle w:val="Subsection"/>
      </w:pPr>
      <w:r>
        <w:tab/>
        <w:t>(1)</w:t>
      </w:r>
      <w:r>
        <w:tab/>
        <w:t>In this regulation —</w:t>
      </w:r>
    </w:p>
    <w:p>
      <w:pPr>
        <w:pStyle w:val="Defstart"/>
      </w:pPr>
      <w:r>
        <w:tab/>
      </w:r>
      <w:r>
        <w:rPr>
          <w:rStyle w:val="CharDefText"/>
        </w:rPr>
        <w:t>listed</w:t>
      </w:r>
      <w:r>
        <w:t xml:space="preserve"> means listed on the NTIS.</w:t>
      </w:r>
    </w:p>
    <w:p>
      <w:pPr>
        <w:pStyle w:val="Subsection"/>
      </w:pPr>
      <w:r>
        <w:tab/>
        <w:t>(2)</w:t>
      </w:r>
      <w:r>
        <w:tab/>
        <w:t xml:space="preserve">For the purpose of the definition of </w:t>
      </w:r>
      <w:r>
        <w:rPr>
          <w:b/>
          <w:bCs/>
          <w:i/>
          <w:iCs/>
        </w:rPr>
        <w:t>approved VET course</w:t>
      </w:r>
      <w:r>
        <w:t xml:space="preserve"> in section 5(1) of the Act, each listed unit of competency that forms part of a listed training package is prescribed.</w:t>
      </w:r>
    </w:p>
    <w:p>
      <w:pPr>
        <w:pStyle w:val="Heading5"/>
      </w:pPr>
      <w:bookmarkStart w:id="61" w:name="_Toc232329273"/>
      <w:bookmarkStart w:id="62" w:name="_Toc333227005"/>
      <w:r>
        <w:rPr>
          <w:rStyle w:val="CharSectno"/>
        </w:rPr>
        <w:t>5</w:t>
      </w:r>
      <w:r>
        <w:t>.</w:t>
      </w:r>
      <w:r>
        <w:tab/>
        <w:t>Corresponding laws (Act s. 5)</w:t>
      </w:r>
      <w:bookmarkEnd w:id="61"/>
      <w:bookmarkEnd w:id="62"/>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place">
              <w:smartTag w:uri="urn:schemas-microsoft-com:office:smarttags" w:element="Stat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place">
              <w:smartTag w:uri="urn:schemas-microsoft-com:office:smarttags" w:element="State">
                <w:r>
                  <w:t>New South Wales</w:t>
                </w:r>
              </w:smartTag>
            </w:smartTag>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smartTag w:uri="urn:schemas-microsoft-com:office:smarttags" w:element="place">
              <w:smartTag w:uri="urn:schemas-microsoft-com:office:smarttags" w:element="State">
                <w:r>
                  <w:t>Northern Territory</w:t>
                </w:r>
              </w:smartTag>
            </w:smartTag>
          </w:p>
        </w:tc>
        <w:tc>
          <w:tcPr>
            <w:tcW w:w="4162" w:type="dxa"/>
          </w:tcPr>
          <w:p>
            <w:pPr>
              <w:pStyle w:val="TableNAm"/>
              <w:spacing w:before="0"/>
            </w:pPr>
            <w:smartTag w:uri="urn:schemas-microsoft-com:office:smarttags" w:element="place">
              <w:smartTag w:uri="urn:schemas-microsoft-com:office:smarttags" w:element="State">
                <w:r>
                  <w:rPr>
                    <w:i/>
                    <w:iCs/>
                  </w:rPr>
                  <w:t>Northern Territory</w:t>
                </w:r>
              </w:smartTag>
            </w:smartTag>
            <w:r>
              <w:rPr>
                <w:i/>
                <w:iCs/>
              </w:rPr>
              <w:t xml:space="preserve"> Employment and Training Act</w:t>
            </w:r>
          </w:p>
        </w:tc>
      </w:tr>
      <w:tr>
        <w:tc>
          <w:tcPr>
            <w:tcW w:w="1984" w:type="dxa"/>
          </w:tcPr>
          <w:p>
            <w:pPr>
              <w:pStyle w:val="TableNAm"/>
              <w:spacing w:before="0"/>
            </w:pPr>
            <w:smartTag w:uri="urn:schemas-microsoft-com:office:smarttags" w:element="place">
              <w:smartTag w:uri="urn:schemas-microsoft-com:office:smarttags" w:element="State">
                <w:r>
                  <w:t>Queensland</w:t>
                </w:r>
              </w:smartTag>
            </w:smartTag>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smartTag w:uri="urn:schemas-microsoft-com:office:smarttags" w:element="place">
              <w:smartTag w:uri="urn:schemas-microsoft-com:office:smarttags" w:element="Stat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place">
              <w:smartTag w:uri="urn:schemas-microsoft-com:office:smarttags" w:element="State">
                <w:r>
                  <w:t>Tasmania</w:t>
                </w:r>
              </w:smartTag>
            </w:smartTag>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smartTag w:uri="urn:schemas-microsoft-com:office:smarttags" w:element="place">
              <w:smartTag w:uri="urn:schemas-microsoft-com:office:smarttags" w:element="Stat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63" w:name="_Toc232329274"/>
      <w:bookmarkStart w:id="64" w:name="_Toc333227006"/>
      <w:r>
        <w:rPr>
          <w:rStyle w:val="CharSectno"/>
        </w:rPr>
        <w:t>6</w:t>
      </w:r>
      <w:r>
        <w:t>.</w:t>
      </w:r>
      <w:r>
        <w:tab/>
        <w:t>Prescribed VET qualifications (Act s. 5)</w:t>
      </w:r>
      <w:bookmarkEnd w:id="63"/>
      <w:bookmarkEnd w:id="64"/>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65" w:name="_Toc232329275"/>
      <w:bookmarkStart w:id="66" w:name="_Toc232395108"/>
      <w:bookmarkStart w:id="67" w:name="_Toc232396093"/>
      <w:bookmarkStart w:id="68" w:name="_Toc307322565"/>
      <w:bookmarkStart w:id="69" w:name="_Toc312913874"/>
      <w:bookmarkStart w:id="70" w:name="_Toc319582853"/>
      <w:bookmarkStart w:id="71" w:name="_Toc333225977"/>
      <w:bookmarkStart w:id="72" w:name="_Toc333226853"/>
      <w:bookmarkStart w:id="73" w:name="_Toc333227007"/>
      <w:r>
        <w:rPr>
          <w:rStyle w:val="CharPartNo"/>
        </w:rPr>
        <w:t>Part 3</w:t>
      </w:r>
      <w:r>
        <w:t> — </w:t>
      </w:r>
      <w:r>
        <w:rPr>
          <w:rStyle w:val="CharPartText"/>
        </w:rPr>
        <w:t>Regulations for Part 7A of the Act</w:t>
      </w:r>
      <w:bookmarkEnd w:id="65"/>
      <w:bookmarkEnd w:id="66"/>
      <w:bookmarkEnd w:id="67"/>
      <w:bookmarkEnd w:id="68"/>
      <w:bookmarkEnd w:id="69"/>
      <w:bookmarkEnd w:id="70"/>
      <w:bookmarkEnd w:id="71"/>
      <w:bookmarkEnd w:id="72"/>
      <w:bookmarkEnd w:id="73"/>
    </w:p>
    <w:p>
      <w:pPr>
        <w:pStyle w:val="Heading3"/>
      </w:pPr>
      <w:bookmarkStart w:id="74" w:name="_Toc232329276"/>
      <w:bookmarkStart w:id="75" w:name="_Toc232395109"/>
      <w:bookmarkStart w:id="76" w:name="_Toc232396094"/>
      <w:bookmarkStart w:id="77" w:name="_Toc307322566"/>
      <w:bookmarkStart w:id="78" w:name="_Toc312913875"/>
      <w:bookmarkStart w:id="79" w:name="_Toc319582854"/>
      <w:bookmarkStart w:id="80" w:name="_Toc333225978"/>
      <w:bookmarkStart w:id="81" w:name="_Toc333226854"/>
      <w:bookmarkStart w:id="82" w:name="_Toc333227008"/>
      <w:r>
        <w:rPr>
          <w:rStyle w:val="CharDivNo"/>
        </w:rPr>
        <w:t>Division 1</w:t>
      </w:r>
      <w:r>
        <w:t> — </w:t>
      </w:r>
      <w:r>
        <w:rPr>
          <w:rStyle w:val="CharDivText"/>
        </w:rPr>
        <w:t>General matters</w:t>
      </w:r>
      <w:bookmarkEnd w:id="74"/>
      <w:bookmarkEnd w:id="75"/>
      <w:bookmarkEnd w:id="76"/>
      <w:bookmarkEnd w:id="77"/>
      <w:bookmarkEnd w:id="78"/>
      <w:bookmarkEnd w:id="79"/>
      <w:bookmarkEnd w:id="80"/>
      <w:bookmarkEnd w:id="81"/>
      <w:bookmarkEnd w:id="82"/>
    </w:p>
    <w:p>
      <w:pPr>
        <w:pStyle w:val="Heading5"/>
      </w:pPr>
      <w:bookmarkStart w:id="83" w:name="_Toc232329277"/>
      <w:bookmarkStart w:id="84" w:name="_Toc333227009"/>
      <w:r>
        <w:rPr>
          <w:rStyle w:val="CharSectno"/>
        </w:rPr>
        <w:t>7</w:t>
      </w:r>
      <w:r>
        <w:t>.</w:t>
      </w:r>
      <w:r>
        <w:tab/>
        <w:t>Terms used</w:t>
      </w:r>
      <w:bookmarkEnd w:id="83"/>
      <w:bookmarkEnd w:id="84"/>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compliance audit</w:t>
      </w:r>
      <w:r>
        <w:t xml:space="preserve"> means a compliance audit conducted under Division 3;</w:t>
      </w:r>
    </w:p>
    <w:p>
      <w:pPr>
        <w:pStyle w:val="Defstart"/>
      </w:pPr>
      <w:r>
        <w:tab/>
      </w:r>
      <w:r>
        <w:rPr>
          <w:rStyle w:val="CharDefText"/>
        </w:rPr>
        <w:t>continuing registration requirements</w:t>
      </w:r>
      <w:r>
        <w:t xml:space="preserve"> means the </w:t>
      </w:r>
      <w:r>
        <w:rPr>
          <w:i/>
        </w:rPr>
        <w:t xml:space="preserve">AQTF Essential Conditions and Standards for Continuing Registration </w:t>
      </w:r>
      <w:r>
        <w:t>(published by the Commonwealth of Australia);</w:t>
      </w:r>
    </w:p>
    <w:p>
      <w:pPr>
        <w:pStyle w:val="Defstart"/>
      </w:pPr>
      <w:r>
        <w:tab/>
      </w:r>
      <w:r>
        <w:rPr>
          <w:rStyle w:val="CharDefText"/>
        </w:rPr>
        <w:t>initial registration requirements</w:t>
      </w:r>
      <w:r>
        <w:t xml:space="preserve"> means the </w:t>
      </w:r>
      <w:r>
        <w:rPr>
          <w:i/>
        </w:rPr>
        <w:t xml:space="preserve">AQTF Essential Conditions and Standards for Initial Registration </w:t>
      </w:r>
      <w:r>
        <w:t>(published by the Commonwealth of Australia);</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prescribed registration document</w:t>
      </w:r>
      <w:r>
        <w:t xml:space="preserve"> means a document that evidences the registration of a training provider and that complies with the requirements of the </w:t>
      </w:r>
      <w:r>
        <w:rPr>
          <w:i/>
          <w:iCs/>
        </w:rPr>
        <w:t xml:space="preserve">AQTF 2007 Standards for State and Territory Registering Bodies </w:t>
      </w:r>
      <w:r>
        <w:t>(published by the Commonwealth of Australia 2007);</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requirements</w:t>
      </w:r>
      <w:r>
        <w:t xml:space="preserve"> means —</w:t>
      </w:r>
    </w:p>
    <w:p>
      <w:pPr>
        <w:pStyle w:val="Defpara"/>
      </w:pPr>
      <w:r>
        <w:tab/>
        <w:t>(a)</w:t>
      </w:r>
      <w:r>
        <w:tab/>
        <w:t>the initial registration requirements; and</w:t>
      </w:r>
    </w:p>
    <w:p>
      <w:pPr>
        <w:pStyle w:val="Defpara"/>
      </w:pPr>
      <w:r>
        <w:tab/>
        <w:t>(b)</w:t>
      </w:r>
      <w:r>
        <w:tab/>
        <w:t>the continuing registration requirements;</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forming part of the AQTF is a reference to the standard as published from time to time.</w:t>
      </w:r>
    </w:p>
    <w:p>
      <w:pPr>
        <w:pStyle w:val="Footnotesection"/>
      </w:pPr>
      <w:r>
        <w:tab/>
        <w:t>[Regulation 7 amended in Gazette 25 Oct 2011 p. 4509.]</w:t>
      </w:r>
    </w:p>
    <w:p>
      <w:pPr>
        <w:pStyle w:val="Heading5"/>
      </w:pPr>
      <w:bookmarkStart w:id="85" w:name="_Toc232329278"/>
      <w:bookmarkStart w:id="86" w:name="_Toc333227010"/>
      <w:r>
        <w:rPr>
          <w:rStyle w:val="CharSectno"/>
        </w:rPr>
        <w:t>8</w:t>
      </w:r>
      <w:r>
        <w:t>.</w:t>
      </w:r>
      <w:r>
        <w:tab/>
        <w:t>AQTF standards, use of by Council</w:t>
      </w:r>
      <w:bookmarkEnd w:id="85"/>
      <w:bookmarkEnd w:id="86"/>
    </w:p>
    <w:p>
      <w:pPr>
        <w:pStyle w:val="Subsection"/>
      </w:pPr>
      <w:r>
        <w:tab/>
        <w:t>(1)</w:t>
      </w:r>
      <w:r>
        <w:tab/>
        <w:t>In performing its functions under Part 7A of the Act, the Council must have regard to —</w:t>
      </w:r>
    </w:p>
    <w:p>
      <w:pPr>
        <w:pStyle w:val="Indenta"/>
      </w:pPr>
      <w:r>
        <w:tab/>
        <w:t>(a)</w:t>
      </w:r>
      <w:r>
        <w:tab/>
        <w:t xml:space="preserve">the </w:t>
      </w:r>
      <w:r>
        <w:rPr>
          <w:i/>
          <w:iCs/>
        </w:rPr>
        <w:t xml:space="preserve">AQTF 2007 Standards for State and Territory Registering Bodies </w:t>
      </w:r>
      <w:r>
        <w:t>(published by the Commonwealth of Australia 2007); and</w:t>
      </w:r>
    </w:p>
    <w:p>
      <w:pPr>
        <w:pStyle w:val="Indenta"/>
      </w:pPr>
      <w:r>
        <w:tab/>
        <w:t>(b)</w:t>
      </w:r>
      <w:r>
        <w:tab/>
        <w:t xml:space="preserve">the </w:t>
      </w:r>
      <w:r>
        <w:rPr>
          <w:i/>
          <w:iCs/>
        </w:rPr>
        <w:t xml:space="preserve">AQTF 2007 Standards for State and Territory Course Accrediting Bodies </w:t>
      </w:r>
      <w:r>
        <w:t>(published by the Commonwealth of Australia 2007).</w:t>
      </w:r>
    </w:p>
    <w:p>
      <w:pPr>
        <w:pStyle w:val="Subsection"/>
      </w:pPr>
      <w:r>
        <w:tab/>
        <w:t>(2)</w:t>
      </w:r>
      <w:r>
        <w:tab/>
        <w:t>In performing its functions under Part 7A of the Act, the Council must apply —</w:t>
      </w:r>
    </w:p>
    <w:p>
      <w:pPr>
        <w:pStyle w:val="Indenta"/>
      </w:pPr>
      <w:r>
        <w:tab/>
        <w:t>(a)</w:t>
      </w:r>
      <w:r>
        <w:tab/>
        <w:t>the registration requirements; and</w:t>
      </w:r>
    </w:p>
    <w:p>
      <w:pPr>
        <w:pStyle w:val="Indenta"/>
      </w:pPr>
      <w:r>
        <w:tab/>
        <w:t>(b)</w:t>
      </w:r>
      <w:r>
        <w:tab/>
        <w:t>the accreditation standards.</w:t>
      </w:r>
    </w:p>
    <w:p>
      <w:pPr>
        <w:pStyle w:val="Footnotesection"/>
      </w:pPr>
      <w:bookmarkStart w:id="87" w:name="_Toc232329279"/>
      <w:r>
        <w:tab/>
        <w:t>[Regulation 8 amended in Gazette 25 Oct 2011 p. 4509.]</w:t>
      </w:r>
    </w:p>
    <w:p>
      <w:pPr>
        <w:pStyle w:val="Heading5"/>
      </w:pPr>
      <w:bookmarkStart w:id="88" w:name="_Toc333227011"/>
      <w:r>
        <w:rPr>
          <w:rStyle w:val="CharSectno"/>
        </w:rPr>
        <w:t>9</w:t>
      </w:r>
      <w:r>
        <w:t>.</w:t>
      </w:r>
      <w:r>
        <w:tab/>
        <w:t>Register</w:t>
      </w:r>
      <w:bookmarkEnd w:id="87"/>
      <w:bookmarkEnd w:id="88"/>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NTIS as soon as practicable after it is recorded on the register.</w:t>
      </w:r>
    </w:p>
    <w:p>
      <w:pPr>
        <w:pStyle w:val="Heading3"/>
      </w:pPr>
      <w:bookmarkStart w:id="89" w:name="_Toc232329280"/>
      <w:bookmarkStart w:id="90" w:name="_Toc232395113"/>
      <w:bookmarkStart w:id="91" w:name="_Toc232396098"/>
      <w:bookmarkStart w:id="92" w:name="_Toc307322570"/>
      <w:bookmarkStart w:id="93" w:name="_Toc312913879"/>
      <w:bookmarkStart w:id="94" w:name="_Toc319582858"/>
      <w:bookmarkStart w:id="95" w:name="_Toc333225982"/>
      <w:bookmarkStart w:id="96" w:name="_Toc333226858"/>
      <w:bookmarkStart w:id="97" w:name="_Toc333227012"/>
      <w:r>
        <w:rPr>
          <w:rStyle w:val="CharDivNo"/>
        </w:rPr>
        <w:t>Division 2</w:t>
      </w:r>
      <w:r>
        <w:t> — </w:t>
      </w:r>
      <w:r>
        <w:rPr>
          <w:rStyle w:val="CharDivText"/>
        </w:rPr>
        <w:t>Registration of training providers</w:t>
      </w:r>
      <w:bookmarkEnd w:id="89"/>
      <w:bookmarkEnd w:id="90"/>
      <w:bookmarkEnd w:id="91"/>
      <w:bookmarkEnd w:id="92"/>
      <w:bookmarkEnd w:id="93"/>
      <w:bookmarkEnd w:id="94"/>
      <w:bookmarkEnd w:id="95"/>
      <w:bookmarkEnd w:id="96"/>
      <w:bookmarkEnd w:id="97"/>
    </w:p>
    <w:p>
      <w:pPr>
        <w:pStyle w:val="Heading5"/>
      </w:pPr>
      <w:bookmarkStart w:id="98" w:name="_Toc232329281"/>
      <w:bookmarkStart w:id="99" w:name="_Toc333227013"/>
      <w:r>
        <w:rPr>
          <w:rStyle w:val="CharSectno"/>
        </w:rPr>
        <w:t>10</w:t>
      </w:r>
      <w:r>
        <w:t>.</w:t>
      </w:r>
      <w:r>
        <w:tab/>
        <w:t>Applying to be a registered training provider</w:t>
      </w:r>
      <w:bookmarkEnd w:id="98"/>
      <w:bookmarkEnd w:id="99"/>
    </w:p>
    <w:p>
      <w:pPr>
        <w:pStyle w:val="Subsection"/>
        <w:keepNext/>
      </w:pPr>
      <w:r>
        <w:tab/>
        <w:t>(1)</w:t>
      </w:r>
      <w:r>
        <w:tab/>
        <w:t>If a person is or intends to be a training provider and —</w:t>
      </w:r>
    </w:p>
    <w:p>
      <w:pPr>
        <w:pStyle w:val="Indenta"/>
      </w:pPr>
      <w:r>
        <w:tab/>
        <w:t>(a)</w:t>
      </w:r>
      <w:r>
        <w:tab/>
        <w:t>the person’s principal place of business; or</w:t>
      </w:r>
    </w:p>
    <w:p>
      <w:pPr>
        <w:pStyle w:val="Indenta"/>
      </w:pPr>
      <w:r>
        <w:tab/>
        <w:t>(b)</w:t>
      </w:r>
      <w:r>
        <w:tab/>
        <w:t>all or most of the vocational education and training that the person provides or intends to provide,</w:t>
      </w:r>
    </w:p>
    <w:p>
      <w:pPr>
        <w:pStyle w:val="Subsection"/>
      </w:pPr>
      <w:r>
        <w:tab/>
      </w:r>
      <w:r>
        <w:tab/>
        <w:t>is or will be in WA, the person may apply to be registered under section 58B of the Act.</w:t>
      </w:r>
    </w:p>
    <w:p>
      <w:pPr>
        <w:pStyle w:val="Subsection"/>
      </w:pPr>
      <w:r>
        <w:tab/>
        <w:t>(2)</w:t>
      </w:r>
      <w:r>
        <w:tab/>
        <w:t>A person who is or intends to be a training provider and who under subregulation (1) cannot apply to be registered under section 58B of the Act may apply under a corresponding law to be registered.</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Heading5"/>
      </w:pPr>
      <w:bookmarkStart w:id="100" w:name="_Toc232329282"/>
      <w:bookmarkStart w:id="101" w:name="_Toc333227014"/>
      <w:r>
        <w:rPr>
          <w:rStyle w:val="CharSectno"/>
        </w:rPr>
        <w:t>11</w:t>
      </w:r>
      <w:r>
        <w:t>.</w:t>
      </w:r>
      <w:r>
        <w:tab/>
        <w:t>Dealing with applications</w:t>
      </w:r>
      <w:bookmarkEnd w:id="100"/>
      <w:bookmarkEnd w:id="101"/>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102" w:name="_Toc232329283"/>
      <w:bookmarkStart w:id="103" w:name="_Toc333227015"/>
      <w:r>
        <w:rPr>
          <w:rStyle w:val="CharSectno"/>
        </w:rPr>
        <w:t>12</w:t>
      </w:r>
      <w:r>
        <w:t>.</w:t>
      </w:r>
      <w:r>
        <w:tab/>
        <w:t>Registering training providers</w:t>
      </w:r>
      <w:bookmarkEnd w:id="102"/>
      <w:bookmarkEnd w:id="103"/>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regulation 10(1) applies to the provider and that —</w:t>
      </w:r>
    </w:p>
    <w:p>
      <w:pPr>
        <w:pStyle w:val="Indenta"/>
      </w:pPr>
      <w:r>
        <w:tab/>
        <w:t>(a)</w:t>
      </w:r>
      <w:r>
        <w:tab/>
        <w:t>the provider complies with the conditions of registration, and meets the standards, in the initial registration requirements; or</w:t>
      </w:r>
    </w:p>
    <w:p>
      <w:pPr>
        <w:pStyle w:val="Indenta"/>
      </w:pPr>
      <w:r>
        <w:tab/>
        <w:t>(b)</w:t>
      </w:r>
      <w:r>
        <w:tab/>
        <w:t>a compliance audit has been conducted on the provider within the previous 3 months and the provider has been found to comply with those conditions of registration and to meet those standards;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until the Council receives a notice from the registering body under that law that the provider’s registration under that law has been cancelled.</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prescribed registration document;</w:t>
      </w:r>
    </w:p>
    <w:p>
      <w:pPr>
        <w:pStyle w:val="Indenta"/>
      </w:pPr>
      <w:r>
        <w:tab/>
        <w:t>(c)</w:t>
      </w:r>
      <w:r>
        <w:tab/>
        <w:t>give the applicant written notice of each condition to which the registration is subject under regulation 13.</w:t>
      </w:r>
    </w:p>
    <w:p>
      <w:pPr>
        <w:pStyle w:val="Footnotesection"/>
      </w:pPr>
      <w:bookmarkStart w:id="104" w:name="_Toc232329284"/>
      <w:r>
        <w:tab/>
        <w:t>[Regulation 12 amended in Gazette 25 Oct 2011 p. 4509.]</w:t>
      </w:r>
    </w:p>
    <w:p>
      <w:pPr>
        <w:pStyle w:val="Heading5"/>
      </w:pPr>
      <w:bookmarkStart w:id="105" w:name="_Toc333227016"/>
      <w:r>
        <w:rPr>
          <w:rStyle w:val="CharSectno"/>
        </w:rPr>
        <w:t>13</w:t>
      </w:r>
      <w:r>
        <w:t>.</w:t>
      </w:r>
      <w:r>
        <w:tab/>
        <w:t>Conditions of registration</w:t>
      </w:r>
      <w:bookmarkEnd w:id="104"/>
      <w:bookmarkEnd w:id="105"/>
    </w:p>
    <w:p>
      <w:pPr>
        <w:pStyle w:val="Subsection"/>
        <w:keepNext/>
      </w:pPr>
      <w:r>
        <w:tab/>
        <w:t>(1)</w:t>
      </w:r>
      <w:r>
        <w:tab/>
        <w:t>A WA registered provider’s registration is subject to —</w:t>
      </w:r>
    </w:p>
    <w:p>
      <w:pPr>
        <w:pStyle w:val="Indenta"/>
      </w:pPr>
      <w:r>
        <w:tab/>
        <w:t>(a)</w:t>
      </w:r>
      <w:r>
        <w:tab/>
        <w:t>the conditions of registration in the continuing registration requirements;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meet the standards in the continuing registration requirements;</w:t>
      </w:r>
    </w:p>
    <w:p>
      <w:pPr>
        <w:pStyle w:val="Indenta"/>
      </w:pPr>
      <w:r>
        <w:tab/>
        <w:t>(b)</w:t>
      </w:r>
      <w:r>
        <w:tab/>
        <w:t>the provider must, if a compliance audit shows the provider does meet those 3 standards, take all steps necessary to meet them;</w:t>
      </w:r>
    </w:p>
    <w:p>
      <w:pPr>
        <w:pStyle w:val="Ednotepara"/>
      </w:pPr>
      <w:r>
        <w:tab/>
        <w:t>[(c)</w:t>
      </w:r>
      <w:r>
        <w:tab/>
        <w:t>deleted]</w:t>
      </w:r>
    </w:p>
    <w:p>
      <w:pPr>
        <w:pStyle w:val="Indenta"/>
      </w:pPr>
      <w:r>
        <w:tab/>
        <w:t>(d)</w:t>
      </w:r>
      <w:r>
        <w:tab/>
        <w:t>the provider must, if a compliance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pPr>
      <w:bookmarkStart w:id="106" w:name="_Toc232329285"/>
      <w:r>
        <w:tab/>
        <w:t>(4)</w:t>
      </w:r>
      <w:r>
        <w:tab/>
        <w:t>Any condition imposed under subregulation (3) must be consistent with the continuing registration requirements.</w:t>
      </w:r>
    </w:p>
    <w:p>
      <w:pPr>
        <w:pStyle w:val="Footnotesection"/>
      </w:pPr>
      <w:r>
        <w:tab/>
        <w:t>[Regulation 13 amended in Gazette 25 Oct 2011 p. 4510.]</w:t>
      </w:r>
    </w:p>
    <w:p>
      <w:pPr>
        <w:pStyle w:val="Heading5"/>
      </w:pPr>
      <w:bookmarkStart w:id="107" w:name="_Toc333227017"/>
      <w:r>
        <w:rPr>
          <w:rStyle w:val="CharSectno"/>
        </w:rPr>
        <w:t>14</w:t>
      </w:r>
      <w:r>
        <w:t>.</w:t>
      </w:r>
      <w:r>
        <w:tab/>
        <w:t>Period of registration</w:t>
      </w:r>
      <w:bookmarkEnd w:id="106"/>
      <w:bookmarkEnd w:id="107"/>
    </w:p>
    <w:p>
      <w:pPr>
        <w:pStyle w:val="Subsection"/>
      </w:pPr>
      <w:r>
        <w:tab/>
      </w:r>
      <w:r>
        <w:tab/>
        <w:t>Unless it is sooner cancelled by the Council, a WA registered provider’s registration, whether granted initially or renewed, has effect for the period (not over 5 years) set by the Council and specified in the prescribed registration document given to the provider.</w:t>
      </w:r>
    </w:p>
    <w:p>
      <w:pPr>
        <w:pStyle w:val="Heading5"/>
      </w:pPr>
      <w:bookmarkStart w:id="108" w:name="_Toc232329286"/>
      <w:bookmarkStart w:id="109" w:name="_Toc333227018"/>
      <w:r>
        <w:rPr>
          <w:rStyle w:val="CharSectno"/>
        </w:rPr>
        <w:t>15</w:t>
      </w:r>
      <w:r>
        <w:t>.</w:t>
      </w:r>
      <w:r>
        <w:tab/>
        <w:t>Annual fees payable by registered training providers</w:t>
      </w:r>
      <w:bookmarkEnd w:id="108"/>
      <w:bookmarkEnd w:id="109"/>
    </w:p>
    <w:p>
      <w:pPr>
        <w:pStyle w:val="Subsection"/>
      </w:pPr>
      <w:r>
        <w:tab/>
      </w:r>
      <w:r>
        <w:tab/>
        <w:t>A WA registered provider must pay an annual fee set under regulation 23 on or before each anniversary of the provider’s registration or its renewal.</w:t>
      </w:r>
    </w:p>
    <w:p>
      <w:pPr>
        <w:pStyle w:val="Heading5"/>
      </w:pPr>
      <w:bookmarkStart w:id="110" w:name="_Toc232329287"/>
      <w:bookmarkStart w:id="111" w:name="_Toc333227019"/>
      <w:r>
        <w:rPr>
          <w:rStyle w:val="CharSectno"/>
        </w:rPr>
        <w:t>16</w:t>
      </w:r>
      <w:r>
        <w:t>.</w:t>
      </w:r>
      <w:r>
        <w:tab/>
        <w:t>Renewal of registration</w:t>
      </w:r>
      <w:bookmarkEnd w:id="110"/>
      <w:bookmarkEnd w:id="111"/>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regulation 10(1) applies to the provider; and</w:t>
      </w:r>
    </w:p>
    <w:p>
      <w:pPr>
        <w:pStyle w:val="Indenti"/>
      </w:pPr>
      <w:r>
        <w:tab/>
        <w:t>(ii)</w:t>
      </w:r>
      <w:r>
        <w:tab/>
        <w:t>the provider meets the standards in the continuing registration requirements;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prescribed registration document.</w:t>
      </w:r>
    </w:p>
    <w:p>
      <w:pPr>
        <w:pStyle w:val="Footnotesection"/>
      </w:pPr>
      <w:bookmarkStart w:id="112" w:name="_Toc232329288"/>
      <w:r>
        <w:tab/>
        <w:t>[Regulation 16 amended in Gazette 25 Oct 2011 p. 4510.]</w:t>
      </w:r>
    </w:p>
    <w:p>
      <w:pPr>
        <w:pStyle w:val="Heading5"/>
      </w:pPr>
      <w:bookmarkStart w:id="113" w:name="_Toc333227020"/>
      <w:r>
        <w:rPr>
          <w:rStyle w:val="CharSectno"/>
        </w:rPr>
        <w:t>17</w:t>
      </w:r>
      <w:r>
        <w:t>.</w:t>
      </w:r>
      <w:r>
        <w:tab/>
        <w:t>Varying registrations</w:t>
      </w:r>
      <w:bookmarkEnd w:id="112"/>
      <w:bookmarkEnd w:id="113"/>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pPr>
      <w:r>
        <w:tab/>
        <w:t>(3)</w:t>
      </w:r>
      <w:r>
        <w:tab/>
        <w:t xml:space="preserve">The Council, on its own initiative, may vary a WA registered provider’s registration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pPr>
      <w:r>
        <w:tab/>
        <w:t>(4)</w:t>
      </w:r>
      <w:r>
        <w:tab/>
        <w:t>The Council must not vary a WA registered provider’s registration to change the provider’s scope of registration unless it is satisfied that regulation 10(1) applies to the provider and that —</w:t>
      </w:r>
    </w:p>
    <w:p>
      <w:pPr>
        <w:pStyle w:val="Indenta"/>
      </w:pPr>
      <w:r>
        <w:tab/>
        <w:t>(a)</w:t>
      </w:r>
      <w:r>
        <w:tab/>
        <w:t>the provider meets the standards in the continuing registration requirements; or</w:t>
      </w:r>
    </w:p>
    <w:p>
      <w:pPr>
        <w:pStyle w:val="Indenta"/>
      </w:pPr>
      <w:r>
        <w:tab/>
        <w:t>(b)</w:t>
      </w:r>
      <w:r>
        <w:tab/>
        <w:t>a compliance audit has been conducted on the provider within the previous 3 months and the provider has been found to meet those standards,</w:t>
      </w:r>
    </w:p>
    <w:p>
      <w:pPr>
        <w:pStyle w:val="Subsection"/>
      </w:pPr>
      <w:r>
        <w:tab/>
      </w:r>
      <w:r>
        <w:tab/>
        <w:t>in relation to any operations that the change would authorise the provider to conduct and that, without the change, the provider is not authorised to conduct.</w:t>
      </w:r>
    </w:p>
    <w:p>
      <w:pPr>
        <w:pStyle w:val="Subsection"/>
      </w:pPr>
      <w:r>
        <w:tab/>
        <w:t>(5)</w:t>
      </w:r>
      <w:r>
        <w:tab/>
        <w:t>If the Council varies a WA registered provider’s registration, the Council must give the provider written notice of its decision and, if the decision is made under subregulation (3), the reasons for it.</w:t>
      </w:r>
    </w:p>
    <w:p>
      <w:pPr>
        <w:pStyle w:val="Footnotesection"/>
      </w:pPr>
      <w:bookmarkStart w:id="114" w:name="_Toc232329289"/>
      <w:r>
        <w:tab/>
        <w:t>[Regulation 17 amended in Gazette 25 Oct 2011 p. 4510.]</w:t>
      </w:r>
    </w:p>
    <w:p>
      <w:pPr>
        <w:pStyle w:val="Heading5"/>
      </w:pPr>
      <w:bookmarkStart w:id="115" w:name="_Toc333227021"/>
      <w:r>
        <w:rPr>
          <w:rStyle w:val="CharSectno"/>
        </w:rPr>
        <w:t>18</w:t>
      </w:r>
      <w:r>
        <w:t>.</w:t>
      </w:r>
      <w:r>
        <w:tab/>
        <w:t>Cancelling registration if provider’s operations change</w:t>
      </w:r>
      <w:bookmarkEnd w:id="114"/>
      <w:bookmarkEnd w:id="115"/>
    </w:p>
    <w:p>
      <w:pPr>
        <w:pStyle w:val="Subsection"/>
      </w:pPr>
      <w:r>
        <w:tab/>
        <w:t>(1)</w:t>
      </w:r>
      <w:r>
        <w:tab/>
        <w:t>Under section 58B of the Act, the Council may cancel a WA registered provider’s registration if it is satisfied —</w:t>
      </w:r>
    </w:p>
    <w:p>
      <w:pPr>
        <w:pStyle w:val="Indenta"/>
      </w:pPr>
      <w:r>
        <w:tab/>
        <w:t>(a)</w:t>
      </w:r>
      <w:r>
        <w:tab/>
        <w:t>the provider’s principal place of business is not in WA; or</w:t>
      </w:r>
    </w:p>
    <w:p>
      <w:pPr>
        <w:pStyle w:val="Indenta"/>
      </w:pPr>
      <w:r>
        <w:tab/>
        <w:t>(b)</w:t>
      </w:r>
      <w:r>
        <w:tab/>
        <w:t>all or most of the vocational education and training that the provider provides is not in WA.</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the Council must not cancel the registration until the application is decided.</w:t>
      </w:r>
    </w:p>
    <w:p>
      <w:pPr>
        <w:pStyle w:val="Heading5"/>
      </w:pPr>
      <w:bookmarkStart w:id="116" w:name="_Toc232329290"/>
      <w:bookmarkStart w:id="117" w:name="_Toc333227022"/>
      <w:r>
        <w:rPr>
          <w:rStyle w:val="CharSectno"/>
        </w:rPr>
        <w:t>19</w:t>
      </w:r>
      <w:r>
        <w:t>.</w:t>
      </w:r>
      <w:r>
        <w:tab/>
        <w:t>Suspending or cancelling registration</w:t>
      </w:r>
      <w:bookmarkEnd w:id="116"/>
      <w:bookmarkEnd w:id="117"/>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meet the standards in the continuing registration requirements;</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provider’s principal place of business is no longer in WA; or</w:t>
      </w:r>
    </w:p>
    <w:p>
      <w:pPr>
        <w:pStyle w:val="Indenta"/>
      </w:pPr>
      <w:r>
        <w:tab/>
        <w:t>(b)</w:t>
      </w:r>
      <w:r>
        <w:tab/>
        <w:t>all or most of the vocational education and training that the provider provides is no longer in WA,</w:t>
      </w:r>
    </w:p>
    <w:p>
      <w:pPr>
        <w:pStyle w:val="Subsection"/>
      </w:pPr>
      <w:r>
        <w:tab/>
      </w:r>
      <w:r>
        <w:tab/>
        <w:t>and even if the provider has applied to another registering body to be registered as a training provider under a corresponding law.</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the registering body of any other jurisdiction where the provider operates.</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Footnotesection"/>
      </w:pPr>
      <w:bookmarkStart w:id="118" w:name="_Toc232329291"/>
      <w:r>
        <w:tab/>
        <w:t>[Regulation 19 amended in Gazette 25 Oct 2011 p. 4510.]</w:t>
      </w:r>
    </w:p>
    <w:p>
      <w:pPr>
        <w:pStyle w:val="Heading5"/>
      </w:pPr>
      <w:bookmarkStart w:id="119" w:name="_Toc333227023"/>
      <w:r>
        <w:rPr>
          <w:rStyle w:val="CharSectno"/>
        </w:rPr>
        <w:t>20</w:t>
      </w:r>
      <w:r>
        <w:t>.</w:t>
      </w:r>
      <w:r>
        <w:tab/>
        <w:t>Suspension of WA registered provider may be on terms</w:t>
      </w:r>
      <w:bookmarkEnd w:id="118"/>
      <w:bookmarkEnd w:id="119"/>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120" w:name="_Toc232329292"/>
      <w:bookmarkStart w:id="121" w:name="_Toc333227024"/>
      <w:r>
        <w:rPr>
          <w:rStyle w:val="CharSectno"/>
        </w:rPr>
        <w:t>21</w:t>
      </w:r>
      <w:r>
        <w:t>.</w:t>
      </w:r>
      <w:r>
        <w:tab/>
        <w:t>Effect of suspension of WA registered provider</w:t>
      </w:r>
      <w:bookmarkEnd w:id="120"/>
      <w:bookmarkEnd w:id="121"/>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pPr>
      <w:bookmarkStart w:id="122" w:name="_Toc232329293"/>
      <w:bookmarkStart w:id="123" w:name="_Toc333227025"/>
      <w:r>
        <w:rPr>
          <w:rStyle w:val="CharSectno"/>
        </w:rPr>
        <w:t>22</w:t>
      </w:r>
      <w:r>
        <w:t>.</w:t>
      </w:r>
      <w:r>
        <w:tab/>
        <w:t>Orders against providers registered outside WA</w:t>
      </w:r>
      <w:bookmarkEnd w:id="122"/>
      <w:bookmarkEnd w:id="123"/>
    </w:p>
    <w:p>
      <w:pPr>
        <w:pStyle w:val="Subsection"/>
      </w:pPr>
      <w:r>
        <w:tab/>
        <w:t>(1)</w:t>
      </w:r>
      <w:r>
        <w:tab/>
        <w:t>The Council may make an order under section 58B(c) of the Act against a registered training provider who is not a WA registered provider if the Council is satisfied as to any of these matters —</w:t>
      </w:r>
    </w:p>
    <w:p>
      <w:pPr>
        <w:pStyle w:val="Indenta"/>
      </w:pPr>
      <w:r>
        <w:tab/>
        <w:t>(a)</w:t>
      </w:r>
      <w:r>
        <w:tab/>
        <w:t>the provider does not meet the standards in the continuing registration requirements;</w:t>
      </w:r>
    </w:p>
    <w:p>
      <w:pPr>
        <w:pStyle w:val="Indenta"/>
      </w:pPr>
      <w:r>
        <w:tab/>
        <w:t>(b)</w:t>
      </w:r>
      <w:r>
        <w:tab/>
        <w:t>the provider has contravened a condition to which its registration is subject;</w:t>
      </w:r>
    </w:p>
    <w:p>
      <w:pPr>
        <w:pStyle w:val="Indenta"/>
      </w:pPr>
      <w:r>
        <w:tab/>
        <w:t>(c)</w:t>
      </w:r>
      <w:r>
        <w:tab/>
        <w:t>the provider is not a fit and proper person to be registered having regard to the matters in regulation 12(6).</w:t>
      </w:r>
    </w:p>
    <w:p>
      <w:pPr>
        <w:pStyle w:val="Subsection"/>
      </w:pPr>
      <w:r>
        <w:tab/>
        <w:t>(2)</w:t>
      </w:r>
      <w:r>
        <w:tab/>
        <w:t>An order made under section 58B(c) of the Act against a registered training provider who is not a WA registered provider may relate to the whole or a part of the provider’s scope of registration, as the Council decides.</w:t>
      </w:r>
    </w:p>
    <w:p>
      <w:pPr>
        <w:pStyle w:val="Subsection"/>
      </w:pPr>
      <w:r>
        <w:tab/>
        <w:t>(3)</w:t>
      </w:r>
      <w:r>
        <w:tab/>
        <w:t>Any order made under section 58B(c) of the Act against a registered training provider who is not a WA registered provider —</w:t>
      </w:r>
    </w:p>
    <w:p>
      <w:pPr>
        <w:pStyle w:val="Indenta"/>
      </w:pPr>
      <w:r>
        <w:tab/>
        <w:t>(a)</w:t>
      </w:r>
      <w:r>
        <w:tab/>
        <w:t>must be consistent with the continuing registration requirements; and</w:t>
      </w:r>
    </w:p>
    <w:p>
      <w:pPr>
        <w:pStyle w:val="Indenta"/>
      </w:pPr>
      <w:r>
        <w:tab/>
        <w:t>(b)</w:t>
      </w:r>
      <w:r>
        <w:tab/>
        <w:t>must be in writing and be given to the provider.</w:t>
      </w:r>
    </w:p>
    <w:p>
      <w:pPr>
        <w:pStyle w:val="Footnotesection"/>
      </w:pPr>
      <w:bookmarkStart w:id="124" w:name="_Toc232329294"/>
      <w:r>
        <w:tab/>
        <w:t>[Regulation 22 amended in Gazette 25 Oct 2011 p. 4511.]</w:t>
      </w:r>
    </w:p>
    <w:p>
      <w:pPr>
        <w:pStyle w:val="Heading5"/>
      </w:pPr>
      <w:bookmarkStart w:id="125" w:name="_Toc333227026"/>
      <w:r>
        <w:rPr>
          <w:rStyle w:val="CharSectno"/>
        </w:rPr>
        <w:t>23</w:t>
      </w:r>
      <w:r>
        <w:t>.</w:t>
      </w:r>
      <w:r>
        <w:tab/>
        <w:t>Fees</w:t>
      </w:r>
      <w:bookmarkEnd w:id="124"/>
      <w:bookmarkEnd w:id="125"/>
    </w:p>
    <w:p>
      <w:pPr>
        <w:pStyle w:val="Subsection"/>
      </w:pPr>
      <w:r>
        <w:tab/>
        <w:t>(1)</w:t>
      </w:r>
      <w:r>
        <w:tab/>
        <w:t>The fees payable under this Division are to be set by the Council.</w:t>
      </w:r>
    </w:p>
    <w:p>
      <w:pPr>
        <w:pStyle w:val="Subsection"/>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pPr>
      <w:bookmarkStart w:id="126" w:name="_Toc232329295"/>
      <w:bookmarkStart w:id="127" w:name="_Toc232395128"/>
      <w:bookmarkStart w:id="128" w:name="_Toc232396113"/>
      <w:bookmarkStart w:id="129" w:name="_Toc307322585"/>
      <w:bookmarkStart w:id="130" w:name="_Toc312913894"/>
      <w:bookmarkStart w:id="131" w:name="_Toc319582873"/>
      <w:bookmarkStart w:id="132" w:name="_Toc333225997"/>
      <w:bookmarkStart w:id="133" w:name="_Toc333226873"/>
      <w:bookmarkStart w:id="134" w:name="_Toc333227027"/>
      <w:r>
        <w:rPr>
          <w:rStyle w:val="CharDivNo"/>
        </w:rPr>
        <w:t>Division 3</w:t>
      </w:r>
      <w:r>
        <w:t> — </w:t>
      </w:r>
      <w:r>
        <w:rPr>
          <w:rStyle w:val="CharDivText"/>
        </w:rPr>
        <w:t>Audits of training providers</w:t>
      </w:r>
      <w:bookmarkEnd w:id="126"/>
      <w:bookmarkEnd w:id="127"/>
      <w:bookmarkEnd w:id="128"/>
      <w:bookmarkEnd w:id="129"/>
      <w:bookmarkEnd w:id="130"/>
      <w:bookmarkEnd w:id="131"/>
      <w:bookmarkEnd w:id="132"/>
      <w:bookmarkEnd w:id="133"/>
      <w:bookmarkEnd w:id="134"/>
    </w:p>
    <w:p>
      <w:pPr>
        <w:pStyle w:val="Heading5"/>
      </w:pPr>
      <w:bookmarkStart w:id="135" w:name="_Toc232329296"/>
      <w:bookmarkStart w:id="136" w:name="_Toc333227028"/>
      <w:r>
        <w:rPr>
          <w:rStyle w:val="CharSectno"/>
        </w:rPr>
        <w:t>24</w:t>
      </w:r>
      <w:r>
        <w:t>.</w:t>
      </w:r>
      <w:r>
        <w:tab/>
        <w:t>Term used: compliance audit</w:t>
      </w:r>
      <w:bookmarkEnd w:id="135"/>
      <w:bookmarkEnd w:id="136"/>
    </w:p>
    <w:p>
      <w:pPr>
        <w:pStyle w:val="Subsection"/>
        <w:keepNext/>
      </w:pPr>
      <w:r>
        <w:tab/>
      </w:r>
      <w:r>
        <w:tab/>
        <w:t>In this Division —</w:t>
      </w:r>
    </w:p>
    <w:p>
      <w:pPr>
        <w:pStyle w:val="Defstart"/>
      </w:pPr>
      <w:r>
        <w:tab/>
      </w:r>
      <w:r>
        <w:rPr>
          <w:rStyle w:val="CharDefText"/>
        </w:rPr>
        <w:t>compliance audit</w:t>
      </w:r>
      <w:r>
        <w:t xml:space="preserve"> means an audit to establish whether a person meets the relevant registration requirements.</w:t>
      </w:r>
    </w:p>
    <w:p>
      <w:pPr>
        <w:pStyle w:val="Footnotesection"/>
      </w:pPr>
      <w:bookmarkStart w:id="137" w:name="_Toc232329297"/>
      <w:r>
        <w:tab/>
        <w:t>[Regulation 24 amended in Gazette 25 Oct 2011 p. 4511.]</w:t>
      </w:r>
    </w:p>
    <w:p>
      <w:pPr>
        <w:pStyle w:val="Heading5"/>
      </w:pPr>
      <w:bookmarkStart w:id="138" w:name="_Toc333227029"/>
      <w:r>
        <w:rPr>
          <w:rStyle w:val="CharSectno"/>
        </w:rPr>
        <w:t>25</w:t>
      </w:r>
      <w:r>
        <w:t>.</w:t>
      </w:r>
      <w:r>
        <w:tab/>
        <w:t>Audits</w:t>
      </w:r>
      <w:bookmarkEnd w:id="137"/>
      <w:bookmarkEnd w:id="138"/>
    </w:p>
    <w:p>
      <w:pPr>
        <w:pStyle w:val="Subsection"/>
      </w:pPr>
      <w:r>
        <w:tab/>
        <w:t>(1)</w:t>
      </w:r>
      <w:r>
        <w:tab/>
        <w:t>An inquiry conducted under section 58D of the Act may be in the form of a compliance audit.</w:t>
      </w:r>
    </w:p>
    <w:p>
      <w:pPr>
        <w:pStyle w:val="Subsection"/>
      </w:pPr>
      <w:r>
        <w:tab/>
        <w:t>(2)</w:t>
      </w:r>
      <w:r>
        <w:tab/>
        <w:t xml:space="preserve">A compliance audit must comply with the </w:t>
      </w:r>
      <w:r>
        <w:rPr>
          <w:i/>
          <w:iCs/>
        </w:rPr>
        <w:t xml:space="preserve">AQTF 2007 Standards for State and Territory Registering Bodies </w:t>
      </w:r>
      <w:r>
        <w:t>(published by the Commonwealth of Australia 2007).</w:t>
      </w:r>
    </w:p>
    <w:p>
      <w:pPr>
        <w:pStyle w:val="Subsection"/>
      </w:pPr>
      <w:r>
        <w:tab/>
        <w:t>(3)</w:t>
      </w:r>
      <w:r>
        <w:tab/>
        <w:t>A contravention of subregulation (2) does not affect the validity of the compliance audit if the contravention —</w:t>
      </w:r>
    </w:p>
    <w:p>
      <w:pPr>
        <w:pStyle w:val="Indenta"/>
      </w:pPr>
      <w:r>
        <w:tab/>
        <w:t>(a)</w:t>
      </w:r>
      <w:r>
        <w:tab/>
        <w:t>does not substantially affect the outcome of the audit; or</w:t>
      </w:r>
    </w:p>
    <w:p>
      <w:pPr>
        <w:pStyle w:val="Indenta"/>
      </w:pPr>
      <w:r>
        <w:tab/>
        <w:t>(b)</w:t>
      </w:r>
      <w:r>
        <w:tab/>
        <w:t>arises out of an inconsistency between the audit standards and written laws.</w:t>
      </w:r>
    </w:p>
    <w:p>
      <w:pPr>
        <w:pStyle w:val="Heading3"/>
      </w:pPr>
      <w:bookmarkStart w:id="139" w:name="_Toc232329298"/>
      <w:bookmarkStart w:id="140" w:name="_Toc232395131"/>
      <w:bookmarkStart w:id="141" w:name="_Toc232396116"/>
      <w:bookmarkStart w:id="142" w:name="_Toc307322588"/>
      <w:bookmarkStart w:id="143" w:name="_Toc312913897"/>
      <w:bookmarkStart w:id="144" w:name="_Toc319582876"/>
      <w:bookmarkStart w:id="145" w:name="_Toc333226000"/>
      <w:bookmarkStart w:id="146" w:name="_Toc333226876"/>
      <w:bookmarkStart w:id="147" w:name="_Toc333227030"/>
      <w:r>
        <w:rPr>
          <w:rStyle w:val="CharDivNo"/>
        </w:rPr>
        <w:t>Division 4</w:t>
      </w:r>
      <w:r>
        <w:t> — </w:t>
      </w:r>
      <w:r>
        <w:rPr>
          <w:rStyle w:val="CharDivText"/>
        </w:rPr>
        <w:t>Obligations of registered training providers</w:t>
      </w:r>
      <w:bookmarkEnd w:id="139"/>
      <w:bookmarkEnd w:id="140"/>
      <w:bookmarkEnd w:id="141"/>
      <w:bookmarkEnd w:id="142"/>
      <w:bookmarkEnd w:id="143"/>
      <w:bookmarkEnd w:id="144"/>
      <w:bookmarkEnd w:id="145"/>
      <w:bookmarkEnd w:id="146"/>
      <w:bookmarkEnd w:id="147"/>
    </w:p>
    <w:p>
      <w:pPr>
        <w:pStyle w:val="Heading5"/>
      </w:pPr>
      <w:bookmarkStart w:id="148" w:name="_Toc232329299"/>
      <w:bookmarkStart w:id="149" w:name="_Toc333227031"/>
      <w:r>
        <w:rPr>
          <w:rStyle w:val="CharSectno"/>
        </w:rPr>
        <w:t>26</w:t>
      </w:r>
      <w:r>
        <w:t>.</w:t>
      </w:r>
      <w:r>
        <w:tab/>
        <w:t>Reporting to the Council</w:t>
      </w:r>
      <w:bookmarkEnd w:id="148"/>
      <w:bookmarkEnd w:id="149"/>
    </w:p>
    <w:p>
      <w:pPr>
        <w:pStyle w:val="Subsection"/>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pPr>
      <w:r>
        <w:tab/>
        <w:t>(2)</w:t>
      </w:r>
      <w:r>
        <w:tab/>
        <w:t>The Council must not require a WA registered provider to give it a return more frequently than once in every 6 months.</w:t>
      </w:r>
    </w:p>
    <w:p>
      <w:pPr>
        <w:pStyle w:val="Subsection"/>
      </w:pPr>
      <w:r>
        <w:tab/>
        <w:t>(3A)</w:t>
      </w:r>
      <w:r>
        <w:tab/>
        <w:t>Subregulation (2) does not apply if the Council considers that special circumstances exist that warrant the Council giving a WA registered provider a notice under this regulation.</w:t>
      </w:r>
    </w:p>
    <w:p>
      <w:pPr>
        <w:pStyle w:val="Subsection"/>
      </w:pPr>
      <w:r>
        <w:tab/>
        <w:t>(3)</w:t>
      </w:r>
      <w:r>
        <w:tab/>
        <w:t>A return must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name, date of birth and gender of the persons to whom the courses were provided;</w:t>
      </w:r>
    </w:p>
    <w:p>
      <w:pPr>
        <w:pStyle w:val="Indenta"/>
      </w:pPr>
      <w:r>
        <w:tab/>
        <w:t>(c)</w:t>
      </w:r>
      <w:r>
        <w:tab/>
        <w:t>the approved VET qualifications and prescribed VET qualifications the provider conferred;</w:t>
      </w:r>
    </w:p>
    <w:p>
      <w:pPr>
        <w:pStyle w:val="Indenta"/>
      </w:pPr>
      <w:r>
        <w:tab/>
        <w:t>(d)</w:t>
      </w:r>
      <w:r>
        <w:tab/>
        <w:t>the name, date of birth and gender of the persons on whom the qualifications were conferred.</w:t>
      </w:r>
    </w:p>
    <w:p>
      <w:pPr>
        <w:pStyle w:val="Subsection"/>
      </w:pPr>
      <w:r>
        <w:tab/>
        <w:t>(4)</w:t>
      </w:r>
      <w:r>
        <w:tab/>
        <w:t>A training provider who is given a notice under this regulation and who does not give the Council a return in accordance with the notice and this regulation commits an offence.</w:t>
      </w:r>
    </w:p>
    <w:p>
      <w:pPr>
        <w:pStyle w:val="Penstart"/>
      </w:pPr>
      <w:r>
        <w:tab/>
        <w:t>Penalty: a fine of $5 000.</w:t>
      </w:r>
    </w:p>
    <w:p>
      <w:pPr>
        <w:pStyle w:val="Footnotesection"/>
      </w:pPr>
      <w:r>
        <w:tab/>
        <w:t>[Regulation 26 amended in Gazette 16 Mar 2012 p. 1248.]</w:t>
      </w:r>
    </w:p>
    <w:p>
      <w:pPr>
        <w:pStyle w:val="Heading5"/>
      </w:pPr>
      <w:bookmarkStart w:id="150" w:name="_Toc232329300"/>
      <w:bookmarkStart w:id="151" w:name="_Toc333227032"/>
      <w:r>
        <w:rPr>
          <w:rStyle w:val="CharSectno"/>
        </w:rPr>
        <w:t>27</w:t>
      </w:r>
      <w:r>
        <w:t>.</w:t>
      </w:r>
      <w:r>
        <w:tab/>
        <w:t>Giving Council information on ceasing operations</w:t>
      </w:r>
      <w:bookmarkEnd w:id="150"/>
      <w:bookmarkEnd w:id="151"/>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conditions of registration in the continuing registration requirements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bookmarkStart w:id="152" w:name="_Toc232329301"/>
      <w:bookmarkStart w:id="153" w:name="_Toc232395134"/>
      <w:bookmarkStart w:id="154" w:name="_Toc232396119"/>
      <w:r>
        <w:tab/>
        <w:t>[Regulation 27 amended in Gazette 25 Oct 2011 p. 4511.]</w:t>
      </w:r>
    </w:p>
    <w:p>
      <w:pPr>
        <w:pStyle w:val="Heading3"/>
      </w:pPr>
      <w:bookmarkStart w:id="155" w:name="_Toc307322591"/>
      <w:bookmarkStart w:id="156" w:name="_Toc312913900"/>
      <w:bookmarkStart w:id="157" w:name="_Toc319582879"/>
      <w:bookmarkStart w:id="158" w:name="_Toc333226003"/>
      <w:bookmarkStart w:id="159" w:name="_Toc333226879"/>
      <w:bookmarkStart w:id="160" w:name="_Toc333227033"/>
      <w:r>
        <w:rPr>
          <w:rStyle w:val="CharDivNo"/>
        </w:rPr>
        <w:t>Division 5</w:t>
      </w:r>
      <w:r>
        <w:t> — </w:t>
      </w:r>
      <w:r>
        <w:rPr>
          <w:rStyle w:val="CharDivText"/>
        </w:rPr>
        <w:t>Accreditation of VET courses</w:t>
      </w:r>
      <w:bookmarkEnd w:id="152"/>
      <w:bookmarkEnd w:id="153"/>
      <w:bookmarkEnd w:id="154"/>
      <w:bookmarkEnd w:id="155"/>
      <w:bookmarkEnd w:id="156"/>
      <w:bookmarkEnd w:id="157"/>
      <w:bookmarkEnd w:id="158"/>
      <w:bookmarkEnd w:id="159"/>
      <w:bookmarkEnd w:id="160"/>
    </w:p>
    <w:p>
      <w:pPr>
        <w:pStyle w:val="Heading5"/>
      </w:pPr>
      <w:bookmarkStart w:id="161" w:name="_Toc232329302"/>
      <w:bookmarkStart w:id="162" w:name="_Toc333227034"/>
      <w:r>
        <w:rPr>
          <w:rStyle w:val="CharSectno"/>
        </w:rPr>
        <w:t>28</w:t>
      </w:r>
      <w:r>
        <w:t>.</w:t>
      </w:r>
      <w:r>
        <w:tab/>
        <w:t>Applying to have a VET course accredited</w:t>
      </w:r>
      <w:bookmarkEnd w:id="161"/>
      <w:bookmarkEnd w:id="162"/>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w:t>
      </w:r>
    </w:p>
    <w:p>
      <w:pPr>
        <w:pStyle w:val="Indenti"/>
      </w:pPr>
      <w:r>
        <w:tab/>
        <w:t>(i)</w:t>
      </w:r>
      <w:r>
        <w:tab/>
        <w:t>for a VET course for a prescribed VET qualification — $1 425;</w:t>
      </w:r>
    </w:p>
    <w:p>
      <w:pPr>
        <w:pStyle w:val="Indenti"/>
      </w:pPr>
      <w:r>
        <w:tab/>
        <w:t>(ii)</w:t>
      </w:r>
      <w:r>
        <w:tab/>
        <w:t>for any other VET course — $715.</w:t>
      </w:r>
    </w:p>
    <w:p>
      <w:pPr>
        <w:pStyle w:val="Footnotesection"/>
      </w:pPr>
      <w:r>
        <w:tab/>
        <w:t>[Regulation 28 amended in Gazette 25 Oct 2011 p. 4512; 21 Aug 2012 p. 3927.]</w:t>
      </w:r>
    </w:p>
    <w:p>
      <w:pPr>
        <w:pStyle w:val="Heading5"/>
      </w:pPr>
      <w:bookmarkStart w:id="163" w:name="_Toc232329303"/>
      <w:bookmarkStart w:id="164" w:name="_Toc333227035"/>
      <w:r>
        <w:rPr>
          <w:rStyle w:val="CharSectno"/>
        </w:rPr>
        <w:t>29</w:t>
      </w:r>
      <w:r>
        <w:t>.</w:t>
      </w:r>
      <w:r>
        <w:tab/>
        <w:t>Dealing with applications</w:t>
      </w:r>
      <w:bookmarkEnd w:id="163"/>
      <w:bookmarkEnd w:id="164"/>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165" w:name="_Toc232329304"/>
      <w:bookmarkStart w:id="166" w:name="_Toc333227036"/>
      <w:r>
        <w:rPr>
          <w:rStyle w:val="CharSectno"/>
        </w:rPr>
        <w:t>30</w:t>
      </w:r>
      <w:r>
        <w:t>.</w:t>
      </w:r>
      <w:r>
        <w:tab/>
        <w:t>Accrediting VET courses</w:t>
      </w:r>
      <w:bookmarkEnd w:id="165"/>
      <w:bookmarkEnd w:id="166"/>
    </w:p>
    <w:p>
      <w:pPr>
        <w:pStyle w:val="Subsection"/>
        <w:keepNext/>
      </w:pPr>
      <w:r>
        <w:tab/>
        <w:t>(1)</w:t>
      </w:r>
      <w:r>
        <w:tab/>
        <w:t xml:space="preserve">The Council must not accredit a VET course unless — </w:t>
      </w:r>
    </w:p>
    <w:p>
      <w:pPr>
        <w:pStyle w:val="Indenta"/>
      </w:pPr>
      <w:r>
        <w:tab/>
        <w:t>(a)</w:t>
      </w:r>
      <w:r>
        <w:tab/>
        <w:t xml:space="preserve">it has assessed the VET course in accordance with the </w:t>
      </w:r>
      <w:r>
        <w:rPr>
          <w:i/>
          <w:iCs/>
        </w:rPr>
        <w:t xml:space="preserve">AQTF 2007 Standards for State and Territory Course Accrediting Bodies </w:t>
      </w:r>
      <w:r>
        <w:t>(published by the Commonwealth of Australia 2007); and</w:t>
      </w:r>
    </w:p>
    <w:p>
      <w:pPr>
        <w:pStyle w:val="Indenta"/>
      </w:pPr>
      <w:r>
        <w:tab/>
        <w:t>(b)</w:t>
      </w:r>
      <w:r>
        <w:tab/>
        <w:t>it is satisfied the VET course meets the accreditation standards; and</w:t>
      </w:r>
    </w:p>
    <w:p>
      <w:pPr>
        <w:pStyle w:val="Indenta"/>
      </w:pPr>
      <w:r>
        <w:tab/>
        <w:t>(c)</w:t>
      </w:r>
      <w:r>
        <w:tab/>
        <w:t>in the case of a VET course for a prescribed VET qualification — it is satisfied the course complies with the guidelines in the AQF Implementation Handbook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 xml:space="preserve">give that person a course accreditation document in accordance with the </w:t>
      </w:r>
      <w:r>
        <w:rPr>
          <w:i/>
          <w:iCs/>
        </w:rPr>
        <w:t xml:space="preserve">AQTF 2007 Standards for State and Territory Course Accrediting Bodies </w:t>
      </w:r>
      <w:r>
        <w:t>(published by the Commonwealth of Australia 2007);</w:t>
      </w:r>
    </w:p>
    <w:p>
      <w:pPr>
        <w:pStyle w:val="Indenta"/>
      </w:pPr>
      <w:r>
        <w:tab/>
        <w:t>(c)</w:t>
      </w:r>
      <w:r>
        <w:tab/>
        <w:t>give that person written notice of any condition to which the accreditation is subject.</w:t>
      </w:r>
    </w:p>
    <w:p>
      <w:pPr>
        <w:pStyle w:val="Heading5"/>
      </w:pPr>
      <w:bookmarkStart w:id="167" w:name="_Toc232329305"/>
      <w:bookmarkStart w:id="168" w:name="_Toc333227037"/>
      <w:r>
        <w:rPr>
          <w:rStyle w:val="CharSectno"/>
        </w:rPr>
        <w:t>31</w:t>
      </w:r>
      <w:r>
        <w:t>.</w:t>
      </w:r>
      <w:r>
        <w:tab/>
        <w:t>Period of accreditation</w:t>
      </w:r>
      <w:bookmarkEnd w:id="167"/>
      <w:bookmarkEnd w:id="168"/>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169" w:name="_Toc232329306"/>
      <w:bookmarkStart w:id="170" w:name="_Toc333227038"/>
      <w:r>
        <w:rPr>
          <w:rStyle w:val="CharSectno"/>
        </w:rPr>
        <w:t>32</w:t>
      </w:r>
      <w:r>
        <w:t>.</w:t>
      </w:r>
      <w:r>
        <w:tab/>
        <w:t>Renewing accreditation</w:t>
      </w:r>
      <w:bookmarkEnd w:id="169"/>
      <w:bookmarkEnd w:id="170"/>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171" w:name="_Toc232329307"/>
      <w:bookmarkStart w:id="172" w:name="_Toc333227039"/>
      <w:r>
        <w:rPr>
          <w:rStyle w:val="CharSectno"/>
        </w:rPr>
        <w:t>33</w:t>
      </w:r>
      <w:r>
        <w:t>.</w:t>
      </w:r>
      <w:r>
        <w:tab/>
        <w:t>Cancelling accreditation</w:t>
      </w:r>
      <w:bookmarkEnd w:id="171"/>
      <w:bookmarkEnd w:id="172"/>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2"/>
      </w:pPr>
      <w:bookmarkStart w:id="173" w:name="_Toc232329308"/>
      <w:bookmarkStart w:id="174" w:name="_Toc232395141"/>
      <w:bookmarkStart w:id="175" w:name="_Toc232396126"/>
      <w:bookmarkStart w:id="176" w:name="_Toc307322598"/>
      <w:bookmarkStart w:id="177" w:name="_Toc312913907"/>
      <w:bookmarkStart w:id="178" w:name="_Toc319582886"/>
      <w:bookmarkStart w:id="179" w:name="_Toc333226010"/>
      <w:bookmarkStart w:id="180" w:name="_Toc333226886"/>
      <w:bookmarkStart w:id="181" w:name="_Toc333227040"/>
      <w:r>
        <w:rPr>
          <w:rStyle w:val="CharPartNo"/>
        </w:rPr>
        <w:t>Part 4</w:t>
      </w:r>
      <w:r>
        <w:t> — </w:t>
      </w:r>
      <w:r>
        <w:rPr>
          <w:rStyle w:val="CharPartText"/>
        </w:rPr>
        <w:t>Regulations for Part 7 of the Act</w:t>
      </w:r>
      <w:bookmarkEnd w:id="173"/>
      <w:bookmarkEnd w:id="174"/>
      <w:bookmarkEnd w:id="175"/>
      <w:bookmarkEnd w:id="176"/>
      <w:bookmarkEnd w:id="177"/>
      <w:bookmarkEnd w:id="178"/>
      <w:bookmarkEnd w:id="179"/>
      <w:bookmarkEnd w:id="180"/>
      <w:bookmarkEnd w:id="181"/>
    </w:p>
    <w:p>
      <w:pPr>
        <w:pStyle w:val="Heading3"/>
      </w:pPr>
      <w:bookmarkStart w:id="182" w:name="_Toc232329309"/>
      <w:bookmarkStart w:id="183" w:name="_Toc232395142"/>
      <w:bookmarkStart w:id="184" w:name="_Toc232396127"/>
      <w:bookmarkStart w:id="185" w:name="_Toc307322599"/>
      <w:bookmarkStart w:id="186" w:name="_Toc312913908"/>
      <w:bookmarkStart w:id="187" w:name="_Toc319582887"/>
      <w:bookmarkStart w:id="188" w:name="_Toc333226011"/>
      <w:bookmarkStart w:id="189" w:name="_Toc333226887"/>
      <w:bookmarkStart w:id="190" w:name="_Toc333227041"/>
      <w:r>
        <w:rPr>
          <w:rStyle w:val="CharDivNo"/>
        </w:rPr>
        <w:t>Division 1</w:t>
      </w:r>
      <w:r>
        <w:t> — </w:t>
      </w:r>
      <w:r>
        <w:rPr>
          <w:rStyle w:val="CharDivText"/>
        </w:rPr>
        <w:t>General matters</w:t>
      </w:r>
      <w:bookmarkEnd w:id="182"/>
      <w:bookmarkEnd w:id="183"/>
      <w:bookmarkEnd w:id="184"/>
      <w:bookmarkEnd w:id="185"/>
      <w:bookmarkEnd w:id="186"/>
      <w:bookmarkEnd w:id="187"/>
      <w:bookmarkEnd w:id="188"/>
      <w:bookmarkEnd w:id="189"/>
      <w:bookmarkEnd w:id="190"/>
    </w:p>
    <w:p>
      <w:pPr>
        <w:pStyle w:val="Heading5"/>
      </w:pPr>
      <w:bookmarkStart w:id="191" w:name="_Toc232329310"/>
      <w:bookmarkStart w:id="192" w:name="_Toc333227042"/>
      <w:r>
        <w:rPr>
          <w:rStyle w:val="CharSectno"/>
        </w:rPr>
        <w:t>34</w:t>
      </w:r>
      <w:r>
        <w:t>.</w:t>
      </w:r>
      <w:r>
        <w:tab/>
        <w:t>Term used: nominated training provider</w:t>
      </w:r>
      <w:bookmarkEnd w:id="191"/>
      <w:bookmarkEnd w:id="192"/>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193" w:name="_Toc232329311"/>
      <w:bookmarkStart w:id="194" w:name="_Toc333227043"/>
      <w:r>
        <w:rPr>
          <w:rStyle w:val="CharSectno"/>
        </w:rPr>
        <w:t>35</w:t>
      </w:r>
      <w:r>
        <w:t>.</w:t>
      </w:r>
      <w:r>
        <w:tab/>
        <w:t>Chief executive may delegate</w:t>
      </w:r>
      <w:bookmarkEnd w:id="193"/>
      <w:bookmarkEnd w:id="194"/>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195" w:name="_Toc232329312"/>
      <w:bookmarkStart w:id="196" w:name="_Toc232395145"/>
      <w:bookmarkStart w:id="197" w:name="_Toc232396130"/>
      <w:bookmarkStart w:id="198" w:name="_Toc307322602"/>
      <w:bookmarkStart w:id="199" w:name="_Toc312913911"/>
      <w:bookmarkStart w:id="200" w:name="_Toc319582890"/>
      <w:bookmarkStart w:id="201" w:name="_Toc333226014"/>
      <w:bookmarkStart w:id="202" w:name="_Toc333226890"/>
      <w:bookmarkStart w:id="203" w:name="_Toc333227044"/>
      <w:r>
        <w:rPr>
          <w:rStyle w:val="CharDivNo"/>
        </w:rPr>
        <w:t>Division 2</w:t>
      </w:r>
      <w:r>
        <w:t> — </w:t>
      </w:r>
      <w:r>
        <w:rPr>
          <w:rStyle w:val="CharDivText"/>
        </w:rPr>
        <w:t>Classifying prescribed VET qualifications</w:t>
      </w:r>
      <w:bookmarkEnd w:id="195"/>
      <w:bookmarkEnd w:id="196"/>
      <w:bookmarkEnd w:id="197"/>
      <w:bookmarkEnd w:id="198"/>
      <w:bookmarkEnd w:id="199"/>
      <w:bookmarkEnd w:id="200"/>
      <w:bookmarkEnd w:id="201"/>
      <w:bookmarkEnd w:id="202"/>
      <w:bookmarkEnd w:id="203"/>
    </w:p>
    <w:p>
      <w:pPr>
        <w:pStyle w:val="Heading5"/>
      </w:pPr>
      <w:bookmarkStart w:id="204" w:name="_Toc232329313"/>
      <w:bookmarkStart w:id="205" w:name="_Toc333227045"/>
      <w:r>
        <w:rPr>
          <w:rStyle w:val="CharSectno"/>
        </w:rPr>
        <w:t>36</w:t>
      </w:r>
      <w:r>
        <w:t>.</w:t>
      </w:r>
      <w:r>
        <w:tab/>
        <w:t>Who Board must consult (Act s. 60C)</w:t>
      </w:r>
      <w:bookmarkEnd w:id="204"/>
      <w:bookmarkEnd w:id="205"/>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206" w:name="_Toc232329314"/>
      <w:bookmarkStart w:id="207" w:name="_Toc333227046"/>
      <w:r>
        <w:rPr>
          <w:rStyle w:val="CharSectno"/>
        </w:rPr>
        <w:t>37</w:t>
      </w:r>
      <w:r>
        <w:t>.</w:t>
      </w:r>
      <w:r>
        <w:tab/>
        <w:t>Board’s advice and recommendations to Minister (Act s. 60C)</w:t>
      </w:r>
      <w:bookmarkEnd w:id="206"/>
      <w:bookmarkEnd w:id="207"/>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 Implementation Handbook.</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Heading3"/>
      </w:pPr>
      <w:bookmarkStart w:id="208" w:name="_Toc232329315"/>
      <w:bookmarkStart w:id="209" w:name="_Toc232395148"/>
      <w:bookmarkStart w:id="210" w:name="_Toc232396133"/>
      <w:bookmarkStart w:id="211" w:name="_Toc307322605"/>
      <w:bookmarkStart w:id="212" w:name="_Toc312913914"/>
      <w:bookmarkStart w:id="213" w:name="_Toc319582893"/>
      <w:bookmarkStart w:id="214" w:name="_Toc333226017"/>
      <w:bookmarkStart w:id="215" w:name="_Toc333226893"/>
      <w:bookmarkStart w:id="216" w:name="_Toc333227047"/>
      <w:r>
        <w:rPr>
          <w:rStyle w:val="CharDivNo"/>
        </w:rPr>
        <w:t>Division 3</w:t>
      </w:r>
      <w:r>
        <w:t> — </w:t>
      </w:r>
      <w:r>
        <w:rPr>
          <w:rStyle w:val="CharDivText"/>
        </w:rPr>
        <w:t>Training contracts</w:t>
      </w:r>
      <w:bookmarkEnd w:id="208"/>
      <w:bookmarkEnd w:id="209"/>
      <w:bookmarkEnd w:id="210"/>
      <w:bookmarkEnd w:id="211"/>
      <w:bookmarkEnd w:id="212"/>
      <w:bookmarkEnd w:id="213"/>
      <w:bookmarkEnd w:id="214"/>
      <w:bookmarkEnd w:id="215"/>
      <w:bookmarkEnd w:id="216"/>
    </w:p>
    <w:p>
      <w:pPr>
        <w:pStyle w:val="Heading5"/>
      </w:pPr>
      <w:bookmarkStart w:id="217" w:name="_Toc232329316"/>
      <w:bookmarkStart w:id="218" w:name="_Toc333227048"/>
      <w:r>
        <w:rPr>
          <w:rStyle w:val="CharSectno"/>
        </w:rPr>
        <w:t>38</w:t>
      </w:r>
      <w:r>
        <w:t>.</w:t>
      </w:r>
      <w:r>
        <w:tab/>
        <w:t>Form and content of training contracts</w:t>
      </w:r>
      <w:bookmarkEnd w:id="217"/>
      <w:bookmarkEnd w:id="218"/>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Heading5"/>
      </w:pPr>
      <w:bookmarkStart w:id="219" w:name="_Toc232329317"/>
      <w:bookmarkStart w:id="220" w:name="_Toc333227049"/>
      <w:r>
        <w:rPr>
          <w:rStyle w:val="CharSectno"/>
        </w:rPr>
        <w:t>39</w:t>
      </w:r>
      <w:r>
        <w:t>.</w:t>
      </w:r>
      <w:r>
        <w:tab/>
        <w:t>Probation periods of training contracts</w:t>
      </w:r>
      <w:bookmarkEnd w:id="219"/>
      <w:bookmarkEnd w:id="220"/>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pPr>
      <w:bookmarkStart w:id="221" w:name="_Toc232329318"/>
      <w:bookmarkStart w:id="222" w:name="_Toc333227050"/>
      <w:r>
        <w:rPr>
          <w:rStyle w:val="CharSectno"/>
        </w:rPr>
        <w:t>40</w:t>
      </w:r>
      <w:r>
        <w:t>.</w:t>
      </w:r>
      <w:r>
        <w:tab/>
        <w:t>Children’s capacity to enter into training contracts</w:t>
      </w:r>
      <w:bookmarkEnd w:id="221"/>
      <w:bookmarkEnd w:id="222"/>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223" w:name="_Toc232329319"/>
      <w:bookmarkStart w:id="224" w:name="_Toc333227051"/>
      <w:r>
        <w:rPr>
          <w:rStyle w:val="CharSectno"/>
        </w:rPr>
        <w:t>41</w:t>
      </w:r>
      <w:r>
        <w:t>.</w:t>
      </w:r>
      <w:r>
        <w:tab/>
        <w:t>Lodging training contracts for registration (Act s. 60F)</w:t>
      </w:r>
      <w:bookmarkEnd w:id="223"/>
      <w:bookmarkEnd w:id="224"/>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225" w:name="_Toc232329320"/>
      <w:bookmarkStart w:id="226" w:name="_Toc333227052"/>
      <w:r>
        <w:rPr>
          <w:rStyle w:val="CharSectno"/>
        </w:rPr>
        <w:t>42</w:t>
      </w:r>
      <w:r>
        <w:t>.</w:t>
      </w:r>
      <w:r>
        <w:tab/>
        <w:t>Registering training contracts (Act s. 60F)</w:t>
      </w:r>
      <w:bookmarkEnd w:id="225"/>
      <w:bookmarkEnd w:id="226"/>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w:t>
      </w:r>
      <w:r>
        <w:tab/>
        <w:t>the chief executive is satisfied the parties have terminated the contract.</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Heading5"/>
      </w:pPr>
      <w:bookmarkStart w:id="227" w:name="_Toc232329321"/>
      <w:bookmarkStart w:id="228" w:name="_Toc333227053"/>
      <w:r>
        <w:rPr>
          <w:rStyle w:val="CharSectno"/>
        </w:rPr>
        <w:t>43</w:t>
      </w:r>
      <w:r>
        <w:t>.</w:t>
      </w:r>
      <w:r>
        <w:tab/>
        <w:t>Training plans for training contracts</w:t>
      </w:r>
      <w:bookmarkEnd w:id="227"/>
      <w:bookmarkEnd w:id="228"/>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w:t>
      </w:r>
    </w:p>
    <w:p>
      <w:pPr>
        <w:pStyle w:val="Subsection"/>
      </w:pPr>
      <w:r>
        <w:tab/>
        <w:t>(2)</w:t>
      </w:r>
      <w:r>
        <w:tab/>
        <w:t>If the employer or the apprentice under a training contract, or the nominated training provider for the contract, does not sign a complying training plan within —</w:t>
      </w:r>
    </w:p>
    <w:p>
      <w:pPr>
        <w:pStyle w:val="Indenta"/>
      </w:pPr>
      <w:r>
        <w:tab/>
        <w:t>(a)</w:t>
      </w:r>
      <w:r>
        <w:tab/>
        <w:t>6 weeks after the date on which the contract is signed by the parties; or</w:t>
      </w:r>
    </w:p>
    <w:p>
      <w:pPr>
        <w:pStyle w:val="Indenta"/>
      </w:pPr>
      <w:r>
        <w:tab/>
        <w:t>(b)</w:t>
      </w:r>
      <w:r>
        <w:tab/>
        <w:t>the probation period for the contract,</w:t>
      </w:r>
    </w:p>
    <w:p>
      <w:pPr>
        <w:pStyle w:val="Subsection"/>
      </w:pPr>
      <w:r>
        <w:tab/>
      </w:r>
      <w:r>
        <w:tab/>
        <w:t>whichever is the longer, the employer, apprentice or provider, as the case may be, commits an offence.</w:t>
      </w:r>
    </w:p>
    <w:p>
      <w:pPr>
        <w:pStyle w:val="Penstart"/>
      </w:pPr>
      <w:r>
        <w:tab/>
        <w:t>Penalty: a fine of $5 000.</w:t>
      </w:r>
    </w:p>
    <w:p>
      <w:pPr>
        <w:pStyle w:val="Heading5"/>
      </w:pPr>
      <w:bookmarkStart w:id="229" w:name="_Toc232329322"/>
      <w:bookmarkStart w:id="230" w:name="_Toc333227054"/>
      <w:r>
        <w:rPr>
          <w:rStyle w:val="CharSectno"/>
        </w:rPr>
        <w:t>44</w:t>
      </w:r>
      <w:r>
        <w:t>.</w:t>
      </w:r>
      <w:r>
        <w:tab/>
        <w:t>Cancellation of registration by chief executive (Act s. 60F)</w:t>
      </w:r>
      <w:bookmarkEnd w:id="229"/>
      <w:bookmarkEnd w:id="230"/>
    </w:p>
    <w:p>
      <w:pPr>
        <w:pStyle w:val="Subsection"/>
      </w:pPr>
      <w:r>
        <w:tab/>
      </w:r>
      <w:r>
        <w:tab/>
        <w:t>Under section 60F(5) of the Act the chief executive may cancel the registration of a training contract for any of these reasons —</w:t>
      </w:r>
    </w:p>
    <w:p>
      <w:pPr>
        <w:pStyle w:val="Indenta"/>
      </w:pPr>
      <w:r>
        <w:tab/>
        <w:t>(a)</w:t>
      </w:r>
      <w:r>
        <w:tab/>
        <w:t xml:space="preserve">the chief executive is satisfied that a complying training plan (as defined in regulation 43(1)) has not been signed by the employer, the apprentice and the nominated training provider under the contract within — </w:t>
      </w:r>
    </w:p>
    <w:p>
      <w:pPr>
        <w:pStyle w:val="Indenti"/>
      </w:pPr>
      <w:r>
        <w:tab/>
        <w:t>(i)</w:t>
      </w:r>
      <w:r>
        <w:tab/>
        <w:t>6 weeks after the date on which the contract is signed by the parties; or</w:t>
      </w:r>
    </w:p>
    <w:p>
      <w:pPr>
        <w:pStyle w:val="Indenti"/>
      </w:pPr>
      <w:r>
        <w:tab/>
        <w:t>(ii)</w:t>
      </w:r>
      <w:r>
        <w:tab/>
        <w:t>the probation period for the contract,</w:t>
      </w:r>
    </w:p>
    <w:p>
      <w:pPr>
        <w:pStyle w:val="Indenta"/>
      </w:pPr>
      <w:r>
        <w:tab/>
      </w:r>
      <w:r>
        <w:tab/>
        <w:t>whichever is the longer;</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(d)</w:t>
      </w:r>
      <w:r>
        <w:tab/>
        <w:t>the contract has been terminated.</w:t>
      </w:r>
    </w:p>
    <w:p>
      <w:pPr>
        <w:pStyle w:val="Heading5"/>
      </w:pPr>
      <w:bookmarkStart w:id="231" w:name="_Toc232329323"/>
      <w:bookmarkStart w:id="232" w:name="_Toc333227055"/>
      <w:r>
        <w:rPr>
          <w:rStyle w:val="CharSectno"/>
        </w:rPr>
        <w:t>45</w:t>
      </w:r>
      <w:r>
        <w:t>.</w:t>
      </w:r>
      <w:r>
        <w:tab/>
        <w:t>Chief executive may require persons involved in training contracts to provide information</w:t>
      </w:r>
      <w:bookmarkEnd w:id="231"/>
      <w:bookmarkEnd w:id="232"/>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a fine of $5 000.</w:t>
      </w:r>
    </w:p>
    <w:p>
      <w:pPr>
        <w:pStyle w:val="Heading5"/>
      </w:pPr>
      <w:bookmarkStart w:id="233" w:name="_Toc232329324"/>
      <w:bookmarkStart w:id="234" w:name="_Toc333227056"/>
      <w:r>
        <w:rPr>
          <w:rStyle w:val="CharSectno"/>
        </w:rPr>
        <w:t>46</w:t>
      </w:r>
      <w:r>
        <w:t>.</w:t>
      </w:r>
      <w:r>
        <w:tab/>
        <w:t>Variation of training contract by parties (Act s. 60E)</w:t>
      </w:r>
      <w:bookmarkEnd w:id="233"/>
      <w:bookmarkEnd w:id="234"/>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235" w:name="_Toc232329325"/>
      <w:bookmarkStart w:id="236" w:name="_Toc333227057"/>
      <w:r>
        <w:rPr>
          <w:rStyle w:val="CharSectno"/>
        </w:rPr>
        <w:t>47</w:t>
      </w:r>
      <w:r>
        <w:t>.</w:t>
      </w:r>
      <w:r>
        <w:tab/>
        <w:t>Assignment of training contract to another employer (Act s. 60E)</w:t>
      </w:r>
      <w:bookmarkEnd w:id="235"/>
      <w:bookmarkEnd w:id="236"/>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Heading5"/>
      </w:pPr>
      <w:bookmarkStart w:id="237" w:name="_Toc232329326"/>
      <w:bookmarkStart w:id="238" w:name="_Toc333227058"/>
      <w:r>
        <w:rPr>
          <w:rStyle w:val="CharSectno"/>
        </w:rPr>
        <w:t>48</w:t>
      </w:r>
      <w:r>
        <w:t>.</w:t>
      </w:r>
      <w:r>
        <w:tab/>
        <w:t>Suspension of training contract by parties (Act s. 60E)</w:t>
      </w:r>
      <w:bookmarkEnd w:id="237"/>
      <w:bookmarkEnd w:id="238"/>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a fine of $1 000.</w:t>
      </w:r>
    </w:p>
    <w:p>
      <w:pPr>
        <w:pStyle w:val="Heading5"/>
      </w:pPr>
      <w:bookmarkStart w:id="239" w:name="_Toc232329327"/>
      <w:bookmarkStart w:id="240" w:name="_Toc333227059"/>
      <w:r>
        <w:rPr>
          <w:rStyle w:val="CharSectno"/>
        </w:rPr>
        <w:t>49</w:t>
      </w:r>
      <w:r>
        <w:t>.</w:t>
      </w:r>
      <w:r>
        <w:tab/>
        <w:t>Suspension by employer (Act s. 60E)</w:t>
      </w:r>
      <w:bookmarkEnd w:id="239"/>
      <w:bookmarkEnd w:id="240"/>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Heading5"/>
      </w:pPr>
      <w:bookmarkStart w:id="241" w:name="_Toc232329328"/>
      <w:bookmarkStart w:id="242" w:name="_Toc333227060"/>
      <w:r>
        <w:rPr>
          <w:rStyle w:val="CharSectno"/>
        </w:rPr>
        <w:t>50</w:t>
      </w:r>
      <w:r>
        <w:t>.</w:t>
      </w:r>
      <w:r>
        <w:tab/>
        <w:t>Termination of training contract by parties (Act s. 60G)</w:t>
      </w:r>
      <w:bookmarkEnd w:id="241"/>
      <w:bookmarkEnd w:id="242"/>
    </w:p>
    <w:p>
      <w:pPr>
        <w:pStyle w:val="Subsection"/>
      </w:pPr>
      <w:r>
        <w:tab/>
      </w:r>
      <w:r>
        <w:tab/>
        <w:t>A party to a training contract may terminate the contract during the contract’s probation period without the approval of the chief executive.</w:t>
      </w:r>
    </w:p>
    <w:p>
      <w:pPr>
        <w:pStyle w:val="Heading5"/>
      </w:pPr>
      <w:bookmarkStart w:id="243" w:name="_Toc232329329"/>
      <w:bookmarkStart w:id="244" w:name="_Toc333227061"/>
      <w:r>
        <w:rPr>
          <w:rStyle w:val="CharSectno"/>
        </w:rPr>
        <w:t>51</w:t>
      </w:r>
      <w:r>
        <w:t>.</w:t>
      </w:r>
      <w:r>
        <w:tab/>
        <w:t>Approval of termination of training contract by chief executive (Act s. 60G)</w:t>
      </w:r>
      <w:bookmarkEnd w:id="243"/>
      <w:bookmarkEnd w:id="244"/>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245" w:name="_Toc232329330"/>
      <w:bookmarkStart w:id="246" w:name="_Toc333227062"/>
      <w:r>
        <w:rPr>
          <w:rStyle w:val="CharSectno"/>
        </w:rPr>
        <w:t>52</w:t>
      </w:r>
      <w:r>
        <w:t>.</w:t>
      </w:r>
      <w:r>
        <w:tab/>
        <w:t>Completion of training contract</w:t>
      </w:r>
      <w:bookmarkEnd w:id="245"/>
      <w:bookmarkEnd w:id="246"/>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a fine of $5 000.</w:t>
      </w:r>
    </w:p>
    <w:p>
      <w:pPr>
        <w:pStyle w:val="Heading3"/>
      </w:pPr>
      <w:bookmarkStart w:id="247" w:name="_Toc232329331"/>
      <w:bookmarkStart w:id="248" w:name="_Toc232395164"/>
      <w:bookmarkStart w:id="249" w:name="_Toc232396149"/>
      <w:bookmarkStart w:id="250" w:name="_Toc307322621"/>
      <w:bookmarkStart w:id="251" w:name="_Toc312913930"/>
      <w:bookmarkStart w:id="252" w:name="_Toc319582909"/>
      <w:bookmarkStart w:id="253" w:name="_Toc333226033"/>
      <w:bookmarkStart w:id="254" w:name="_Toc333226909"/>
      <w:bookmarkStart w:id="255" w:name="_Toc333227063"/>
      <w:r>
        <w:rPr>
          <w:rStyle w:val="CharDivNo"/>
        </w:rPr>
        <w:t>Division 4</w:t>
      </w:r>
      <w:r>
        <w:t> — </w:t>
      </w:r>
      <w:r>
        <w:rPr>
          <w:rStyle w:val="CharDivText"/>
        </w:rPr>
        <w:t>Procedure and appeals</w:t>
      </w:r>
      <w:bookmarkEnd w:id="247"/>
      <w:bookmarkEnd w:id="248"/>
      <w:bookmarkEnd w:id="249"/>
      <w:bookmarkEnd w:id="250"/>
      <w:bookmarkEnd w:id="251"/>
      <w:bookmarkEnd w:id="252"/>
      <w:bookmarkEnd w:id="253"/>
      <w:bookmarkEnd w:id="254"/>
      <w:bookmarkEnd w:id="255"/>
    </w:p>
    <w:p>
      <w:pPr>
        <w:pStyle w:val="Heading5"/>
      </w:pPr>
      <w:bookmarkStart w:id="256" w:name="_Toc232329332"/>
      <w:bookmarkStart w:id="257" w:name="_Toc333227064"/>
      <w:r>
        <w:rPr>
          <w:rStyle w:val="CharSectno"/>
        </w:rPr>
        <w:t>53</w:t>
      </w:r>
      <w:r>
        <w:t>.</w:t>
      </w:r>
      <w:r>
        <w:tab/>
        <w:t>Procedure on applications</w:t>
      </w:r>
      <w:bookmarkEnd w:id="256"/>
      <w:bookmarkEnd w:id="257"/>
    </w:p>
    <w:p>
      <w:pPr>
        <w:pStyle w:val="Subsection"/>
      </w:pPr>
      <w:r>
        <w:tab/>
        <w:t>(1)</w:t>
      </w:r>
      <w:r>
        <w:tab/>
        <w:t>This regulation applies to and in relation to any application made to the chief executive under Part 7 Division 2 of the Act or under regulation 39, 40, 46, 47 or 48.</w:t>
      </w:r>
    </w:p>
    <w:p>
      <w:pPr>
        <w:pStyle w:val="Subsection"/>
        <w:keepNext/>
      </w:pPr>
      <w:r>
        <w:tab/>
        <w:t>(2)</w:t>
      </w:r>
      <w:r>
        <w:tab/>
        <w:t>On the application the chief executive —</w:t>
      </w:r>
    </w:p>
    <w:p>
      <w:pPr>
        <w:pStyle w:val="Indenta"/>
      </w:pPr>
      <w:r>
        <w:tab/>
        <w:t>(a)</w:t>
      </w:r>
      <w:r>
        <w:tab/>
        <w:t>may inform himself or herself in any way he or she thinks fit; and</w:t>
      </w:r>
    </w:p>
    <w:p>
      <w:pPr>
        <w:pStyle w:val="Indenta"/>
        <w:keepNext/>
      </w:pPr>
      <w:r>
        <w:tab/>
        <w:t>(b)</w:t>
      </w:r>
      <w:r>
        <w:tab/>
        <w:t xml:space="preserve">must give — </w:t>
      </w:r>
    </w:p>
    <w:p>
      <w:pPr>
        <w:pStyle w:val="Indenti"/>
      </w:pPr>
      <w:r>
        <w:tab/>
        <w:t>(i)</w:t>
      </w:r>
      <w:r>
        <w:tab/>
        <w:t>the applicant; and</w:t>
      </w:r>
    </w:p>
    <w:p>
      <w:pPr>
        <w:pStyle w:val="Indenti"/>
      </w:pPr>
      <w:r>
        <w:tab/>
        <w:t>(ii)</w:t>
      </w:r>
      <w:r>
        <w:tab/>
        <w:t>if the applicant is a party to a training contract, each other party; and</w:t>
      </w:r>
    </w:p>
    <w:p>
      <w:pPr>
        <w:pStyle w:val="Indenti"/>
      </w:pPr>
      <w:r>
        <w:tab/>
        <w:t>(iii)</w:t>
      </w:r>
      <w:r>
        <w:tab/>
        <w:t>any other person who may or will be affected by the outcome of the application or who, in the chief executive’s opinion, has a sufficient interest in the application,</w:t>
      </w:r>
    </w:p>
    <w:p>
      <w:pPr>
        <w:pStyle w:val="Indenta"/>
      </w:pPr>
      <w:r>
        <w:tab/>
      </w:r>
      <w:r>
        <w:tab/>
        <w:t>a reasonable opportunity to provide evidence and make submissions relevant to the application; 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the chief executive must give the parties to the contract written notice of the decision and the reasons for it.</w:t>
      </w:r>
    </w:p>
    <w:p>
      <w:pPr>
        <w:pStyle w:val="Heading5"/>
      </w:pPr>
      <w:bookmarkStart w:id="258" w:name="_Toc232329333"/>
      <w:bookmarkStart w:id="259" w:name="_Toc333227065"/>
      <w:r>
        <w:rPr>
          <w:rStyle w:val="CharSectno"/>
        </w:rPr>
        <w:t>54</w:t>
      </w:r>
      <w:r>
        <w:t>.</w:t>
      </w:r>
      <w:r>
        <w:tab/>
        <w:t>Appeals</w:t>
      </w:r>
      <w:bookmarkEnd w:id="258"/>
      <w:bookmarkEnd w:id="259"/>
    </w:p>
    <w:p>
      <w:pPr>
        <w:pStyle w:val="Subsection"/>
      </w:pPr>
      <w:r>
        <w:tab/>
        <w:t>(1)</w:t>
      </w:r>
      <w:r>
        <w:tab/>
        <w:t>A party to a training contract who is dissatisfied by a decision made in relation to the contract by the chief executive under regulation 39, 46, 47 or 48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Heading2"/>
      </w:pPr>
      <w:bookmarkStart w:id="260" w:name="_Toc232329334"/>
      <w:bookmarkStart w:id="261" w:name="_Toc232395167"/>
      <w:bookmarkStart w:id="262" w:name="_Toc232396152"/>
      <w:bookmarkStart w:id="263" w:name="_Toc307322624"/>
      <w:bookmarkStart w:id="264" w:name="_Toc312913933"/>
      <w:bookmarkStart w:id="265" w:name="_Toc319582912"/>
      <w:bookmarkStart w:id="266" w:name="_Toc333226036"/>
      <w:bookmarkStart w:id="267" w:name="_Toc333226912"/>
      <w:bookmarkStart w:id="268" w:name="_Toc333227066"/>
      <w:r>
        <w:rPr>
          <w:rStyle w:val="CharPartNo"/>
        </w:rPr>
        <w:t>Part 5</w:t>
      </w:r>
      <w:r>
        <w:rPr>
          <w:rStyle w:val="CharDivNo"/>
        </w:rPr>
        <w:t> </w:t>
      </w:r>
      <w:r>
        <w:t>—</w:t>
      </w:r>
      <w:r>
        <w:rPr>
          <w:rStyle w:val="CharDivText"/>
        </w:rPr>
        <w:t> </w:t>
      </w:r>
      <w:r>
        <w:rPr>
          <w:rStyle w:val="CharPartText"/>
        </w:rPr>
        <w:t>Repeals and transitional matters</w:t>
      </w:r>
      <w:bookmarkEnd w:id="260"/>
      <w:bookmarkEnd w:id="261"/>
      <w:bookmarkEnd w:id="262"/>
      <w:bookmarkEnd w:id="263"/>
      <w:bookmarkEnd w:id="264"/>
      <w:bookmarkEnd w:id="265"/>
      <w:bookmarkEnd w:id="266"/>
      <w:bookmarkEnd w:id="267"/>
      <w:bookmarkEnd w:id="268"/>
    </w:p>
    <w:p>
      <w:pPr>
        <w:pStyle w:val="Heading5"/>
      </w:pPr>
      <w:bookmarkStart w:id="269" w:name="_Toc232329335"/>
      <w:bookmarkStart w:id="270" w:name="_Toc333227067"/>
      <w:r>
        <w:rPr>
          <w:rStyle w:val="CharSectno"/>
        </w:rPr>
        <w:t>55</w:t>
      </w:r>
      <w:r>
        <w:t>.</w:t>
      </w:r>
      <w:r>
        <w:tab/>
        <w:t>Term used: commencement</w:t>
      </w:r>
      <w:bookmarkEnd w:id="269"/>
      <w:bookmarkEnd w:id="270"/>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p>
    <w:p>
      <w:pPr>
        <w:pStyle w:val="Heading5"/>
      </w:pPr>
      <w:bookmarkStart w:id="271" w:name="_Toc232329336"/>
      <w:bookmarkStart w:id="272" w:name="_Toc333227068"/>
      <w:r>
        <w:rPr>
          <w:rStyle w:val="CharSectno"/>
        </w:rPr>
        <w:t>56</w:t>
      </w:r>
      <w:r>
        <w:t>.</w:t>
      </w:r>
      <w:r>
        <w:tab/>
        <w:t>Repeals</w:t>
      </w:r>
      <w:bookmarkEnd w:id="271"/>
      <w:bookmarkEnd w:id="272"/>
    </w:p>
    <w:p>
      <w:pPr>
        <w:pStyle w:val="Subsection"/>
      </w:pPr>
      <w:r>
        <w:tab/>
        <w:t>(1)</w:t>
      </w:r>
      <w:r>
        <w:tab/>
        <w:t xml:space="preserve">The </w:t>
      </w:r>
      <w:r>
        <w:rPr>
          <w:i/>
          <w:iCs/>
        </w:rPr>
        <w:t xml:space="preserve">Industrial Training (Apprenticeship Training) Regulations 1981 </w:t>
      </w:r>
      <w:r>
        <w:t>are repealed.</w:t>
      </w:r>
    </w:p>
    <w:p>
      <w:pPr>
        <w:pStyle w:val="Subsection"/>
      </w:pPr>
      <w:r>
        <w:tab/>
        <w:t>(2)</w:t>
      </w:r>
      <w:r>
        <w:tab/>
        <w:t xml:space="preserve">The </w:t>
      </w:r>
      <w:r>
        <w:rPr>
          <w:i/>
          <w:iCs/>
        </w:rPr>
        <w:t xml:space="preserve">Industrial Training (General Apprenticeship) Regulations 1981 </w:t>
      </w:r>
      <w:r>
        <w:t>are repealed.</w:t>
      </w:r>
    </w:p>
    <w:p>
      <w:pPr>
        <w:pStyle w:val="Heading5"/>
      </w:pPr>
      <w:bookmarkStart w:id="273" w:name="_Toc232329337"/>
      <w:bookmarkStart w:id="274" w:name="_Toc333227069"/>
      <w:r>
        <w:rPr>
          <w:rStyle w:val="CharSectno"/>
        </w:rPr>
        <w:t>57</w:t>
      </w:r>
      <w:r>
        <w:t>.</w:t>
      </w:r>
      <w:r>
        <w:tab/>
        <w:t>Registered training providers</w:t>
      </w:r>
      <w:bookmarkEnd w:id="273"/>
      <w:bookmarkEnd w:id="274"/>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275" w:name="_Toc232329338"/>
      <w:bookmarkStart w:id="276" w:name="_Toc333227070"/>
      <w:r>
        <w:rPr>
          <w:rStyle w:val="CharSectno"/>
        </w:rPr>
        <w:t>58</w:t>
      </w:r>
      <w:r>
        <w:t>.</w:t>
      </w:r>
      <w:r>
        <w:tab/>
        <w:t>Accredited courses</w:t>
      </w:r>
      <w:bookmarkEnd w:id="275"/>
      <w:bookmarkEnd w:id="276"/>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277" w:name="_Toc232329339"/>
      <w:bookmarkStart w:id="278" w:name="_Toc333227071"/>
      <w:r>
        <w:rPr>
          <w:rStyle w:val="CharSectno"/>
        </w:rPr>
        <w:t>59</w:t>
      </w:r>
      <w:r>
        <w:t>.</w:t>
      </w:r>
      <w:r>
        <w:tab/>
        <w:t>Traineeship contracts</w:t>
      </w:r>
      <w:bookmarkEnd w:id="277"/>
      <w:bookmarkEnd w:id="278"/>
    </w:p>
    <w:p>
      <w:pPr>
        <w:pStyle w:val="Subsection"/>
      </w:pPr>
      <w:r>
        <w:tab/>
      </w:r>
      <w:r>
        <w:tab/>
        <w:t>If —</w:t>
      </w:r>
    </w:p>
    <w:p>
      <w:pPr>
        <w:pStyle w:val="Indenta"/>
        <w:rPr>
          <w:iCs/>
        </w:rPr>
      </w:pPr>
      <w:r>
        <w:tab/>
        <w:t>(a)</w:t>
      </w:r>
      <w:r>
        <w:tab/>
        <w:t xml:space="preserve">immediately before commencement the Director of Industrial Training appointed under the </w:t>
      </w:r>
      <w:r>
        <w:rPr>
          <w:i/>
        </w:rPr>
        <w:t xml:space="preserve">Industrial Training Act 1975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279" w:name="_Toc232329340"/>
      <w:bookmarkStart w:id="280" w:name="_Toc333227072"/>
      <w:r>
        <w:rPr>
          <w:rStyle w:val="CharSectno"/>
        </w:rPr>
        <w:t>60</w:t>
      </w:r>
      <w:r>
        <w:t>.</w:t>
      </w:r>
      <w:r>
        <w:tab/>
        <w:t>Apprentices learning trades, transitional provisions for</w:t>
      </w:r>
      <w:bookmarkEnd w:id="279"/>
      <w:bookmarkEnd w:id="280"/>
    </w:p>
    <w:p>
      <w:pPr>
        <w:pStyle w:val="Subsection"/>
      </w:pPr>
      <w:r>
        <w:tab/>
      </w:r>
      <w:r>
        <w:tab/>
        <w:t>Schedule 1 sets out transitional provisions.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81" w:name="_Toc232329341"/>
      <w:bookmarkStart w:id="282" w:name="_Toc232395174"/>
      <w:bookmarkStart w:id="283" w:name="_Toc232396159"/>
      <w:bookmarkStart w:id="284" w:name="_Toc307322631"/>
      <w:bookmarkStart w:id="285" w:name="_Toc312913940"/>
      <w:bookmarkStart w:id="286" w:name="_Toc319582919"/>
      <w:bookmarkStart w:id="287" w:name="_Toc333226043"/>
      <w:bookmarkStart w:id="288" w:name="_Toc333226919"/>
      <w:bookmarkStart w:id="289" w:name="_Toc333227073"/>
      <w:bookmarkStart w:id="290" w:name="_Toc70311421"/>
      <w:bookmarkStart w:id="291" w:name="_Toc113695913"/>
      <w:bookmarkStart w:id="292" w:name="_Toc231178932"/>
      <w:r>
        <w:rPr>
          <w:rStyle w:val="CharSchNo"/>
        </w:rPr>
        <w:t>Schedule 1</w:t>
      </w:r>
      <w:r>
        <w:rPr>
          <w:rStyle w:val="CharSDivNo"/>
        </w:rPr>
        <w:t> </w:t>
      </w:r>
      <w:r>
        <w:t>—</w:t>
      </w:r>
      <w:r>
        <w:rPr>
          <w:rStyle w:val="CharSDivText"/>
        </w:rPr>
        <w:t> </w:t>
      </w:r>
      <w:r>
        <w:rPr>
          <w:rStyle w:val="CharSchText"/>
        </w:rPr>
        <w:t>Training contract</w:t>
      </w:r>
      <w:bookmarkEnd w:id="281"/>
      <w:bookmarkEnd w:id="282"/>
      <w:bookmarkEnd w:id="283"/>
      <w:bookmarkEnd w:id="284"/>
      <w:bookmarkEnd w:id="285"/>
      <w:bookmarkEnd w:id="286"/>
      <w:bookmarkEnd w:id="287"/>
      <w:bookmarkEnd w:id="288"/>
      <w:bookmarkEnd w:id="289"/>
    </w:p>
    <w:p>
      <w:pPr>
        <w:pStyle w:val="yShoulderClause"/>
      </w:pPr>
      <w:r>
        <w:t>[r. 38]</w:t>
      </w:r>
    </w:p>
    <w:p>
      <w:pPr>
        <w:pStyle w:val="yMiscellaneousBody"/>
        <w:ind w:left="2977"/>
        <w:rPr>
          <w:rFonts w:ascii="Arial" w:hAnsi="Arial" w:cs="Arial"/>
        </w:rPr>
      </w:pPr>
      <w:r>
        <w:rPr>
          <w:rFonts w:ascii="Arial" w:hAnsi="Arial" w:cs="Arial"/>
        </w:rPr>
        <w:t>Apprenticeship/Traineeship</w:t>
      </w:r>
    </w:p>
    <w:p>
      <w:pPr>
        <w:pStyle w:val="yMiscellaneousBody"/>
        <w:spacing w:before="0"/>
        <w:ind w:left="2977"/>
        <w:rPr>
          <w:rFonts w:ascii="Arial" w:hAnsi="Arial" w:cs="Arial"/>
          <w:b/>
          <w:bCs/>
        </w:rPr>
      </w:pPr>
      <w:r>
        <w:rPr>
          <w:rFonts w:ascii="Arial" w:hAnsi="Arial" w:cs="Arial"/>
          <w:b/>
          <w:bCs/>
          <w:sz w:val="24"/>
        </w:rPr>
        <w:t>Training Contract</w:t>
      </w:r>
    </w:p>
    <w:p>
      <w:pPr>
        <w:pStyle w:val="yMiscellaneousBody"/>
        <w:spacing w:before="40"/>
        <w:ind w:left="2977"/>
        <w:rPr>
          <w:rFonts w:ascii="Arial" w:hAnsi="Arial" w:cs="Arial"/>
        </w:rPr>
      </w:pPr>
      <w:smartTag w:uri="urn:schemas-microsoft-com:office:smarttags" w:element="place">
        <w:smartTag w:uri="urn:schemas-microsoft-com:office:smarttags" w:element="State">
          <w:r>
            <w:rPr>
              <w:rFonts w:ascii="Arial" w:hAnsi="Arial" w:cs="Arial"/>
            </w:rPr>
            <w:t>Western Australia</w:t>
          </w:r>
        </w:smartTag>
      </w:smartTag>
    </w:p>
    <w:p>
      <w:pPr>
        <w:pStyle w:val="yMiscellaneousBody"/>
        <w:spacing w:before="40"/>
        <w:ind w:left="2977"/>
        <w:rPr>
          <w:rFonts w:ascii="Arial" w:hAnsi="Arial" w:cs="Arial"/>
        </w:rPr>
      </w:pPr>
      <w:r>
        <w:rPr>
          <w:rFonts w:ascii="Arial" w:hAnsi="Arial" w:cs="Arial"/>
        </w:rPr>
        <w:t>including</w:t>
      </w:r>
    </w:p>
    <w:p>
      <w:pPr>
        <w:pStyle w:val="yMiscellaneousBody"/>
        <w:spacing w:before="0"/>
        <w:ind w:left="2977"/>
        <w:rPr>
          <w:rFonts w:ascii="Arial" w:hAnsi="Arial" w:cs="Arial"/>
        </w:rPr>
      </w:pPr>
      <w:r>
        <w:rPr>
          <w:rFonts w:ascii="Arial" w:hAnsi="Arial" w:cs="Arial"/>
        </w:rPr>
        <w:t>Assessment for Australian Government</w:t>
      </w:r>
    </w:p>
    <w:p>
      <w:pPr>
        <w:pStyle w:val="yMiscellaneousBody"/>
        <w:spacing w:before="0"/>
        <w:ind w:left="2977"/>
        <w:rPr>
          <w:rFonts w:ascii="Arial" w:hAnsi="Arial" w:cs="Arial"/>
        </w:rPr>
      </w:pPr>
      <w:r>
        <w:rPr>
          <w:rFonts w:ascii="Arial" w:hAnsi="Arial" w:cs="Arial"/>
        </w:rPr>
        <w:t>Australian Apprenticeships Incentives</w:t>
      </w:r>
    </w:p>
    <w:p>
      <w:pPr>
        <w:pStyle w:val="yMiscellaneousBody"/>
        <w:spacing w:before="40"/>
        <w:ind w:left="2977"/>
        <w:rPr>
          <w:rFonts w:ascii="Arial" w:hAnsi="Arial" w:cs="Arial"/>
        </w:rPr>
      </w:pPr>
      <w:r>
        <w:rPr>
          <w:rFonts w:ascii="Arial" w:hAnsi="Arial" w:cs="Arial"/>
        </w:rPr>
        <w:t>This contract must be completed with the assistance of an Australian Apprenticeships Centre.</w:t>
      </w:r>
    </w:p>
    <w:p>
      <w:pPr>
        <w:pStyle w:val="yMiscellaneousBody"/>
        <w:spacing w:before="40"/>
        <w:ind w:left="2977"/>
        <w:rPr>
          <w:rFonts w:ascii="Arial" w:hAnsi="Arial" w:cs="Arial"/>
        </w:rPr>
      </w:pPr>
      <w:r>
        <w:rPr>
          <w:rFonts w:ascii="Arial" w:hAnsi="Arial" w:cs="Arial"/>
        </w:rPr>
        <w:t>This is a free service.</w:t>
      </w:r>
    </w:p>
    <w:p>
      <w:pPr>
        <w:pStyle w:val="yMiscellaneousBody"/>
        <w:spacing w:before="40"/>
        <w:rPr>
          <w:rFonts w:ascii="Arial" w:hAnsi="Arial" w:cs="Arial"/>
        </w:rPr>
      </w:pPr>
      <w:r>
        <w:rPr>
          <w:rFonts w:ascii="Arial" w:hAnsi="Arial" w:cs="Arial"/>
        </w:rPr>
        <w:t>Please read this before completing the Training Contract.</w:t>
      </w:r>
    </w:p>
    <w:p>
      <w:pPr>
        <w:pStyle w:val="yMiscellaneousBody"/>
        <w:spacing w:before="40"/>
        <w:rPr>
          <w:rFonts w:ascii="Arial" w:hAnsi="Arial" w:cs="Arial"/>
          <w:b/>
          <w:bCs/>
        </w:rPr>
      </w:pPr>
      <w:r>
        <w:rPr>
          <w:rFonts w:ascii="Arial" w:hAnsi="Arial" w:cs="Arial"/>
          <w:b/>
          <w:bCs/>
        </w:rPr>
        <w:t>This Training Contract must be completed with the assistance of your chosen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bCs/>
        </w:rPr>
        <w:t>13 38 73</w:t>
      </w:r>
      <w:r>
        <w:rPr>
          <w:rFonts w:ascii="Arial" w:hAnsi="Arial" w:cs="Arial"/>
        </w:rPr>
        <w:t>; or</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bCs/>
        </w:rPr>
        <w:t>www.australianapprenticeships.gov.au</w:t>
      </w:r>
    </w:p>
    <w:p>
      <w:pPr>
        <w:pStyle w:val="yMiscellaneousBody"/>
        <w:spacing w:before="40"/>
        <w:rPr>
          <w:rFonts w:ascii="Arial" w:hAnsi="Arial" w:cs="Arial"/>
        </w:rPr>
      </w:pPr>
      <w:r>
        <w:rPr>
          <w:rFonts w:ascii="Arial" w:hAnsi="Arial" w:cs="Arial"/>
        </w:rPr>
        <w:t>Australian Apprenticeships Centres are contracted by the Australian Government Department of Education, Employment and Workplace Relations (DEEWR)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4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40"/>
        <w:rPr>
          <w:rFonts w:ascii="Arial" w:hAnsi="Arial" w:cs="Arial"/>
          <w:b/>
          <w:bCs/>
        </w:rPr>
      </w:pPr>
      <w:r>
        <w:rPr>
          <w:rFonts w:ascii="Arial" w:hAnsi="Arial" w:cs="Arial"/>
          <w:b/>
          <w:bCs/>
        </w:rPr>
        <w:t>Before completing the Training Contract please read the following sections:</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Information You Need to Know </w:t>
      </w:r>
      <w:r>
        <w:rPr>
          <w:rFonts w:ascii="Arial" w:hAnsi="Arial" w:cs="Arial"/>
        </w:rPr>
        <w:t xml:space="preserve">and </w:t>
      </w:r>
      <w:r>
        <w:rPr>
          <w:rFonts w:ascii="Arial" w:hAnsi="Arial" w:cs="Arial"/>
          <w:b/>
          <w:bCs/>
        </w:rPr>
        <w:t>Information to Help Complete the Training Contract</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Training Contract Declaration </w:t>
      </w:r>
      <w:r>
        <w:rPr>
          <w:rFonts w:ascii="Arial" w:hAnsi="Arial" w:cs="Arial"/>
        </w:rPr>
        <w:t xml:space="preserve">and </w:t>
      </w:r>
      <w:r>
        <w:rPr>
          <w:rFonts w:ascii="Arial" w:hAnsi="Arial" w:cs="Arial"/>
          <w:b/>
          <w:bCs/>
        </w:rPr>
        <w:t>Obligations</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Information on Australian Government Australian Apprenticeships Incentives</w:t>
      </w:r>
      <w:r>
        <w:rPr>
          <w:rFonts w:ascii="Arial" w:hAnsi="Arial" w:cs="Arial"/>
        </w:rPr>
        <w:t>.</w:t>
      </w:r>
    </w:p>
    <w:p>
      <w:pPr>
        <w:pStyle w:val="yMiscellaneousBody"/>
        <w:spacing w:before="40"/>
        <w:rPr>
          <w:rFonts w:ascii="Arial" w:hAnsi="Arial" w:cs="Arial"/>
        </w:rPr>
      </w:pPr>
      <w:r>
        <w:rPr>
          <w:rFonts w:ascii="Arial" w:hAnsi="Arial" w:cs="Arial"/>
        </w:rPr>
        <w:t>If filling this Contract out by hand, please write clearly, in BLOCK LETTERS, and push firmly with a ball point pen.  Do not use correction fluid. Cross out the error and write the correct information above it.</w:t>
      </w:r>
    </w:p>
    <w:p>
      <w:pPr>
        <w:pStyle w:val="yMiscellaneousBody"/>
        <w:spacing w:before="0"/>
        <w:rPr>
          <w:rFonts w:ascii="Arial" w:hAnsi="Arial" w:cs="Arial"/>
          <w:b/>
          <w:bCs/>
        </w:rPr>
      </w:pPr>
      <w:r>
        <w:rPr>
          <w:rFonts w:ascii="Arial" w:hAnsi="Arial" w:cs="Arial"/>
          <w:b/>
          <w:bCs/>
        </w:rPr>
        <w:t>ALL corrections must be initialled by all parties to the Contract.</w:t>
      </w:r>
    </w:p>
    <w:p>
      <w:pPr>
        <w:pStyle w:val="yMiscellaneousBody"/>
        <w:spacing w:before="40"/>
        <w:rPr>
          <w:rFonts w:ascii="Arial" w:hAnsi="Arial" w:cs="Arial"/>
          <w:b/>
          <w:bCs/>
        </w:rPr>
      </w:pPr>
      <w:r>
        <w:rPr>
          <w:rFonts w:ascii="Arial" w:hAnsi="Arial" w:cs="Arial"/>
          <w:b/>
          <w:bCs/>
        </w:rPr>
        <w:t>When the Training Contract is completed your Australian Apprenticeships Centre will lodge it for approval/registration with the relevant State/Territory Training Authority.</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the original Training Contract with original signatures to your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keep a copy of the Training Contract for your records.</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your apprentice or trainee a copy of the Training Contract.</w:t>
      </w:r>
    </w:p>
    <w:p>
      <w:pPr>
        <w:pStyle w:val="yMiscellaneousBody"/>
        <w:spacing w:before="40"/>
        <w:rPr>
          <w:rFonts w:ascii="Arial" w:hAnsi="Arial" w:cs="Arial"/>
          <w:b/>
          <w:bCs/>
        </w:rPr>
      </w:pPr>
      <w:r>
        <w:rPr>
          <w:rFonts w:ascii="Arial" w:hAnsi="Arial" w:cs="Arial"/>
          <w:b/>
          <w:bCs/>
        </w:rPr>
        <w:t>An unsigned or incomplete Training Contract cannot be processed and will be returned for completion. Before you lodge it, make sure you have taken the steps in the following checklist: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Additional information and/or evidence required by questions 21, 22 and 24 is provided if necessary.</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The employer, the apprentice/trainee, and any guardian or parent as required, have all read, signed and dated the Training Contract.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Any alterations to any part of the document are initialled by all those who sign the Training Contract.</w:t>
      </w:r>
    </w:p>
    <w:p>
      <w:pPr>
        <w:pStyle w:val="yMiscellaneousBody"/>
        <w:spacing w:before="240"/>
        <w:rPr>
          <w:rFonts w:ascii="Arial" w:hAnsi="Arial" w:cs="Arial"/>
          <w:b/>
          <w:bCs/>
        </w:rPr>
      </w:pPr>
      <w:r>
        <w:rPr>
          <w:rFonts w:ascii="Arial" w:hAnsi="Arial" w:cs="Arial"/>
          <w:b/>
          <w:bCs/>
        </w:rPr>
        <w:t>Contacts for Further Information &amp; Assistance</w:t>
      </w:r>
    </w:p>
    <w:p>
      <w:pPr>
        <w:pStyle w:val="yMiscellaneousBody"/>
        <w:spacing w:before="40"/>
        <w:rPr>
          <w:rFonts w:ascii="Arial" w:hAnsi="Arial" w:cs="Arial"/>
          <w:b/>
          <w:bCs/>
          <w:sz w:val="18"/>
        </w:rPr>
      </w:pPr>
      <w:r>
        <w:rPr>
          <w:rFonts w:ascii="Arial" w:hAnsi="Arial" w:cs="Arial"/>
          <w:b/>
          <w:bCs/>
          <w:sz w:val="18"/>
        </w:rPr>
        <w:t>Australian Apprenticeships Centres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administer Australian Government incentive payments to employers and allowances for apprentices/trainees;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information on Australian Apprenticeships options to employers and other interested people;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market and promote Australian Apprenticeships;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the State/Territory government department or agency to provide an integrated service;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training providers, schools and other organisations to support Australian Apprenticeships; and</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support to employers and Australian Apprentices throughout the Australian Apprenticeship to encourage successful completion.</w:t>
      </w:r>
    </w:p>
    <w:p>
      <w:pPr>
        <w:pStyle w:val="yMiscellaneousBody"/>
        <w:spacing w:before="40"/>
        <w:rPr>
          <w:rFonts w:ascii="Arial" w:hAnsi="Arial" w:cs="Arial"/>
          <w:sz w:val="18"/>
        </w:rPr>
      </w:pPr>
      <w:r>
        <w:rPr>
          <w:rFonts w:ascii="Arial" w:hAnsi="Arial" w:cs="Arial"/>
          <w:sz w:val="18"/>
        </w:rPr>
        <w:t>Australian Apprenticeships Centres are located throughout each State and Territory.</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Find an Australian Apprenticeships Centre in your region by calling 13 38 73; or</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Visit the Australian Apprenticeships website at www.australianapprenticeships.gov.au</w:t>
      </w:r>
    </w:p>
    <w:p>
      <w:pPr>
        <w:pStyle w:val="yMiscellaneousBody"/>
        <w:keepNext/>
        <w:spacing w:before="40"/>
        <w:rPr>
          <w:rFonts w:ascii="Arial" w:hAnsi="Arial" w:cs="Arial"/>
          <w:b/>
          <w:bCs/>
          <w:sz w:val="18"/>
        </w:rPr>
      </w:pPr>
      <w:smartTag w:uri="urn:schemas-microsoft-com:office:smarttags" w:element="place">
        <w:smartTag w:uri="urn:schemas-microsoft-com:office:smarttags" w:element="State">
          <w:r>
            <w:rPr>
              <w:rFonts w:ascii="Arial" w:hAnsi="Arial" w:cs="Arial"/>
              <w:b/>
              <w:bCs/>
              <w:sz w:val="18"/>
            </w:rPr>
            <w:t>Western Australia</w:t>
          </w:r>
        </w:smartTag>
      </w:smartTag>
      <w:r>
        <w:rPr>
          <w:rFonts w:ascii="Arial" w:hAnsi="Arial" w:cs="Arial"/>
          <w:b/>
          <w:bCs/>
          <w:sz w:val="18"/>
        </w:rPr>
        <w:t xml:space="preserve"> Government</w:t>
      </w:r>
    </w:p>
    <w:p>
      <w:pPr>
        <w:pStyle w:val="yMiscellaneousBody"/>
        <w:keepNext/>
        <w:spacing w:before="40"/>
        <w:ind w:left="426" w:hanging="426"/>
        <w:rPr>
          <w:rFonts w:ascii="Arial" w:hAnsi="Arial" w:cs="Arial"/>
          <w:b/>
          <w:bCs/>
          <w:sz w:val="18"/>
        </w:rPr>
      </w:pPr>
      <w:r>
        <w:rPr>
          <w:rFonts w:ascii="Arial" w:hAnsi="Arial" w:cs="Arial"/>
          <w:b/>
          <w:bCs/>
          <w:sz w:val="18"/>
        </w:rPr>
        <w:tab/>
        <w:t>Further information can be obtained from:</w:t>
      </w:r>
    </w:p>
    <w:p>
      <w:pPr>
        <w:pStyle w:val="yMiscellaneousBody"/>
        <w:spacing w:before="40"/>
        <w:ind w:left="426"/>
        <w:rPr>
          <w:rFonts w:ascii="Arial" w:hAnsi="Arial" w:cs="Arial"/>
          <w:sz w:val="18"/>
        </w:rPr>
      </w:pPr>
      <w:r>
        <w:rPr>
          <w:rFonts w:ascii="Arial" w:hAnsi="Arial" w:cs="Arial"/>
          <w:sz w:val="18"/>
        </w:rPr>
        <w:t>ApprentiCentre – Department of Education and Training</w:t>
      </w:r>
    </w:p>
    <w:p>
      <w:pPr>
        <w:pStyle w:val="yMiscellaneousBody"/>
        <w:spacing w:before="0"/>
        <w:ind w:left="425"/>
        <w:rPr>
          <w:rFonts w:ascii="Arial" w:hAnsi="Arial" w:cs="Arial"/>
          <w:sz w:val="18"/>
        </w:rPr>
      </w:pPr>
      <w:r>
        <w:rPr>
          <w:rFonts w:ascii="Arial" w:hAnsi="Arial" w:cs="Arial"/>
          <w:sz w:val="18"/>
        </w:rPr>
        <w:t>Locked Bag 145, Leederville  WA  6903</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13 19 54</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(08) 9318 5450</w:t>
      </w:r>
    </w:p>
    <w:p>
      <w:pPr>
        <w:pStyle w:val="yMiscellaneousBody"/>
        <w:spacing w:before="0"/>
        <w:ind w:left="425"/>
        <w:rPr>
          <w:rFonts w:ascii="Arial" w:hAnsi="Arial" w:cs="Arial"/>
          <w:sz w:val="18"/>
        </w:rPr>
      </w:pPr>
      <w:r>
        <w:rPr>
          <w:rFonts w:ascii="Arial" w:hAnsi="Arial" w:cs="Arial"/>
          <w:b/>
          <w:bCs/>
          <w:sz w:val="18"/>
        </w:rPr>
        <w:t>Fax:</w:t>
      </w:r>
      <w:r>
        <w:rPr>
          <w:rFonts w:ascii="Arial" w:hAnsi="Arial" w:cs="Arial"/>
          <w:sz w:val="18"/>
        </w:rPr>
        <w:t xml:space="preserve"> (08) 9264 8952</w:t>
      </w:r>
    </w:p>
    <w:p>
      <w:pPr>
        <w:pStyle w:val="yMiscellaneousBody"/>
        <w:spacing w:before="0"/>
        <w:ind w:left="425"/>
        <w:rPr>
          <w:rFonts w:ascii="Arial" w:hAnsi="Arial" w:cs="Arial"/>
          <w:sz w:val="18"/>
        </w:rPr>
      </w:pPr>
      <w:r>
        <w:rPr>
          <w:rFonts w:ascii="Arial" w:hAnsi="Arial" w:cs="Arial"/>
          <w:b/>
          <w:bCs/>
          <w:sz w:val="18"/>
        </w:rPr>
        <w:t>Web:</w:t>
      </w:r>
      <w:r>
        <w:rPr>
          <w:rFonts w:ascii="Arial" w:hAnsi="Arial" w:cs="Arial"/>
          <w:sz w:val="18"/>
        </w:rPr>
        <w:t xml:space="preserve"> www.apprenticentre.wa.gov.au</w:t>
      </w:r>
    </w:p>
    <w:p>
      <w:pPr>
        <w:pStyle w:val="yMiscellaneousBody"/>
        <w:spacing w:before="240"/>
        <w:rPr>
          <w:rFonts w:ascii="Arial" w:hAnsi="Arial" w:cs="Arial"/>
          <w:b/>
          <w:bCs/>
        </w:rPr>
      </w:pPr>
      <w:r>
        <w:rPr>
          <w:rFonts w:ascii="Arial" w:hAnsi="Arial" w:cs="Arial"/>
          <w:b/>
          <w:bCs/>
        </w:rPr>
        <w:t>Training Contract</w:t>
      </w:r>
    </w:p>
    <w:p>
      <w:pPr>
        <w:pStyle w:val="yMiscellaneousBody"/>
        <w:spacing w:before="40"/>
        <w:rPr>
          <w:rFonts w:ascii="Arial" w:hAnsi="Arial" w:cs="Arial"/>
        </w:rPr>
      </w:pPr>
      <w:r>
        <w:rPr>
          <w:rFonts w:ascii="Arial" w:hAnsi="Arial" w:cs="Arial"/>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40" w:after="40"/>
        <w:rPr>
          <w:rFonts w:ascii="Arial" w:hAnsi="Arial" w:cs="Arial"/>
          <w:b/>
          <w:bCs/>
        </w:rPr>
      </w:pPr>
      <w:r>
        <w:rPr>
          <w:rFonts w:ascii="Arial" w:hAnsi="Arial" w:cs="Arial"/>
          <w:b/>
          <w:bCs/>
        </w:rPr>
        <w:t>Training Contract Declaration</w:t>
      </w:r>
    </w:p>
    <w:p>
      <w:pPr>
        <w:pStyle w:val="yMiscellaneousBody"/>
        <w:spacing w:before="0" w:after="40"/>
        <w:rPr>
          <w:rFonts w:ascii="Arial" w:hAnsi="Arial" w:cs="Arial"/>
        </w:rPr>
      </w:pPr>
      <w:r>
        <w:rPr>
          <w:rFonts w:ascii="Arial" w:hAnsi="Arial" w:cs="Arial"/>
        </w:rPr>
        <w:t>We, the employer, apprentice/trainee and parent or guardian (where applicable) have read and understood the Training Contract Obligations outlined below.</w:t>
      </w:r>
    </w:p>
    <w:p>
      <w:pPr>
        <w:pStyle w:val="yMiscellaneousBody"/>
        <w:spacing w:before="0" w:after="40"/>
        <w:rPr>
          <w:rFonts w:ascii="Arial" w:hAnsi="Arial" w:cs="Arial"/>
        </w:rPr>
      </w:pPr>
      <w:r>
        <w:rPr>
          <w:rFonts w:ascii="Arial" w:hAnsi="Arial" w:cs="Arial"/>
        </w:rPr>
        <w:t>We declare that to the best of our knowledge the details entered on this Training Contract are true and correct. We understand that the giving of false or misleading information is a serious offence.</w:t>
      </w:r>
    </w:p>
    <w:p>
      <w:pPr>
        <w:pStyle w:val="yMiscellaneousBody"/>
        <w:spacing w:before="0" w:after="40"/>
        <w:rPr>
          <w:rFonts w:ascii="Arial" w:hAnsi="Arial" w:cs="Arial"/>
        </w:rPr>
      </w:pPr>
      <w:r>
        <w:rPr>
          <w:rFonts w:ascii="Arial" w:hAnsi="Arial" w:cs="Arial"/>
        </w:rPr>
        <w:t>We understand that the information provided in this Training Contract:</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is collected for the purposes of registration, preparing statistics, reporting, programme administration, monitoring and evaluation, calculating incentives and allowances paid to employers and apprentices/trainees and preventing dual payments;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be disclosed to and used for these purposes by the Australian Government, including the Department of Education, Employment and Workplace Relations (DEEWR) and Centrelink, State/Territory government departments and agencies, employers, our Australian Apprenticeships Centre, Registered Training Organisation, non-government education authorities and the contractors or agents of any of these organisations, departments and agencies;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also be exchanged between DEEWR and Centrelink (for Youth Allowance, Austudy and ABSTUDY administration) to provide confirmation that the apprentice/trainee who signed this declaration is an Australian Apprentice; and</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otherwise be disclosed without consent where authorised or required by law.</w:t>
      </w:r>
    </w:p>
    <w:p>
      <w:pPr>
        <w:pStyle w:val="yMiscellaneousBody"/>
        <w:spacing w:before="0" w:after="40"/>
        <w:rPr>
          <w:rFonts w:ascii="Arial" w:hAnsi="Arial" w:cs="Arial"/>
        </w:rPr>
      </w:pPr>
      <w:r>
        <w:rPr>
          <w:rFonts w:ascii="Arial" w:hAnsi="Arial" w:cs="Arial"/>
        </w:rPr>
        <w:t>We understand that this Apprenticeship/Traineeship Contract is legally binding in accordance with the Training Contract Obligations set out below and the legislation of the State or Territory in which this Training Contract is to be registered.</w:t>
      </w:r>
    </w:p>
    <w:p>
      <w:pPr>
        <w:pStyle w:val="yMiscellaneousBody"/>
        <w:spacing w:before="0" w:after="40"/>
        <w:rPr>
          <w:rFonts w:ascii="Arial" w:hAnsi="Arial" w:cs="Arial"/>
        </w:rPr>
      </w:pPr>
      <w:r>
        <w:rPr>
          <w:rFonts w:ascii="Arial" w:hAnsi="Arial" w:cs="Arial"/>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0" w:after="120"/>
        <w:rPr>
          <w:rFonts w:ascii="Arial" w:hAnsi="Arial" w:cs="Arial"/>
          <w:sz w:val="24"/>
        </w:rPr>
      </w:pPr>
      <w:r>
        <w:rPr>
          <w:rFonts w:ascii="Arial" w:hAnsi="Arial" w:cs="Arial"/>
        </w:rPr>
        <w:t>We undertake to negotiate and sign a Training Plan with the chosen RTO as required by the relevant State/Territory Training Authority.</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261"/>
        <w:gridCol w:w="3827"/>
      </w:tblGrid>
      <w:tr>
        <w:trPr>
          <w:cantSplit/>
        </w:trPr>
        <w:tc>
          <w:tcPr>
            <w:tcW w:w="7088" w:type="dxa"/>
            <w:gridSpan w:val="2"/>
            <w:tcBorders>
              <w:bottom w:val="nil"/>
            </w:tcBorders>
          </w:tcPr>
          <w:p>
            <w:pPr>
              <w:pStyle w:val="yTableNAm"/>
              <w:tabs>
                <w:tab w:val="clear" w:pos="567"/>
              </w:tabs>
              <w:spacing w:before="0" w:after="40"/>
              <w:rPr>
                <w:rFonts w:ascii="Arial" w:hAnsi="Arial" w:cs="Arial"/>
                <w:sz w:val="20"/>
              </w:rPr>
            </w:pPr>
            <w:r>
              <w:rPr>
                <w:rFonts w:ascii="Arial" w:hAnsi="Arial" w:cs="Arial"/>
                <w:b/>
                <w:bCs/>
                <w:sz w:val="20"/>
              </w:rPr>
              <w:t xml:space="preserve">The employer representative </w:t>
            </w:r>
            <w:r>
              <w:rPr>
                <w:rFonts w:ascii="Arial" w:hAnsi="Arial" w:cs="Arial"/>
                <w:sz w:val="20"/>
              </w:rPr>
              <w:t>(on behalf of the employer named in Question 28)</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 xml:space="preserve">Given names </w:t>
            </w:r>
            <w:r>
              <w:rPr>
                <w:rFonts w:ascii="Arial" w:hAnsi="Arial" w:cs="Arial"/>
                <w:sz w:val="20"/>
              </w:rPr>
              <w:t>(in full)</w:t>
            </w:r>
          </w:p>
          <w:p>
            <w:pPr>
              <w:pStyle w:val="yTableNAm"/>
              <w:spacing w:before="0"/>
              <w:rPr>
                <w:rFonts w:ascii="Arial" w:hAnsi="Arial" w:cs="Arial"/>
                <w:sz w:val="20"/>
              </w:rPr>
            </w:pP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b/>
                <w:bCs/>
                <w:sz w:val="20"/>
              </w:rPr>
            </w:pPr>
            <w:r>
              <w:rPr>
                <w:rFonts w:ascii="Arial" w:hAnsi="Arial" w:cs="Arial"/>
                <w:b/>
                <w:bCs/>
                <w:sz w:val="20"/>
              </w:rPr>
              <w:t>Signature of employer representative</w:t>
            </w:r>
          </w:p>
        </w:tc>
      </w:tr>
      <w:tr>
        <w:trPr>
          <w:cantSplit/>
        </w:trPr>
        <w:tc>
          <w:tcPr>
            <w:tcW w:w="7088" w:type="dxa"/>
            <w:gridSpan w:val="2"/>
            <w:tcBorders>
              <w:bottom w:val="nil"/>
            </w:tcBorders>
          </w:tcPr>
          <w:p>
            <w:pPr>
              <w:pStyle w:val="yTableNAm"/>
              <w:spacing w:before="0"/>
              <w:rPr>
                <w:rFonts w:ascii="Arial" w:hAnsi="Arial" w:cs="Arial"/>
                <w:sz w:val="20"/>
              </w:rPr>
            </w:pPr>
            <w:r>
              <w:rPr>
                <w:rFonts w:ascii="Arial" w:hAnsi="Arial" w:cs="Arial"/>
                <w:b/>
                <w:bCs/>
                <w:sz w:val="20"/>
              </w:rPr>
              <w:t>The apprentice/trainee</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Given names</w:t>
            </w:r>
            <w:r>
              <w:rPr>
                <w:rFonts w:ascii="Arial" w:hAnsi="Arial" w:cs="Arial"/>
                <w:sz w:val="20"/>
              </w:rPr>
              <w:t xml:space="preserve"> (in full)</w:t>
            </w:r>
          </w:p>
          <w:p>
            <w:pPr>
              <w:pStyle w:val="yTableNAm"/>
              <w:spacing w:before="0"/>
              <w:rPr>
                <w:rFonts w:ascii="Arial" w:hAnsi="Arial" w:cs="Arial"/>
                <w:sz w:val="20"/>
              </w:rPr>
            </w:pPr>
          </w:p>
        </w:tc>
      </w:tr>
      <w:tr>
        <w:trPr>
          <w:cantSplit/>
        </w:trPr>
        <w:tc>
          <w:tcPr>
            <w:tcW w:w="3261" w:type="dxa"/>
            <w:tcBorders>
              <w:top w:val="nil"/>
              <w:bottom w:val="nil"/>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nil"/>
            </w:tcBorders>
          </w:tcPr>
          <w:p>
            <w:pPr>
              <w:pStyle w:val="yTableNAm"/>
              <w:spacing w:before="0"/>
              <w:rPr>
                <w:rFonts w:ascii="Arial" w:hAnsi="Arial" w:cs="Arial"/>
                <w:b/>
                <w:bCs/>
                <w:sz w:val="20"/>
              </w:rPr>
            </w:pPr>
            <w:r>
              <w:rPr>
                <w:rFonts w:ascii="Arial" w:hAnsi="Arial" w:cs="Arial"/>
                <w:b/>
                <w:bCs/>
                <w:sz w:val="20"/>
              </w:rPr>
              <w:t>Signature of apprentice/trainee</w:t>
            </w: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sz w:val="20"/>
              </w:rPr>
            </w:pPr>
            <w:r>
              <w:rPr>
                <w:rFonts w:ascii="Arial" w:hAnsi="Arial" w:cs="Arial"/>
                <w:b/>
                <w:bCs/>
                <w:sz w:val="20"/>
              </w:rPr>
              <w:t xml:space="preserve">Signature of parent/guardian </w:t>
            </w:r>
            <w:r>
              <w:rPr>
                <w:rFonts w:ascii="Arial" w:hAnsi="Arial" w:cs="Arial"/>
                <w:sz w:val="20"/>
              </w:rPr>
              <w:t>(for apprentice/trainee under 18 years of age)</w:t>
            </w:r>
          </w:p>
          <w:p>
            <w:pPr>
              <w:pStyle w:val="yTableNAm"/>
              <w:spacing w:before="0"/>
              <w:rPr>
                <w:rFonts w:ascii="Arial" w:hAnsi="Arial" w:cs="Arial"/>
                <w:sz w:val="20"/>
              </w:rPr>
            </w:pPr>
          </w:p>
        </w:tc>
      </w:tr>
      <w:tr>
        <w:trPr>
          <w:cantSplit/>
        </w:trPr>
        <w:tc>
          <w:tcPr>
            <w:tcW w:w="7088" w:type="dxa"/>
            <w:gridSpan w:val="2"/>
            <w:tcBorders>
              <w:bottom w:val="single" w:sz="4" w:space="0" w:color="auto"/>
            </w:tcBorders>
          </w:tcPr>
          <w:p>
            <w:pPr>
              <w:pStyle w:val="yTableNAm"/>
              <w:spacing w:before="0"/>
              <w:rPr>
                <w:rFonts w:ascii="Arial" w:hAnsi="Arial" w:cs="Arial"/>
                <w:sz w:val="20"/>
              </w:rPr>
            </w:pPr>
            <w:r>
              <w:rPr>
                <w:rFonts w:ascii="Arial" w:hAnsi="Arial" w:cs="Arial"/>
                <w:b/>
                <w:bCs/>
                <w:sz w:val="20"/>
              </w:rPr>
              <w:t xml:space="preserve">Name of Apprenticeship/Traineeship </w:t>
            </w:r>
            <w:r>
              <w:rPr>
                <w:rFonts w:ascii="Arial" w:hAnsi="Arial" w:cs="Arial"/>
                <w:sz w:val="20"/>
              </w:rPr>
              <w:t>(as designated by legislation/regulation):</w:t>
            </w:r>
          </w:p>
          <w:p>
            <w:pPr>
              <w:pStyle w:val="yTableNAm"/>
              <w:spacing w:before="0"/>
              <w:rPr>
                <w:rFonts w:ascii="Arial" w:hAnsi="Arial" w:cs="Arial"/>
                <w:sz w:val="20"/>
              </w:rPr>
            </w:pPr>
          </w:p>
        </w:tc>
      </w:tr>
    </w:tbl>
    <w:p>
      <w:pPr>
        <w:pStyle w:val="yMiscellaneousBody"/>
        <w:keepNext/>
        <w:spacing w:before="240"/>
        <w:rPr>
          <w:rFonts w:ascii="Arial" w:hAnsi="Arial" w:cs="Arial"/>
          <w:b/>
          <w:bCs/>
        </w:rPr>
      </w:pPr>
      <w:r>
        <w:rPr>
          <w:rFonts w:ascii="Arial" w:hAnsi="Arial" w:cs="Arial"/>
          <w:b/>
          <w:bCs/>
        </w:rPr>
        <w:t>Training Contract Obligations</w:t>
      </w:r>
    </w:p>
    <w:p>
      <w:pPr>
        <w:pStyle w:val="yMiscellaneousBody"/>
        <w:spacing w:before="40"/>
        <w:rPr>
          <w:rFonts w:ascii="Arial" w:hAnsi="Arial" w:cs="Arial"/>
          <w:b/>
          <w:bCs/>
          <w:sz w:val="20"/>
        </w:rPr>
      </w:pPr>
      <w:r>
        <w:rPr>
          <w:rFonts w:ascii="Arial" w:hAnsi="Arial" w:cs="Arial"/>
          <w:b/>
          <w:bCs/>
          <w:sz w:val="20"/>
        </w:rPr>
        <w:t>For the employer, apprentice or trainee, and parent or guardian (where applicable). We agree that:</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the Contract commences from the date stated in question 3, provided that it has been registered or approved under the provisions of the relevant State/Territory legislation;</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the apprentice/trainee can see, and correct, any information about himself/herself in this Contract or held by the employer in relation to this Contract;</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the apprentice/trainee is not liable for any unintentional damage to material or property in the course of their work and training;</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we will try to resolve any dispute we have between us, and if we can't, we will contact our State/Territory Training Authority to request assistance or to access the appropriate dispute resolution processes;</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the Contract can be audited by the relevant State/Territory Training Authority or Australian Government Department;</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this Contract expires if it reaches the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this Contract may be terminated in accordance with State/Territory legislation.</w:t>
      </w:r>
    </w:p>
    <w:p>
      <w:pPr>
        <w:pStyle w:val="yMiscellaneousBody"/>
        <w:spacing w:before="40"/>
        <w:rPr>
          <w:rFonts w:ascii="Arial" w:hAnsi="Arial" w:cs="Arial"/>
          <w:b/>
          <w:bCs/>
          <w:sz w:val="20"/>
        </w:rPr>
      </w:pPr>
      <w:r>
        <w:rPr>
          <w:rFonts w:ascii="Arial" w:hAnsi="Arial" w:cs="Arial"/>
          <w:b/>
          <w:bCs/>
          <w:sz w:val="20"/>
        </w:rPr>
        <w:t>For the employer.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employ and train the apprentice/trainee as agreed in our Training Plan and ensure the apprentice/trainee understands the choices that he/she has regarding the training;</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provide the appropriate facilities and experienced people to facilitate the training and supervise the apprentice/trainee while at work, in accordance with the Training Plan;</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make sure the apprentice/trainee receives on-the-job training and assessment in accordance with our Training Plan;</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provide work that is relevant and appropriate to the vocation and also to the achievement of the qualification referred to in this Contract;</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release the apprentice/trainee from work to attend any training and assessment specified in our Training Plan;</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pay the apprentice/trainee the appropriate wages to attend any training and assessment specified in the Training Plan (please note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meet all legal requirements regarding the apprentice/trainee, including but not limited to, occupational health and safety requirements and payment of wages and conditions under the relevant employment arrangements;</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repay any payment I receive that I am not entitled to;</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work with our RTO and the apprentice/trainee to make sure we follow our Training Plan, keep training records up-to-date, and monitor and support the apprentice/trainee’s progress; and</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let the relevant State/Territory Training Authority and the RTO know within five working days (or when the local State/Territory legislation requires, if this is different) if our Training Contract has become jeopardised.</w:t>
      </w:r>
    </w:p>
    <w:p>
      <w:pPr>
        <w:pStyle w:val="yMiscellaneousBody"/>
        <w:spacing w:before="40"/>
        <w:rPr>
          <w:rFonts w:ascii="Arial" w:hAnsi="Arial" w:cs="Arial"/>
          <w:sz w:val="20"/>
        </w:rPr>
      </w:pPr>
      <w:r>
        <w:rPr>
          <w:rFonts w:ascii="Arial" w:hAnsi="Arial" w:cs="Arial"/>
          <w:sz w:val="20"/>
        </w:rPr>
        <w:t>I acknowledge that it is an offence to use information in the Contract to discriminate against any person, including the apprentice/trainee.</w:t>
      </w:r>
    </w:p>
    <w:p>
      <w:pPr>
        <w:pStyle w:val="yMiscellaneousBody"/>
        <w:spacing w:before="40"/>
        <w:rPr>
          <w:rFonts w:ascii="Arial" w:hAnsi="Arial" w:cs="Arial"/>
          <w:b/>
          <w:bCs/>
          <w:sz w:val="20"/>
        </w:rPr>
      </w:pPr>
      <w:r>
        <w:rPr>
          <w:rFonts w:ascii="Arial" w:hAnsi="Arial" w:cs="Arial"/>
          <w:b/>
          <w:bCs/>
          <w:sz w:val="20"/>
        </w:rPr>
        <w:t>For the apprentice/trainee.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attend work, do my job, and follow my employer's instructions, as long as they are lawful;</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work towards achieving the qualification stated in our Training Contract;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undertake any training and assessment in our Training Plan.</w:t>
      </w:r>
    </w:p>
    <w:p>
      <w:pPr>
        <w:pStyle w:val="yMiscellaneousBody"/>
        <w:spacing w:before="40"/>
        <w:rPr>
          <w:rFonts w:ascii="Arial" w:hAnsi="Arial" w:cs="Arial"/>
          <w:b/>
          <w:bCs/>
          <w:sz w:val="20"/>
        </w:rPr>
      </w:pPr>
      <w:r>
        <w:rPr>
          <w:rFonts w:ascii="Arial" w:hAnsi="Arial" w:cs="Arial"/>
          <w:b/>
          <w:bCs/>
          <w:sz w:val="20"/>
        </w:rPr>
        <w:t>For the parent or guardian.</w:t>
      </w:r>
    </w:p>
    <w:p>
      <w:pPr>
        <w:pStyle w:val="yMiscellaneousBody"/>
        <w:spacing w:before="40"/>
        <w:rPr>
          <w:rFonts w:ascii="Arial" w:hAnsi="Arial" w:cs="Arial"/>
          <w:sz w:val="20"/>
        </w:rPr>
      </w:pPr>
      <w:r>
        <w:rPr>
          <w:rFonts w:ascii="Arial" w:hAnsi="Arial" w:cs="Arial"/>
          <w:sz w:val="20"/>
        </w:rPr>
        <w:t>I agree that I will uphold the responsibilities listed above for the apprentice/trainee until this person is 18 years of age.</w:t>
      </w:r>
    </w:p>
    <w:p>
      <w:pPr>
        <w:pStyle w:val="yMiscellaneousBody"/>
        <w:spacing w:before="240" w:after="40"/>
        <w:rPr>
          <w:rFonts w:ascii="Arial" w:hAnsi="Arial" w:cs="Arial"/>
          <w:b/>
          <w:bCs/>
        </w:rPr>
      </w:pPr>
      <w:r>
        <w:rPr>
          <w:rFonts w:ascii="Arial" w:hAnsi="Arial" w:cs="Arial"/>
          <w:b/>
          <w:bCs/>
        </w:rPr>
        <w:t>Apprenticeship/Traineeship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tabs>
                <w:tab w:val="clear" w:pos="567"/>
              </w:tabs>
              <w:spacing w:before="0"/>
              <w:rPr>
                <w:rFonts w:ascii="Arial" w:hAnsi="Arial" w:cs="Arial"/>
                <w:sz w:val="20"/>
              </w:rPr>
            </w:pPr>
            <w:r>
              <w:rPr>
                <w:rFonts w:ascii="Arial" w:hAnsi="Arial" w:cs="Arial"/>
                <w:sz w:val="20"/>
              </w:rPr>
              <w:t>1</w:t>
            </w:r>
          </w:p>
        </w:tc>
        <w:tc>
          <w:tcPr>
            <w:tcW w:w="6521" w:type="dxa"/>
          </w:tcPr>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r>
        <w:tc>
          <w:tcPr>
            <w:tcW w:w="567" w:type="dxa"/>
          </w:tcPr>
          <w:p>
            <w:pPr>
              <w:pStyle w:val="yTableNAm"/>
              <w:tabs>
                <w:tab w:val="clear" w:pos="567"/>
              </w:tabs>
              <w:spacing w:before="0"/>
              <w:rPr>
                <w:rFonts w:ascii="Arial" w:hAnsi="Arial" w:cs="Arial"/>
                <w:sz w:val="20"/>
              </w:rPr>
            </w:pPr>
            <w:r>
              <w:rPr>
                <w:rFonts w:ascii="Arial" w:hAnsi="Arial" w:cs="Arial"/>
                <w:sz w:val="20"/>
              </w:rPr>
              <w:t>2</w:t>
            </w:r>
          </w:p>
        </w:tc>
        <w:tc>
          <w:tcPr>
            <w:tcW w:w="6521" w:type="dxa"/>
          </w:tcPr>
          <w:p>
            <w:pPr>
              <w:pStyle w:val="yTableNAm"/>
              <w:tabs>
                <w:tab w:val="clear" w:pos="567"/>
              </w:tabs>
              <w:spacing w:before="0"/>
              <w:rPr>
                <w:rFonts w:ascii="Arial" w:hAnsi="Arial" w:cs="Arial"/>
                <w:sz w:val="20"/>
              </w:rPr>
            </w:pPr>
            <w:r>
              <w:rPr>
                <w:rFonts w:ascii="Arial" w:hAnsi="Arial" w:cs="Arial"/>
                <w:sz w:val="20"/>
              </w:rPr>
              <w:t>National Qualification Code</w:t>
            </w:r>
          </w:p>
        </w:tc>
      </w:tr>
      <w:tr>
        <w:tc>
          <w:tcPr>
            <w:tcW w:w="567" w:type="dxa"/>
          </w:tcPr>
          <w:p>
            <w:pPr>
              <w:pStyle w:val="yTableNAm"/>
              <w:tabs>
                <w:tab w:val="clear" w:pos="567"/>
              </w:tabs>
              <w:spacing w:before="0"/>
              <w:rPr>
                <w:rFonts w:ascii="Arial" w:hAnsi="Arial" w:cs="Arial"/>
                <w:sz w:val="20"/>
              </w:rPr>
            </w:pPr>
            <w:r>
              <w:rPr>
                <w:rFonts w:ascii="Arial" w:hAnsi="Arial" w:cs="Arial"/>
                <w:sz w:val="20"/>
              </w:rPr>
              <w:t>3</w:t>
            </w:r>
          </w:p>
        </w:tc>
        <w:tc>
          <w:tcPr>
            <w:tcW w:w="6521" w:type="dxa"/>
          </w:tcPr>
          <w:p>
            <w:pPr>
              <w:pStyle w:val="yTableNAm"/>
              <w:tabs>
                <w:tab w:val="clear" w:pos="567"/>
              </w:tabs>
              <w:spacing w:before="0"/>
              <w:rPr>
                <w:rFonts w:ascii="Arial" w:hAnsi="Arial" w:cs="Arial"/>
                <w:sz w:val="20"/>
              </w:rPr>
            </w:pPr>
            <w:r>
              <w:rPr>
                <w:rFonts w:ascii="Arial" w:hAnsi="Arial" w:cs="Arial"/>
                <w:sz w:val="20"/>
              </w:rPr>
              <w:t>Commencement date of employment</w:t>
            </w:r>
          </w:p>
          <w:p>
            <w:pPr>
              <w:pStyle w:val="yTableNAm"/>
              <w:tabs>
                <w:tab w:val="clear" w:pos="567"/>
                <w:tab w:val="left" w:pos="3628"/>
              </w:tabs>
              <w:spacing w:before="0"/>
              <w:rPr>
                <w:rFonts w:ascii="Arial" w:hAnsi="Arial" w:cs="Arial"/>
                <w:sz w:val="20"/>
              </w:rPr>
            </w:pPr>
            <w:r>
              <w:rPr>
                <w:rFonts w:ascii="Arial" w:hAnsi="Arial" w:cs="Arial"/>
                <w:sz w:val="20"/>
              </w:rPr>
              <w:t>for Apprenticeship/Traineeship</w:t>
            </w:r>
            <w:r>
              <w:rPr>
                <w:rFonts w:ascii="Arial" w:hAnsi="Arial" w:cs="Arial"/>
                <w:sz w:val="20"/>
              </w:rPr>
              <w:tab/>
              <w:t>Day    /Month    /Year</w:t>
            </w:r>
          </w:p>
        </w:tc>
      </w:tr>
      <w:tr>
        <w:tc>
          <w:tcPr>
            <w:tcW w:w="567" w:type="dxa"/>
          </w:tcPr>
          <w:p>
            <w:pPr>
              <w:pStyle w:val="yTableNAm"/>
              <w:tabs>
                <w:tab w:val="clear" w:pos="567"/>
              </w:tabs>
              <w:spacing w:before="0"/>
              <w:rPr>
                <w:rFonts w:ascii="Arial" w:hAnsi="Arial" w:cs="Arial"/>
                <w:sz w:val="20"/>
              </w:rPr>
            </w:pPr>
            <w:r>
              <w:rPr>
                <w:rFonts w:ascii="Arial" w:hAnsi="Arial" w:cs="Arial"/>
                <w:sz w:val="20"/>
              </w:rPr>
              <w:t>4</w:t>
            </w:r>
          </w:p>
        </w:tc>
        <w:tc>
          <w:tcPr>
            <w:tcW w:w="6521" w:type="dxa"/>
          </w:tcPr>
          <w:p>
            <w:pPr>
              <w:pStyle w:val="yTableNAm"/>
              <w:tabs>
                <w:tab w:val="clear" w:pos="567"/>
              </w:tabs>
              <w:spacing w:before="0"/>
              <w:rPr>
                <w:rFonts w:ascii="Arial" w:hAnsi="Arial" w:cs="Arial"/>
                <w:sz w:val="20"/>
              </w:rPr>
            </w:pPr>
            <w:r>
              <w:rPr>
                <w:rFonts w:ascii="Arial" w:hAnsi="Arial" w:cs="Arial"/>
                <w:sz w:val="20"/>
              </w:rPr>
              <w:t>Nominal term of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5</w:t>
            </w:r>
          </w:p>
        </w:tc>
        <w:tc>
          <w:tcPr>
            <w:tcW w:w="6521" w:type="dxa"/>
          </w:tcPr>
          <w:p>
            <w:pPr>
              <w:pStyle w:val="yTableNAm"/>
              <w:tabs>
                <w:tab w:val="clear" w:pos="567"/>
              </w:tabs>
              <w:spacing w:before="0"/>
              <w:rPr>
                <w:rFonts w:ascii="Arial" w:hAnsi="Arial" w:cs="Arial"/>
                <w:sz w:val="20"/>
              </w:rPr>
            </w:pPr>
            <w:r>
              <w:rPr>
                <w:rFonts w:ascii="Arial" w:hAnsi="Arial" w:cs="Arial"/>
                <w:sz w:val="20"/>
              </w:rPr>
              <w:t>The period of probation for this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6</w:t>
            </w:r>
          </w:p>
        </w:tc>
        <w:tc>
          <w:tcPr>
            <w:tcW w:w="6521" w:type="dxa"/>
          </w:tcPr>
          <w:p>
            <w:pPr>
              <w:pStyle w:val="yTableNAm"/>
              <w:tabs>
                <w:tab w:val="clear" w:pos="567"/>
              </w:tabs>
              <w:spacing w:before="0"/>
              <w:rPr>
                <w:rFonts w:ascii="Arial" w:hAnsi="Arial" w:cs="Arial"/>
                <w:sz w:val="20"/>
              </w:rPr>
            </w:pPr>
            <w:r>
              <w:rPr>
                <w:rFonts w:ascii="Arial" w:hAnsi="Arial" w:cs="Arial"/>
                <w:sz w:val="20"/>
              </w:rPr>
              <w:t>Type of Apprenticeship/Traineeship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Apprenticeship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Traineeship</w:t>
            </w:r>
          </w:p>
        </w:tc>
      </w:tr>
      <w:tr>
        <w:tc>
          <w:tcPr>
            <w:tcW w:w="567" w:type="dxa"/>
          </w:tcPr>
          <w:p>
            <w:pPr>
              <w:pStyle w:val="yTableNAm"/>
              <w:tabs>
                <w:tab w:val="clear" w:pos="567"/>
              </w:tabs>
              <w:spacing w:before="0"/>
              <w:rPr>
                <w:rFonts w:ascii="Arial" w:hAnsi="Arial" w:cs="Arial"/>
                <w:sz w:val="20"/>
              </w:rPr>
            </w:pPr>
            <w:r>
              <w:rPr>
                <w:rFonts w:ascii="Arial" w:hAnsi="Arial" w:cs="Arial"/>
                <w:sz w:val="20"/>
              </w:rPr>
              <w:t>7</w:t>
            </w:r>
          </w:p>
        </w:tc>
        <w:tc>
          <w:tcPr>
            <w:tcW w:w="6521" w:type="dxa"/>
          </w:tcPr>
          <w:p>
            <w:pPr>
              <w:pStyle w:val="yTableNAm"/>
              <w:tabs>
                <w:tab w:val="clear" w:pos="567"/>
              </w:tabs>
              <w:spacing w:before="0"/>
              <w:rPr>
                <w:rFonts w:ascii="Arial" w:hAnsi="Arial" w:cs="Arial"/>
                <w:sz w:val="20"/>
              </w:rPr>
            </w:pPr>
            <w:r>
              <w:rPr>
                <w:rFonts w:ascii="Arial" w:hAnsi="Arial" w:cs="Arial"/>
                <w:sz w:val="20"/>
              </w:rPr>
              <w:t>Is the apprentice/trainee an existing worker?</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No</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Yes </w:t>
            </w:r>
            <w:r>
              <w:rPr>
                <w:rFonts w:ascii="Arial" w:hAnsi="Arial" w:cs="Arial"/>
                <w:sz w:val="18"/>
              </w:rPr>
              <w:t xml:space="preserve">(Refer to </w:t>
            </w:r>
            <w:r>
              <w:rPr>
                <w:rFonts w:ascii="Arial" w:hAnsi="Arial" w:cs="Arial"/>
                <w:b/>
                <w:bCs/>
                <w:sz w:val="18"/>
              </w:rPr>
              <w:t>Information to Help Complete the Training Contract</w:t>
            </w:r>
            <w:r>
              <w:rPr>
                <w:rFonts w:ascii="Arial" w:hAnsi="Arial" w:cs="Arial"/>
                <w:sz w:val="18"/>
              </w:rPr>
              <w:t>)</w:t>
            </w:r>
          </w:p>
        </w:tc>
      </w:tr>
    </w:tbl>
    <w:p>
      <w:pPr>
        <w:pStyle w:val="yMiscellaneousBody"/>
        <w:spacing w:before="240" w:after="40"/>
        <w:rPr>
          <w:rFonts w:ascii="Arial" w:hAnsi="Arial" w:cs="Arial"/>
          <w:b/>
          <w:bCs/>
        </w:rPr>
      </w:pPr>
      <w:r>
        <w:rPr>
          <w:rFonts w:ascii="Arial" w:hAnsi="Arial" w:cs="Arial"/>
          <w:b/>
          <w:bCs/>
        </w:rPr>
        <w:t>Apprentice/Trainee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173"/>
        <w:gridCol w:w="2174"/>
        <w:gridCol w:w="189"/>
        <w:gridCol w:w="1985"/>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(residential)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(postal)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10</w:t>
            </w: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number/s Home</w:t>
            </w:r>
            <w:r>
              <w:rPr>
                <w:rFonts w:ascii="Arial" w:hAnsi="Arial" w:cs="Arial"/>
                <w:sz w:val="20"/>
              </w:rPr>
              <w:tab/>
            </w:r>
            <w:smartTag w:uri="urn:schemas-microsoft-com:office:smarttags" w:element="place">
              <w:smartTag w:uri="urn:schemas-microsoft-com:office:smarttags" w:element="City">
                <w:r>
                  <w:rPr>
                    <w:rFonts w:ascii="Arial" w:hAnsi="Arial" w:cs="Arial"/>
                    <w:sz w:val="20"/>
                  </w:rPr>
                  <w:t>Mobile</w:t>
                </w:r>
              </w:smartTag>
            </w:smartTag>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11</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13</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Citizenship (Tick applicable box)</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A </w:t>
            </w:r>
            <w:smartTag w:uri="urn:schemas-microsoft-com:office:smarttags" w:element="country-region">
              <w:r>
                <w:rPr>
                  <w:rFonts w:ascii="Arial" w:hAnsi="Arial" w:cs="Arial"/>
                  <w:sz w:val="20"/>
                </w:rPr>
                <w:t>New Zealand</w:t>
              </w:r>
            </w:smartTag>
            <w:r>
              <w:rPr>
                <w:rFonts w:ascii="Arial" w:hAnsi="Arial" w:cs="Arial"/>
                <w:sz w:val="20"/>
              </w:rPr>
              <w:t xml:space="preserve"> passport holder who has been resident in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for 6 months or more </w:t>
            </w:r>
            <w:r>
              <w:rPr>
                <w:rFonts w:ascii="Arial" w:hAnsi="Arial" w:cs="Arial"/>
                <w:sz w:val="18"/>
              </w:rPr>
              <w:t>(Refer to Information to Help Complete the Training Contract)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tabs>
                <w:tab w:val="clear" w:pos="567"/>
              </w:tabs>
              <w:spacing w:before="0"/>
              <w:ind w:left="510" w:hanging="51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14*</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of Aboriginal or Torres Strait Islander origin?</w:t>
            </w:r>
          </w:p>
          <w:p>
            <w:pPr>
              <w:pStyle w:val="yTableNAm"/>
              <w:tabs>
                <w:tab w:val="clear" w:pos="567"/>
              </w:tabs>
              <w:spacing w:before="0"/>
              <w:rPr>
                <w:rFonts w:ascii="Arial" w:hAnsi="Arial" w:cs="Arial"/>
                <w:sz w:val="18"/>
              </w:rPr>
            </w:pPr>
            <w:r>
              <w:rPr>
                <w:rFonts w:ascii="Arial" w:hAnsi="Arial" w:cs="Arial"/>
                <w:sz w:val="18"/>
              </w:rPr>
              <w:t>For persons of both Aboriginal AND Torres Strait Islander origin mark both ‘Yes’ boxes.</w:t>
            </w:r>
          </w:p>
          <w:p>
            <w:pPr>
              <w:pStyle w:val="yTableNAm"/>
              <w:tabs>
                <w:tab w:val="clear" w:pos="567"/>
                <w:tab w:val="left" w:pos="1503"/>
                <w:tab w:val="left" w:pos="3629"/>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w:t>
            </w:r>
            <w:smartTag w:uri="urn:schemas-microsoft-com:office:smarttags" w:element="place">
              <w:r>
                <w:rPr>
                  <w:rFonts w:ascii="Arial" w:hAnsi="Arial" w:cs="Arial"/>
                  <w:sz w:val="20"/>
                </w:rPr>
                <w:t>Torres Strait</w:t>
              </w:r>
            </w:smartTag>
            <w:r>
              <w:rPr>
                <w:rFonts w:ascii="Arial" w:hAnsi="Arial" w:cs="Arial"/>
                <w:sz w:val="20"/>
              </w:rPr>
              <w:t xml:space="preserve"> Islander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15*</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In which country were you born?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16*</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 xml:space="preserve">Do you speak a language other than English at home? </w:t>
            </w:r>
            <w:r>
              <w:rPr>
                <w:rFonts w:ascii="Arial" w:hAnsi="Arial" w:cs="Arial"/>
                <w:sz w:val="18"/>
              </w:rPr>
              <w:t>(If more than one language, indicate the one that is spoken most often.)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17*</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Do you consider yourself to have a disability, impairment or long-term condition?</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still attending secondary school?</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18"/>
              </w:rPr>
              <w:t>(e.g. Year 11)</w:t>
            </w:r>
          </w:p>
          <w:p>
            <w:pPr>
              <w:pStyle w:val="yTableNAm"/>
              <w:tabs>
                <w:tab w:val="clear" w:pos="567"/>
              </w:tabs>
              <w:spacing w:before="0"/>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Is this an approved Australian School-based Apprenticeship/Traineeship?</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20</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What is your highest COMPLETED school level?</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12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11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10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9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8 or below</w:t>
            </w:r>
            <w:r>
              <w:rPr>
                <w:rFonts w:ascii="Arial" w:hAnsi="Arial" w:cs="Arial"/>
                <w:sz w:val="18"/>
              </w:rPr>
              <w:tab/>
            </w:r>
            <w:r>
              <w:rPr>
                <w:rFonts w:ascii="Arial" w:hAnsi="Arial" w:cs="Arial"/>
                <w:sz w:val="18"/>
              </w:rPr>
              <w:sym w:font="Monotype Sorts" w:char="F070"/>
            </w:r>
            <w:r>
              <w:rPr>
                <w:rFonts w:ascii="Arial" w:hAnsi="Arial" w:cs="Arial"/>
                <w:sz w:val="18"/>
              </w:rPr>
              <w:t xml:space="preserve"> Did not go to school</w:t>
            </w:r>
          </w:p>
          <w:p>
            <w:pPr>
              <w:pStyle w:val="yTableNAm"/>
              <w:tabs>
                <w:tab w:val="clear" w:pos="567"/>
                <w:tab w:val="left" w:pos="4196"/>
              </w:tabs>
              <w:spacing w:before="0"/>
              <w:rPr>
                <w:rFonts w:ascii="Arial" w:hAnsi="Arial" w:cs="Arial"/>
                <w:sz w:val="20"/>
              </w:rPr>
            </w:pPr>
            <w:r>
              <w:rPr>
                <w:rFonts w:ascii="Arial" w:hAnsi="Arial" w:cs="Arial"/>
                <w:sz w:val="18"/>
              </w:rPr>
              <w:t>When did you complete that school level?</w:t>
            </w:r>
            <w:r>
              <w:rPr>
                <w:rFonts w:ascii="Arial" w:hAnsi="Arial" w:cs="Arial"/>
                <w:sz w:val="18"/>
              </w:rPr>
              <w:tab/>
              <w:t>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Have you successfully COMPLETED any of the following qualifications?</w:t>
            </w:r>
          </w:p>
          <w:p>
            <w:pPr>
              <w:pStyle w:val="yTableNAm"/>
              <w:tabs>
                <w:tab w:val="clear" w:pos="567"/>
              </w:tabs>
              <w:spacing w:before="0"/>
              <w:rPr>
                <w:rFonts w:ascii="Arial" w:hAnsi="Arial" w:cs="Arial"/>
                <w:b/>
                <w:bCs/>
                <w:sz w:val="18"/>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w:t>
            </w:r>
            <w:r>
              <w:rPr>
                <w:rFonts w:ascii="Arial" w:hAnsi="Arial" w:cs="Arial"/>
                <w:sz w:val="18"/>
              </w:rPr>
              <w:t>tick and complete any applicable boxes</w:t>
            </w:r>
          </w:p>
          <w:p>
            <w:pPr>
              <w:pStyle w:val="yTableNAm"/>
              <w:tabs>
                <w:tab w:val="clear" w:pos="567"/>
                <w:tab w:val="left" w:pos="5188"/>
              </w:tabs>
              <w:spacing w:before="0"/>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Pre-Apprenticeship/Pre-Vocational</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tabs>
                <w:tab w:val="clear" w:pos="567"/>
                <w:tab w:val="left" w:pos="936"/>
                <w:tab w:val="left" w:pos="5188"/>
              </w:tabs>
              <w:spacing w:before="0"/>
              <w:rPr>
                <w:rFonts w:ascii="Arial" w:hAnsi="Arial" w:cs="Arial"/>
                <w:sz w:val="18"/>
              </w:rPr>
            </w:pPr>
            <w:r>
              <w:rPr>
                <w:rFonts w:ascii="Arial" w:hAnsi="Arial" w:cs="Arial"/>
                <w:sz w:val="20"/>
              </w:rPr>
              <w:t xml:space="preserve">Title and level of qualification/s obtained </w:t>
            </w:r>
            <w:r>
              <w:rPr>
                <w:rFonts w:ascii="Arial" w:hAnsi="Arial" w:cs="Arial"/>
                <w:sz w:val="18"/>
              </w:rPr>
              <w:t>(Attach list if necessary)</w:t>
            </w:r>
          </w:p>
          <w:p>
            <w:pPr>
              <w:pStyle w:val="yTableNAm"/>
              <w:tabs>
                <w:tab w:val="clear" w:pos="567"/>
                <w:tab w:val="left" w:pos="936"/>
                <w:tab w:val="left" w:pos="5188"/>
              </w:tabs>
              <w:spacing w:before="0"/>
              <w:rPr>
                <w:rFonts w:ascii="Arial" w:hAnsi="Arial" w:cs="Arial"/>
                <w:sz w:val="18"/>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22*</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The qualification cannot be used because of an injury or disability</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an Intensive Support Customised Assistance Client</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unemployed and have been registered with Centrelink for 12 months or more</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gridSpan w:val="4"/>
            <w:tcBorders>
              <w:top w:val="nil"/>
              <w:bottom w:val="single" w:sz="4" w:space="0" w:color="auto"/>
            </w:tcBorders>
          </w:tcPr>
          <w:p>
            <w:pPr>
              <w:pStyle w:val="yTableNAm"/>
              <w:tabs>
                <w:tab w:val="clear" w:pos="567"/>
              </w:tabs>
              <w:spacing w:before="0"/>
              <w:rPr>
                <w:rFonts w:ascii="Arial" w:hAnsi="Arial" w:cs="Arial"/>
                <w:sz w:val="18"/>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23</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Have you previously worked as an apprentice or trainee?</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b/>
                <w:bCs/>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Please provide details below. </w:t>
            </w:r>
            <w:r>
              <w:rPr>
                <w:rFonts w:ascii="Arial" w:hAnsi="Arial" w:cs="Arial"/>
                <w:sz w:val="18"/>
              </w:rPr>
              <w:t>If you are unsure of any of these details, ask your Australian Apprenticeships Centre for assistance.</w:t>
            </w:r>
          </w:p>
          <w:p>
            <w:pPr>
              <w:pStyle w:val="yTableNAm"/>
              <w:tabs>
                <w:tab w:val="clear" w:pos="567"/>
              </w:tabs>
              <w:spacing w:before="0"/>
              <w:rPr>
                <w:rFonts w:ascii="Arial" w:hAnsi="Arial" w:cs="Arial"/>
                <w:sz w:val="20"/>
              </w:rPr>
            </w:pPr>
            <w:r>
              <w:rPr>
                <w:rFonts w:ascii="Arial" w:hAnsi="Arial" w:cs="Arial"/>
                <w:sz w:val="20"/>
              </w:rPr>
              <w:t>Name of company</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 w:val="left" w:pos="1644"/>
                <w:tab w:val="left" w:pos="3912"/>
              </w:tabs>
              <w:spacing w:before="0"/>
              <w:rPr>
                <w:rFonts w:ascii="Arial" w:hAnsi="Arial" w:cs="Arial"/>
              </w:rPr>
            </w:pPr>
          </w:p>
        </w:tc>
      </w:tr>
      <w:tr>
        <w:trPr>
          <w:cantSplit/>
        </w:trPr>
        <w:tc>
          <w:tcPr>
            <w:tcW w:w="567" w:type="dxa"/>
            <w:vMerge/>
            <w:tcBorders>
              <w:left w:val="single" w:sz="4" w:space="0" w:color="auto"/>
              <w:bottom w:val="single" w:sz="4" w:space="0" w:color="auto"/>
            </w:tcBorders>
          </w:tcPr>
          <w:p>
            <w:pPr>
              <w:pStyle w:val="yTableNAm"/>
              <w:tabs>
                <w:tab w:val="clear" w:pos="567"/>
              </w:tabs>
              <w:spacing w:before="0"/>
              <w:rPr>
                <w:rFonts w:ascii="Arial" w:hAnsi="Arial" w:cs="Arial"/>
                <w:sz w:val="20"/>
              </w:rPr>
            </w:pPr>
          </w:p>
        </w:tc>
        <w:tc>
          <w:tcPr>
            <w:tcW w:w="2173" w:type="dxa"/>
            <w:tcBorders>
              <w:top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State/Territory/ Overseas</w:t>
            </w:r>
          </w:p>
          <w:p>
            <w:pPr>
              <w:pStyle w:val="yTableNAm"/>
              <w:tabs>
                <w:tab w:val="clear" w:pos="567"/>
              </w:tabs>
              <w:spacing w:before="0"/>
              <w:rPr>
                <w:rFonts w:ascii="Arial" w:hAnsi="Arial" w:cs="Arial"/>
                <w:sz w:val="20"/>
              </w:rPr>
            </w:pPr>
          </w:p>
        </w:tc>
        <w:tc>
          <w:tcPr>
            <w:tcW w:w="2174" w:type="dxa"/>
            <w:tcBorders>
              <w:top w:val="nil"/>
              <w:left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Year of commencement</w:t>
            </w:r>
          </w:p>
        </w:tc>
        <w:tc>
          <w:tcPr>
            <w:tcW w:w="2174" w:type="dxa"/>
            <w:gridSpan w:val="2"/>
            <w:tcBorders>
              <w:top w:val="nil"/>
              <w:left w:val="nil"/>
              <w:bottom w:val="single" w:sz="4" w:space="0" w:color="auto"/>
            </w:tcBorders>
          </w:tcPr>
          <w:p>
            <w:pPr>
              <w:pStyle w:val="yTableNAm"/>
              <w:tabs>
                <w:tab w:val="clear" w:pos="567"/>
              </w:tabs>
              <w:spacing w:before="0"/>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24</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Are you seeking credit to reduce the term of the Training Contract?</w:t>
            </w:r>
            <w:r>
              <w:rPr>
                <w:rFonts w:ascii="Arial" w:hAnsi="Arial" w:cs="Arial"/>
                <w:sz w:val="18"/>
              </w:rPr>
              <w:t xml:space="preserve"> (Refer to Information to Help Complete the Training Contract) (Evidence is required and must be attached.)</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tabs>
                <w:tab w:val="clear" w:pos="567"/>
              </w:tabs>
              <w:spacing w:before="0"/>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Are you currently undertaking any other study?</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bl>
    <w:p>
      <w:pPr>
        <w:pStyle w:val="yMiscellaneousBody"/>
        <w:keepNext/>
        <w:spacing w:before="240" w:after="40"/>
        <w:rPr>
          <w:rFonts w:ascii="Arial" w:hAnsi="Arial" w:cs="Arial"/>
          <w:b/>
          <w:bCs/>
        </w:rPr>
      </w:pPr>
      <w:r>
        <w:rPr>
          <w:rFonts w:ascii="Arial" w:hAnsi="Arial" w:cs="Arial"/>
          <w:b/>
          <w:bCs/>
        </w:rPr>
        <w:t>Parent or Guardian details</w:t>
      </w:r>
    </w:p>
    <w:p>
      <w:pPr>
        <w:pStyle w:val="yMiscellaneousBody"/>
        <w:keepNext/>
        <w:spacing w:before="0" w:after="40"/>
        <w:rPr>
          <w:rFonts w:ascii="Arial" w:hAnsi="Arial" w:cs="Arial"/>
          <w:sz w:val="18"/>
        </w:rPr>
      </w:pPr>
      <w:r>
        <w:rPr>
          <w:rFonts w:ascii="Arial" w:hAnsi="Arial" w:cs="Arial"/>
          <w:sz w:val="18"/>
        </w:rPr>
        <w:t xml:space="preserve">If under 18 years of age, go to </w:t>
      </w:r>
      <w:r>
        <w:rPr>
          <w:rFonts w:ascii="Arial" w:hAnsi="Arial" w:cs="Arial"/>
          <w:b/>
          <w:bCs/>
          <w:sz w:val="18"/>
        </w:rPr>
        <w:t>Question 26</w:t>
      </w:r>
      <w:r>
        <w:rPr>
          <w:rFonts w:ascii="Arial" w:hAnsi="Arial" w:cs="Arial"/>
          <w:sz w:val="18"/>
        </w:rPr>
        <w:t xml:space="preserve">. If 18 years or over, go to </w:t>
      </w:r>
      <w:r>
        <w:rPr>
          <w:rFonts w:ascii="Arial" w:hAnsi="Arial" w:cs="Arial"/>
          <w:b/>
          <w:bCs/>
          <w:sz w:val="18"/>
        </w:rPr>
        <w:t>Question 28</w:t>
      </w:r>
      <w:r>
        <w:rPr>
          <w:rFonts w:ascii="Arial" w:hAnsi="Arial" w:cs="Arial"/>
          <w:sz w:val="1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26</w:t>
            </w:r>
          </w:p>
        </w:tc>
        <w:tc>
          <w:tcPr>
            <w:tcW w:w="6521" w:type="dxa"/>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27</w:t>
            </w:r>
          </w:p>
        </w:tc>
        <w:tc>
          <w:tcPr>
            <w:tcW w:w="6521" w:type="dxa"/>
          </w:tcPr>
          <w:p>
            <w:pPr>
              <w:pStyle w:val="yTableNAm"/>
              <w:tabs>
                <w:tab w:val="clear" w:pos="567"/>
              </w:tabs>
              <w:spacing w:before="0"/>
              <w:rPr>
                <w:rFonts w:ascii="Arial" w:hAnsi="Arial" w:cs="Arial"/>
                <w:sz w:val="20"/>
              </w:rPr>
            </w:pPr>
            <w:r>
              <w:rPr>
                <w:rFonts w:ascii="Arial" w:hAnsi="Arial" w:cs="Arial"/>
                <w:sz w:val="20"/>
              </w:rPr>
              <w:t>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Home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Work (  )</w:t>
            </w:r>
          </w:p>
        </w:tc>
      </w:tr>
    </w:tbl>
    <w:p>
      <w:pPr>
        <w:pStyle w:val="yMiscellaneousBody"/>
        <w:spacing w:before="240" w:after="40"/>
        <w:rPr>
          <w:rFonts w:ascii="Arial" w:hAnsi="Arial" w:cs="Arial"/>
          <w:b/>
          <w:bCs/>
        </w:rPr>
      </w:pPr>
      <w:r>
        <w:rPr>
          <w:rFonts w:ascii="Arial" w:hAnsi="Arial" w:cs="Arial"/>
          <w:b/>
          <w:bCs/>
        </w:rPr>
        <w:t>Employer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28</w:t>
            </w:r>
          </w:p>
        </w:tc>
        <w:tc>
          <w:tcPr>
            <w:tcW w:w="6521" w:type="dxa"/>
          </w:tcPr>
          <w:p>
            <w:pPr>
              <w:pStyle w:val="yTableNAm"/>
              <w:tabs>
                <w:tab w:val="clear" w:pos="567"/>
              </w:tabs>
              <w:spacing w:before="0"/>
              <w:rPr>
                <w:rFonts w:ascii="Arial" w:hAnsi="Arial" w:cs="Arial"/>
                <w:sz w:val="18"/>
              </w:rPr>
            </w:pPr>
            <w:r>
              <w:rPr>
                <w:rFonts w:ascii="Arial" w:hAnsi="Arial" w:cs="Arial"/>
                <w:sz w:val="20"/>
              </w:rPr>
              <w:t xml:space="preserve">Legal name of employer </w:t>
            </w:r>
            <w:r>
              <w:rPr>
                <w:rFonts w:ascii="Arial" w:hAnsi="Arial" w:cs="Arial"/>
                <w:sz w:val="18"/>
              </w:rPr>
              <w:t>(Refer to Information to Help Complete the Training Contract)</w:t>
            </w:r>
          </w:p>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29</w:t>
            </w:r>
          </w:p>
        </w:tc>
        <w:tc>
          <w:tcPr>
            <w:tcW w:w="6521" w:type="dxa"/>
          </w:tcPr>
          <w:p>
            <w:pPr>
              <w:pStyle w:val="yTableNAm"/>
              <w:tabs>
                <w:tab w:val="clear" w:pos="567"/>
              </w:tabs>
              <w:spacing w:before="0"/>
              <w:rPr>
                <w:rFonts w:ascii="Arial" w:hAnsi="Arial" w:cs="Arial"/>
                <w:sz w:val="20"/>
              </w:rPr>
            </w:pPr>
            <w:r>
              <w:rPr>
                <w:rFonts w:ascii="Arial" w:hAnsi="Arial" w:cs="Arial"/>
                <w:sz w:val="20"/>
              </w:rPr>
              <w:t>Australian Business Number (ABN) of your legal entity</w:t>
            </w:r>
          </w:p>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30</w:t>
            </w:r>
          </w:p>
        </w:tc>
        <w:tc>
          <w:tcPr>
            <w:tcW w:w="6521" w:type="dxa"/>
          </w:tcPr>
          <w:p>
            <w:pPr>
              <w:pStyle w:val="yTableNAm"/>
              <w:tabs>
                <w:tab w:val="clear" w:pos="567"/>
              </w:tabs>
              <w:spacing w:before="0"/>
              <w:rPr>
                <w:rFonts w:ascii="Arial" w:hAnsi="Arial" w:cs="Arial"/>
                <w:sz w:val="20"/>
              </w:rPr>
            </w:pPr>
            <w:r>
              <w:rPr>
                <w:rFonts w:ascii="Arial" w:hAnsi="Arial" w:cs="Arial"/>
                <w:sz w:val="20"/>
              </w:rPr>
              <w:t>Trading name</w:t>
            </w:r>
          </w:p>
          <w:p>
            <w:pPr>
              <w:pStyle w:val="yTableNAm"/>
              <w:tabs>
                <w:tab w:val="clear" w:pos="567"/>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31</w:t>
            </w:r>
          </w:p>
        </w:tc>
        <w:tc>
          <w:tcPr>
            <w:tcW w:w="6521" w:type="dxa"/>
          </w:tcPr>
          <w:p>
            <w:pPr>
              <w:pStyle w:val="yTableNAm"/>
              <w:tabs>
                <w:tab w:val="clear" w:pos="567"/>
              </w:tabs>
              <w:spacing w:before="0"/>
              <w:rPr>
                <w:rFonts w:ascii="Arial" w:hAnsi="Arial" w:cs="Arial"/>
                <w:sz w:val="20"/>
              </w:rPr>
            </w:pPr>
            <w:r>
              <w:rPr>
                <w:rFonts w:ascii="Arial" w:hAnsi="Arial" w:cs="Arial"/>
                <w:sz w:val="20"/>
              </w:rPr>
              <w:t>Postal 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32</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Business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Fax (  )</w:t>
            </w:r>
          </w:p>
          <w:p>
            <w:pPr>
              <w:pStyle w:val="yTableNAm"/>
              <w:tabs>
                <w:tab w:val="clear" w:pos="567"/>
                <w:tab w:val="left" w:pos="1928"/>
                <w:tab w:val="left" w:pos="3629"/>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33</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What is the industry or principal activity of the business?</w:t>
            </w:r>
          </w:p>
          <w:p>
            <w:pPr>
              <w:pStyle w:val="yTableNAm"/>
              <w:tabs>
                <w:tab w:val="clear" w:pos="567"/>
                <w:tab w:val="left" w:pos="3628"/>
                <w:tab w:val="left" w:pos="4620"/>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34</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Type of employer</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Government Business </w:t>
            </w:r>
            <w:smartTag w:uri="urn:schemas-microsoft-com:office:smarttags" w:element="place">
              <w:smartTag w:uri="urn:schemas-microsoft-com:office:smarttags" w:element="City">
                <w:r>
                  <w:rPr>
                    <w:rFonts w:ascii="Arial" w:hAnsi="Arial" w:cs="Arial"/>
                    <w:sz w:val="18"/>
                  </w:rPr>
                  <w:t>Enterprise</w:t>
                </w:r>
              </w:smartTag>
            </w:smartTag>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spacing w:before="240" w:after="40"/>
        <w:rPr>
          <w:rFonts w:ascii="Arial" w:hAnsi="Arial" w:cs="Arial"/>
          <w:b/>
          <w:bCs/>
        </w:rPr>
      </w:pPr>
      <w:r>
        <w:rPr>
          <w:rFonts w:ascii="Arial" w:hAnsi="Arial" w:cs="Arial"/>
          <w:b/>
          <w:bCs/>
        </w:rPr>
        <w:t>Employment and Training details</w:t>
      </w:r>
    </w:p>
    <w:p>
      <w:pPr>
        <w:pStyle w:val="yMiscellaneousBody"/>
        <w:spacing w:before="0" w:after="40"/>
        <w:rPr>
          <w:rFonts w:ascii="Arial" w:hAnsi="Arial" w:cs="Arial"/>
          <w:sz w:val="18"/>
        </w:rPr>
      </w:pPr>
      <w:r>
        <w:rPr>
          <w:rFonts w:ascii="Arial" w:hAnsi="Arial" w:cs="Arial"/>
          <w:sz w:val="18"/>
        </w:rPr>
        <w:t>(For apprentices/trainees employed through Group Training Organisations provide the name and address of the first host employer.)</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410"/>
        <w:gridCol w:w="1701"/>
        <w:gridCol w:w="284"/>
        <w:gridCol w:w="1134"/>
        <w:gridCol w:w="992"/>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35</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workplace where apprentice/trainee will be employed</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Address of workplace where apprentice/trainee will be employed</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36</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Workplace details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18"/>
              </w:rPr>
              <w:t>Total number of people employed by the firm</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Total number of apprentices/trainees in this workplace</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Number of workers able to demonstrate the relevant competencies available to supervise or train the apprentices/trainees in this workplace</w:t>
            </w:r>
          </w:p>
        </w:tc>
        <w:tc>
          <w:tcPr>
            <w:tcW w:w="992" w:type="dxa"/>
          </w:tcPr>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37</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contact person for this workplace</w:t>
            </w:r>
          </w:p>
          <w:p>
            <w:pPr>
              <w:pStyle w:val="yTableNAm"/>
              <w:tabs>
                <w:tab w:val="clear" w:pos="567"/>
              </w:tabs>
              <w:spacing w:before="0"/>
              <w:rPr>
                <w:rFonts w:ascii="Arial" w:hAnsi="Arial" w:cs="Arial"/>
                <w:sz w:val="20"/>
              </w:rPr>
            </w:pPr>
          </w:p>
          <w:p>
            <w:pPr>
              <w:pStyle w:val="yTableNAm"/>
              <w:tabs>
                <w:tab w:val="clear" w:pos="567"/>
                <w:tab w:val="left" w:pos="2211"/>
                <w:tab w:val="left" w:pos="4479"/>
              </w:tabs>
              <w:spacing w:before="0"/>
              <w:rPr>
                <w:rFonts w:ascii="Arial" w:hAnsi="Arial" w:cs="Arial"/>
                <w:sz w:val="20"/>
              </w:rPr>
            </w:pPr>
            <w:r>
              <w:rPr>
                <w:rFonts w:ascii="Arial" w:hAnsi="Arial" w:cs="Arial"/>
                <w:sz w:val="20"/>
              </w:rPr>
              <w:t>Telephone number (  )</w:t>
            </w:r>
            <w:r>
              <w:rPr>
                <w:rFonts w:ascii="Arial" w:hAnsi="Arial" w:cs="Arial"/>
                <w:sz w:val="20"/>
              </w:rPr>
              <w:tab/>
            </w:r>
            <w:r>
              <w:rPr>
                <w:rFonts w:ascii="Arial" w:hAnsi="Arial" w:cs="Arial"/>
                <w:sz w:val="20"/>
              </w:rPr>
              <w:tab/>
              <w:t>Fax (  )</w:t>
            </w:r>
          </w:p>
          <w:p>
            <w:pPr>
              <w:pStyle w:val="yTableNAm"/>
              <w:tabs>
                <w:tab w:val="clear" w:pos="567"/>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38</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Type of employment arrangement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Federal Award</w:t>
            </w:r>
            <w:r>
              <w:rPr>
                <w:rFonts w:ascii="Arial" w:hAnsi="Arial" w:cs="Arial"/>
                <w:sz w:val="18"/>
              </w:rPr>
              <w:tab/>
            </w:r>
            <w:r>
              <w:rPr>
                <w:rFonts w:ascii="Arial" w:hAnsi="Arial" w:cs="Arial"/>
                <w:sz w:val="18"/>
              </w:rPr>
              <w:sym w:font="Monotype Sorts" w:char="F070"/>
            </w:r>
            <w:r>
              <w:rPr>
                <w:rFonts w:ascii="Arial" w:hAnsi="Arial" w:cs="Arial"/>
                <w:sz w:val="18"/>
              </w:rPr>
              <w:t xml:space="preserve"> Australian Workplace Agreement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Certified Agreement</w:t>
            </w:r>
            <w:r>
              <w:rPr>
                <w:rFonts w:ascii="Arial" w:hAnsi="Arial" w:cs="Arial"/>
                <w:sz w:val="18"/>
              </w:rPr>
              <w:tab/>
            </w:r>
            <w:r>
              <w:rPr>
                <w:rFonts w:ascii="Arial" w:hAnsi="Arial" w:cs="Arial"/>
                <w:sz w:val="18"/>
              </w:rPr>
              <w:sym w:font="Monotype Sorts" w:char="F070"/>
            </w:r>
            <w:r>
              <w:rPr>
                <w:rFonts w:ascii="Arial" w:hAnsi="Arial" w:cs="Arial"/>
                <w:sz w:val="18"/>
              </w:rPr>
              <w:t xml:space="preserve"> State Workplace Agreement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State Award</w:t>
            </w:r>
            <w:r>
              <w:rPr>
                <w:rFonts w:ascii="Arial" w:hAnsi="Arial" w:cs="Arial"/>
                <w:sz w:val="18"/>
              </w:rPr>
              <w:tab/>
            </w:r>
            <w:r>
              <w:rPr>
                <w:rFonts w:ascii="Arial" w:hAnsi="Arial" w:cs="Arial"/>
                <w:sz w:val="18"/>
              </w:rPr>
              <w:sym w:font="Monotype Sorts" w:char="F070"/>
            </w:r>
            <w:r>
              <w:rPr>
                <w:rFonts w:ascii="Arial" w:hAnsi="Arial" w:cs="Arial"/>
                <w:sz w:val="18"/>
              </w:rPr>
              <w:t xml:space="preserve"> Other</w:t>
            </w:r>
          </w:p>
          <w:p>
            <w:pPr>
              <w:pStyle w:val="yTableNAm"/>
              <w:tabs>
                <w:tab w:val="clear" w:pos="567"/>
              </w:tabs>
              <w:spacing w:before="0"/>
              <w:rPr>
                <w:rFonts w:ascii="Arial" w:hAnsi="Arial" w:cs="Arial"/>
                <w:sz w:val="20"/>
              </w:rPr>
            </w:pPr>
            <w:r>
              <w:rPr>
                <w:rFonts w:ascii="Arial" w:hAnsi="Arial" w:cs="Arial"/>
                <w:sz w:val="20"/>
              </w:rPr>
              <w:t>Name of Agreement/Award</w:t>
            </w:r>
          </w:p>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39</w:t>
            </w:r>
          </w:p>
        </w:tc>
        <w:tc>
          <w:tcPr>
            <w:tcW w:w="6521" w:type="dxa"/>
            <w:gridSpan w:val="5"/>
          </w:tcPr>
          <w:p>
            <w:pPr>
              <w:pStyle w:val="yTableNAm"/>
              <w:keepNext/>
              <w:tabs>
                <w:tab w:val="clear" w:pos="567"/>
              </w:tabs>
              <w:spacing w:before="0"/>
              <w:rPr>
                <w:rFonts w:ascii="Arial" w:hAnsi="Arial" w:cs="Arial"/>
                <w:sz w:val="20"/>
              </w:rPr>
            </w:pPr>
            <w:r>
              <w:rPr>
                <w:rFonts w:ascii="Arial" w:hAnsi="Arial" w:cs="Arial"/>
                <w:sz w:val="20"/>
              </w:rPr>
              <w:t>Please indicate the number of hours of employment and training per week and whether this Apprenticeship/Traineeship is full-time or part</w:t>
            </w:r>
            <w:r>
              <w:rPr>
                <w:rFonts w:ascii="Arial" w:hAnsi="Arial" w:cs="Arial"/>
                <w:sz w:val="20"/>
              </w:rPr>
              <w:noBreakHyphen/>
              <w:t>time.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20"/>
              </w:rPr>
              <w:t>Number of hours work and training per week</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Full-time</w:t>
            </w:r>
            <w:r>
              <w:rPr>
                <w:rFonts w:ascii="Arial" w:hAnsi="Arial" w:cs="Arial"/>
                <w:sz w:val="20"/>
              </w:rPr>
              <w:tab/>
            </w:r>
            <w:r>
              <w:rPr>
                <w:rFonts w:ascii="Arial" w:hAnsi="Arial" w:cs="Arial"/>
                <w:sz w:val="20"/>
              </w:rPr>
              <w:sym w:font="Monotype Sorts" w:char="F070"/>
            </w:r>
            <w:r>
              <w:rPr>
                <w:rFonts w:ascii="Arial" w:hAnsi="Arial" w:cs="Arial"/>
                <w:sz w:val="20"/>
              </w:rPr>
              <w:t xml:space="preserve"> Part-time</w:t>
            </w:r>
          </w:p>
        </w:tc>
        <w:tc>
          <w:tcPr>
            <w:tcW w:w="992" w:type="dxa"/>
          </w:tcPr>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40</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Prior to commencing THIS Apprenticeship/Traineeship, has the apprentice/trainee worked for, or been hosted by/to, the employer/host employer?</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 </w:t>
            </w:r>
            <w:r>
              <w:rPr>
                <w:rFonts w:ascii="Arial" w:hAnsi="Arial" w:cs="Arial"/>
                <w:sz w:val="20"/>
              </w:rPr>
              <w:tab/>
            </w:r>
            <w:r>
              <w:rPr>
                <w:rFonts w:ascii="Arial" w:hAnsi="Arial" w:cs="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full-time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part-time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Part-time: Number of hours per week</w:t>
            </w:r>
          </w:p>
        </w:tc>
        <w:tc>
          <w:tcPr>
            <w:tcW w:w="2126" w:type="dxa"/>
            <w:gridSpan w:val="2"/>
          </w:tcPr>
          <w:p>
            <w:pPr>
              <w:pStyle w:val="yTableNAm"/>
              <w:tabs>
                <w:tab w:val="clear" w:pos="567"/>
              </w:tabs>
              <w:spacing w:before="0"/>
              <w:rPr>
                <w:rFonts w:ascii="Arial" w:hAnsi="Arial" w:cs="Arial"/>
                <w:sz w:val="18"/>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casual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Casual: Number of hours per week</w:t>
            </w:r>
          </w:p>
        </w:tc>
        <w:tc>
          <w:tcPr>
            <w:tcW w:w="2126" w:type="dxa"/>
            <w:gridSpan w:val="2"/>
          </w:tcPr>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41</w:t>
            </w:r>
          </w:p>
        </w:tc>
        <w:tc>
          <w:tcPr>
            <w:tcW w:w="6521" w:type="dxa"/>
            <w:gridSpan w:val="5"/>
          </w:tcPr>
          <w:p>
            <w:pPr>
              <w:pStyle w:val="yTableNAm"/>
              <w:tabs>
                <w:tab w:val="clear" w:pos="567"/>
              </w:tabs>
              <w:spacing w:before="0"/>
              <w:rPr>
                <w:rFonts w:ascii="Arial" w:hAnsi="Arial" w:cs="Arial"/>
                <w:sz w:val="18"/>
              </w:rPr>
            </w:pPr>
            <w:r>
              <w:rPr>
                <w:rFonts w:ascii="Arial" w:hAnsi="Arial" w:cs="Arial"/>
                <w:sz w:val="20"/>
              </w:rPr>
              <w:t>Is the apprentice/trainee in a business relationship with this employer?</w:t>
            </w:r>
          </w:p>
          <w:p>
            <w:pPr>
              <w:pStyle w:val="yTableNAm"/>
              <w:tabs>
                <w:tab w:val="clear" w:pos="567"/>
              </w:tabs>
              <w:spacing w:before="0"/>
              <w:rPr>
                <w:rFonts w:ascii="Arial" w:hAnsi="Arial" w:cs="Arial"/>
                <w:sz w:val="18"/>
              </w:rPr>
            </w:pPr>
            <w:r>
              <w:rPr>
                <w:rFonts w:ascii="Arial" w:hAnsi="Arial" w:cs="Arial"/>
                <w:sz w:val="18"/>
              </w:rPr>
              <w:t>(Examples include partnership, director or franchise arrangement – family trusts excluded.) (Refer to Information to Help Complete the Training Contract)</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Yes → Please provide details below.</w:t>
            </w:r>
          </w:p>
          <w:p>
            <w:pPr>
              <w:pStyle w:val="yTableNAm"/>
              <w:tabs>
                <w:tab w:val="clear" w:pos="567"/>
              </w:tabs>
              <w:spacing w:before="0"/>
              <w:rPr>
                <w:rFonts w:ascii="Arial" w:hAnsi="Arial" w:cs="Arial"/>
                <w:sz w:val="20"/>
              </w:rPr>
            </w:pPr>
          </w:p>
        </w:tc>
      </w:tr>
    </w:tbl>
    <w:p>
      <w:pPr>
        <w:pStyle w:val="yMiscellaneousBody"/>
        <w:spacing w:before="240" w:after="40"/>
        <w:rPr>
          <w:rFonts w:ascii="Arial" w:hAnsi="Arial" w:cs="Arial"/>
          <w:b/>
          <w:bCs/>
        </w:rPr>
      </w:pPr>
      <w:r>
        <w:rPr>
          <w:rFonts w:ascii="Arial" w:hAnsi="Arial" w:cs="Arial"/>
          <w:b/>
          <w:bCs/>
        </w:rPr>
        <w:t>Registered Training Organisation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Registered Training Organisation (RTO)</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after="40"/>
        <w:rPr>
          <w:rFonts w:ascii="Arial" w:hAnsi="Arial" w:cs="Arial"/>
          <w:b/>
          <w:bCs/>
        </w:rPr>
      </w:pPr>
      <w:r>
        <w:rPr>
          <w:rFonts w:ascii="Arial" w:hAnsi="Arial" w:cs="Arial"/>
          <w:b/>
          <w:bCs/>
        </w:rPr>
        <w:t>Australian Apprenticeships Centre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Australian Apprenticeships Centre</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rPr>
          <w:rFonts w:ascii="Arial" w:hAnsi="Arial" w:cs="Arial"/>
          <w:b/>
          <w:bCs/>
        </w:rPr>
      </w:pPr>
      <w:r>
        <w:rPr>
          <w:rFonts w:ascii="Arial" w:hAnsi="Arial" w:cs="Arial"/>
          <w:b/>
          <w:bCs/>
        </w:rPr>
        <w:t>Information on Australian Government Australian Apprenticeships Incentives</w:t>
      </w:r>
    </w:p>
    <w:p>
      <w:pPr>
        <w:pStyle w:val="yMiscellaneousBody"/>
        <w:spacing w:before="40"/>
        <w:rPr>
          <w:rFonts w:ascii="Arial" w:hAnsi="Arial" w:cs="Arial"/>
          <w:sz w:val="20"/>
        </w:rPr>
      </w:pPr>
      <w:r>
        <w:rPr>
          <w:rFonts w:ascii="Arial" w:hAnsi="Arial" w:cs="Arial"/>
          <w:sz w:val="20"/>
        </w:rPr>
        <w:t>Australian Apprenticeships, formerly known as New Apprenticeships, encompass all apprenticeships and traineeships. They combine time at work with training and can be full-time, part-time or school-based. Australian Apprenticeships are a stepping stone to ongoing employment or further education and training, and a great way to get a head start to a career.</w:t>
      </w:r>
    </w:p>
    <w:p>
      <w:pPr>
        <w:pStyle w:val="yMiscellaneousBody"/>
        <w:spacing w:before="40"/>
        <w:rPr>
          <w:rFonts w:ascii="Arial" w:hAnsi="Arial" w:cs="Arial"/>
          <w:sz w:val="20"/>
        </w:rPr>
      </w:pPr>
      <w:r>
        <w:rPr>
          <w:rFonts w:ascii="Arial" w:hAnsi="Arial" w:cs="Arial"/>
          <w:sz w:val="20"/>
        </w:rPr>
        <w:t>The Australian Apprenticeships Incentives Programme encourages employers to offer the kinds of employment-related training opportunities that will encourage people to acquire and expand their working skills. For further details about the incentives listed here, including application forms and advice about whether you may be eligible, contact your Australian Apprenticeships Centre.</w:t>
      </w:r>
    </w:p>
    <w:p>
      <w:pPr>
        <w:pStyle w:val="yMiscellaneousBody"/>
        <w:spacing w:before="40"/>
        <w:rPr>
          <w:rFonts w:ascii="Arial" w:hAnsi="Arial" w:cs="Arial"/>
          <w:b/>
          <w:bCs/>
          <w:sz w:val="20"/>
        </w:rPr>
      </w:pPr>
      <w:r>
        <w:rPr>
          <w:rFonts w:ascii="Arial" w:hAnsi="Arial" w:cs="Arial"/>
          <w:b/>
          <w:bCs/>
          <w:sz w:val="20"/>
        </w:rPr>
        <w:t>Eligibility for Australian Government Incentives – Information for Employers</w:t>
      </w:r>
    </w:p>
    <w:p>
      <w:pPr>
        <w:pStyle w:val="yMiscellaneousBody"/>
        <w:spacing w:before="40"/>
        <w:ind w:left="284"/>
        <w:rPr>
          <w:rFonts w:ascii="Arial" w:hAnsi="Arial" w:cs="Arial"/>
          <w:sz w:val="18"/>
        </w:rPr>
      </w:pPr>
      <w:r>
        <w:rPr>
          <w:rFonts w:ascii="Arial" w:hAnsi="Arial" w:cs="Arial"/>
          <w:sz w:val="18"/>
        </w:rPr>
        <w:t>This Training Contract has been designed to assess your eligibility for Australian Government Australian Apprenticeships Incentives.</w:t>
      </w:r>
    </w:p>
    <w:p>
      <w:pPr>
        <w:pStyle w:val="yMiscellaneousBody"/>
        <w:spacing w:before="40"/>
        <w:ind w:left="284"/>
        <w:rPr>
          <w:rFonts w:ascii="Arial" w:hAnsi="Arial" w:cs="Arial"/>
          <w:sz w:val="18"/>
        </w:rPr>
      </w:pPr>
      <w:r>
        <w:rPr>
          <w:rFonts w:ascii="Arial" w:hAnsi="Arial" w:cs="Arial"/>
          <w:sz w:val="18"/>
        </w:rPr>
        <w:t>These Incentives can include Commencement, Recommencement, Completion and other special incentives.</w:t>
      </w:r>
    </w:p>
    <w:p>
      <w:pPr>
        <w:pStyle w:val="yMiscellaneousBody"/>
        <w:spacing w:before="40"/>
        <w:ind w:left="284"/>
        <w:rPr>
          <w:rFonts w:ascii="Arial" w:hAnsi="Arial" w:cs="Arial"/>
          <w:sz w:val="18"/>
        </w:rPr>
      </w:pPr>
      <w:r>
        <w:rPr>
          <w:rFonts w:ascii="Arial" w:hAnsi="Arial" w:cs="Arial"/>
          <w:sz w:val="18"/>
        </w:rPr>
        <w:t>Eligibility is assessed on a number of criteria, including but not limited to:</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date the Australian Apprentice commences or recommences with an employer;</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employment status of the Australian Apprentice at the date the incentive falls due;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location of the workplace;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accredited training programme is in 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type of employment relationship; and</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formal approval by the State or Territory Training Authority.</w:t>
      </w:r>
    </w:p>
    <w:p>
      <w:pPr>
        <w:pStyle w:val="yMiscellaneousBody"/>
        <w:spacing w:before="40"/>
        <w:ind w:left="284"/>
        <w:rPr>
          <w:rFonts w:ascii="Arial" w:hAnsi="Arial" w:cs="Arial"/>
          <w:sz w:val="18"/>
        </w:rPr>
      </w:pPr>
      <w:r>
        <w:rPr>
          <w:rFonts w:ascii="Arial" w:hAnsi="Arial" w:cs="Arial"/>
          <w:sz w:val="18"/>
        </w:rPr>
        <w:t>If you are eligible for Australian Government Incentives, you will need to complete a separate Claim Form available from your Australian Apprenticeships Centre in order to be paid. This Claim Form should be lodged following:</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approval of the Training Contract;</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after the apprentice/trainee has commenced training according to the approved Training Plan; and</w:t>
      </w:r>
    </w:p>
    <w:p>
      <w:pPr>
        <w:pStyle w:val="yMiscellaneousBody"/>
        <w:spacing w:before="0"/>
        <w:ind w:left="709" w:hanging="425"/>
        <w:rPr>
          <w:sz w:val="18"/>
        </w:rPr>
      </w:pPr>
      <w:r>
        <w:rPr>
          <w:rFonts w:ascii="Arial" w:hAnsi="Arial" w:cs="Arial"/>
          <w:sz w:val="18"/>
        </w:rPr>
        <w:t>•</w:t>
      </w:r>
      <w:r>
        <w:rPr>
          <w:rFonts w:ascii="Arial" w:hAnsi="Arial" w:cs="Arial"/>
          <w:sz w:val="18"/>
        </w:rPr>
        <w:tab/>
        <w:t>after the Australian Government three-month waiting period has expired and the apprentice/trainee is still employed by your business and any State/Territory probation period has been completed.</w:t>
      </w:r>
    </w:p>
    <w:p>
      <w:pPr>
        <w:pStyle w:val="yMiscellaneousBody"/>
        <w:keepNext/>
        <w:spacing w:before="40"/>
        <w:rPr>
          <w:rFonts w:ascii="Arial" w:hAnsi="Arial" w:cs="Arial"/>
          <w:b/>
          <w:bCs/>
          <w:sz w:val="20"/>
        </w:rPr>
      </w:pPr>
      <w:r>
        <w:rPr>
          <w:rFonts w:ascii="Arial" w:hAnsi="Arial" w:cs="Arial"/>
          <w:b/>
          <w:bCs/>
          <w:sz w:val="20"/>
        </w:rPr>
        <w:t>Taxation</w:t>
      </w:r>
    </w:p>
    <w:p>
      <w:pPr>
        <w:pStyle w:val="yMiscellaneousBody"/>
        <w:spacing w:before="40"/>
        <w:ind w:left="284"/>
        <w:rPr>
          <w:rFonts w:ascii="Arial" w:hAnsi="Arial" w:cs="Arial"/>
          <w:sz w:val="18"/>
        </w:rPr>
      </w:pPr>
      <w:r>
        <w:rPr>
          <w:rFonts w:ascii="Arial" w:hAnsi="Arial" w:cs="Arial"/>
          <w:sz w:val="18"/>
        </w:rPr>
        <w:t>If you are eligible for Australian Government Incentives you should be aware that if you do not provide your ABN when lodging a Claim Form, the Department of Education, Employment and Workplace Relations will be obliged to withhold 46.5% of the incentive payment and remit it to the Australian Taxation Office.</w:t>
      </w:r>
    </w:p>
    <w:p>
      <w:pPr>
        <w:pStyle w:val="yMiscellaneousBody"/>
        <w:spacing w:before="40"/>
        <w:ind w:left="284"/>
        <w:rPr>
          <w:sz w:val="20"/>
        </w:rPr>
      </w:pPr>
      <w:r>
        <w:rPr>
          <w:rFonts w:ascii="Arial" w:hAnsi="Arial" w:cs="Arial"/>
          <w:sz w:val="18"/>
        </w:rPr>
        <w:t>You should seek independent advice regarding your taxation position.</w:t>
      </w:r>
    </w:p>
    <w:p>
      <w:pPr>
        <w:pStyle w:val="yMiscellaneousBody"/>
        <w:keepNext/>
        <w:spacing w:before="40"/>
        <w:rPr>
          <w:rFonts w:ascii="Arial" w:hAnsi="Arial" w:cs="Arial"/>
          <w:b/>
          <w:bCs/>
          <w:sz w:val="20"/>
        </w:rPr>
      </w:pPr>
      <w:r>
        <w:rPr>
          <w:rFonts w:ascii="Arial" w:hAnsi="Arial" w:cs="Arial"/>
          <w:b/>
          <w:bCs/>
          <w:sz w:val="20"/>
        </w:rPr>
        <w:t>Other Australian Government Assistance</w:t>
      </w:r>
    </w:p>
    <w:p>
      <w:pPr>
        <w:pStyle w:val="yMiscellaneousBody"/>
        <w:keepNext/>
        <w:spacing w:before="40"/>
        <w:ind w:left="284"/>
        <w:rPr>
          <w:rFonts w:ascii="Arial" w:hAnsi="Arial" w:cs="Arial"/>
          <w:b/>
          <w:bCs/>
          <w:sz w:val="18"/>
        </w:rPr>
      </w:pPr>
      <w:r>
        <w:rPr>
          <w:rFonts w:ascii="Arial" w:hAnsi="Arial" w:cs="Arial"/>
          <w:b/>
          <w:bCs/>
          <w:sz w:val="18"/>
        </w:rPr>
        <w:t>Assistance for Apprentices/Trainees with a Disability</w:t>
      </w:r>
    </w:p>
    <w:p>
      <w:pPr>
        <w:pStyle w:val="yMiscellaneousBody"/>
        <w:spacing w:before="40"/>
        <w:ind w:left="284"/>
        <w:rPr>
          <w:rFonts w:ascii="Arial" w:hAnsi="Arial" w:cs="Arial"/>
          <w:sz w:val="18"/>
        </w:rPr>
      </w:pPr>
      <w:r>
        <w:rPr>
          <w:rFonts w:ascii="Arial" w:hAnsi="Arial" w:cs="Arial"/>
          <w:sz w:val="18"/>
        </w:rPr>
        <w:t>The Australian Government may provide assistance to employers of apprentices/trainees with a disability, including the Disabled Australian Apprenticeships Wage Support programme,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spacing w:before="40"/>
        <w:ind w:left="284"/>
        <w:rPr>
          <w:rFonts w:ascii="Arial" w:hAnsi="Arial" w:cs="Arial"/>
          <w:b/>
          <w:bCs/>
          <w:sz w:val="18"/>
        </w:rPr>
      </w:pPr>
      <w:r>
        <w:rPr>
          <w:rFonts w:ascii="Arial" w:hAnsi="Arial" w:cs="Arial"/>
          <w:b/>
          <w:bCs/>
          <w:sz w:val="18"/>
        </w:rPr>
        <w:t>Living Away from Home Allowance</w:t>
      </w:r>
    </w:p>
    <w:p>
      <w:pPr>
        <w:pStyle w:val="yMiscellaneousBody"/>
        <w:spacing w:before="40"/>
        <w:ind w:left="284"/>
        <w:rPr>
          <w:rFonts w:ascii="Arial" w:hAnsi="Arial" w:cs="Arial"/>
          <w:sz w:val="18"/>
        </w:rPr>
      </w:pPr>
      <w:r>
        <w:rPr>
          <w:rFonts w:ascii="Arial" w:hAnsi="Arial" w:cs="Arial"/>
          <w:sz w:val="18"/>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spacing w:before="240"/>
        <w:rPr>
          <w:rFonts w:ascii="Arial" w:hAnsi="Arial" w:cs="Arial"/>
          <w:b/>
          <w:bCs/>
        </w:rPr>
      </w:pPr>
      <w:r>
        <w:rPr>
          <w:rFonts w:ascii="Arial" w:hAnsi="Arial" w:cs="Arial"/>
          <w:b/>
          <w:bCs/>
        </w:rPr>
        <w:t>Information You Need to Know</w:t>
      </w:r>
    </w:p>
    <w:p>
      <w:pPr>
        <w:pStyle w:val="yMiscellaneousBody"/>
        <w:spacing w:before="40"/>
        <w:rPr>
          <w:rFonts w:ascii="Arial" w:hAnsi="Arial" w:cs="Arial"/>
          <w:b/>
          <w:bCs/>
          <w:sz w:val="20"/>
        </w:rPr>
      </w:pPr>
      <w:r>
        <w:rPr>
          <w:rFonts w:ascii="Arial" w:hAnsi="Arial" w:cs="Arial"/>
          <w:b/>
          <w:bCs/>
          <w:sz w:val="20"/>
        </w:rPr>
        <w:t>National Code of Good Practice for Australian Apprenticeships</w:t>
      </w:r>
    </w:p>
    <w:p>
      <w:pPr>
        <w:pStyle w:val="yMiscellaneousBody"/>
        <w:spacing w:before="40"/>
        <w:rPr>
          <w:rFonts w:ascii="Arial" w:hAnsi="Arial" w:cs="Arial"/>
          <w:sz w:val="18"/>
        </w:rPr>
      </w:pPr>
      <w:r>
        <w:rPr>
          <w:rFonts w:ascii="Arial" w:hAnsi="Arial" w:cs="Arial"/>
          <w:sz w:val="18"/>
        </w:rPr>
        <w:t>This code explains the rights and responsibilities of the people who sign this contract. Free copies of the code are available from your Australian Apprenticeships Centre.</w:t>
      </w:r>
    </w:p>
    <w:p>
      <w:pPr>
        <w:pStyle w:val="yMiscellaneousBody"/>
        <w:spacing w:before="40"/>
        <w:rPr>
          <w:rFonts w:ascii="Arial" w:hAnsi="Arial" w:cs="Arial"/>
          <w:b/>
          <w:bCs/>
          <w:sz w:val="20"/>
        </w:rPr>
      </w:pPr>
      <w:r>
        <w:rPr>
          <w:rFonts w:ascii="Arial" w:hAnsi="Arial" w:cs="Arial"/>
          <w:b/>
          <w:bCs/>
          <w:sz w:val="20"/>
        </w:rPr>
        <w:t>Making choices</w:t>
      </w:r>
    </w:p>
    <w:p>
      <w:pPr>
        <w:pStyle w:val="yMiscellaneousBody"/>
        <w:spacing w:before="40"/>
        <w:ind w:left="284" w:hanging="284"/>
        <w:rPr>
          <w:rFonts w:ascii="Arial" w:hAnsi="Arial" w:cs="Arial"/>
          <w:b/>
          <w:bCs/>
          <w:sz w:val="18"/>
        </w:rPr>
      </w:pPr>
      <w:r>
        <w:rPr>
          <w:rFonts w:ascii="Arial" w:hAnsi="Arial" w:cs="Arial"/>
          <w:b/>
          <w:bCs/>
          <w:sz w:val="18"/>
        </w:rPr>
        <w:t>a.</w:t>
      </w:r>
      <w:r>
        <w:rPr>
          <w:rFonts w:ascii="Arial" w:hAnsi="Arial" w:cs="Arial"/>
          <w:b/>
          <w:bCs/>
          <w:sz w:val="18"/>
        </w:rPr>
        <w:tab/>
        <w:t>Choosing a Registered Training Organisation (RTO)</w:t>
      </w:r>
    </w:p>
    <w:p>
      <w:pPr>
        <w:pStyle w:val="yMiscellaneousBody"/>
        <w:spacing w:before="40"/>
        <w:ind w:left="284"/>
        <w:rPr>
          <w:rFonts w:ascii="Arial" w:hAnsi="Arial" w:cs="Arial"/>
          <w:sz w:val="18"/>
        </w:rPr>
      </w:pPr>
      <w:r>
        <w:rPr>
          <w:rFonts w:ascii="Arial" w:hAnsi="Arial" w:cs="Arial"/>
          <w:sz w:val="18"/>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rPr>
        <w:t>Contacts for Further Information and Assistance</w:t>
      </w:r>
      <w:r>
        <w:rPr>
          <w:rFonts w:ascii="Arial" w:hAnsi="Arial" w:cs="Arial"/>
          <w:sz w:val="18"/>
        </w:rPr>
        <w:t xml:space="preserve"> section of this document for contacts.)</w:t>
      </w:r>
    </w:p>
    <w:p>
      <w:pPr>
        <w:pStyle w:val="yMiscellaneousBody"/>
        <w:spacing w:before="40"/>
        <w:ind w:left="284"/>
        <w:rPr>
          <w:rFonts w:ascii="Arial" w:hAnsi="Arial" w:cs="Arial"/>
          <w:sz w:val="18"/>
        </w:rPr>
      </w:pPr>
      <w:r>
        <w:rPr>
          <w:rFonts w:ascii="Arial" w:hAnsi="Arial" w:cs="Arial"/>
          <w:sz w:val="18"/>
        </w:rPr>
        <w:t>The employer and apprentice/trainee have a right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ask RTOs for accurate and timely information about training options they can offer you</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identify and select the training outcomes from nationally endorsed Training Packages or accredited courses that are available in your State/Territory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negotiate a Training Plan with the RTO according to the relevant State/Territory Training Authority.</w:t>
      </w:r>
    </w:p>
    <w:p>
      <w:pPr>
        <w:pStyle w:val="yMiscellaneousBody"/>
        <w:spacing w:before="40"/>
        <w:ind w:left="284" w:hanging="284"/>
        <w:rPr>
          <w:rFonts w:ascii="Arial" w:hAnsi="Arial" w:cs="Arial"/>
          <w:b/>
          <w:bCs/>
          <w:sz w:val="18"/>
        </w:rPr>
      </w:pPr>
      <w:r>
        <w:rPr>
          <w:rFonts w:ascii="Arial" w:hAnsi="Arial" w:cs="Arial"/>
          <w:b/>
          <w:bCs/>
          <w:sz w:val="18"/>
        </w:rPr>
        <w:t>b.</w:t>
      </w:r>
      <w:r>
        <w:rPr>
          <w:rFonts w:ascii="Arial" w:hAnsi="Arial" w:cs="Arial"/>
          <w:b/>
          <w:bCs/>
          <w:sz w:val="18"/>
        </w:rPr>
        <w:tab/>
        <w:t>Training Plans</w:t>
      </w:r>
    </w:p>
    <w:p>
      <w:pPr>
        <w:pStyle w:val="yMiscellaneousBody"/>
        <w:spacing w:before="40"/>
        <w:ind w:left="284"/>
        <w:rPr>
          <w:rFonts w:ascii="Arial" w:hAnsi="Arial" w:cs="Arial"/>
          <w:sz w:val="18"/>
        </w:rPr>
      </w:pPr>
      <w:r>
        <w:rPr>
          <w:rFonts w:ascii="Arial" w:hAnsi="Arial" w:cs="Arial"/>
          <w:sz w:val="18"/>
        </w:rPr>
        <w:t>A Training Plan sets out the training that an apprentice/trainee will do both on-the-job and off-the-job. It also sets out how the RTO will ensure the apprentice/trainee will receive quality training - both on-the-job and off-the-job.</w:t>
      </w:r>
    </w:p>
    <w:p>
      <w:pPr>
        <w:pStyle w:val="yMiscellaneousBody"/>
        <w:spacing w:before="40"/>
        <w:ind w:left="284"/>
        <w:rPr>
          <w:rFonts w:ascii="Arial" w:hAnsi="Arial" w:cs="Arial"/>
          <w:sz w:val="18"/>
        </w:rPr>
      </w:pPr>
      <w:r>
        <w:rPr>
          <w:rFonts w:ascii="Arial" w:hAnsi="Arial" w:cs="Arial"/>
          <w:sz w:val="18"/>
        </w:rPr>
        <w:t>It’s important that the employer and the apprentice/trainee know how the Plan will work and are well-informed about it.</w:t>
      </w:r>
    </w:p>
    <w:p>
      <w:pPr>
        <w:pStyle w:val="yMiscellaneousBody"/>
        <w:spacing w:before="40"/>
        <w:ind w:left="284"/>
        <w:rPr>
          <w:rFonts w:ascii="Arial" w:hAnsi="Arial" w:cs="Arial"/>
          <w:sz w:val="18"/>
        </w:rPr>
      </w:pPr>
      <w:r>
        <w:rPr>
          <w:rFonts w:ascii="Arial" w:hAnsi="Arial" w:cs="Arial"/>
          <w:sz w:val="18"/>
        </w:rPr>
        <w:t>Training Plans reflect the choices made in relation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RTO that will provide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competency standards will be covered and in what order</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when, where and how training is provided</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trainer/facilitator provides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who assesses the apprentice/trainee</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how the training is evaluated.</w:t>
      </w:r>
    </w:p>
    <w:p>
      <w:pPr>
        <w:pStyle w:val="yMiscellaneousBody"/>
        <w:spacing w:before="40"/>
        <w:rPr>
          <w:rFonts w:ascii="Arial" w:hAnsi="Arial" w:cs="Arial"/>
          <w:b/>
          <w:bCs/>
          <w:sz w:val="20"/>
        </w:rPr>
      </w:pPr>
      <w:r>
        <w:rPr>
          <w:rFonts w:ascii="Arial" w:hAnsi="Arial" w:cs="Arial"/>
          <w:b/>
          <w:bCs/>
          <w:sz w:val="20"/>
        </w:rPr>
        <w:t>Qualifications and records</w:t>
      </w:r>
    </w:p>
    <w:p>
      <w:pPr>
        <w:pStyle w:val="yMiscellaneousBody"/>
        <w:spacing w:before="40"/>
        <w:ind w:left="284"/>
        <w:rPr>
          <w:rFonts w:ascii="Arial" w:hAnsi="Arial" w:cs="Arial"/>
          <w:sz w:val="18"/>
        </w:rPr>
      </w:pPr>
      <w:r>
        <w:rPr>
          <w:rFonts w:ascii="Arial" w:hAnsi="Arial" w:cs="Arial"/>
          <w:sz w:val="18"/>
        </w:rPr>
        <w:t>Once the Training Contract is completed, the RTO must issue the qualification specified in the Training Contract. If the apprentice/trainee only completes some of the competency standards in the Training Plan, the RTO must issue a Statement of Attainment. The RTO will keep the relevant records.</w:t>
      </w:r>
    </w:p>
    <w:p>
      <w:pPr>
        <w:pStyle w:val="yMiscellaneousBody"/>
        <w:spacing w:before="40"/>
        <w:rPr>
          <w:rFonts w:ascii="Arial" w:hAnsi="Arial" w:cs="Arial"/>
          <w:b/>
          <w:bCs/>
          <w:sz w:val="20"/>
        </w:rPr>
      </w:pPr>
      <w:r>
        <w:rPr>
          <w:rFonts w:ascii="Arial" w:hAnsi="Arial" w:cs="Arial"/>
          <w:b/>
          <w:bCs/>
          <w:sz w:val="20"/>
        </w:rPr>
        <w:t>Allowances and Incentives</w:t>
      </w:r>
    </w:p>
    <w:p>
      <w:pPr>
        <w:pStyle w:val="yMiscellaneousBody"/>
        <w:spacing w:before="40"/>
        <w:ind w:left="284"/>
        <w:rPr>
          <w:rFonts w:ascii="Arial" w:hAnsi="Arial" w:cs="Arial"/>
          <w:sz w:val="18"/>
        </w:rPr>
      </w:pPr>
      <w:r>
        <w:rPr>
          <w:rFonts w:ascii="Arial" w:hAnsi="Arial" w:cs="Arial"/>
          <w:sz w:val="18"/>
        </w:rPr>
        <w:t xml:space="preserve">A range of Australian Government and State/Territory incentives and subsidies may be available from time to time. For more information, see the </w:t>
      </w:r>
      <w:r>
        <w:rPr>
          <w:rFonts w:ascii="Arial" w:hAnsi="Arial" w:cs="Arial"/>
          <w:b/>
          <w:bCs/>
          <w:sz w:val="18"/>
        </w:rPr>
        <w:t xml:space="preserve">Information on Australian Government Australian Apprenticeships Incentives </w:t>
      </w:r>
      <w:r>
        <w:rPr>
          <w:rFonts w:ascii="Arial" w:hAnsi="Arial" w:cs="Arial"/>
          <w:sz w:val="18"/>
        </w:rPr>
        <w:t>section of this document.</w:t>
      </w:r>
    </w:p>
    <w:p>
      <w:pPr>
        <w:pStyle w:val="yMiscellaneousBody"/>
        <w:spacing w:before="40"/>
        <w:ind w:left="284"/>
        <w:rPr>
          <w:rFonts w:ascii="Arial" w:hAnsi="Arial" w:cs="Arial"/>
          <w:sz w:val="18"/>
        </w:rPr>
      </w:pPr>
      <w:r>
        <w:rPr>
          <w:rFonts w:ascii="Arial" w:hAnsi="Arial" w:cs="Arial"/>
          <w:sz w:val="18"/>
        </w:rPr>
        <w:t>State/Territory government allowances may also be available where the apprentice/trainee has to travel away from home to attend training.</w:t>
      </w:r>
    </w:p>
    <w:p>
      <w:pPr>
        <w:pStyle w:val="yMiscellaneousBody"/>
        <w:spacing w:before="40"/>
        <w:ind w:left="284"/>
        <w:rPr>
          <w:rFonts w:ascii="Arial" w:hAnsi="Arial" w:cs="Arial"/>
          <w:sz w:val="18"/>
        </w:rPr>
      </w:pPr>
      <w:r>
        <w:rPr>
          <w:rFonts w:ascii="Arial" w:hAnsi="Arial" w:cs="Arial"/>
          <w:sz w:val="18"/>
        </w:rPr>
        <w:t>Check with an Australian Apprenticeships Centre in your region.</w:t>
      </w:r>
    </w:p>
    <w:p>
      <w:pPr>
        <w:pStyle w:val="yMiscellaneousBody"/>
        <w:spacing w:before="40"/>
        <w:ind w:left="284"/>
        <w:rPr>
          <w:rFonts w:ascii="Arial" w:hAnsi="Arial" w:cs="Arial"/>
          <w:sz w:val="18"/>
        </w:rPr>
      </w:pPr>
      <w:r>
        <w:rPr>
          <w:rFonts w:ascii="Arial" w:hAnsi="Arial" w:cs="Arial"/>
          <w:sz w:val="18"/>
        </w:rPr>
        <w:t>Existing workers who become apprentices/trainees may not attract Australian Government or State/Territory subsidies and incentives.</w:t>
      </w:r>
    </w:p>
    <w:p>
      <w:pPr>
        <w:pStyle w:val="yMiscellaneousBody"/>
        <w:spacing w:before="240"/>
        <w:rPr>
          <w:rFonts w:ascii="Arial" w:hAnsi="Arial" w:cs="Arial"/>
          <w:b/>
          <w:bCs/>
        </w:rPr>
      </w:pPr>
      <w:r>
        <w:rPr>
          <w:rFonts w:ascii="Arial" w:hAnsi="Arial" w:cs="Arial"/>
          <w:b/>
          <w:bCs/>
        </w:rPr>
        <w:t>Information to Help Complete the Training Contract</w:t>
      </w:r>
    </w:p>
    <w:p>
      <w:pPr>
        <w:pStyle w:val="yMiscellaneousBody"/>
        <w:spacing w:before="40"/>
        <w:rPr>
          <w:rFonts w:ascii="Arial" w:hAnsi="Arial" w:cs="Arial"/>
          <w:sz w:val="18"/>
        </w:rPr>
      </w:pPr>
      <w:r>
        <w:rPr>
          <w:rFonts w:ascii="Arial" w:hAnsi="Arial" w:cs="Arial"/>
          <w:b/>
          <w:bCs/>
          <w:sz w:val="18"/>
        </w:rPr>
        <w:t>Questions marked (*) 14, 15, 16, 17 and 22 are optional questions</w:t>
      </w:r>
    </w:p>
    <w:p>
      <w:pPr>
        <w:pStyle w:val="yMiscellaneousBody"/>
        <w:spacing w:before="40"/>
        <w:ind w:left="284"/>
        <w:rPr>
          <w:rFonts w:ascii="Arial" w:hAnsi="Arial" w:cs="Arial"/>
          <w:sz w:val="18"/>
        </w:rPr>
      </w:pPr>
      <w:r>
        <w:rPr>
          <w:rFonts w:ascii="Arial" w:hAnsi="Arial" w:cs="Arial"/>
          <w:sz w:val="18"/>
        </w:rPr>
        <w:t>You are not required to complete these questions, however, if you answer question 22 it may assist in processing your claim for incentives.</w:t>
      </w:r>
    </w:p>
    <w:p>
      <w:pPr>
        <w:pStyle w:val="yMiscellaneousBody"/>
        <w:spacing w:before="40"/>
        <w:rPr>
          <w:rFonts w:ascii="Arial" w:hAnsi="Arial" w:cs="Arial"/>
          <w:sz w:val="18"/>
        </w:rPr>
      </w:pPr>
      <w:r>
        <w:rPr>
          <w:rFonts w:ascii="Arial" w:hAnsi="Arial" w:cs="Arial"/>
          <w:b/>
          <w:bCs/>
          <w:sz w:val="18"/>
        </w:rPr>
        <w:t>Questions 1, 2, 21 and 25 – Title, Level and Code of Qualification</w:t>
      </w:r>
    </w:p>
    <w:p>
      <w:pPr>
        <w:pStyle w:val="yMiscellaneousBody"/>
        <w:spacing w:before="40"/>
        <w:ind w:left="284"/>
        <w:rPr>
          <w:rFonts w:ascii="Arial" w:hAnsi="Arial" w:cs="Arial"/>
          <w:sz w:val="18"/>
        </w:rPr>
      </w:pPr>
      <w:r>
        <w:rPr>
          <w:rFonts w:ascii="Arial" w:hAnsi="Arial" w:cs="Arial"/>
          <w:sz w:val="18"/>
        </w:rPr>
        <w:t>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National Training Information Service website (www.ntis.gov.au). Your Australian Apprenticeships Centre or RTO can also provide this information.</w:t>
      </w:r>
    </w:p>
    <w:p>
      <w:pPr>
        <w:pStyle w:val="yMiscellaneousBody"/>
        <w:spacing w:before="40"/>
        <w:rPr>
          <w:rFonts w:ascii="Arial" w:hAnsi="Arial" w:cs="Arial"/>
          <w:sz w:val="18"/>
        </w:rPr>
      </w:pPr>
      <w:r>
        <w:rPr>
          <w:rFonts w:ascii="Arial" w:hAnsi="Arial" w:cs="Arial"/>
          <w:b/>
          <w:bCs/>
          <w:sz w:val="18"/>
        </w:rPr>
        <w:t>Question 7 – Existing Worker</w:t>
      </w:r>
    </w:p>
    <w:p>
      <w:pPr>
        <w:pStyle w:val="yMiscellaneousBody"/>
        <w:spacing w:before="40"/>
        <w:ind w:left="284"/>
        <w:rPr>
          <w:rFonts w:ascii="Arial" w:hAnsi="Arial" w:cs="Arial"/>
          <w:sz w:val="18"/>
        </w:rPr>
      </w:pPr>
      <w:r>
        <w:rPr>
          <w:rFonts w:ascii="Arial" w:hAnsi="Arial" w:cs="Arial"/>
          <w:sz w:val="18"/>
        </w:rPr>
        <w:t>An existing worker is defined as a person who has been employed by the applicant employer continuously for more than 3 months full-time or 12 months casual or part</w:t>
      </w:r>
      <w:r>
        <w:rPr>
          <w:rFonts w:ascii="Arial" w:hAnsi="Arial" w:cs="Arial"/>
          <w:sz w:val="18"/>
        </w:rPr>
        <w:noBreakHyphen/>
        <w:t>time or a combination of both, immediately prior to the commencement date of the Training Contract as shown in question 3.</w:t>
      </w:r>
    </w:p>
    <w:p>
      <w:pPr>
        <w:pStyle w:val="yMiscellaneousBody"/>
        <w:spacing w:before="40"/>
        <w:ind w:left="284"/>
        <w:rPr>
          <w:rFonts w:ascii="Arial" w:hAnsi="Arial" w:cs="Arial"/>
          <w:sz w:val="18"/>
        </w:rPr>
      </w:pPr>
      <w:r>
        <w:rPr>
          <w:rFonts w:ascii="Arial" w:hAnsi="Arial" w:cs="Arial"/>
          <w:sz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keepNext/>
        <w:spacing w:before="40"/>
        <w:rPr>
          <w:rFonts w:ascii="Arial" w:hAnsi="Arial" w:cs="Arial"/>
          <w:sz w:val="18"/>
        </w:rPr>
      </w:pPr>
      <w:r>
        <w:rPr>
          <w:rFonts w:ascii="Arial" w:hAnsi="Arial" w:cs="Arial"/>
          <w:b/>
          <w:bCs/>
          <w:sz w:val="18"/>
        </w:rPr>
        <w:t xml:space="preserve">Question 13 – </w:t>
      </w:r>
      <w:smartTag w:uri="urn:schemas-microsoft-com:office:smarttags" w:element="place">
        <w:smartTag w:uri="urn:schemas-microsoft-com:office:smarttags" w:element="country-region">
          <w:r>
            <w:rPr>
              <w:rFonts w:ascii="Arial" w:hAnsi="Arial" w:cs="Arial"/>
              <w:b/>
              <w:bCs/>
              <w:sz w:val="18"/>
            </w:rPr>
            <w:t>New Zealand</w:t>
          </w:r>
        </w:smartTag>
      </w:smartTag>
      <w:r>
        <w:rPr>
          <w:rFonts w:ascii="Arial" w:hAnsi="Arial" w:cs="Arial"/>
          <w:b/>
          <w:bCs/>
          <w:sz w:val="18"/>
        </w:rPr>
        <w:t xml:space="preserve"> Passport Holders</w:t>
      </w:r>
    </w:p>
    <w:p>
      <w:pPr>
        <w:pStyle w:val="yMiscellaneousBody"/>
        <w:spacing w:before="40"/>
        <w:ind w:left="284"/>
        <w:rPr>
          <w:rFonts w:ascii="Arial" w:hAnsi="Arial" w:cs="Arial"/>
          <w:sz w:val="18"/>
        </w:rPr>
      </w:pPr>
      <w:r>
        <w:rPr>
          <w:rFonts w:ascii="Arial" w:hAnsi="Arial" w:cs="Arial"/>
          <w:sz w:val="18"/>
        </w:rPr>
        <w:t xml:space="preserve">Australian Government incentives are only available to </w:t>
      </w:r>
      <w:smartTag w:uri="urn:schemas-microsoft-com:office:smarttags" w:element="country-region">
        <w:r>
          <w:rPr>
            <w:rFonts w:ascii="Arial" w:hAnsi="Arial" w:cs="Arial"/>
            <w:sz w:val="18"/>
          </w:rPr>
          <w:t>New Zealand</w:t>
        </w:r>
      </w:smartTag>
      <w:r>
        <w:rPr>
          <w:rFonts w:ascii="Arial" w:hAnsi="Arial" w:cs="Arial"/>
          <w:sz w:val="18"/>
        </w:rPr>
        <w:t xml:space="preserve"> passport holders if the applicant has been resident in </w:t>
      </w:r>
      <w:smartTag w:uri="urn:schemas-microsoft-com:office:smarttags" w:element="place">
        <w:smartTag w:uri="urn:schemas-microsoft-com:office:smarttags" w:element="country-region">
          <w:r>
            <w:rPr>
              <w:rFonts w:ascii="Arial" w:hAnsi="Arial" w:cs="Arial"/>
              <w:sz w:val="18"/>
            </w:rPr>
            <w:t>Australia</w:t>
          </w:r>
        </w:smartTag>
      </w:smartTag>
      <w:r>
        <w:rPr>
          <w:rFonts w:ascii="Arial" w:hAnsi="Arial" w:cs="Arial"/>
          <w:sz w:val="18"/>
        </w:rPr>
        <w:t xml:space="preserve"> for 6 months or more. However, a Training Contract with the </w:t>
      </w:r>
      <w:smartTag w:uri="urn:schemas-microsoft-com:office:smarttags" w:element="place">
        <w:smartTag w:uri="urn:schemas-microsoft-com:office:smarttags" w:element="country-region">
          <w:r>
            <w:rPr>
              <w:rFonts w:ascii="Arial" w:hAnsi="Arial" w:cs="Arial"/>
              <w:sz w:val="18"/>
            </w:rPr>
            <w:t>New Zealand</w:t>
          </w:r>
        </w:smartTag>
      </w:smartTag>
      <w:r>
        <w:rPr>
          <w:rFonts w:ascii="Arial" w:hAnsi="Arial" w:cs="Arial"/>
          <w:sz w:val="18"/>
        </w:rPr>
        <w:t xml:space="preserve"> passport holder could still be registered. Contact your Australian Apprenticeships Centre or State/Territory Training Authority for more information.</w:t>
      </w:r>
    </w:p>
    <w:p>
      <w:pPr>
        <w:pStyle w:val="yMiscellaneousBody"/>
        <w:keepNext/>
        <w:spacing w:before="40"/>
        <w:rPr>
          <w:rFonts w:ascii="Arial" w:hAnsi="Arial" w:cs="Arial"/>
          <w:sz w:val="18"/>
        </w:rPr>
      </w:pPr>
      <w:r>
        <w:rPr>
          <w:rFonts w:ascii="Arial" w:hAnsi="Arial" w:cs="Arial"/>
          <w:b/>
          <w:bCs/>
          <w:sz w:val="18"/>
        </w:rPr>
        <w:t>Question 19 – Australian School-based Apprenticeship</w:t>
      </w:r>
    </w:p>
    <w:p>
      <w:pPr>
        <w:pStyle w:val="yMiscellaneousBody"/>
        <w:spacing w:before="40"/>
        <w:ind w:left="284"/>
        <w:rPr>
          <w:rFonts w:ascii="Arial" w:hAnsi="Arial" w:cs="Arial"/>
          <w:sz w:val="18"/>
        </w:rPr>
      </w:pPr>
      <w:r>
        <w:rPr>
          <w:rFonts w:ascii="Arial" w:hAnsi="Arial" w:cs="Arial"/>
          <w:sz w:val="18"/>
        </w:rPr>
        <w:t>Australian Apprenticeship training undertaken by a student will be an Australian School-based Apprenticeship when all of the following apply: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student is enrolled in a senior secondary certificate under the relevant Education 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school or education provider at which the student is enrolled acknowledges and endorses the Training Plan/Outline required by the Apprenticeship/Traineeship Training Contract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Australian School-based Apprenticeship is recognised on the senior secondary certificate.</w:t>
      </w:r>
    </w:p>
    <w:p>
      <w:pPr>
        <w:pStyle w:val="yMiscellaneousBody"/>
        <w:spacing w:before="0"/>
        <w:ind w:left="284"/>
        <w:rPr>
          <w:rFonts w:ascii="Arial" w:hAnsi="Arial" w:cs="Arial"/>
          <w:sz w:val="18"/>
        </w:rPr>
      </w:pPr>
      <w:r>
        <w:rPr>
          <w:rFonts w:ascii="Arial" w:hAnsi="Arial" w:cs="Arial"/>
          <w:sz w:val="18"/>
        </w:rPr>
        <w:t>(Note: The term Australian Apprenticeships relates to apprenticeships and traineeships)</w:t>
      </w:r>
    </w:p>
    <w:p>
      <w:pPr>
        <w:pStyle w:val="yMiscellaneousBody"/>
        <w:spacing w:before="40"/>
        <w:rPr>
          <w:rFonts w:ascii="Arial" w:hAnsi="Arial" w:cs="Arial"/>
          <w:sz w:val="18"/>
        </w:rPr>
      </w:pPr>
      <w:r>
        <w:rPr>
          <w:rFonts w:ascii="Arial" w:hAnsi="Arial" w:cs="Arial"/>
          <w:b/>
          <w:bCs/>
          <w:sz w:val="18"/>
        </w:rPr>
        <w:t>Question 24 – Credit</w:t>
      </w:r>
    </w:p>
    <w:p>
      <w:pPr>
        <w:pStyle w:val="yMiscellaneousBody"/>
        <w:spacing w:before="40"/>
        <w:ind w:left="284"/>
        <w:rPr>
          <w:rFonts w:ascii="Arial" w:hAnsi="Arial" w:cs="Arial"/>
          <w:sz w:val="18"/>
        </w:rPr>
      </w:pPr>
      <w:r>
        <w:rPr>
          <w:rFonts w:ascii="Arial" w:hAnsi="Arial" w:cs="Arial"/>
          <w:sz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spacing w:before="40"/>
        <w:ind w:left="284"/>
        <w:rPr>
          <w:rFonts w:ascii="Arial" w:hAnsi="Arial" w:cs="Arial"/>
          <w:sz w:val="18"/>
        </w:rPr>
      </w:pPr>
      <w:r>
        <w:rPr>
          <w:rFonts w:ascii="Arial" w:hAnsi="Arial" w:cs="Arial"/>
          <w:sz w:val="18"/>
        </w:rPr>
        <w:t>Your RTO should discuss the issue of credit for prior learning with you during the negotiation of the Training Plan associated with this contract of training.</w:t>
      </w:r>
    </w:p>
    <w:p>
      <w:pPr>
        <w:pStyle w:val="yMiscellaneousBody"/>
        <w:spacing w:before="40"/>
        <w:rPr>
          <w:rFonts w:ascii="Arial" w:hAnsi="Arial" w:cs="Arial"/>
          <w:sz w:val="18"/>
        </w:rPr>
      </w:pPr>
      <w:r>
        <w:rPr>
          <w:rFonts w:ascii="Arial" w:hAnsi="Arial" w:cs="Arial"/>
          <w:b/>
          <w:bCs/>
          <w:sz w:val="18"/>
        </w:rPr>
        <w:t>Question 28 – Legal Name of Employer</w:t>
      </w:r>
    </w:p>
    <w:p>
      <w:pPr>
        <w:pStyle w:val="yMiscellaneousBody"/>
        <w:spacing w:before="40"/>
        <w:ind w:left="284"/>
        <w:rPr>
          <w:rFonts w:ascii="Arial" w:hAnsi="Arial" w:cs="Arial"/>
          <w:sz w:val="18"/>
        </w:rPr>
      </w:pPr>
      <w:r>
        <w:rPr>
          <w:rFonts w:ascii="Arial" w:hAnsi="Arial" w:cs="Arial"/>
          <w:sz w:val="18"/>
        </w:rPr>
        <w:t>The employer must provide the name of the employer's legal entity. This will be a person's name, a company name, or the name of an incorporated association, NOT a trading name, business name, or name of a trust.</w:t>
      </w:r>
    </w:p>
    <w:p>
      <w:pPr>
        <w:pStyle w:val="yMiscellaneousBody"/>
        <w:spacing w:before="40"/>
        <w:rPr>
          <w:rFonts w:ascii="Arial" w:hAnsi="Arial" w:cs="Arial"/>
          <w:sz w:val="18"/>
        </w:rPr>
      </w:pPr>
      <w:r>
        <w:rPr>
          <w:rFonts w:ascii="Arial" w:hAnsi="Arial" w:cs="Arial"/>
          <w:b/>
          <w:bCs/>
          <w:sz w:val="18"/>
        </w:rPr>
        <w:t>Questions 34 and 35 – Group Training Organisation</w:t>
      </w:r>
    </w:p>
    <w:p>
      <w:pPr>
        <w:pStyle w:val="yMiscellaneousBody"/>
        <w:spacing w:before="40"/>
        <w:ind w:left="284"/>
        <w:rPr>
          <w:rFonts w:ascii="Arial" w:hAnsi="Arial" w:cs="Arial"/>
          <w:sz w:val="18"/>
        </w:rPr>
      </w:pPr>
      <w:r>
        <w:rPr>
          <w:rFonts w:ascii="Arial" w:hAnsi="Arial" w:cs="Arial"/>
          <w:sz w:val="18"/>
        </w:rPr>
        <w:t>A group training organisation employs apprentices/trainees and places them with host employers. The host employer and the company providing the group training services must be separate legal entities.</w:t>
      </w:r>
    </w:p>
    <w:p>
      <w:pPr>
        <w:pStyle w:val="yMiscellaneousBody"/>
        <w:spacing w:before="40"/>
        <w:rPr>
          <w:rFonts w:ascii="Arial" w:hAnsi="Arial" w:cs="Arial"/>
          <w:sz w:val="18"/>
        </w:rPr>
      </w:pPr>
      <w:r>
        <w:rPr>
          <w:rFonts w:ascii="Arial" w:hAnsi="Arial" w:cs="Arial"/>
          <w:b/>
          <w:bCs/>
          <w:sz w:val="18"/>
        </w:rPr>
        <w:t>Question 39 – Full-time/Part-time Apprentices and Trainees</w:t>
      </w:r>
    </w:p>
    <w:p>
      <w:pPr>
        <w:pStyle w:val="yMiscellaneousBody"/>
        <w:spacing w:before="40"/>
        <w:ind w:left="284"/>
        <w:rPr>
          <w:rFonts w:ascii="Arial" w:hAnsi="Arial" w:cs="Arial"/>
          <w:sz w:val="18"/>
        </w:rPr>
      </w:pPr>
      <w:r>
        <w:rPr>
          <w:rFonts w:ascii="Arial" w:hAnsi="Arial" w:cs="Arial"/>
          <w:sz w:val="18"/>
        </w:rPr>
        <w:t xml:space="preserve">Apprenticeships/traineeships may be undertaken full-time or part-time. A full-time apprentice/trainee is one whose ordinary hours of employment, including the training component, are not less than the usual hours of employment for a full-time employee in that occupation.  For more information contact an Australian Apprenticeships Centre in your region or State/Territory Training Authority. See the </w:t>
      </w:r>
      <w:r>
        <w:rPr>
          <w:rFonts w:ascii="Arial" w:hAnsi="Arial" w:cs="Arial"/>
          <w:b/>
          <w:bCs/>
          <w:sz w:val="18"/>
        </w:rPr>
        <w:t xml:space="preserve">Contacts for Further Information and Assistance </w:t>
      </w:r>
      <w:r>
        <w:rPr>
          <w:rFonts w:ascii="Arial" w:hAnsi="Arial" w:cs="Arial"/>
          <w:sz w:val="18"/>
        </w:rPr>
        <w:t>section for further contact details.</w:t>
      </w:r>
    </w:p>
    <w:p>
      <w:pPr>
        <w:pStyle w:val="yMiscellaneousBody"/>
        <w:spacing w:before="40"/>
        <w:rPr>
          <w:rFonts w:ascii="Arial" w:hAnsi="Arial" w:cs="Arial"/>
          <w:sz w:val="14"/>
        </w:rPr>
      </w:pPr>
      <w:r>
        <w:rPr>
          <w:rFonts w:ascii="Arial" w:hAnsi="Arial" w:cs="Arial"/>
          <w:b/>
          <w:sz w:val="18"/>
        </w:rPr>
        <w:t>Question 41 – Business Relationship</w:t>
      </w:r>
    </w:p>
    <w:p>
      <w:pPr>
        <w:pStyle w:val="yMiscellaneousBody"/>
        <w:spacing w:before="40"/>
        <w:ind w:left="284"/>
        <w:rPr>
          <w:rFonts w:ascii="Arial" w:hAnsi="Arial" w:cs="Arial"/>
          <w:sz w:val="18"/>
        </w:rPr>
      </w:pPr>
      <w:r>
        <w:rPr>
          <w:rFonts w:ascii="Arial" w:hAnsi="Arial" w:cs="Arial"/>
          <w:sz w:val="18"/>
        </w:rPr>
        <w:t>A business relationship includes a pre-existing or current business relationship between the employer and the apprentice/trainee; for example, when the apprentice/ trainee is a partner, a director of the company, a previous director or partner or involved in franchise arrangements.</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293" w:name="_Toc232329342"/>
    </w:p>
    <w:p>
      <w:pPr>
        <w:pStyle w:val="yScheduleHeading"/>
        <w:pageBreakBefore w:val="0"/>
      </w:pPr>
      <w:bookmarkStart w:id="294" w:name="_Toc232395175"/>
      <w:bookmarkStart w:id="295" w:name="_Toc232396160"/>
      <w:bookmarkStart w:id="296" w:name="_Toc307322632"/>
      <w:bookmarkStart w:id="297" w:name="_Toc312913941"/>
      <w:bookmarkStart w:id="298" w:name="_Toc319582920"/>
      <w:bookmarkStart w:id="299" w:name="_Toc333226044"/>
      <w:bookmarkStart w:id="300" w:name="_Toc333226920"/>
      <w:bookmarkStart w:id="301" w:name="_Toc333227074"/>
      <w:r>
        <w:rPr>
          <w:rStyle w:val="CharSchNo"/>
        </w:rPr>
        <w:t>Schedule 2</w:t>
      </w:r>
      <w:r>
        <w:rPr>
          <w:rStyle w:val="CharSDivNo"/>
        </w:rPr>
        <w:t> </w:t>
      </w:r>
      <w:r>
        <w:t>—</w:t>
      </w:r>
      <w:r>
        <w:rPr>
          <w:rStyle w:val="CharSDivText"/>
        </w:rPr>
        <w:t> </w:t>
      </w:r>
      <w:r>
        <w:rPr>
          <w:rStyle w:val="CharSchText"/>
        </w:rPr>
        <w:t>Provisions about old agreements and old training contracts</w:t>
      </w:r>
      <w:bookmarkEnd w:id="293"/>
      <w:bookmarkEnd w:id="294"/>
      <w:bookmarkEnd w:id="295"/>
      <w:bookmarkEnd w:id="296"/>
      <w:bookmarkEnd w:id="297"/>
      <w:bookmarkEnd w:id="298"/>
      <w:bookmarkEnd w:id="299"/>
      <w:bookmarkEnd w:id="300"/>
      <w:bookmarkEnd w:id="301"/>
    </w:p>
    <w:p>
      <w:pPr>
        <w:pStyle w:val="yShoulderClause"/>
      </w:pPr>
      <w:r>
        <w:t>[r. 60]</w:t>
      </w:r>
    </w:p>
    <w:p>
      <w:pPr>
        <w:pStyle w:val="yHeading5"/>
      </w:pPr>
      <w:bookmarkStart w:id="302" w:name="_Toc232329343"/>
      <w:bookmarkStart w:id="303" w:name="_Toc333227075"/>
      <w:r>
        <w:rPr>
          <w:rStyle w:val="CharSClsNo"/>
        </w:rPr>
        <w:t>1</w:t>
      </w:r>
      <w:r>
        <w:t>.</w:t>
      </w:r>
      <w:r>
        <w:tab/>
        <w:t>Terms used</w:t>
      </w:r>
      <w:bookmarkEnd w:id="302"/>
      <w:bookmarkEnd w:id="303"/>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t>, whether or not the contract also specifies the apprentice is being trained for a prescribed VET qualification.</w:t>
      </w:r>
    </w:p>
    <w:p>
      <w:pPr>
        <w:pStyle w:val="yHeading5"/>
      </w:pPr>
      <w:bookmarkStart w:id="304" w:name="_Toc232329344"/>
      <w:bookmarkStart w:id="305" w:name="_Toc333227076"/>
      <w:r>
        <w:rPr>
          <w:rStyle w:val="CharSClsNo"/>
        </w:rPr>
        <w:t>2</w:t>
      </w:r>
      <w:r>
        <w:t>.</w:t>
      </w:r>
      <w:r>
        <w:tab/>
        <w:t>Old agreements to be read with modifications</w:t>
      </w:r>
      <w:bookmarkEnd w:id="304"/>
      <w:bookmarkEnd w:id="305"/>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306" w:name="_Toc232329345"/>
      <w:bookmarkStart w:id="307" w:name="_Toc333227077"/>
      <w:r>
        <w:rPr>
          <w:rStyle w:val="CharSClsNo"/>
        </w:rPr>
        <w:t>3</w:t>
      </w:r>
      <w:r>
        <w:t>.</w:t>
      </w:r>
      <w:r>
        <w:tab/>
        <w:t>Old agreements and contracts not terminated by sale of business</w:t>
      </w:r>
      <w:bookmarkEnd w:id="306"/>
      <w:bookmarkEnd w:id="307"/>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308" w:name="_Toc232329346"/>
      <w:bookmarkStart w:id="309" w:name="_Toc333227078"/>
      <w:r>
        <w:rPr>
          <w:rStyle w:val="CharSClsNo"/>
        </w:rPr>
        <w:t>4</w:t>
      </w:r>
      <w:r>
        <w:t>.</w:t>
      </w:r>
      <w:r>
        <w:tab/>
        <w:t>Technical instruction requirements for trade apprentices</w:t>
      </w:r>
      <w:bookmarkEnd w:id="308"/>
      <w:bookmarkEnd w:id="309"/>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310" w:name="_Toc232329347"/>
      <w:bookmarkStart w:id="311" w:name="_Toc333227079"/>
      <w:r>
        <w:rPr>
          <w:rStyle w:val="CharSClsNo"/>
        </w:rPr>
        <w:t>5</w:t>
      </w:r>
      <w:r>
        <w:t>.</w:t>
      </w:r>
      <w:r>
        <w:tab/>
        <w:t>Final certificates for trade apprentices</w:t>
      </w:r>
      <w:bookmarkEnd w:id="310"/>
      <w:bookmarkEnd w:id="311"/>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bookmarkEnd w:id="290"/>
    <w:bookmarkEnd w:id="291"/>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312" w:name="_Toc232395181"/>
      <w:bookmarkStart w:id="313" w:name="_Toc232396166"/>
      <w:bookmarkStart w:id="314" w:name="_Toc307322638"/>
      <w:bookmarkStart w:id="315" w:name="_Toc312913947"/>
      <w:bookmarkStart w:id="316" w:name="_Toc319582926"/>
      <w:bookmarkStart w:id="317" w:name="_Toc333226050"/>
      <w:bookmarkStart w:id="318" w:name="_Toc333226926"/>
      <w:bookmarkStart w:id="319" w:name="_Toc333227080"/>
      <w:r>
        <w:t>Notes</w:t>
      </w:r>
      <w:bookmarkEnd w:id="45"/>
      <w:bookmarkEnd w:id="46"/>
      <w:bookmarkEnd w:id="47"/>
      <w:bookmarkEnd w:id="292"/>
      <w:bookmarkEnd w:id="312"/>
      <w:bookmarkEnd w:id="313"/>
      <w:bookmarkEnd w:id="314"/>
      <w:bookmarkEnd w:id="315"/>
      <w:bookmarkEnd w:id="316"/>
      <w:bookmarkEnd w:id="317"/>
      <w:bookmarkEnd w:id="318"/>
      <w:bookmarkEnd w:id="319"/>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(General) Regulations 2009</w:t>
      </w:r>
      <w:r>
        <w:rPr>
          <w:snapToGrid w:val="0"/>
        </w:rPr>
        <w:t xml:space="preserve"> and includes the amendments made by the other written laws referred to in the following table.</w:t>
      </w:r>
    </w:p>
    <w:p>
      <w:pPr>
        <w:pStyle w:val="nHeading3"/>
      </w:pPr>
      <w:bookmarkStart w:id="320" w:name="_Toc70311430"/>
      <w:bookmarkStart w:id="321" w:name="_Toc333227081"/>
      <w:r>
        <w:t>Compilation table</w:t>
      </w:r>
      <w:bookmarkEnd w:id="320"/>
      <w:bookmarkEnd w:id="3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rFonts w:ascii="Times" w:hAnsi="Times"/>
                <w:b/>
                <w:sz w:val="19"/>
              </w:rPr>
            </w:pPr>
            <w:r>
              <w:rPr>
                <w:rFonts w:ascii="Times" w:hAnsi="Times"/>
                <w:b/>
                <w:sz w:val="19"/>
              </w:rPr>
              <w:t>Citation</w:t>
            </w:r>
          </w:p>
        </w:tc>
        <w:tc>
          <w:tcPr>
            <w:tcW w:w="1276" w:type="dxa"/>
          </w:tcPr>
          <w:p>
            <w:pPr>
              <w:pStyle w:val="nTable"/>
              <w:spacing w:after="40"/>
              <w:rPr>
                <w:rFonts w:ascii="Times" w:hAnsi="Times"/>
                <w:b/>
                <w:sz w:val="19"/>
              </w:rPr>
            </w:pPr>
            <w:r>
              <w:rPr>
                <w:rFonts w:ascii="Times" w:hAnsi="Times"/>
                <w:b/>
                <w:sz w:val="19"/>
              </w:rPr>
              <w:t>Gazettal</w:t>
            </w:r>
          </w:p>
        </w:tc>
        <w:tc>
          <w:tcPr>
            <w:tcW w:w="2693" w:type="dxa"/>
          </w:tcPr>
          <w:p>
            <w:pPr>
              <w:pStyle w:val="nTable"/>
              <w:spacing w:after="40"/>
              <w:rPr>
                <w:rFonts w:ascii="Times" w:hAnsi="Times"/>
                <w:b/>
                <w:sz w:val="19"/>
              </w:rPr>
            </w:pPr>
            <w:r>
              <w:rPr>
                <w:rFonts w:ascii="Times" w:hAnsi="Times"/>
                <w:b/>
                <w:sz w:val="19"/>
              </w:rPr>
              <w:t>Commencement</w:t>
            </w:r>
          </w:p>
        </w:tc>
      </w:tr>
      <w:tr>
        <w:tc>
          <w:tcPr>
            <w:tcW w:w="3118" w:type="dxa"/>
            <w:tcBorders>
              <w:bottom w:val="nil"/>
            </w:tcBorders>
          </w:tcPr>
          <w:p>
            <w:pPr>
              <w:pStyle w:val="nTable"/>
              <w:spacing w:after="40"/>
              <w:rPr>
                <w:rFonts w:ascii="Times" w:hAnsi="Times"/>
                <w:iCs/>
                <w:sz w:val="19"/>
              </w:rPr>
            </w:pPr>
            <w:r>
              <w:rPr>
                <w:rFonts w:ascii="Times" w:hAnsi="Times"/>
                <w:i/>
                <w:noProof/>
                <w:snapToGrid w:val="0"/>
                <w:sz w:val="19"/>
              </w:rPr>
              <w:t>Vocational Education and Training (General) Regulations 2009</w:t>
            </w:r>
          </w:p>
        </w:tc>
        <w:tc>
          <w:tcPr>
            <w:tcW w:w="1276" w:type="dxa"/>
            <w:tcBorders>
              <w:bottom w:val="nil"/>
            </w:tcBorders>
          </w:tcPr>
          <w:p>
            <w:pPr>
              <w:pStyle w:val="nTable"/>
              <w:spacing w:after="40"/>
              <w:rPr>
                <w:rFonts w:ascii="Times" w:hAnsi="Times"/>
                <w:sz w:val="19"/>
              </w:rPr>
            </w:pPr>
            <w:r>
              <w:rPr>
                <w:rFonts w:ascii="Times" w:hAnsi="Times"/>
                <w:sz w:val="19"/>
              </w:rPr>
              <w:t>22 May 2009 p. 1731</w:t>
            </w:r>
            <w:r>
              <w:rPr>
                <w:rFonts w:ascii="Times" w:hAnsi="Times"/>
                <w:sz w:val="19"/>
              </w:rPr>
              <w:noBreakHyphen/>
              <w:t>97</w:t>
            </w:r>
          </w:p>
        </w:tc>
        <w:tc>
          <w:tcPr>
            <w:tcW w:w="2693" w:type="dxa"/>
            <w:tcBorders>
              <w:bottom w:val="nil"/>
            </w:tcBorders>
          </w:tcPr>
          <w:p>
            <w:pPr>
              <w:pStyle w:val="nTable"/>
              <w:spacing w:after="40"/>
              <w:rPr>
                <w:rFonts w:ascii="Times" w:hAnsi="Times"/>
                <w:sz w:val="19"/>
              </w:rPr>
            </w:pPr>
            <w:r>
              <w:rPr>
                <w:rFonts w:ascii="Times" w:hAnsi="Times"/>
                <w:sz w:val="19"/>
              </w:rPr>
              <w:t>r. 1 and 2: 22 May 2009 (see r. 2(a));</w:t>
            </w:r>
            <w:r>
              <w:rPr>
                <w:rFonts w:ascii="Times" w:hAnsi="Times"/>
                <w:sz w:val="19"/>
              </w:rPr>
              <w:br/>
              <w:t>Regulations other than r. 1 and 2: 10 Jun 2009 (see r. 2(b) and No. 44 of 2008 s. 2(2))</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Vocational Education and Training (General) Amendment Regulations 2011</w:t>
            </w:r>
          </w:p>
        </w:tc>
        <w:tc>
          <w:tcPr>
            <w:tcW w:w="1276" w:type="dxa"/>
            <w:tcBorders>
              <w:top w:val="nil"/>
              <w:bottom w:val="nil"/>
            </w:tcBorders>
          </w:tcPr>
          <w:p>
            <w:pPr>
              <w:pStyle w:val="nTable"/>
              <w:spacing w:after="40"/>
              <w:rPr>
                <w:rFonts w:ascii="Times" w:hAnsi="Times"/>
                <w:sz w:val="19"/>
              </w:rPr>
            </w:pPr>
            <w:r>
              <w:rPr>
                <w:rFonts w:ascii="Times" w:hAnsi="Times"/>
                <w:sz w:val="19"/>
              </w:rPr>
              <w:t>25 Oct 2011 p. 4508-11</w:t>
            </w:r>
          </w:p>
        </w:tc>
        <w:tc>
          <w:tcPr>
            <w:tcW w:w="2693" w:type="dxa"/>
            <w:tcBorders>
              <w:top w:val="nil"/>
              <w:bottom w:val="nil"/>
            </w:tcBorders>
          </w:tcPr>
          <w:p>
            <w:pPr>
              <w:pStyle w:val="nTable"/>
              <w:spacing w:after="40"/>
              <w:rPr>
                <w:rFonts w:ascii="Times" w:hAnsi="Times"/>
                <w:sz w:val="19"/>
              </w:rPr>
            </w:pPr>
            <w:r>
              <w:rPr>
                <w:rFonts w:ascii="Times" w:hAnsi="Times"/>
                <w:sz w:val="19"/>
              </w:rPr>
              <w:t>r. 1 and 2: 25 Oct 2011 (see r. 2(a));</w:t>
            </w:r>
            <w:r>
              <w:rPr>
                <w:rFonts w:ascii="Times" w:hAnsi="Times"/>
                <w:sz w:val="19"/>
              </w:rPr>
              <w:br/>
              <w:t>Regulations other than r. 1 and 2: 26 Oct 2011 (see r. 2(b))</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Vocational Education and Training (General) Amendment Regulations (No. 2) 2011</w:t>
            </w:r>
          </w:p>
        </w:tc>
        <w:tc>
          <w:tcPr>
            <w:tcW w:w="1276" w:type="dxa"/>
            <w:tcBorders>
              <w:top w:val="nil"/>
              <w:bottom w:val="nil"/>
            </w:tcBorders>
          </w:tcPr>
          <w:p>
            <w:pPr>
              <w:pStyle w:val="nTable"/>
              <w:spacing w:after="40"/>
              <w:rPr>
                <w:rFonts w:ascii="Times" w:hAnsi="Times"/>
                <w:sz w:val="19"/>
              </w:rPr>
            </w:pPr>
            <w:r>
              <w:rPr>
                <w:rFonts w:ascii="Times" w:hAnsi="Times"/>
                <w:sz w:val="19"/>
              </w:rPr>
              <w:t>25 Oct 2011 p. 4511-12</w:t>
            </w:r>
          </w:p>
        </w:tc>
        <w:tc>
          <w:tcPr>
            <w:tcW w:w="2693" w:type="dxa"/>
            <w:tcBorders>
              <w:top w:val="nil"/>
              <w:bottom w:val="nil"/>
            </w:tcBorders>
          </w:tcPr>
          <w:p>
            <w:pPr>
              <w:pStyle w:val="nTable"/>
              <w:spacing w:after="40"/>
              <w:rPr>
                <w:rFonts w:ascii="Times" w:hAnsi="Times"/>
                <w:sz w:val="19"/>
              </w:rPr>
            </w:pPr>
            <w:r>
              <w:rPr>
                <w:rFonts w:ascii="Times" w:hAnsi="Times"/>
                <w:sz w:val="19"/>
              </w:rPr>
              <w:t>r. 1 and 2: 25 Oct 2011 (see r. 2(a));</w:t>
            </w:r>
            <w:r>
              <w:rPr>
                <w:rFonts w:ascii="Times" w:hAnsi="Times"/>
                <w:sz w:val="19"/>
              </w:rPr>
              <w:br/>
              <w:t>Regulations other than r. 1 and 2: 1 Jan 2012 (see r. 2(b))</w:t>
            </w:r>
          </w:p>
        </w:tc>
      </w:tr>
      <w:tr>
        <w:tc>
          <w:tcPr>
            <w:tcW w:w="3118" w:type="dxa"/>
            <w:tcBorders>
              <w:top w:val="nil"/>
              <w:bottom w:val="nil"/>
            </w:tcBorders>
          </w:tcPr>
          <w:p>
            <w:pPr>
              <w:pStyle w:val="nTable"/>
              <w:spacing w:after="40"/>
              <w:rPr>
                <w:rFonts w:ascii="Times" w:hAnsi="Times"/>
                <w:i/>
                <w:noProof/>
                <w:snapToGrid w:val="0"/>
                <w:sz w:val="19"/>
                <w:szCs w:val="19"/>
              </w:rPr>
            </w:pPr>
            <w:r>
              <w:rPr>
                <w:rFonts w:ascii="Times" w:hAnsi="Times"/>
                <w:i/>
                <w:sz w:val="19"/>
                <w:szCs w:val="19"/>
              </w:rPr>
              <w:t>Vocational Education and Training (General)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16 Mar 2012 p. 1247</w:t>
            </w:r>
            <w:r>
              <w:rPr>
                <w:rFonts w:ascii="Times" w:hAnsi="Times"/>
                <w:sz w:val="19"/>
              </w:rPr>
              <w:noBreakHyphen/>
              <w:t>8</w:t>
            </w:r>
          </w:p>
        </w:tc>
        <w:tc>
          <w:tcPr>
            <w:tcW w:w="2693" w:type="dxa"/>
            <w:tcBorders>
              <w:top w:val="nil"/>
              <w:bottom w:val="nil"/>
            </w:tcBorders>
          </w:tcPr>
          <w:p>
            <w:pPr>
              <w:pStyle w:val="nTable"/>
              <w:spacing w:after="40"/>
              <w:rPr>
                <w:rFonts w:ascii="Times" w:hAnsi="Times"/>
                <w:sz w:val="19"/>
              </w:rPr>
            </w:pPr>
            <w:r>
              <w:rPr>
                <w:rFonts w:ascii="Times" w:hAnsi="Times"/>
                <w:snapToGrid w:val="0"/>
                <w:sz w:val="19"/>
                <w:lang w:val="en-US"/>
              </w:rPr>
              <w:t>r. 1 and 2: 16 Mar 2012 (see r. 2(a));</w:t>
            </w:r>
            <w:r>
              <w:rPr>
                <w:rFonts w:ascii="Times" w:hAnsi="Times"/>
                <w:snapToGrid w:val="0"/>
                <w:sz w:val="19"/>
                <w:lang w:val="en-US"/>
              </w:rPr>
              <w:br/>
              <w:t>Regulations other than r. 1 and 2: 17 Mar 2012 (see r. 2(b))</w:t>
            </w:r>
          </w:p>
        </w:tc>
      </w:tr>
      <w:tr>
        <w:tc>
          <w:tcPr>
            <w:tcW w:w="3118" w:type="dxa"/>
            <w:tcBorders>
              <w:top w:val="nil"/>
              <w:bottom w:val="single" w:sz="4" w:space="0" w:color="auto"/>
            </w:tcBorders>
          </w:tcPr>
          <w:p>
            <w:pPr>
              <w:pStyle w:val="nTable"/>
              <w:spacing w:after="40"/>
              <w:rPr>
                <w:rFonts w:ascii="Times" w:hAnsi="Times"/>
                <w:i/>
                <w:sz w:val="19"/>
                <w:szCs w:val="19"/>
              </w:rPr>
            </w:pPr>
            <w:r>
              <w:rPr>
                <w:rFonts w:ascii="Times" w:hAnsi="Times"/>
                <w:i/>
                <w:sz w:val="19"/>
                <w:szCs w:val="19"/>
              </w:rPr>
              <w:t>Vocational Education and Training (General) Amendment Regulations (No. 2) 2012</w:t>
            </w:r>
          </w:p>
        </w:tc>
        <w:tc>
          <w:tcPr>
            <w:tcW w:w="1276" w:type="dxa"/>
            <w:tcBorders>
              <w:top w:val="nil"/>
              <w:bottom w:val="single" w:sz="4" w:space="0" w:color="auto"/>
            </w:tcBorders>
          </w:tcPr>
          <w:p>
            <w:pPr>
              <w:pStyle w:val="nTable"/>
              <w:spacing w:after="40"/>
              <w:rPr>
                <w:rFonts w:ascii="Times" w:hAnsi="Times"/>
                <w:sz w:val="19"/>
              </w:rPr>
            </w:pPr>
            <w:r>
              <w:rPr>
                <w:rFonts w:ascii="Times" w:hAnsi="Times"/>
                <w:sz w:val="19"/>
              </w:rPr>
              <w:t>21 Aug 2012 p. 3927</w:t>
            </w:r>
          </w:p>
        </w:tc>
        <w:tc>
          <w:tcPr>
            <w:tcW w:w="2693" w:type="dxa"/>
            <w:tcBorders>
              <w:top w:val="nil"/>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r. 1 and 2: 21 Aug 2012 (see r. 2(a));</w:t>
            </w:r>
            <w:r>
              <w:rPr>
                <w:rFonts w:ascii="Times" w:hAnsi="Times"/>
                <w:snapToGrid w:val="0"/>
                <w:sz w:val="19"/>
                <w:lang w:val="en-US"/>
              </w:rPr>
              <w:br/>
              <w:t>Regulations other than r. 1 and 2: 1 Sep 2012 (see r. 2(b))</w:t>
            </w:r>
          </w:p>
        </w:tc>
      </w:tr>
    </w:tbl>
    <w:p>
      <w:bookmarkStart w:id="322" w:name="AutoSch"/>
      <w:bookmarkEnd w:id="48"/>
      <w:bookmarkEnd w:id="49"/>
      <w:bookmarkEnd w:id="322"/>
    </w:p>
    <w:p>
      <w:pPr>
        <w:pStyle w:val="DefinedTerms"/>
        <w:sectPr>
          <w:headerReference w:type="even" r:id="rId30"/>
          <w:headerReference w:type="default" r:id="rId31"/>
          <w:footerReference w:type="even" r:id="rId32"/>
          <w:footerReference w:type="default" r:id="rId33"/>
          <w:headerReference w:type="first" r:id="rId34"/>
          <w:foot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23" w:name="_Toc307322641"/>
      <w:bookmarkStart w:id="324" w:name="_Toc312913949"/>
      <w:bookmarkStart w:id="325" w:name="_Toc319582928"/>
      <w:bookmarkStart w:id="326" w:name="_Toc333226052"/>
      <w:bookmarkStart w:id="327" w:name="_Toc333226928"/>
      <w:bookmarkStart w:id="328" w:name="_Toc333227082"/>
      <w:r>
        <w:rPr>
          <w:sz w:val="28"/>
        </w:rPr>
        <w:t>Defined Terms</w:t>
      </w:r>
      <w:bookmarkEnd w:id="323"/>
      <w:bookmarkEnd w:id="324"/>
      <w:bookmarkEnd w:id="325"/>
      <w:bookmarkEnd w:id="326"/>
      <w:bookmarkEnd w:id="327"/>
      <w:bookmarkEnd w:id="3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9" w:name="DefinedTerms"/>
      <w:bookmarkEnd w:id="329"/>
      <w:r>
        <w:t>accreditation application</w:t>
      </w:r>
      <w:r>
        <w:tab/>
        <w:t>7(1)</w:t>
      </w:r>
    </w:p>
    <w:p>
      <w:pPr>
        <w:pStyle w:val="DefinedTerms"/>
      </w:pPr>
      <w:r>
        <w:t>accreditation standards</w:t>
      </w:r>
      <w:r>
        <w:tab/>
        <w:t>7(1)</w:t>
      </w:r>
    </w:p>
    <w:p>
      <w:pPr>
        <w:pStyle w:val="DefinedTerms"/>
      </w:pPr>
      <w:r>
        <w:t>Act</w:t>
      </w:r>
      <w:r>
        <w:tab/>
        <w:t>3</w:t>
      </w:r>
    </w:p>
    <w:p>
      <w:pPr>
        <w:pStyle w:val="DefinedTerms"/>
      </w:pPr>
      <w:r>
        <w:t>application</w:t>
      </w:r>
      <w:r>
        <w:tab/>
        <w:t>11(1)</w:t>
      </w:r>
    </w:p>
    <w:p>
      <w:pPr>
        <w:pStyle w:val="DefinedTerms"/>
      </w:pPr>
      <w:r>
        <w:t>AQF Implementation handbook</w:t>
      </w:r>
      <w:r>
        <w:tab/>
        <w:t>3</w:t>
      </w:r>
    </w:p>
    <w:p>
      <w:pPr>
        <w:pStyle w:val="DefinedTerms"/>
      </w:pPr>
      <w:r>
        <w:t>AQTF</w:t>
      </w:r>
      <w:r>
        <w:tab/>
        <w:t>3</w:t>
      </w:r>
    </w:p>
    <w:p>
      <w:pPr>
        <w:pStyle w:val="DefinedTerms"/>
      </w:pPr>
      <w:r>
        <w:t>associate</w:t>
      </w:r>
      <w:r>
        <w:tab/>
        <w:t>12(1)</w:t>
      </w:r>
    </w:p>
    <w:p>
      <w:pPr>
        <w:pStyle w:val="DefinedTerms"/>
      </w:pPr>
      <w:r>
        <w:t>child</w:t>
      </w:r>
      <w:r>
        <w:tab/>
        <w:t>40(1)</w:t>
      </w:r>
    </w:p>
    <w:p>
      <w:pPr>
        <w:pStyle w:val="DefinedTerms"/>
      </w:pPr>
      <w:r>
        <w:t>commencement</w:t>
      </w:r>
      <w:r>
        <w:tab/>
        <w:t>55, Sch. 2, cl. 1</w:t>
      </w:r>
    </w:p>
    <w:p>
      <w:pPr>
        <w:pStyle w:val="DefinedTerms"/>
      </w:pPr>
      <w:r>
        <w:t>compliance audit</w:t>
      </w:r>
      <w:r>
        <w:tab/>
        <w:t>7(1), 24</w:t>
      </w:r>
    </w:p>
    <w:p>
      <w:pPr>
        <w:pStyle w:val="DefinedTerms"/>
      </w:pPr>
      <w:r>
        <w:t>complying training plan</w:t>
      </w:r>
      <w:r>
        <w:tab/>
        <w:t>43(1)</w:t>
      </w:r>
    </w:p>
    <w:p>
      <w:pPr>
        <w:pStyle w:val="DefinedTerms"/>
      </w:pPr>
      <w:r>
        <w:t>compulsory education period</w:t>
      </w:r>
      <w:r>
        <w:tab/>
        <w:t>40(1)</w:t>
      </w:r>
    </w:p>
    <w:p>
      <w:pPr>
        <w:pStyle w:val="DefinedTerms"/>
      </w:pPr>
      <w:r>
        <w:t>continuing registration requirements</w:t>
      </w:r>
      <w:r>
        <w:tab/>
        <w:t>7(1)</w:t>
      </w:r>
    </w:p>
    <w:p>
      <w:pPr>
        <w:pStyle w:val="DefinedTerms"/>
      </w:pPr>
      <w:r>
        <w:t>initial registration requirements</w:t>
      </w:r>
      <w:r>
        <w:tab/>
        <w:t>7(1)</w:t>
      </w:r>
    </w:p>
    <w:p>
      <w:pPr>
        <w:pStyle w:val="DefinedTerms"/>
      </w:pPr>
      <w:r>
        <w:t>involved person</w:t>
      </w:r>
      <w:r>
        <w:tab/>
        <w:t>45(1)</w:t>
      </w:r>
    </w:p>
    <w:p>
      <w:pPr>
        <w:pStyle w:val="DefinedTerms"/>
      </w:pPr>
      <w:r>
        <w:t>jurisdiction</w:t>
      </w:r>
      <w:r>
        <w:tab/>
        <w:t>3</w:t>
      </w:r>
    </w:p>
    <w:p>
      <w:pPr>
        <w:pStyle w:val="DefinedTerms"/>
      </w:pPr>
      <w:r>
        <w:t>listed</w:t>
      </w:r>
      <w:r>
        <w:tab/>
        <w:t>4(1)</w:t>
      </w:r>
    </w:p>
    <w:p>
      <w:pPr>
        <w:pStyle w:val="DefinedTerms"/>
      </w:pPr>
      <w:r>
        <w:t>nominated training provider</w:t>
      </w:r>
      <w:r>
        <w:tab/>
        <w:t>34</w:t>
      </w:r>
    </w:p>
    <w:p>
      <w:pPr>
        <w:pStyle w:val="DefinedTerms"/>
      </w:pPr>
      <w:r>
        <w:t>NTIS</w:t>
      </w:r>
      <w:r>
        <w:tab/>
        <w:t>3</w:t>
      </w:r>
    </w:p>
    <w:p>
      <w:pPr>
        <w:pStyle w:val="DefinedTerms"/>
      </w:pPr>
      <w:r>
        <w:t>old agreement</w:t>
      </w:r>
      <w:r>
        <w:tab/>
        <w:t>Sch. 2, cl. 1</w:t>
      </w:r>
    </w:p>
    <w:p>
      <w:pPr>
        <w:pStyle w:val="DefinedTerms"/>
      </w:pPr>
      <w:r>
        <w:t>old training contract</w:t>
      </w:r>
      <w:r>
        <w:tab/>
        <w:t>Sch. 2, cl. 1</w:t>
      </w:r>
    </w:p>
    <w:p>
      <w:pPr>
        <w:pStyle w:val="DefinedTerms"/>
      </w:pPr>
      <w:r>
        <w:t>owner</w:t>
      </w:r>
      <w:r>
        <w:tab/>
        <w:t>7(1)</w:t>
      </w:r>
    </w:p>
    <w:p>
      <w:pPr>
        <w:pStyle w:val="DefinedTerms"/>
      </w:pPr>
      <w:r>
        <w:t>parent</w:t>
      </w:r>
      <w:r>
        <w:tab/>
        <w:t>40(1)</w:t>
      </w:r>
    </w:p>
    <w:p>
      <w:pPr>
        <w:pStyle w:val="DefinedTerms"/>
      </w:pPr>
      <w:r>
        <w:t>personal details</w:t>
      </w:r>
      <w:r>
        <w:tab/>
        <w:t>3</w:t>
      </w:r>
    </w:p>
    <w:p>
      <w:pPr>
        <w:pStyle w:val="DefinedTerms"/>
      </w:pPr>
      <w:r>
        <w:t>prescribed registration document</w:t>
      </w:r>
      <w:r>
        <w:tab/>
        <w:t>7(1)</w:t>
      </w:r>
    </w:p>
    <w:p>
      <w:pPr>
        <w:pStyle w:val="DefinedTerms"/>
      </w:pPr>
      <w:r>
        <w:t>register</w:t>
      </w:r>
      <w:r>
        <w:tab/>
        <w:t>7(1)</w:t>
      </w:r>
    </w:p>
    <w:p>
      <w:pPr>
        <w:pStyle w:val="DefinedTerms"/>
      </w:pPr>
      <w:r>
        <w:t>registering body</w:t>
      </w:r>
      <w:r>
        <w:tab/>
        <w:t>3</w:t>
      </w:r>
    </w:p>
    <w:p>
      <w:pPr>
        <w:pStyle w:val="DefinedTerms"/>
      </w:pPr>
      <w:r>
        <w:t>registration application</w:t>
      </w:r>
      <w:r>
        <w:tab/>
        <w:t>7(1)</w:t>
      </w:r>
    </w:p>
    <w:p>
      <w:pPr>
        <w:pStyle w:val="DefinedTerms"/>
      </w:pPr>
      <w:r>
        <w:t>registration requirements</w:t>
      </w:r>
      <w:r>
        <w:tab/>
        <w:t>7(1)</w:t>
      </w:r>
    </w:p>
    <w:p>
      <w:pPr>
        <w:pStyle w:val="DefinedTerms"/>
      </w:pPr>
      <w:r>
        <w:t>scope of registration</w:t>
      </w:r>
      <w:r>
        <w:tab/>
        <w:t>7(1)</w:t>
      </w:r>
    </w:p>
    <w:p>
      <w:pPr>
        <w:pStyle w:val="DefinedTerms"/>
      </w:pPr>
      <w:r>
        <w:t>suspension notice</w:t>
      </w:r>
      <w:r>
        <w:tab/>
        <w:t>49(4)</w:t>
      </w:r>
    </w:p>
    <w:p>
      <w:pPr>
        <w:pStyle w:val="DefinedTerms"/>
      </w:pPr>
      <w:r>
        <w:t>trade apprentice</w:t>
      </w:r>
      <w:r>
        <w:tab/>
        <w:t>Sch. 2, cl. 1</w:t>
      </w:r>
    </w:p>
    <w:p>
      <w:pPr>
        <w:pStyle w:val="DefinedTerms"/>
      </w:pPr>
      <w:r>
        <w:t>VET course for a prescribed VET qualification</w:t>
      </w:r>
      <w:r>
        <w:tab/>
        <w:t>7(1)</w:t>
      </w:r>
    </w:p>
    <w:p>
      <w:pPr>
        <w:pStyle w:val="DefinedTerms"/>
      </w:pPr>
      <w:r>
        <w:t>WA</w:t>
      </w:r>
      <w:r>
        <w:tab/>
        <w:t>3</w:t>
      </w:r>
    </w:p>
    <w:p>
      <w:pPr>
        <w:pStyle w:val="DefinedTerms"/>
      </w:pPr>
      <w:r>
        <w:t>WA accredited course</w:t>
      </w:r>
      <w:r>
        <w:tab/>
        <w:t>7(1)</w:t>
      </w:r>
    </w:p>
    <w:p>
      <w:pPr>
        <w:pStyle w:val="DefinedTerms"/>
      </w:pPr>
      <w:r>
        <w:t>WA registered provider</w:t>
      </w:r>
      <w:r>
        <w:tab/>
        <w:t>7(1)</w:t>
      </w:r>
    </w:p>
    <w:p>
      <w:pPr>
        <w:pStyle w:val="DefinedTerms"/>
      </w:pPr>
      <w:r>
        <w:t>working day</w:t>
      </w:r>
      <w:r>
        <w:tab/>
        <w:t>3</w:t>
      </w:r>
    </w:p>
    <w:p>
      <w:pPr>
        <w:pStyle w:val="DefinedTerms"/>
        <w:sectPr>
          <w:headerReference w:type="even" r:id="rId36"/>
          <w:headerReference w:type="default" r:id="rId37"/>
          <w:footerReference w:type="even" r:id="rId38"/>
          <w:footerReference w:type="default" r:id="rId39"/>
          <w:headerReference w:type="first" r:id="rId40"/>
          <w:footerReference w:type="first" r:id="rId41"/>
          <w:endnotePr>
            <w:numFmt w:val="decimal"/>
          </w:endnotePr>
          <w:pgSz w:w="11906" w:h="16838" w:code="9"/>
          <w:pgMar w:top="2376" w:right="2404" w:bottom="3544" w:left="2404" w:header="720" w:footer="3380" w:gutter="0"/>
          <w:cols w:space="720"/>
          <w:noEndnote/>
          <w:docGrid w:linePitch="326"/>
        </w:sectPr>
      </w:pPr>
    </w:p>
    <w:p/>
    <w:sectPr>
      <w:headerReference w:type="even" r:id="rId4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(General)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Training contract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fldSimple w:instr=" styleref CharSchText ">
            <w:r>
              <w:rPr>
                <w:noProof/>
              </w:rPr>
              <w:t>Training contract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516"/>
    <w:docVar w:name="WAFER_20151209165516" w:val="RemoveTrackChanges"/>
    <w:docVar w:name="WAFER_20151209165516_GUID" w:val="322ec4f4-887e-40c7-9a77-223ef75f30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0.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15481</Words>
  <Characters>82052</Characters>
  <Application>Microsoft Office Word</Application>
  <DocSecurity>0</DocSecurity>
  <Lines>2279</Lines>
  <Paragraphs>1434</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(Regs)</vt:lpstr>
      <vt:lpstr>    Part 1 — Preliminary matters</vt:lpstr>
      <vt:lpstr>    Part 2 — General matters</vt:lpstr>
      <vt:lpstr>    Part 3 — Regulations for Part 7A of the Act</vt:lpstr>
      <vt:lpstr>        Division 1 — General matters</vt:lpstr>
      <vt:lpstr>        Division 2 — Registration of training providers</vt:lpstr>
      <vt:lpstr>        Division 3 — Audits of training providers</vt:lpstr>
      <vt:lpstr>        Division 4 — Obligations of registered training providers</vt:lpstr>
      <vt:lpstr>        Division 5 — Accreditation of VET courses</vt:lpstr>
      <vt:lpstr>    Part 4 — Regulations for Part 7 of the Act</vt:lpstr>
      <vt:lpstr>        Division 1 — General matters</vt:lpstr>
      <vt:lpstr>        Division 2 — Classifying prescribed VET qualifications</vt:lpstr>
      <vt:lpstr>        Division 3 — Training contracts</vt:lpstr>
      <vt:lpstr>        Division 4 — Procedure and appeals</vt:lpstr>
      <vt:lpstr>    Part 5 — Repeals and transitional matters</vt:lpstr>
      <vt:lpstr>    Schedule 1 — Training contract</vt:lpstr>
      <vt:lpstr>    Schedule 2 — Provisions about old agreements and old training contracts</vt:lpstr>
      <vt:lpstr>    Notes</vt:lpstr>
      <vt:lpstr>    Defined Terms</vt:lpstr>
    </vt:vector>
  </TitlesOfParts>
  <Manager/>
  <Company/>
  <LinksUpToDate>false</LinksUpToDate>
  <CharactersWithSpaces>96099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2009 - 00-f0-02</dc:title>
  <dc:subject/>
  <dc:creator/>
  <cp:keywords/>
  <dc:description/>
  <cp:lastModifiedBy>svcMRProcess</cp:lastModifiedBy>
  <cp:revision>4</cp:revision>
  <cp:lastPrinted>2009-06-10T03:07:00Z</cp:lastPrinted>
  <dcterms:created xsi:type="dcterms:W3CDTF">2018-09-18T05:24:00Z</dcterms:created>
  <dcterms:modified xsi:type="dcterms:W3CDTF">2018-09-18T05:24:00Z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CommencementDate">
    <vt:lpwstr>20120901</vt:lpwstr>
  </property>
  <property fmtid="{D5CDD505-2E9C-101B-9397-08002B2CF9AE}" pid="4" name="AsAtDate">
    <vt:lpwstr>01 Sep 2012</vt:lpwstr>
  </property>
  <property fmtid="{D5CDD505-2E9C-101B-9397-08002B2CF9AE}" pid="5" name="Suffix">
    <vt:lpwstr>00-f0-02</vt:lpwstr>
  </property>
  <property fmtid="{D5CDD505-2E9C-101B-9397-08002B2CF9AE}" pid="6" name="OwlsUID">
    <vt:i4>41125</vt:i4>
  </property>
  <property fmtid="{D5CDD505-2E9C-101B-9397-08002B2CF9AE}" pid="7" name="DocumentType">
    <vt:lpwstr>Reg</vt:lpwstr>
  </property>
</Properties>
</file>