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6" name="Picture 2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</w:p>
    <w:p>
      <w:pPr>
        <w:pStyle w:val="PrincipalActReg"/>
        <w:spacing w:before="2600" w:after="0"/>
      </w:pPr>
      <w:r>
        <w:t>Children and Community Services Act 2004</w:t>
      </w:r>
    </w:p>
    <w:p>
      <w:pPr>
        <w:pStyle w:val="NameofActRegPage1"/>
        <w:spacing w:before="198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>
        <w:rPr>
          <w:noProof/>
          <w:sz w:val="48"/>
        </w:rPr>
        <w:t>Children and Community Services Regulations 2006</w:t>
      </w:r>
      <w:r>
        <w:rPr>
          <w:sz w:val="48"/>
        </w:rPr>
        <w:fldChar w:fldCharType="end"/>
      </w: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  <w:ind w:left="284" w:right="433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_Toc378075897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_Toc378075898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_Toc378075899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Children in the CEO’s care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Approval of carers (Act s. 79(2)(a)(i))</w:t>
      </w:r>
      <w:r>
        <w:tab/>
      </w:r>
      <w:r>
        <w:fldChar w:fldCharType="begin"/>
      </w:r>
      <w:r>
        <w:instrText xml:space="preserve"> PAGEREF _Toc378075901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Records, prescribed information for (Act s. 128)</w:t>
      </w:r>
      <w:r>
        <w:tab/>
      </w:r>
      <w:r>
        <w:fldChar w:fldCharType="begin"/>
      </w:r>
      <w:r>
        <w:instrText xml:space="preserve"> PAGEREF _Toc378075902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Restraint, search and seizure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Prescribed amount (Act s. 112 “disposable article”)</w:t>
      </w:r>
      <w:r>
        <w:tab/>
      </w:r>
      <w:r>
        <w:fldChar w:fldCharType="begin"/>
      </w:r>
      <w:r>
        <w:instrText xml:space="preserve"> PAGEREF _Toc378075904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Restraint of child under Act s. 114, officer’s duties after</w:t>
      </w:r>
      <w:r>
        <w:tab/>
      </w:r>
      <w:r>
        <w:fldChar w:fldCharType="begin"/>
      </w:r>
      <w:r>
        <w:instrText xml:space="preserve"> PAGEREF _Toc378075905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Articles seized under Act s. 116, dealing with</w:t>
      </w:r>
      <w:r>
        <w:tab/>
      </w:r>
      <w:r>
        <w:fldChar w:fldCharType="begin"/>
      </w:r>
      <w:r>
        <w:instrText xml:space="preserve"> PAGEREF _Toc378075906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Warrants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9AA.</w:t>
      </w:r>
      <w:r>
        <w:tab/>
        <w:t>Form of warrant (access) (Act s. 121(1))</w:t>
      </w:r>
      <w:r>
        <w:tab/>
      </w:r>
      <w:r>
        <w:fldChar w:fldCharType="begin"/>
      </w:r>
      <w:r>
        <w:instrText xml:space="preserve"> PAGEREF _Toc378075908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9AB.</w:t>
      </w:r>
      <w:r>
        <w:tab/>
        <w:t>Form of warrant (apprehension) (Act s. 122(1))</w:t>
      </w:r>
      <w:r>
        <w:tab/>
      </w:r>
      <w:r>
        <w:fldChar w:fldCharType="begin"/>
      </w:r>
      <w:r>
        <w:instrText xml:space="preserve"> PAGEREF _Toc378075909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9AC.</w:t>
      </w:r>
      <w:r>
        <w:tab/>
        <w:t>Form of warrant (provisional protection and care) (Act s. 123(1))</w:t>
      </w:r>
      <w:r>
        <w:tab/>
      </w:r>
      <w:r>
        <w:fldChar w:fldCharType="begin"/>
      </w:r>
      <w:r>
        <w:instrText xml:space="preserve"> PAGEREF _Toc378075910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Pre</w:t>
      </w:r>
      <w:r>
        <w:noBreakHyphen/>
        <w:t>hearing conferences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Terms used</w:t>
      </w:r>
      <w:r>
        <w:tab/>
      </w:r>
      <w:r>
        <w:fldChar w:fldCharType="begin"/>
      </w:r>
      <w:r>
        <w:instrText xml:space="preserve"> PAGEREF _Toc378075912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Convenors, appointment of (Act s. 136)</w:t>
      </w:r>
      <w:r>
        <w:tab/>
      </w:r>
      <w:r>
        <w:fldChar w:fldCharType="begin"/>
      </w:r>
      <w:r>
        <w:instrText xml:space="preserve"> PAGEREF _Toc378075913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Terms and conditions of convenors’ appointments</w:t>
      </w:r>
      <w:r>
        <w:tab/>
      </w:r>
      <w:r>
        <w:fldChar w:fldCharType="begin"/>
      </w:r>
      <w:r>
        <w:instrText xml:space="preserve"> PAGEREF _Toc378075914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Resignation by convenor</w:t>
      </w:r>
      <w:r>
        <w:tab/>
      </w:r>
      <w:r>
        <w:fldChar w:fldCharType="begin"/>
      </w:r>
      <w:r>
        <w:instrText xml:space="preserve"> PAGEREF _Toc378075915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Removing convenor from office</w:t>
      </w:r>
      <w:r>
        <w:tab/>
      </w:r>
      <w:r>
        <w:fldChar w:fldCharType="begin"/>
      </w:r>
      <w:r>
        <w:instrText xml:space="preserve"> PAGEREF _Toc378075916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People who may attend pre</w:t>
      </w:r>
      <w:r>
        <w:noBreakHyphen/>
        <w:t>hearing conference</w:t>
      </w:r>
      <w:r>
        <w:tab/>
      </w:r>
      <w:r>
        <w:fldChar w:fldCharType="begin"/>
      </w:r>
      <w:r>
        <w:instrText xml:space="preserve"> PAGEREF _Toc378075917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Participation using video link, audio link etc.</w:t>
      </w:r>
      <w:r>
        <w:tab/>
      </w:r>
      <w:r>
        <w:fldChar w:fldCharType="begin"/>
      </w:r>
      <w:r>
        <w:instrText xml:space="preserve"> PAGEREF _Toc378075918 \h </w:instrText>
      </w:r>
      <w:r>
        <w:fldChar w:fldCharType="separate"/>
      </w:r>
      <w:r>
        <w:t>8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Parentage testing procedures and reports</w:t>
      </w:r>
    </w:p>
    <w:p>
      <w:pPr>
        <w:pStyle w:val="TOC4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 — General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16A.</w:t>
      </w:r>
      <w:r>
        <w:tab/>
        <w:t>Terms used</w:t>
      </w:r>
      <w:r>
        <w:tab/>
      </w:r>
      <w:r>
        <w:fldChar w:fldCharType="begin"/>
      </w:r>
      <w:r>
        <w:instrText xml:space="preserve"> PAGEREF _Toc378075921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16B.</w:t>
      </w:r>
      <w:r>
        <w:tab/>
        <w:t>Parentage testing procedures (Act s. 136A)</w:t>
      </w:r>
      <w:r>
        <w:tab/>
      </w:r>
      <w:r>
        <w:fldChar w:fldCharType="begin"/>
      </w:r>
      <w:r>
        <w:instrText xml:space="preserve"> PAGEREF _Toc378075922 \h </w:instrText>
      </w:r>
      <w:r>
        <w:fldChar w:fldCharType="separate"/>
      </w:r>
      <w:r>
        <w:t>10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16C.</w:t>
      </w:r>
      <w:r>
        <w:tab/>
        <w:t>Compliance with regulations</w:t>
      </w:r>
      <w:r>
        <w:tab/>
      </w:r>
      <w:r>
        <w:fldChar w:fldCharType="begin"/>
      </w:r>
      <w:r>
        <w:instrText xml:space="preserve"> PAGEREF _Toc378075923 \h </w:instrText>
      </w:r>
      <w:r>
        <w:fldChar w:fldCharType="separate"/>
      </w:r>
      <w:r>
        <w:t>10</w:t>
      </w:r>
      <w:r>
        <w:fldChar w:fldCharType="end"/>
      </w:r>
    </w:p>
    <w:p>
      <w:pPr>
        <w:pStyle w:val="TOC4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 — Collection, storage and testing of samples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16D.</w:t>
      </w:r>
      <w:r>
        <w:tab/>
        <w:t>Bodily samples, who may take</w:t>
      </w:r>
      <w:r>
        <w:tab/>
      </w:r>
      <w:r>
        <w:fldChar w:fldCharType="begin"/>
      </w:r>
      <w:r>
        <w:instrText xml:space="preserve"> PAGEREF _Toc378075925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16E.</w:t>
      </w:r>
      <w:r>
        <w:tab/>
        <w:t>Information about donor to be given before bodily sample taken</w:t>
      </w:r>
      <w:r>
        <w:tab/>
      </w:r>
      <w:r>
        <w:fldChar w:fldCharType="begin"/>
      </w:r>
      <w:r>
        <w:instrText xml:space="preserve"> PAGEREF _Toc378075926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16F.</w:t>
      </w:r>
      <w:r>
        <w:tab/>
        <w:t>Blood samples, taking of</w:t>
      </w:r>
      <w:r>
        <w:tab/>
      </w:r>
      <w:r>
        <w:fldChar w:fldCharType="begin"/>
      </w:r>
      <w:r>
        <w:instrText xml:space="preserve"> PAGEREF _Toc378075927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16G.</w:t>
      </w:r>
      <w:r>
        <w:tab/>
        <w:t>Bodily samples for DNA typing, taking of</w:t>
      </w:r>
      <w:r>
        <w:tab/>
      </w:r>
      <w:r>
        <w:fldChar w:fldCharType="begin"/>
      </w:r>
      <w:r>
        <w:instrText xml:space="preserve"> PAGEREF _Toc378075928 \h </w:instrText>
      </w:r>
      <w:r>
        <w:fldChar w:fldCharType="separate"/>
      </w:r>
      <w:r>
        <w:t>13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16H.</w:t>
      </w:r>
      <w:r>
        <w:tab/>
        <w:t>Bodily samples, procedure for dealing with immediately after taking</w:t>
      </w:r>
      <w:r>
        <w:tab/>
      </w:r>
      <w:r>
        <w:fldChar w:fldCharType="begin"/>
      </w:r>
      <w:r>
        <w:instrText xml:space="preserve"> PAGEREF _Toc378075929 \h </w:instrText>
      </w:r>
      <w:r>
        <w:fldChar w:fldCharType="separate"/>
      </w:r>
      <w:r>
        <w:t>13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16I.</w:t>
      </w:r>
      <w:r>
        <w:tab/>
        <w:t>Sampler’s  duties after taking bodily sample</w:t>
      </w:r>
      <w:r>
        <w:tab/>
      </w:r>
      <w:r>
        <w:fldChar w:fldCharType="begin"/>
      </w:r>
      <w:r>
        <w:instrText xml:space="preserve"> PAGEREF _Toc378075930 \h </w:instrText>
      </w:r>
      <w:r>
        <w:fldChar w:fldCharType="separate"/>
      </w:r>
      <w:r>
        <w:t>14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16J.</w:t>
      </w:r>
      <w:r>
        <w:tab/>
        <w:t>Packing, storing and transporting bodily samples for testing</w:t>
      </w:r>
      <w:r>
        <w:tab/>
      </w:r>
      <w:r>
        <w:fldChar w:fldCharType="begin"/>
      </w:r>
      <w:r>
        <w:instrText xml:space="preserve"> PAGEREF _Toc378075931 \h </w:instrText>
      </w:r>
      <w:r>
        <w:fldChar w:fldCharType="separate"/>
      </w:r>
      <w:r>
        <w:t>15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16K.</w:t>
      </w:r>
      <w:r>
        <w:tab/>
        <w:t>Time for testing bodily samples</w:t>
      </w:r>
      <w:r>
        <w:tab/>
      </w:r>
      <w:r>
        <w:fldChar w:fldCharType="begin"/>
      </w:r>
      <w:r>
        <w:instrText xml:space="preserve"> PAGEREF _Toc378075932 \h </w:instrText>
      </w:r>
      <w:r>
        <w:fldChar w:fldCharType="separate"/>
      </w:r>
      <w:r>
        <w:t>15</w:t>
      </w:r>
      <w:r>
        <w:fldChar w:fldCharType="end"/>
      </w:r>
    </w:p>
    <w:p>
      <w:pPr>
        <w:pStyle w:val="TOC4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3 — Reports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16L.</w:t>
      </w:r>
      <w:r>
        <w:tab/>
        <w:t>Reports of testing (Act s. 136H(b))</w:t>
      </w:r>
      <w:r>
        <w:tab/>
      </w:r>
      <w:r>
        <w:fldChar w:fldCharType="begin"/>
      </w:r>
      <w:r>
        <w:instrText xml:space="preserve"> PAGEREF _Toc378075934 \h </w:instrText>
      </w:r>
      <w:r>
        <w:fldChar w:fldCharType="separate"/>
      </w:r>
      <w:r>
        <w:t>16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5 — Reports about child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16.</w:t>
      </w:r>
      <w:r>
        <w:tab/>
        <w:t>Terms used</w:t>
      </w:r>
      <w:r>
        <w:tab/>
      </w:r>
      <w:r>
        <w:fldChar w:fldCharType="begin"/>
      </w:r>
      <w:r>
        <w:instrText xml:space="preserve"> PAGEREF _Toc378075936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17.</w:t>
      </w:r>
      <w:r>
        <w:tab/>
        <w:t>Appointing people to provide reports (Act s. 139)</w:t>
      </w:r>
      <w:r>
        <w:tab/>
      </w:r>
      <w:r>
        <w:fldChar w:fldCharType="begin"/>
      </w:r>
      <w:r>
        <w:instrText xml:space="preserve"> PAGEREF _Toc378075937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18.</w:t>
      </w:r>
      <w:r>
        <w:tab/>
        <w:t>President to establish panel</w:t>
      </w:r>
      <w:r>
        <w:tab/>
      </w:r>
      <w:r>
        <w:fldChar w:fldCharType="begin"/>
      </w:r>
      <w:r>
        <w:instrText xml:space="preserve"> PAGEREF _Toc378075938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19.</w:t>
      </w:r>
      <w:r>
        <w:tab/>
        <w:t>Terms and conditions of appointment under Act s. 139</w:t>
      </w:r>
      <w:r>
        <w:tab/>
      </w:r>
      <w:r>
        <w:fldChar w:fldCharType="begin"/>
      </w:r>
      <w:r>
        <w:instrText xml:space="preserve"> PAGEREF _Toc378075939 \h </w:instrText>
      </w:r>
      <w:r>
        <w:fldChar w:fldCharType="separate"/>
      </w:r>
      <w:r>
        <w:t>17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20.</w:t>
      </w:r>
      <w:r>
        <w:tab/>
        <w:t>Costs of report</w:t>
      </w:r>
      <w:r>
        <w:tab/>
      </w:r>
      <w:r>
        <w:fldChar w:fldCharType="begin"/>
      </w:r>
      <w:r>
        <w:instrText xml:space="preserve"> PAGEREF _Toc378075940 \h </w:instrText>
      </w:r>
      <w:r>
        <w:fldChar w:fldCharType="separate"/>
      </w:r>
      <w:r>
        <w:t>18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6 — Miscellaneous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20A.</w:t>
      </w:r>
      <w:r>
        <w:tab/>
        <w:t>Prescribed authorities (Act s. 24A(1))</w:t>
      </w:r>
      <w:r>
        <w:tab/>
      </w:r>
      <w:r>
        <w:fldChar w:fldCharType="begin"/>
      </w:r>
      <w:r>
        <w:instrText xml:space="preserve"> PAGEREF _Toc378075942 \h </w:instrText>
      </w:r>
      <w:r>
        <w:fldChar w:fldCharType="separate"/>
      </w:r>
      <w:r>
        <w:t>19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21.</w:t>
      </w:r>
      <w:r>
        <w:tab/>
        <w:t>Special guardians, payments to (Act s. 65)</w:t>
      </w:r>
      <w:r>
        <w:tab/>
      </w:r>
      <w:r>
        <w:fldChar w:fldCharType="begin"/>
      </w:r>
      <w:r>
        <w:instrText xml:space="preserve"> PAGEREF _Toc378075943 \h </w:instrText>
      </w:r>
      <w:r>
        <w:fldChar w:fldCharType="separate"/>
      </w:r>
      <w:r>
        <w:t>20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21A.</w:t>
      </w:r>
      <w:r>
        <w:tab/>
        <w:t>Work prescribed (Act s. 191(4))</w:t>
      </w:r>
      <w:r>
        <w:tab/>
      </w:r>
      <w:r>
        <w:fldChar w:fldCharType="begin"/>
      </w:r>
      <w:r>
        <w:instrText xml:space="preserve"> PAGEREF _Toc378075944 \h </w:instrText>
      </w:r>
      <w:r>
        <w:fldChar w:fldCharType="separate"/>
      </w:r>
      <w:r>
        <w:t>20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7 — Transitional arrangements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24.</w:t>
      </w:r>
      <w:r>
        <w:tab/>
        <w:t>Term used: commencement day</w:t>
      </w:r>
      <w:r>
        <w:tab/>
      </w:r>
      <w:r>
        <w:fldChar w:fldCharType="begin"/>
      </w:r>
      <w:r>
        <w:instrText xml:space="preserve"> PAGEREF _Toc378075946 \h </w:instrText>
      </w:r>
      <w:r>
        <w:fldChar w:fldCharType="separate"/>
      </w:r>
      <w:r>
        <w:t>22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29.</w:t>
      </w:r>
      <w:r>
        <w:tab/>
        <w:t>Certain children in care as at 1 Mar 2006</w:t>
      </w:r>
      <w:r>
        <w:tab/>
      </w:r>
      <w:r>
        <w:fldChar w:fldCharType="begin"/>
      </w:r>
      <w:r>
        <w:instrText xml:space="preserve"> PAGEREF _Toc378075947 \h </w:instrText>
      </w:r>
      <w:r>
        <w:fldChar w:fldCharType="separate"/>
      </w:r>
      <w:r>
        <w:t>22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Forms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Warrant (access)</w:t>
      </w:r>
      <w:r>
        <w:tab/>
      </w:r>
      <w:r>
        <w:fldChar w:fldCharType="begin"/>
      </w:r>
      <w:r>
        <w:instrText xml:space="preserve"> PAGEREF _Toc378075949 \h </w:instrText>
      </w:r>
      <w:r>
        <w:fldChar w:fldCharType="separate"/>
      </w:r>
      <w:r>
        <w:t>23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Warrant (apprehension)</w:t>
      </w:r>
      <w:r>
        <w:tab/>
      </w:r>
      <w:r>
        <w:fldChar w:fldCharType="begin"/>
      </w:r>
      <w:r>
        <w:instrText xml:space="preserve"> PAGEREF _Toc378075950 \h </w:instrText>
      </w:r>
      <w:r>
        <w:fldChar w:fldCharType="separate"/>
      </w:r>
      <w:r>
        <w:t>25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Warrant (provisional protection and care)</w:t>
      </w:r>
      <w:r>
        <w:tab/>
      </w:r>
      <w:r>
        <w:fldChar w:fldCharType="begin"/>
      </w:r>
      <w:r>
        <w:instrText xml:space="preserve"> PAGEREF _Toc378075951 \h </w:instrText>
      </w:r>
      <w:r>
        <w:fldChar w:fldCharType="separate"/>
      </w:r>
      <w:r>
        <w:t>27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Parentage testing procedure</w:t>
      </w:r>
      <w:r>
        <w:tab/>
      </w:r>
      <w:r>
        <w:fldChar w:fldCharType="begin"/>
      </w:r>
      <w:r>
        <w:instrText xml:space="preserve"> PAGEREF _Toc378075952 \h </w:instrText>
      </w:r>
      <w:r>
        <w:fldChar w:fldCharType="separate"/>
      </w:r>
      <w:r>
        <w:t>29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Parentage testing procedure</w:t>
      </w:r>
      <w:r>
        <w:tab/>
      </w:r>
      <w:r>
        <w:fldChar w:fldCharType="begin"/>
      </w:r>
      <w:r>
        <w:instrText xml:space="preserve"> PAGEREF _Toc378075953 \h </w:instrText>
      </w:r>
      <w:r>
        <w:fldChar w:fldCharType="separate"/>
      </w:r>
      <w:r>
        <w:t>32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Parentage testing procedure report</w:t>
      </w:r>
      <w:r>
        <w:tab/>
      </w:r>
      <w:r>
        <w:fldChar w:fldCharType="begin"/>
      </w:r>
      <w:r>
        <w:instrText xml:space="preserve"> PAGEREF _Toc378075954 \h </w:instrText>
      </w:r>
      <w:r>
        <w:fldChar w:fldCharType="separate"/>
      </w:r>
      <w:r>
        <w:t>33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_Toc378075956 \h </w:instrText>
      </w:r>
      <w:r>
        <w:fldChar w:fldCharType="separate"/>
      </w:r>
      <w:r>
        <w:t>37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TOC8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</w:pPr>
      <w:r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1" w:name="_Toc378075896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</w:p>
    <w:p>
      <w:pPr>
        <w:pStyle w:val="Heading5"/>
      </w:pPr>
      <w:bookmarkStart w:id="2" w:name="_Toc378075897"/>
      <w:r>
        <w:rPr>
          <w:rStyle w:val="CharSectno"/>
        </w:rPr>
        <w:t>1</w:t>
      </w:r>
      <w:r>
        <w:t>.</w:t>
      </w:r>
      <w:r>
        <w:tab/>
        <w:t>Citation</w:t>
      </w:r>
      <w:bookmarkEnd w:id="2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3" w:name="_Toc37807589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3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iCs/>
          <w:vertAlign w:val="superscript"/>
        </w:rPr>
        <w:t> 1</w:t>
      </w:r>
      <w:r>
        <w:rPr>
          <w:rFonts w:ascii="Times" w:hAnsi="Times"/>
        </w:rPr>
        <w:t>.</w:t>
      </w:r>
    </w:p>
    <w:p>
      <w:pPr>
        <w:pStyle w:val="Heading5"/>
      </w:pPr>
      <w:bookmarkStart w:id="4" w:name="_Toc378075899"/>
      <w:r>
        <w:rPr>
          <w:rStyle w:val="CharSectno"/>
        </w:rPr>
        <w:t>3</w:t>
      </w:r>
      <w:r>
        <w:t>.</w:t>
      </w:r>
      <w:r>
        <w:tab/>
        <w:t>Terms used</w:t>
      </w:r>
      <w:bookmarkEnd w:id="4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</w:pPr>
      <w:bookmarkStart w:id="5" w:name="_Toc378075900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5"/>
    </w:p>
    <w:p>
      <w:pPr>
        <w:pStyle w:val="Heading5"/>
      </w:pPr>
      <w:bookmarkStart w:id="6" w:name="_Toc378075901"/>
      <w:r>
        <w:rPr>
          <w:rStyle w:val="CharSectno"/>
        </w:rPr>
        <w:t>4</w:t>
      </w:r>
      <w:r>
        <w:t>.</w:t>
      </w:r>
      <w:r>
        <w:tab/>
        <w:t>Approval of carers (Act s. 79(2)(a)(i))</w:t>
      </w:r>
      <w:bookmarkEnd w:id="6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 and</w:t>
      </w:r>
    </w:p>
    <w:p>
      <w:pPr>
        <w:pStyle w:val="Indenti"/>
      </w:pPr>
      <w:r>
        <w:tab/>
        <w:t>(ii)</w:t>
      </w:r>
      <w:r>
        <w:tab/>
        <w:t>is able to provide a safe living environment for a child; and</w:t>
      </w:r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 and</w:t>
      </w:r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 or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tab/>
        <w:t>(3)</w:t>
      </w:r>
      <w:r>
        <w:tab/>
        <w:t xml:space="preserve">Before revoking an approval the CEO must — </w:t>
      </w:r>
    </w:p>
    <w:p>
      <w:pPr>
        <w:pStyle w:val="Indenta"/>
        <w:spacing w:before="78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  <w:spacing w:before="78"/>
      </w:pPr>
      <w:r>
        <w:tab/>
        <w:t>(i)</w:t>
      </w:r>
      <w:r>
        <w:tab/>
        <w:t>stating the reasons for the proposed revocation; and</w:t>
      </w:r>
    </w:p>
    <w:p>
      <w:pPr>
        <w:pStyle w:val="Indenti"/>
        <w:spacing w:before="78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  <w:spacing w:before="78"/>
      </w:pPr>
      <w:r>
        <w:tab/>
      </w:r>
      <w:r>
        <w:tab/>
        <w:t>and</w:t>
      </w:r>
    </w:p>
    <w:p>
      <w:pPr>
        <w:pStyle w:val="Indenta"/>
        <w:spacing w:before="78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7" w:name="_Toc378075902"/>
      <w:r>
        <w:rPr>
          <w:rStyle w:val="CharSectno"/>
        </w:rPr>
        <w:t>5</w:t>
      </w:r>
      <w:r>
        <w:t>.</w:t>
      </w:r>
      <w:r>
        <w:tab/>
        <w:t>Records, prescribed information for (Act s. 128)</w:t>
      </w:r>
      <w:bookmarkEnd w:id="7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  <w:spacing w:before="76"/>
      </w:pPr>
      <w:r>
        <w:tab/>
        <w:t>(a)</w:t>
      </w:r>
      <w:r>
        <w:tab/>
        <w:t>the child’s name;</w:t>
      </w:r>
    </w:p>
    <w:p>
      <w:pPr>
        <w:pStyle w:val="Indenta"/>
        <w:spacing w:before="76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  <w:spacing w:before="76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  <w:spacing w:before="76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  <w:spacing w:before="76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  <w:spacing w:before="76"/>
      </w:pPr>
      <w:r>
        <w:tab/>
        <w:t>(ii)</w:t>
      </w:r>
      <w:r>
        <w:tab/>
        <w:t>otherwise provided to the CEO;</w:t>
      </w:r>
    </w:p>
    <w:p>
      <w:pPr>
        <w:pStyle w:val="Indenta"/>
        <w:spacing w:before="76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  <w:spacing w:before="76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  <w:spacing w:before="76"/>
      </w:pPr>
      <w:r>
        <w:tab/>
        <w:t>(ii)</w:t>
      </w:r>
      <w:r>
        <w:tab/>
        <w:t>otherwise provided to the CEO;</w:t>
      </w:r>
    </w:p>
    <w:p>
      <w:pPr>
        <w:pStyle w:val="Indenta"/>
        <w:spacing w:before="76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8" w:name="_Toc378075903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8"/>
    </w:p>
    <w:p>
      <w:pPr>
        <w:pStyle w:val="Heading5"/>
      </w:pPr>
      <w:bookmarkStart w:id="9" w:name="_Toc378075904"/>
      <w:r>
        <w:rPr>
          <w:rStyle w:val="CharSectno"/>
        </w:rPr>
        <w:t>6</w:t>
      </w:r>
      <w:r>
        <w:t>.</w:t>
      </w:r>
      <w:r>
        <w:tab/>
        <w:t>Prescribed amount (Act s. 112 “disposable article”)</w:t>
      </w:r>
      <w:bookmarkEnd w:id="9"/>
    </w:p>
    <w:p>
      <w:pPr>
        <w:pStyle w:val="Subsection"/>
      </w:pPr>
      <w:r>
        <w:tab/>
      </w:r>
      <w:r>
        <w:tab/>
        <w:t xml:space="preserve">For the purposes of paragraph (c) of the definition of </w:t>
      </w:r>
      <w:r>
        <w:rPr>
          <w:b/>
          <w:i/>
        </w:rPr>
        <w:t>disposable article</w:t>
      </w:r>
      <w:r>
        <w:t xml:space="preserve"> in section 112 the amount of $30 is prescribed.</w:t>
      </w:r>
    </w:p>
    <w:p>
      <w:pPr>
        <w:pStyle w:val="Heading5"/>
      </w:pPr>
      <w:bookmarkStart w:id="10" w:name="_Toc378075905"/>
      <w:r>
        <w:rPr>
          <w:rStyle w:val="CharSectno"/>
        </w:rPr>
        <w:t>7</w:t>
      </w:r>
      <w:r>
        <w:t>.</w:t>
      </w:r>
      <w:r>
        <w:tab/>
        <w:t>Restraint of child under Act s. 114, officer’s duties after</w:t>
      </w:r>
      <w:bookmarkEnd w:id="10"/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11" w:name="_Toc378075906"/>
      <w:r>
        <w:rPr>
          <w:rStyle w:val="CharSectno"/>
        </w:rPr>
        <w:t>8</w:t>
      </w:r>
      <w:r>
        <w:t>.</w:t>
      </w:r>
      <w:r>
        <w:tab/>
        <w:t>Articles seized under Act s. 116, dealing with</w:t>
      </w:r>
      <w:bookmarkEnd w:id="11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2</w:t>
      </w:r>
      <w:r>
        <w:t>.</w:t>
      </w:r>
    </w:p>
    <w:p>
      <w:pPr>
        <w:pStyle w:val="Heading2"/>
      </w:pPr>
      <w:bookmarkStart w:id="12" w:name="_Toc378075907"/>
      <w:r>
        <w:rPr>
          <w:rStyle w:val="CharPartNo"/>
        </w:rP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Warrants</w:t>
      </w:r>
      <w:bookmarkEnd w:id="12"/>
    </w:p>
    <w:p>
      <w:pPr>
        <w:pStyle w:val="Footnoteheading"/>
      </w:pPr>
      <w:r>
        <w:tab/>
        <w:t>Heading inserted in Gazette 19 Jun 2009 p. 2226.]</w:t>
      </w:r>
    </w:p>
    <w:p>
      <w:pPr>
        <w:pStyle w:val="Heading5"/>
      </w:pPr>
      <w:bookmarkStart w:id="13" w:name="_Toc378075908"/>
      <w:r>
        <w:rPr>
          <w:rStyle w:val="CharSectno"/>
        </w:rPr>
        <w:t>9AA</w:t>
      </w:r>
      <w:r>
        <w:t>.</w:t>
      </w:r>
      <w:r>
        <w:tab/>
        <w:t>Form of warrant (access) (Act s. 121(1))</w:t>
      </w:r>
      <w:bookmarkEnd w:id="13"/>
    </w:p>
    <w:p>
      <w:pPr>
        <w:pStyle w:val="Subsection"/>
      </w:pPr>
      <w:r>
        <w:tab/>
      </w:r>
      <w:r>
        <w:tab/>
        <w:t>A warrant (access) as defined in section 121(1) is to be in the form of Schedule 1 Form 1.</w:t>
      </w:r>
    </w:p>
    <w:p>
      <w:pPr>
        <w:pStyle w:val="Footnotesection"/>
      </w:pPr>
      <w:r>
        <w:tab/>
        <w:t>[Regulation 9AA inserted in Gazette 19 Jun 2009 p. 2226.]</w:t>
      </w:r>
    </w:p>
    <w:p>
      <w:pPr>
        <w:pStyle w:val="Heading5"/>
      </w:pPr>
      <w:bookmarkStart w:id="14" w:name="_Toc378075909"/>
      <w:r>
        <w:rPr>
          <w:rStyle w:val="CharSectno"/>
        </w:rPr>
        <w:t>9AB</w:t>
      </w:r>
      <w:r>
        <w:t>.</w:t>
      </w:r>
      <w:r>
        <w:tab/>
        <w:t>Form of warrant (apprehension) (Act s. 122(1))</w:t>
      </w:r>
      <w:bookmarkEnd w:id="14"/>
    </w:p>
    <w:p>
      <w:pPr>
        <w:pStyle w:val="Subsection"/>
      </w:pPr>
      <w:r>
        <w:tab/>
      </w:r>
      <w:r>
        <w:tab/>
        <w:t>A warrant (apprehension) as defined in section 122(1) is to be in the form of Schedule 1 Form 2.</w:t>
      </w:r>
    </w:p>
    <w:p>
      <w:pPr>
        <w:pStyle w:val="Footnotesection"/>
      </w:pPr>
      <w:r>
        <w:tab/>
        <w:t>[Regulation 9AB inserted in Gazette 19 Jun 2009 p. 2226.]</w:t>
      </w:r>
    </w:p>
    <w:p>
      <w:pPr>
        <w:pStyle w:val="Heading5"/>
      </w:pPr>
      <w:bookmarkStart w:id="15" w:name="_Toc378075910"/>
      <w:r>
        <w:rPr>
          <w:rStyle w:val="CharSectno"/>
        </w:rPr>
        <w:t>9AC</w:t>
      </w:r>
      <w:r>
        <w:t>.</w:t>
      </w:r>
      <w:r>
        <w:tab/>
        <w:t>Form of warrant (provisional protection and care) (Act s. 123(1))</w:t>
      </w:r>
      <w:bookmarkEnd w:id="15"/>
    </w:p>
    <w:p>
      <w:pPr>
        <w:pStyle w:val="Subsection"/>
      </w:pPr>
      <w:r>
        <w:tab/>
      </w:r>
      <w:r>
        <w:tab/>
        <w:t>A warrant (provisional protection and care) as defined in section 123(1) is to be in the form of Schedule 1 Form 3.</w:t>
      </w:r>
    </w:p>
    <w:p>
      <w:pPr>
        <w:pStyle w:val="Footnotesection"/>
      </w:pPr>
      <w:r>
        <w:tab/>
        <w:t>[Regulation 9AC inserted in Gazette 19 Jun 2009 p. 2226.]</w:t>
      </w:r>
    </w:p>
    <w:p>
      <w:pPr>
        <w:pStyle w:val="Ednotepart"/>
      </w:pPr>
      <w:r>
        <w:t>[Part 4A (r. 9A) deleted in Gazette 18 Jan 2011 p. 145.]</w:t>
      </w:r>
    </w:p>
    <w:p>
      <w:pPr>
        <w:pStyle w:val="Heading2"/>
      </w:pPr>
      <w:bookmarkStart w:id="16" w:name="_Toc378075911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16"/>
    </w:p>
    <w:p>
      <w:pPr>
        <w:pStyle w:val="Heading5"/>
      </w:pPr>
      <w:bookmarkStart w:id="17" w:name="_Toc378075912"/>
      <w:r>
        <w:rPr>
          <w:rStyle w:val="CharSectno"/>
        </w:rPr>
        <w:t>9</w:t>
      </w:r>
      <w:r>
        <w:t>.</w:t>
      </w:r>
      <w:r>
        <w:tab/>
        <w:t>Terms used</w:t>
      </w:r>
      <w:bookmarkEnd w:id="17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18" w:name="_Toc378075913"/>
      <w:r>
        <w:rPr>
          <w:rStyle w:val="CharSectno"/>
        </w:rPr>
        <w:t>10</w:t>
      </w:r>
      <w:r>
        <w:t>.</w:t>
      </w:r>
      <w:r>
        <w:tab/>
        <w:t>Convenors, appointment of (Act s. 136)</w:t>
      </w:r>
      <w:bookmarkEnd w:id="18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19" w:name="_Toc378075914"/>
      <w:r>
        <w:rPr>
          <w:rStyle w:val="CharSectno"/>
        </w:rPr>
        <w:t>11</w:t>
      </w:r>
      <w:r>
        <w:t>.</w:t>
      </w:r>
      <w:r>
        <w:tab/>
        <w:t>Terms and conditions of convenors’ appointments</w:t>
      </w:r>
      <w:bookmarkEnd w:id="19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20" w:name="_Toc378075915"/>
      <w:r>
        <w:rPr>
          <w:rStyle w:val="CharSectno"/>
        </w:rPr>
        <w:t>12</w:t>
      </w:r>
      <w:r>
        <w:t>.</w:t>
      </w:r>
      <w:r>
        <w:tab/>
        <w:t>Resignation by convenor</w:t>
      </w:r>
      <w:bookmarkEnd w:id="20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21" w:name="_Toc378075916"/>
      <w:r>
        <w:rPr>
          <w:rStyle w:val="CharSectno"/>
        </w:rPr>
        <w:t>13</w:t>
      </w:r>
      <w:r>
        <w:t>.</w:t>
      </w:r>
      <w:r>
        <w:tab/>
        <w:t>Removing convenor from office</w:t>
      </w:r>
      <w:bookmarkEnd w:id="21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22" w:name="_Toc378075917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22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23" w:name="_Toc378075918"/>
      <w:r>
        <w:rPr>
          <w:rStyle w:val="CharSectno"/>
        </w:rPr>
        <w:t>15</w:t>
      </w:r>
      <w:r>
        <w:t>.</w:t>
      </w:r>
      <w:r>
        <w:tab/>
        <w:t>Participation using video link, audio link etc.</w:t>
      </w:r>
      <w:bookmarkEnd w:id="23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24" w:name="_Toc378075919"/>
      <w:r>
        <w:rPr>
          <w:rStyle w:val="CharPartNo"/>
        </w:rP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Parentage testing procedures and reports</w:t>
      </w:r>
      <w:bookmarkEnd w:id="24"/>
    </w:p>
    <w:p>
      <w:pPr>
        <w:pStyle w:val="Footnoteheading"/>
      </w:pPr>
      <w:r>
        <w:tab/>
        <w:t>[Heading inserted in Gazette 28 Jan 2011 p. 243.]</w:t>
      </w:r>
    </w:p>
    <w:p>
      <w:pPr>
        <w:pStyle w:val="Heading3"/>
      </w:pPr>
      <w:bookmarkStart w:id="25" w:name="_Toc378075920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General</w:t>
      </w:r>
      <w:bookmarkEnd w:id="25"/>
    </w:p>
    <w:p>
      <w:pPr>
        <w:pStyle w:val="Footnoteheading"/>
      </w:pPr>
      <w:r>
        <w:tab/>
        <w:t>[Heading inserted in Gazette 28 Jan 2011 p. 243.]</w:t>
      </w:r>
    </w:p>
    <w:p>
      <w:pPr>
        <w:pStyle w:val="Heading5"/>
      </w:pPr>
      <w:bookmarkStart w:id="26" w:name="_Toc378075921"/>
      <w:r>
        <w:rPr>
          <w:rStyle w:val="CharSectno"/>
        </w:rPr>
        <w:t>16A</w:t>
      </w:r>
      <w:r>
        <w:t>.</w:t>
      </w:r>
      <w:r>
        <w:tab/>
        <w:t>Terms used</w:t>
      </w:r>
      <w:bookmarkEnd w:id="26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bodily sample</w:t>
      </w:r>
      <w:r>
        <w:t xml:space="preserve"> is not limited to a sample of blood;</w:t>
      </w:r>
    </w:p>
    <w:p>
      <w:pPr>
        <w:pStyle w:val="Defstart"/>
      </w:pPr>
      <w:r>
        <w:tab/>
      </w:r>
      <w:r>
        <w:rPr>
          <w:rStyle w:val="CharDefText"/>
        </w:rPr>
        <w:t>donor</w:t>
      </w:r>
      <w:r>
        <w:t xml:space="preserve"> means a person required to provide a bodily sample for the purposes of a parentage testing procedure;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guardian</w:t>
      </w:r>
      <w:r>
        <w:t xml:space="preserve">, in relation to a represented person, means a person appointed as a guardian of the person under the </w:t>
      </w:r>
      <w:r>
        <w:rPr>
          <w:i/>
        </w:rPr>
        <w:t xml:space="preserve">Guardianship and Administration Act 1990 </w:t>
      </w:r>
      <w:r>
        <w:rPr>
          <w:iCs/>
        </w:rPr>
        <w:t>section 43;</w:t>
      </w:r>
    </w:p>
    <w:p>
      <w:pPr>
        <w:pStyle w:val="Defstart"/>
      </w:pPr>
      <w:r>
        <w:tab/>
      </w:r>
      <w:r>
        <w:rPr>
          <w:rStyle w:val="CharDefText"/>
        </w:rPr>
        <w:t>HLA</w:t>
      </w:r>
      <w:r>
        <w:t xml:space="preserve"> means human leucocyte antigen;</w:t>
      </w:r>
    </w:p>
    <w:p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  <w:iCs/>
        </w:rPr>
        <w:t>Health Practitioner Regulation National Law (</w:t>
      </w:r>
      <w:smartTag w:uri="urn:schemas-microsoft-com:office:smarttags" w:element="place">
        <w:smartTag w:uri="urn:schemas-microsoft-com:office:smarttags" w:element="State">
          <w:r>
            <w:rPr>
              <w:i/>
              <w:iCs/>
            </w:rPr>
            <w:t>Western Australia</w:t>
          </w:r>
        </w:smartTag>
      </w:smartTag>
      <w:r>
        <w:rPr>
          <w:i/>
          <w:iCs/>
        </w:rPr>
        <w:t>)</w:t>
      </w:r>
      <w:r>
        <w:t xml:space="preserve"> in the medical profession;</w:t>
      </w:r>
    </w:p>
    <w:p>
      <w:pPr>
        <w:pStyle w:val="Defstart"/>
      </w:pPr>
      <w:r>
        <w:tab/>
      </w:r>
      <w:r>
        <w:rPr>
          <w:rStyle w:val="CharDefText"/>
        </w:rPr>
        <w:t>NATA</w:t>
      </w:r>
      <w:r>
        <w:t xml:space="preserve"> means the National Association of Testing Authorities,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>;</w:t>
      </w:r>
    </w:p>
    <w:p>
      <w:pPr>
        <w:pStyle w:val="Defstart"/>
      </w:pPr>
      <w:r>
        <w:tab/>
      </w:r>
      <w:r>
        <w:rPr>
          <w:rStyle w:val="CharDefText"/>
        </w:rPr>
        <w:t>nominated reporter</w:t>
      </w:r>
      <w:r>
        <w:t xml:space="preserve"> means the person nominated by a laboratory to prepare a report relating to the information obtained as a result of carrying out a parentage testing procedure at that laboratory;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in accordance with regulation 16L;</w:t>
      </w:r>
    </w:p>
    <w:p>
      <w:pPr>
        <w:pStyle w:val="Defstart"/>
      </w:pPr>
      <w:r>
        <w:tab/>
      </w:r>
      <w:r>
        <w:rPr>
          <w:rStyle w:val="CharDefText"/>
        </w:rPr>
        <w:t>represented person</w:t>
      </w:r>
      <w:r>
        <w:t xml:space="preserve"> means a person in respect of whom a guardianship order made under the </w:t>
      </w:r>
      <w:r>
        <w:rPr>
          <w:i/>
        </w:rPr>
        <w:t>Guardianship and Administration Act 1990</w:t>
      </w:r>
      <w:r>
        <w:t xml:space="preserve"> is in force;</w:t>
      </w:r>
    </w:p>
    <w:p>
      <w:pPr>
        <w:pStyle w:val="Defstart"/>
        <w:rPr>
          <w:rStyle w:val="CharDefText"/>
          <w:b w:val="0"/>
          <w:bCs/>
          <w:i w:val="0"/>
          <w:iCs/>
        </w:rPr>
      </w:pPr>
      <w:r>
        <w:tab/>
      </w:r>
      <w:r>
        <w:rPr>
          <w:rStyle w:val="CharDefText"/>
        </w:rPr>
        <w:t>responsible person</w:t>
      </w:r>
      <w:r>
        <w:t xml:space="preserve">, for a child, means — </w:t>
      </w:r>
    </w:p>
    <w:p>
      <w:pPr>
        <w:pStyle w:val="Defpara"/>
      </w:pPr>
      <w:r>
        <w:tab/>
        <w:t>(a)</w:t>
      </w:r>
      <w:r>
        <w:tab/>
        <w:t>if the child is in provisional protection and care, or is the subject of a protection order (time limited) or protection order (until 18), the CEO or a person nominated by the CEO;</w:t>
      </w:r>
    </w:p>
    <w:p>
      <w:pPr>
        <w:pStyle w:val="Defpara"/>
      </w:pPr>
      <w:r>
        <w:tab/>
        <w:t>(b)</w:t>
      </w:r>
      <w:r>
        <w:tab/>
        <w:t xml:space="preserve">otherwise — </w:t>
      </w:r>
    </w:p>
    <w:p>
      <w:pPr>
        <w:pStyle w:val="Defsubpara"/>
      </w:pPr>
      <w:r>
        <w:tab/>
        <w:t>(i)</w:t>
      </w:r>
      <w:r>
        <w:tab/>
        <w:t>a person responsible for the long term care, welfare and development of the child; or</w:t>
      </w:r>
    </w:p>
    <w:p>
      <w:pPr>
        <w:pStyle w:val="Defsubpara"/>
      </w:pPr>
      <w:r>
        <w:tab/>
        <w:t>(ii)</w:t>
      </w:r>
      <w:r>
        <w:tab/>
        <w:t>a person nominated by the Court for the purposes of this Part;</w:t>
      </w:r>
    </w:p>
    <w:p>
      <w:pPr>
        <w:pStyle w:val="Defstart"/>
      </w:pPr>
      <w:r>
        <w:tab/>
      </w:r>
      <w:r>
        <w:rPr>
          <w:rStyle w:val="CharDefText"/>
        </w:rPr>
        <w:t>sample</w:t>
      </w:r>
      <w:r>
        <w:t xml:space="preserve"> means a sample taken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sampler</w:t>
      </w:r>
      <w:r>
        <w:t xml:space="preserve"> means a person who takes a bodily sample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testing</w:t>
      </w:r>
      <w:r>
        <w:t xml:space="preserve"> means the implementation, or any part of the implementation, of a parentage testing procedure.</w:t>
      </w:r>
    </w:p>
    <w:p>
      <w:pPr>
        <w:pStyle w:val="Footnotesection"/>
      </w:pPr>
      <w:r>
        <w:tab/>
        <w:t>[Regulation 16A inserted in Gazette 28 Jan 2011 p. 243-4.]</w:t>
      </w:r>
    </w:p>
    <w:p>
      <w:pPr>
        <w:pStyle w:val="Heading5"/>
      </w:pPr>
      <w:bookmarkStart w:id="27" w:name="_Toc378075922"/>
      <w:r>
        <w:rPr>
          <w:rStyle w:val="CharSectno"/>
        </w:rPr>
        <w:t>16B</w:t>
      </w:r>
      <w:r>
        <w:t>.</w:t>
      </w:r>
      <w:r>
        <w:tab/>
        <w:t>Parentage testing procedures (Act s. 136A)</w:t>
      </w:r>
      <w:bookmarkEnd w:id="27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parentage testing procedure</w:t>
      </w:r>
      <w:r>
        <w:t xml:space="preserve"> in section 136A, the following medical procedures are prescribed — </w:t>
      </w:r>
    </w:p>
    <w:p>
      <w:pPr>
        <w:pStyle w:val="Indenta"/>
      </w:pPr>
      <w:r>
        <w:tab/>
        <w:t>(a)</w:t>
      </w:r>
      <w:r>
        <w:tab/>
        <w:t>red cell antigen blood grouping;</w:t>
      </w:r>
    </w:p>
    <w:p>
      <w:pPr>
        <w:pStyle w:val="Indenta"/>
      </w:pPr>
      <w:r>
        <w:tab/>
        <w:t>(b)</w:t>
      </w:r>
      <w:r>
        <w:tab/>
        <w:t>red cell enzyme blood grouping;</w:t>
      </w:r>
    </w:p>
    <w:p>
      <w:pPr>
        <w:pStyle w:val="Indenta"/>
      </w:pPr>
      <w:r>
        <w:tab/>
        <w:t>(c)</w:t>
      </w:r>
      <w:r>
        <w:tab/>
        <w:t>HLA tissue typing;</w:t>
      </w:r>
    </w:p>
    <w:p>
      <w:pPr>
        <w:pStyle w:val="Indenta"/>
      </w:pPr>
      <w:r>
        <w:tab/>
        <w:t>(d)</w:t>
      </w:r>
      <w:r>
        <w:tab/>
        <w:t>testing for serum markers;</w:t>
      </w:r>
    </w:p>
    <w:p>
      <w:pPr>
        <w:pStyle w:val="Indenta"/>
      </w:pPr>
      <w:r>
        <w:tab/>
        <w:t>(e)</w:t>
      </w:r>
      <w:r>
        <w:tab/>
        <w:t>DNA typing.</w:t>
      </w:r>
    </w:p>
    <w:p>
      <w:pPr>
        <w:pStyle w:val="Footnotesection"/>
      </w:pPr>
      <w:r>
        <w:tab/>
        <w:t>[Regulation 16B inserted in Gazette 28 Jan 2011 p. 244.]</w:t>
      </w:r>
    </w:p>
    <w:p>
      <w:pPr>
        <w:pStyle w:val="Heading5"/>
      </w:pPr>
      <w:bookmarkStart w:id="28" w:name="_Toc378075923"/>
      <w:r>
        <w:rPr>
          <w:rStyle w:val="CharSectno"/>
        </w:rPr>
        <w:t>16C</w:t>
      </w:r>
      <w:r>
        <w:t>.</w:t>
      </w:r>
      <w:r>
        <w:tab/>
        <w:t>Compliance with regulations</w:t>
      </w:r>
      <w:bookmarkEnd w:id="28"/>
    </w:p>
    <w:p>
      <w:pPr>
        <w:pStyle w:val="Subsection"/>
      </w:pPr>
      <w:r>
        <w:tab/>
      </w:r>
      <w:r>
        <w:tab/>
        <w:t xml:space="preserve">A parentage testing procedure is taken to be carried out in accordance with these regulations if — </w:t>
      </w:r>
    </w:p>
    <w:p>
      <w:pPr>
        <w:pStyle w:val="Indenta"/>
      </w:pPr>
      <w:r>
        <w:tab/>
        <w:t>(a)</w:t>
      </w:r>
      <w:r>
        <w:tab/>
        <w:t xml:space="preserve">it is carried out — </w:t>
      </w:r>
    </w:p>
    <w:p>
      <w:pPr>
        <w:pStyle w:val="Indenti"/>
      </w:pPr>
      <w:r>
        <w:tab/>
        <w:t>(i)</w:t>
      </w:r>
      <w:r>
        <w:tab/>
        <w:t>in compliance with Division 2; and</w:t>
      </w:r>
    </w:p>
    <w:p>
      <w:pPr>
        <w:pStyle w:val="Indenti"/>
      </w:pPr>
      <w:r>
        <w:tab/>
        <w:t>(ii)</w:t>
      </w:r>
      <w:r>
        <w:tab/>
        <w:t>at a laboratory that is accredited by NATA for the purpose of carrying out parentage testing procedures; and</w:t>
      </w:r>
    </w:p>
    <w:p>
      <w:pPr>
        <w:pStyle w:val="Indenti"/>
      </w:pPr>
      <w:r>
        <w:tab/>
        <w:t>(iii)</w:t>
      </w:r>
      <w:r>
        <w:tab/>
        <w:t>in accordance with standards of practice that entitle the laboratory to be so accredited;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 report for the procedure is prepared.</w:t>
      </w:r>
    </w:p>
    <w:p>
      <w:pPr>
        <w:pStyle w:val="Footnotesection"/>
      </w:pPr>
      <w:r>
        <w:tab/>
        <w:t>[Regulation 16C inserted in Gazette 28 Jan 2011 p. 245.]</w:t>
      </w:r>
    </w:p>
    <w:p>
      <w:pPr>
        <w:pStyle w:val="Heading3"/>
      </w:pPr>
      <w:bookmarkStart w:id="29" w:name="_Toc378075924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Collection, storage and testing of samples</w:t>
      </w:r>
      <w:bookmarkEnd w:id="29"/>
    </w:p>
    <w:p>
      <w:pPr>
        <w:pStyle w:val="Footnoteheading"/>
      </w:pPr>
      <w:r>
        <w:tab/>
        <w:t>[Heading inserted in Gazette 28 Jan 2011 p. 245.]</w:t>
      </w:r>
    </w:p>
    <w:p>
      <w:pPr>
        <w:pStyle w:val="Heading5"/>
      </w:pPr>
      <w:bookmarkStart w:id="30" w:name="_Toc378075925"/>
      <w:r>
        <w:rPr>
          <w:rStyle w:val="CharSectno"/>
        </w:rPr>
        <w:t>16D</w:t>
      </w:r>
      <w:r>
        <w:t>.</w:t>
      </w:r>
      <w:r>
        <w:tab/>
        <w:t>Bodily samples, who may take</w:t>
      </w:r>
      <w:bookmarkEnd w:id="30"/>
    </w:p>
    <w:p>
      <w:pPr>
        <w:pStyle w:val="Subsection"/>
      </w:pPr>
      <w:r>
        <w:tab/>
      </w:r>
      <w:r>
        <w:tab/>
        <w:t xml:space="preserve">A person must not take a bodily sample from a donor for the purposes of a parentage testing procedure unless — </w:t>
      </w:r>
    </w:p>
    <w:p>
      <w:pPr>
        <w:pStyle w:val="Indenta"/>
      </w:pPr>
      <w:r>
        <w:tab/>
        <w:t>(a)</w:t>
      </w:r>
      <w:r>
        <w:tab/>
        <w:t>the person is a medical practitioner; or</w:t>
      </w:r>
    </w:p>
    <w:p>
      <w:pPr>
        <w:pStyle w:val="Indenta"/>
      </w:pPr>
      <w:r>
        <w:tab/>
        <w:t>(b)</w:t>
      </w:r>
      <w:r>
        <w:tab/>
        <w:t>the person is employed by a hospital, a pathology practice, a parentage testing practice or a medical practitioner for the purpose of taking a bodily sample from a donor.</w:t>
      </w:r>
    </w:p>
    <w:p>
      <w:pPr>
        <w:pStyle w:val="Footnotesection"/>
      </w:pPr>
      <w:r>
        <w:tab/>
        <w:t>[Regulation 16D inserted in Gazette 28 Jan 2011 p. 245.]</w:t>
      </w:r>
    </w:p>
    <w:p>
      <w:pPr>
        <w:pStyle w:val="Heading5"/>
      </w:pPr>
      <w:bookmarkStart w:id="31" w:name="_Toc378075926"/>
      <w:r>
        <w:rPr>
          <w:rStyle w:val="CharSectno"/>
        </w:rPr>
        <w:t>16E</w:t>
      </w:r>
      <w:r>
        <w:t>.</w:t>
      </w:r>
      <w:r>
        <w:tab/>
        <w:t>Information about donor to be given before bodily sample taken</w:t>
      </w:r>
      <w:bookmarkEnd w:id="31"/>
    </w:p>
    <w:p>
      <w:pPr>
        <w:pStyle w:val="Subsection"/>
      </w:pPr>
      <w:r>
        <w:tab/>
        <w:t>(1)</w:t>
      </w:r>
      <w:r>
        <w:tab/>
        <w:t xml:space="preserve">A sampler must not take a bodily sample from a donor unless the donor or, if subregulation (3) applies, a person who, under subregulation (3) can complete an affidavit, has — </w:t>
      </w:r>
    </w:p>
    <w:p>
      <w:pPr>
        <w:pStyle w:val="Indenta"/>
      </w:pPr>
      <w:r>
        <w:tab/>
        <w:t>(a)</w:t>
      </w:r>
      <w:r>
        <w:tab/>
        <w:t>immediately before the sampler takes the bodily sample, completed an affidavit in the form of Schedule 1 Form 4, to which is attached a recent photograph of the donor named in the affidavit; and</w:t>
      </w:r>
    </w:p>
    <w:p>
      <w:pPr>
        <w:pStyle w:val="Indenta"/>
        <w:keepNext/>
      </w:pPr>
      <w:r>
        <w:tab/>
        <w:t>(b)</w:t>
      </w:r>
      <w:r>
        <w:tab/>
        <w:t xml:space="preserve">either — </w:t>
      </w:r>
    </w:p>
    <w:p>
      <w:pPr>
        <w:pStyle w:val="Indenti"/>
      </w:pPr>
      <w:r>
        <w:tab/>
        <w:t>(i)</w:t>
      </w:r>
      <w:r>
        <w:tab/>
        <w:t>provided to the sampler a recent photograph of the donor, measuring approximately 45 mm by 35 mm, that shows a full face view of the donor’s head and the donor’s shoulders against a plain background; or</w:t>
      </w:r>
    </w:p>
    <w:p>
      <w:pPr>
        <w:pStyle w:val="Indenti"/>
      </w:pPr>
      <w:r>
        <w:tab/>
        <w:t>(ii)</w:t>
      </w:r>
      <w:r>
        <w:tab/>
        <w:t>made a written arrangement with the sampler for a photograph of that kind to be taken.</w:t>
      </w:r>
    </w:p>
    <w:p>
      <w:pPr>
        <w:pStyle w:val="Subsection"/>
      </w:pPr>
      <w:r>
        <w:tab/>
        <w:t>(2)</w:t>
      </w:r>
      <w:r>
        <w:tab/>
        <w:t>The photograph required by subregulation (1)(b) is in addition to the photograph that is required to be attached to Form 4.</w:t>
      </w:r>
    </w:p>
    <w:p>
      <w:pPr>
        <w:pStyle w:val="Subsection"/>
      </w:pPr>
      <w:r>
        <w:tab/>
        <w:t>(3)</w:t>
      </w:r>
      <w:r>
        <w:tab/>
        <w:t xml:space="preserve">If the donor is a child or a represented person the affidavit referred to in subregulation (1)(a) may be completed only by — </w:t>
      </w:r>
    </w:p>
    <w:p>
      <w:pPr>
        <w:pStyle w:val="Indenta"/>
      </w:pPr>
      <w:r>
        <w:tab/>
        <w:t>(a)</w:t>
      </w:r>
      <w:r>
        <w:tab/>
        <w:t>in the case of a child, a person who is a responsible person for the child; or</w:t>
      </w:r>
    </w:p>
    <w:p>
      <w:pPr>
        <w:pStyle w:val="Indenta"/>
      </w:pPr>
      <w:r>
        <w:tab/>
        <w:t>(b)</w:t>
      </w:r>
      <w:r>
        <w:tab/>
        <w:t>in the case of a represented person, a person who is a guardian of the represented person.</w:t>
      </w:r>
    </w:p>
    <w:p>
      <w:pPr>
        <w:pStyle w:val="Footnotesection"/>
      </w:pPr>
      <w:r>
        <w:tab/>
        <w:t>[Regulation 16E inserted in Gazette 28 Jan 2011 p. 245-6.]</w:t>
      </w:r>
    </w:p>
    <w:p>
      <w:pPr>
        <w:pStyle w:val="Heading5"/>
      </w:pPr>
      <w:bookmarkStart w:id="32" w:name="_Toc378075927"/>
      <w:r>
        <w:rPr>
          <w:rStyle w:val="CharSectno"/>
        </w:rPr>
        <w:t>16F</w:t>
      </w:r>
      <w:r>
        <w:t>.</w:t>
      </w:r>
      <w:r>
        <w:tab/>
        <w:t>Blood samples, taking of</w:t>
      </w:r>
      <w:bookmarkEnd w:id="32"/>
    </w:p>
    <w:p>
      <w:pPr>
        <w:pStyle w:val="Subsection"/>
      </w:pPr>
      <w:r>
        <w:tab/>
        <w:t>(1)</w:t>
      </w:r>
      <w:r>
        <w:tab/>
        <w:t xml:space="preserve">A sampler may take a sample of blood from a donor only with a needle or syringe that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sterilised; and</w:t>
      </w:r>
    </w:p>
    <w:p>
      <w:pPr>
        <w:pStyle w:val="Indenta"/>
      </w:pPr>
      <w:r>
        <w:tab/>
        <w:t>(c)</w:t>
      </w:r>
      <w:r>
        <w:tab/>
        <w:t>is disposable.</w:t>
      </w:r>
    </w:p>
    <w:p>
      <w:pPr>
        <w:pStyle w:val="Subsection"/>
      </w:pPr>
      <w:r>
        <w:tab/>
        <w:t>(2)</w:t>
      </w:r>
      <w:r>
        <w:tab/>
        <w:t>Before taking a sample of blood from a donor, the sampler must ensure that the area of the donor’s skin into which the needle is to be inserted to withdraw the blood has been cleaned with an antiseptic.</w:t>
      </w:r>
    </w:p>
    <w:p>
      <w:pPr>
        <w:pStyle w:val="Footnotesection"/>
      </w:pPr>
      <w:r>
        <w:tab/>
        <w:t>[Regulation 16F inserted in Gazette 28 Jan 2011 p. 246.]</w:t>
      </w:r>
    </w:p>
    <w:p>
      <w:pPr>
        <w:pStyle w:val="Heading5"/>
      </w:pPr>
      <w:bookmarkStart w:id="33" w:name="_Toc378075928"/>
      <w:r>
        <w:rPr>
          <w:rStyle w:val="CharSectno"/>
        </w:rPr>
        <w:t>16G</w:t>
      </w:r>
      <w:r>
        <w:t>.</w:t>
      </w:r>
      <w:r>
        <w:tab/>
        <w:t>Bodily samples for DNA typing, taking of</w:t>
      </w:r>
      <w:bookmarkEnd w:id="33"/>
    </w:p>
    <w:p>
      <w:pPr>
        <w:pStyle w:val="Subsection"/>
      </w:pPr>
      <w:r>
        <w:tab/>
        <w:t>(1)</w:t>
      </w:r>
      <w:r>
        <w:tab/>
        <w:t>This regulation applies to the taking of a bodily sample other than a sample of blood from a donor for the purposes of a parentage testing procedure that is DNA typing.</w:t>
      </w:r>
    </w:p>
    <w:p>
      <w:pPr>
        <w:pStyle w:val="Subsection"/>
      </w:pPr>
      <w:r>
        <w:tab/>
        <w:t>(2)</w:t>
      </w:r>
      <w:r>
        <w:tab/>
        <w:t xml:space="preserve">A sampler must not take a bodily sample from a donor with a swab unless the swab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sterilised.</w:t>
      </w:r>
    </w:p>
    <w:p>
      <w:pPr>
        <w:pStyle w:val="Subsection"/>
      </w:pPr>
      <w:r>
        <w:tab/>
        <w:t>(3)</w:t>
      </w:r>
      <w:r>
        <w:tab/>
        <w:t>If the bodily sample to be taken from a donor is a skin scraping or a hair root, the implement used by the sampler to take the sample must have been sterilised before use.</w:t>
      </w:r>
    </w:p>
    <w:p>
      <w:pPr>
        <w:pStyle w:val="Footnotesection"/>
      </w:pPr>
      <w:r>
        <w:tab/>
        <w:t>[Regulation 16G inserted in Gazette 28 Jan 2011 p. 246.]</w:t>
      </w:r>
    </w:p>
    <w:p>
      <w:pPr>
        <w:pStyle w:val="Heading5"/>
      </w:pPr>
      <w:bookmarkStart w:id="34" w:name="_Toc378075929"/>
      <w:r>
        <w:rPr>
          <w:rStyle w:val="CharSectno"/>
        </w:rPr>
        <w:t>16H</w:t>
      </w:r>
      <w:r>
        <w:t>.</w:t>
      </w:r>
      <w:r>
        <w:tab/>
        <w:t>Bodily samples, procedure for dealing with immediately after taking</w:t>
      </w:r>
      <w:bookmarkEnd w:id="34"/>
    </w:p>
    <w:p>
      <w:pPr>
        <w:pStyle w:val="Subsection"/>
      </w:pPr>
      <w:r>
        <w:tab/>
        <w:t>(1)</w:t>
      </w:r>
      <w:r>
        <w:tab/>
        <w:t xml:space="preserve">If a bodily sample is taken from a donor the sampler must ensure that — </w:t>
      </w:r>
    </w:p>
    <w:p>
      <w:pPr>
        <w:pStyle w:val="Indenta"/>
      </w:pPr>
      <w:r>
        <w:tab/>
        <w:t>(a)</w:t>
      </w:r>
      <w:r>
        <w:tab/>
        <w:t xml:space="preserve">the sample is placed in a container — </w:t>
      </w:r>
    </w:p>
    <w:p>
      <w:pPr>
        <w:pStyle w:val="Indenti"/>
      </w:pPr>
      <w:r>
        <w:tab/>
        <w:t>(i)</w:t>
      </w:r>
      <w:r>
        <w:tab/>
        <w:t>immediately after it is taken; and</w:t>
      </w:r>
    </w:p>
    <w:p>
      <w:pPr>
        <w:pStyle w:val="Indenti"/>
      </w:pPr>
      <w:r>
        <w:tab/>
        <w:t>(ii)</w:t>
      </w:r>
      <w:r>
        <w:tab/>
        <w:t>in the presence of the donor;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container has not previously been used for any purpose; and</w:t>
      </w:r>
    </w:p>
    <w:p>
      <w:pPr>
        <w:pStyle w:val="Indenta"/>
      </w:pPr>
      <w:r>
        <w:tab/>
        <w:t>(c)</w:t>
      </w:r>
      <w:r>
        <w:tab/>
        <w:t>the container is sealed in a way that, if it were opened after being sealed, that fact would be evident on inspection of the container; and</w:t>
      </w:r>
    </w:p>
    <w:p>
      <w:pPr>
        <w:pStyle w:val="Indenta"/>
      </w:pPr>
      <w:r>
        <w:tab/>
        <w:t>(d)</w:t>
      </w:r>
      <w:r>
        <w:tab/>
        <w:t xml:space="preserve">the container is labelled in a way that — </w:t>
      </w:r>
    </w:p>
    <w:p>
      <w:pPr>
        <w:pStyle w:val="Indenti"/>
      </w:pPr>
      <w:r>
        <w:tab/>
        <w:t>(i)</w:t>
      </w:r>
      <w:r>
        <w:tab/>
        <w:t>if the label, or any part of the label, were removed; or</w:t>
      </w:r>
    </w:p>
    <w:p>
      <w:pPr>
        <w:pStyle w:val="Indenti"/>
        <w:keepNext/>
      </w:pPr>
      <w:r>
        <w:tab/>
        <w:t>(ii)</w:t>
      </w:r>
      <w:r>
        <w:tab/>
        <w:t>if writing on the label were impaired by alteration or erasure,</w:t>
      </w:r>
    </w:p>
    <w:p>
      <w:pPr>
        <w:pStyle w:val="Indenta"/>
      </w:pPr>
      <w:r>
        <w:tab/>
      </w:r>
      <w:r>
        <w:tab/>
        <w:t>the removal of the label, or the impairment, would be evident on inspection of the container; and</w:t>
      </w:r>
    </w:p>
    <w:p>
      <w:pPr>
        <w:pStyle w:val="Indenta"/>
      </w:pPr>
      <w:r>
        <w:tab/>
        <w:t>(e)</w:t>
      </w:r>
      <w:r>
        <w:tab/>
        <w:t xml:space="preserve">the particulars on the label are inscribed in ink and include — </w:t>
      </w:r>
    </w:p>
    <w:p>
      <w:pPr>
        <w:pStyle w:val="Indenti"/>
      </w:pPr>
      <w:r>
        <w:tab/>
        <w:t>(i)</w:t>
      </w:r>
      <w:r>
        <w:tab/>
        <w:t>the full name of the donor; and</w:t>
      </w:r>
    </w:p>
    <w:p>
      <w:pPr>
        <w:pStyle w:val="Indenti"/>
      </w:pPr>
      <w:r>
        <w:tab/>
        <w:t>(ii)</w:t>
      </w:r>
      <w:r>
        <w:tab/>
        <w:t>the date of birth and the sex of the donor; and</w:t>
      </w:r>
    </w:p>
    <w:p>
      <w:pPr>
        <w:pStyle w:val="Indenti"/>
      </w:pPr>
      <w:r>
        <w:tab/>
        <w:t>(iii)</w:t>
      </w:r>
      <w:r>
        <w:tab/>
        <w:t>the date and time at which the sample was taken;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(f)</w:t>
      </w:r>
      <w:r>
        <w:tab/>
        <w:t>when paragraph (e) is complied with, the sampler and the donor sign the label, in ink.</w:t>
      </w:r>
    </w:p>
    <w:p>
      <w:pPr>
        <w:pStyle w:val="Subsection"/>
      </w:pPr>
      <w:r>
        <w:tab/>
        <w:t>(2)</w:t>
      </w:r>
      <w:r>
        <w:tab/>
        <w:t xml:space="preserve">If the donor is a child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responsible person for the child;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satisfied only if a person who is a responsible person for the child signs the label.</w:t>
      </w:r>
    </w:p>
    <w:p>
      <w:pPr>
        <w:pStyle w:val="Subsection"/>
      </w:pPr>
      <w:r>
        <w:tab/>
        <w:t>(3)</w:t>
      </w:r>
      <w:r>
        <w:tab/>
        <w:t xml:space="preserve">If the donor is a represented person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guardian of the represented person;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complied with only if the label is signed by a person who is a guardian of the represented person.</w:t>
      </w:r>
    </w:p>
    <w:p>
      <w:pPr>
        <w:pStyle w:val="Footnotesection"/>
      </w:pPr>
      <w:r>
        <w:tab/>
        <w:t>[Regulation 16H inserted in Gazette 28 Jan 2011 p. 246-7.]</w:t>
      </w:r>
    </w:p>
    <w:p>
      <w:pPr>
        <w:pStyle w:val="Heading5"/>
      </w:pPr>
      <w:bookmarkStart w:id="35" w:name="_Toc378075930"/>
      <w:r>
        <w:rPr>
          <w:rStyle w:val="CharSectno"/>
        </w:rPr>
        <w:t>16I</w:t>
      </w:r>
      <w:r>
        <w:t>.</w:t>
      </w:r>
      <w:r>
        <w:tab/>
        <w:t>Sampler’s  duties after taking bodily sample</w:t>
      </w:r>
      <w:bookmarkEnd w:id="35"/>
    </w:p>
    <w:p>
      <w:pPr>
        <w:pStyle w:val="Subsection"/>
      </w:pPr>
      <w:r>
        <w:tab/>
      </w:r>
      <w:r>
        <w:tab/>
        <w:t xml:space="preserve">After taking a bodily sample from a donor, the sampler must — </w:t>
      </w:r>
    </w:p>
    <w:p>
      <w:pPr>
        <w:pStyle w:val="Indenta"/>
      </w:pPr>
      <w:r>
        <w:tab/>
        <w:t>(a)</w:t>
      </w:r>
      <w:r>
        <w:tab/>
        <w:t>complete a statement in the form of Schedule 1 Form 5; and</w:t>
      </w:r>
    </w:p>
    <w:p>
      <w:pPr>
        <w:pStyle w:val="Indenta"/>
      </w:pPr>
      <w:r>
        <w:tab/>
        <w:t>(b)</w:t>
      </w:r>
      <w:r>
        <w:tab/>
        <w:t>affix the photograph of the donor referred to in regulation 16E(1)(b) to the statement; and</w:t>
      </w:r>
    </w:p>
    <w:p>
      <w:pPr>
        <w:pStyle w:val="Indenta"/>
      </w:pPr>
      <w:r>
        <w:tab/>
        <w:t>(c)</w:t>
      </w:r>
      <w:r>
        <w:tab/>
        <w:t>sign his or her name partly on the photograph and partly on the statement in a way that, if the photograph were later removed from the statement, the removal would be evident from inspection of the statement.</w:t>
      </w:r>
    </w:p>
    <w:p>
      <w:pPr>
        <w:pStyle w:val="Footnotesection"/>
      </w:pPr>
      <w:r>
        <w:tab/>
        <w:t>[Regulation 16I inserted in Gazette 28 Jan 2011 p. 247-8.]</w:t>
      </w:r>
    </w:p>
    <w:p>
      <w:pPr>
        <w:pStyle w:val="Heading5"/>
      </w:pPr>
      <w:bookmarkStart w:id="36" w:name="_Toc378075931"/>
      <w:r>
        <w:rPr>
          <w:rStyle w:val="CharSectno"/>
        </w:rPr>
        <w:t>16J</w:t>
      </w:r>
      <w:r>
        <w:t>.</w:t>
      </w:r>
      <w:r>
        <w:tab/>
        <w:t>Packing, storing and transporting bodily samples for testing</w:t>
      </w:r>
      <w:bookmarkEnd w:id="36"/>
    </w:p>
    <w:p>
      <w:pPr>
        <w:pStyle w:val="Subsection"/>
      </w:pPr>
      <w:r>
        <w:tab/>
        <w:t>(1)</w:t>
      </w:r>
      <w:r>
        <w:tab/>
        <w:t xml:space="preserve">A bodily sample must be packed, stored and transported to a laboratory for testing in a manner that — </w:t>
      </w:r>
    </w:p>
    <w:p>
      <w:pPr>
        <w:pStyle w:val="Indenta"/>
      </w:pPr>
      <w:r>
        <w:tab/>
        <w:t>(a)</w:t>
      </w:r>
      <w:r>
        <w:tab/>
        <w:t>will preserve the integrity of the sample; and</w:t>
      </w:r>
    </w:p>
    <w:p>
      <w:pPr>
        <w:pStyle w:val="Indenta"/>
      </w:pPr>
      <w:r>
        <w:tab/>
        <w:t>(b)</w:t>
      </w:r>
      <w:r>
        <w:tab/>
        <w:t>ensures that the testing of the sample will produce the same results as would have been obtained if the sample had been tested immediately after collection.</w:t>
      </w:r>
    </w:p>
    <w:p>
      <w:pPr>
        <w:pStyle w:val="Subsection"/>
      </w:pPr>
      <w:r>
        <w:tab/>
        <w:t>(2)</w:t>
      </w:r>
      <w:r>
        <w:tab/>
        <w:t xml:space="preserve">The sampler must ensure that the following documents are sent to the laboratory with the sample — </w:t>
      </w:r>
    </w:p>
    <w:p>
      <w:pPr>
        <w:pStyle w:val="Indenta"/>
      </w:pPr>
      <w:r>
        <w:tab/>
        <w:t>(a)</w:t>
      </w:r>
      <w:r>
        <w:tab/>
        <w:t>the affidavit completed under regulation 16E(1)(a);</w:t>
      </w:r>
    </w:p>
    <w:p>
      <w:pPr>
        <w:pStyle w:val="Indenta"/>
      </w:pPr>
      <w:r>
        <w:tab/>
        <w:t>(b)</w:t>
      </w:r>
      <w:r>
        <w:tab/>
        <w:t>the statement completed under regulation 16I.</w:t>
      </w:r>
    </w:p>
    <w:p>
      <w:pPr>
        <w:pStyle w:val="Footnotesection"/>
      </w:pPr>
      <w:r>
        <w:tab/>
        <w:t>[Regulation 16J inserted in Gazette 28 Jan 2011 p. 248.]</w:t>
      </w:r>
    </w:p>
    <w:p>
      <w:pPr>
        <w:pStyle w:val="Heading5"/>
      </w:pPr>
      <w:bookmarkStart w:id="37" w:name="_Toc378075932"/>
      <w:r>
        <w:rPr>
          <w:rStyle w:val="CharSectno"/>
        </w:rPr>
        <w:t>16K</w:t>
      </w:r>
      <w:r>
        <w:t>.</w:t>
      </w:r>
      <w:r>
        <w:tab/>
        <w:t>Time for testing bodily samples</w:t>
      </w:r>
      <w:bookmarkEnd w:id="37"/>
    </w:p>
    <w:p>
      <w:pPr>
        <w:pStyle w:val="Subsection"/>
      </w:pPr>
      <w:r>
        <w:tab/>
        <w:t>(1)</w:t>
      </w:r>
      <w:r>
        <w:tab/>
        <w:t xml:space="preserve">A laboratory to which a bodily sample has been sent for testing must ensure that the testing is completed — </w:t>
      </w:r>
    </w:p>
    <w:p>
      <w:pPr>
        <w:pStyle w:val="Indenta"/>
      </w:pPr>
      <w:r>
        <w:tab/>
        <w:t>(a)</w:t>
      </w:r>
      <w:r>
        <w:tab/>
        <w:t>if the proposed procedure is red cell antigen blood grouping, red cell enzyme blood grouping or testing for serum markers, within 6 days after the sample is taken; or</w:t>
      </w:r>
    </w:p>
    <w:p>
      <w:pPr>
        <w:pStyle w:val="Indenta"/>
      </w:pPr>
      <w:r>
        <w:tab/>
        <w:t>(b)</w:t>
      </w:r>
      <w:r>
        <w:tab/>
        <w:t>if the proposed procedure is HLA tissue typing, within 3 days after the sample is taken; or</w:t>
      </w:r>
    </w:p>
    <w:p>
      <w:pPr>
        <w:pStyle w:val="Indenta"/>
      </w:pPr>
      <w:r>
        <w:tab/>
        <w:t>(c)</w:t>
      </w:r>
      <w:r>
        <w:tab/>
        <w:t>if the proposed procedure is DNA typing, within a reasonable time after the sample is taken.</w:t>
      </w:r>
    </w:p>
    <w:p>
      <w:pPr>
        <w:pStyle w:val="Subsection"/>
      </w:pPr>
      <w:r>
        <w:tab/>
        <w:t>(2)</w:t>
      </w:r>
      <w:r>
        <w:tab/>
        <w:t>If the proposed procedure is red cell enzyme blood grouping or testing for serum markers, subregulation (1)(a) is complied with if a dried sample of the bodily sample to be tested is prepared within 6 days after the sample is taken from the donor.</w:t>
      </w:r>
    </w:p>
    <w:p>
      <w:pPr>
        <w:pStyle w:val="Footnotesection"/>
      </w:pPr>
      <w:r>
        <w:tab/>
        <w:t>[Regulation 16K inserted in Gazette 28 Jan 2011 p. 248.]</w:t>
      </w:r>
    </w:p>
    <w:p>
      <w:pPr>
        <w:pStyle w:val="Heading3"/>
      </w:pPr>
      <w:bookmarkStart w:id="38" w:name="_Toc378075933"/>
      <w:r>
        <w:rPr>
          <w:rStyle w:val="CharDivNo"/>
        </w:rPr>
        <w:t>Division 3</w:t>
      </w:r>
      <w:r>
        <w:t> — </w:t>
      </w:r>
      <w:r>
        <w:rPr>
          <w:rStyle w:val="CharDivText"/>
        </w:rPr>
        <w:t>Reports</w:t>
      </w:r>
      <w:bookmarkEnd w:id="38"/>
    </w:p>
    <w:p>
      <w:pPr>
        <w:pStyle w:val="Footnoteheading"/>
        <w:keepNext/>
      </w:pPr>
      <w:r>
        <w:tab/>
        <w:t>[Heading inserted in Gazette 28 Jan 2011 p. 248.]</w:t>
      </w:r>
    </w:p>
    <w:p>
      <w:pPr>
        <w:pStyle w:val="Heading5"/>
      </w:pPr>
      <w:bookmarkStart w:id="39" w:name="_Toc378075934"/>
      <w:r>
        <w:rPr>
          <w:rStyle w:val="CharSectno"/>
        </w:rPr>
        <w:t>16L</w:t>
      </w:r>
      <w:r>
        <w:t>.</w:t>
      </w:r>
      <w:r>
        <w:tab/>
        <w:t>Reports of testing (Act s. 136H(b))</w:t>
      </w:r>
      <w:bookmarkEnd w:id="39"/>
    </w:p>
    <w:p>
      <w:pPr>
        <w:pStyle w:val="Subsection"/>
      </w:pPr>
      <w:r>
        <w:tab/>
        <w:t>(1)</w:t>
      </w:r>
      <w:r>
        <w:tab/>
        <w:t>For the purposes of section 136H(b) a report must be prepared, in accordance with this regulation, relating to the information obtained as a result of carrying out a parentage testing procedure.</w:t>
      </w:r>
    </w:p>
    <w:p>
      <w:pPr>
        <w:pStyle w:val="Subsection"/>
      </w:pPr>
      <w:r>
        <w:tab/>
        <w:t>(2)</w:t>
      </w:r>
      <w:r>
        <w:tab/>
        <w:t>The report must be in the form of Schedule 1 Form 6.</w:t>
      </w:r>
    </w:p>
    <w:p>
      <w:pPr>
        <w:pStyle w:val="Subsection"/>
      </w:pPr>
      <w:r>
        <w:tab/>
        <w:t>(3)</w:t>
      </w:r>
      <w:r>
        <w:tab/>
        <w:t>Part I of the report must be completed by the nominated reporter identified in the report.</w:t>
      </w:r>
    </w:p>
    <w:p>
      <w:pPr>
        <w:pStyle w:val="Subsection"/>
      </w:pPr>
      <w:r>
        <w:tab/>
        <w:t>(4)</w:t>
      </w:r>
      <w:r>
        <w:tab/>
        <w:t xml:space="preserve">Part II of the report must be completed by — </w:t>
      </w:r>
    </w:p>
    <w:p>
      <w:pPr>
        <w:pStyle w:val="Indenta"/>
      </w:pPr>
      <w:r>
        <w:tab/>
        <w:t>(a)</w:t>
      </w:r>
      <w:r>
        <w:tab/>
        <w:t>the person who carried out the parentage testing procedure; or</w:t>
      </w:r>
    </w:p>
    <w:p>
      <w:pPr>
        <w:pStyle w:val="Indenta"/>
      </w:pPr>
      <w:r>
        <w:tab/>
        <w:t>(b)</w:t>
      </w:r>
      <w:r>
        <w:tab/>
        <w:t>the person under whose supervision the parentage testing procedure was carried out.</w:t>
      </w:r>
    </w:p>
    <w:p>
      <w:pPr>
        <w:pStyle w:val="Subsection"/>
      </w:pPr>
      <w:r>
        <w:tab/>
        <w:t>(5)</w:t>
      </w:r>
      <w:r>
        <w:tab/>
        <w:t>A report completed otherwise than in accordance with this regulation is taken to be of no effect.</w:t>
      </w:r>
    </w:p>
    <w:p>
      <w:pPr>
        <w:pStyle w:val="Footnotesection"/>
      </w:pPr>
      <w:r>
        <w:tab/>
        <w:t>[Regulation 16L inserted in Gazette 28 Jan 2011 p. 248-9.]</w:t>
      </w:r>
    </w:p>
    <w:p>
      <w:pPr>
        <w:pStyle w:val="Heading2"/>
      </w:pPr>
      <w:bookmarkStart w:id="40" w:name="_Toc378075935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40"/>
    </w:p>
    <w:p>
      <w:pPr>
        <w:pStyle w:val="Heading5"/>
      </w:pPr>
      <w:bookmarkStart w:id="41" w:name="_Toc378075936"/>
      <w:r>
        <w:rPr>
          <w:rStyle w:val="CharSectno"/>
        </w:rPr>
        <w:t>16</w:t>
      </w:r>
      <w:r>
        <w:t>.</w:t>
      </w:r>
      <w:r>
        <w:tab/>
        <w:t>Terms used</w:t>
      </w:r>
      <w:bookmarkEnd w:id="41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42" w:name="_Toc378075937"/>
      <w:r>
        <w:rPr>
          <w:rStyle w:val="CharSectno"/>
        </w:rPr>
        <w:t>17</w:t>
      </w:r>
      <w:r>
        <w:t>.</w:t>
      </w:r>
      <w:r>
        <w:tab/>
        <w:t>Appointing people to provide reports (Act s. 139)</w:t>
      </w:r>
      <w:bookmarkEnd w:id="42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43" w:name="_Toc378075938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43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44" w:name="_Toc378075939"/>
      <w:r>
        <w:rPr>
          <w:rStyle w:val="CharSectno"/>
        </w:rPr>
        <w:t>19</w:t>
      </w:r>
      <w:r>
        <w:t>.</w:t>
      </w:r>
      <w:r>
        <w:tab/>
        <w:t>Terms and conditions of appointment under Act s. 139</w:t>
      </w:r>
      <w:bookmarkEnd w:id="44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45" w:name="_Toc378075940"/>
      <w:r>
        <w:rPr>
          <w:rStyle w:val="CharSectno"/>
        </w:rPr>
        <w:t>20</w:t>
      </w:r>
      <w:r>
        <w:t>.</w:t>
      </w:r>
      <w:r>
        <w:tab/>
        <w:t>Costs of report</w:t>
      </w:r>
      <w:bookmarkEnd w:id="45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46" w:name="_Toc378075941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46"/>
    </w:p>
    <w:p>
      <w:pPr>
        <w:pStyle w:val="Heading5"/>
      </w:pPr>
      <w:bookmarkStart w:id="47" w:name="_Toc378075942"/>
      <w:r>
        <w:rPr>
          <w:rStyle w:val="CharSectno"/>
        </w:rPr>
        <w:t>20A</w:t>
      </w:r>
      <w:r>
        <w:t>.</w:t>
      </w:r>
      <w:r>
        <w:tab/>
        <w:t>Prescribed authorities (Act s. 24A(1))</w:t>
      </w:r>
      <w:bookmarkEnd w:id="47"/>
    </w:p>
    <w:p>
      <w:pPr>
        <w:pStyle w:val="Subsection"/>
      </w:pPr>
      <w:r>
        <w:tab/>
      </w:r>
      <w:r>
        <w:tab/>
        <w:t xml:space="preserve">The following agencies are prescribed for the purposes of the definition of </w:t>
      </w:r>
      <w:r>
        <w:rPr>
          <w:b/>
          <w:bCs/>
          <w:i/>
          <w:iCs/>
        </w:rPr>
        <w:t>prescribed authority</w:t>
      </w:r>
      <w:r>
        <w:t xml:space="preserve"> in section 24A(1) — </w:t>
      </w:r>
    </w:p>
    <w:p>
      <w:pPr>
        <w:pStyle w:val="Indenta"/>
      </w:pPr>
      <w:r>
        <w:tab/>
        <w:t>(a)</w:t>
      </w:r>
      <w:r>
        <w:tab/>
        <w:t xml:space="preserve">the department of the Public Service principally assisting in the administration of the </w:t>
      </w:r>
      <w:r>
        <w:rPr>
          <w:i/>
        </w:rPr>
        <w:t>Aboriginal Heritage Act 1972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department of the Public Service principally assisting in the administration of the </w:t>
      </w:r>
      <w:r>
        <w:rPr>
          <w:i/>
        </w:rPr>
        <w:t>Births, Deaths and Marriages Registration Act 1998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department of the Public Service principally assisting in the administration of the </w:t>
      </w:r>
      <w:r>
        <w:rPr>
          <w:i/>
        </w:rPr>
        <w:t>Child Care Services Act 2007</w:t>
      </w:r>
      <w:r>
        <w:t>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Health Legislation Administration Act 1984</w:t>
      </w:r>
      <w:r>
        <w:rPr>
          <w:iCs/>
        </w:rPr>
        <w:t>;</w:t>
      </w:r>
    </w:p>
    <w:p>
      <w:pPr>
        <w:pStyle w:val="Indenta"/>
      </w:pPr>
      <w:r>
        <w:tab/>
        <w:t>(e)</w:t>
      </w:r>
      <w:r>
        <w:tab/>
        <w:t xml:space="preserve">the department of the Public Service principally assisting in the administration of the </w:t>
      </w:r>
      <w:r>
        <w:rPr>
          <w:i/>
        </w:rPr>
        <w:t>Higher Education Act 2004</w:t>
      </w:r>
      <w:r>
        <w:t>;</w:t>
      </w:r>
    </w:p>
    <w:p>
      <w:pPr>
        <w:pStyle w:val="Indenta"/>
      </w:pPr>
      <w:r>
        <w:tab/>
        <w:t>(f)</w:t>
      </w:r>
      <w:r>
        <w:tab/>
        <w:t xml:space="preserve">the department of the Public Service principally assisting in the administration of the </w:t>
      </w:r>
      <w:r>
        <w:rPr>
          <w:i/>
        </w:rPr>
        <w:t>Housing Act 1980</w:t>
      </w:r>
      <w:r>
        <w:t>;</w:t>
      </w:r>
    </w:p>
    <w:p>
      <w:pPr>
        <w:pStyle w:val="Indenta"/>
      </w:pPr>
      <w:r>
        <w:tab/>
        <w:t>(g)</w:t>
      </w:r>
      <w:r>
        <w:tab/>
        <w:t xml:space="preserve">the department of the Public Service principally assisting in the administration of the </w:t>
      </w:r>
      <w:r>
        <w:rPr>
          <w:i/>
        </w:rPr>
        <w:t>Prisons Act 1981</w:t>
      </w:r>
      <w:r>
        <w:t>;</w:t>
      </w:r>
    </w:p>
    <w:p>
      <w:pPr>
        <w:pStyle w:val="Indenta"/>
      </w:pPr>
      <w:r>
        <w:tab/>
        <w:t>(h)</w:t>
      </w:r>
      <w:r>
        <w:tab/>
        <w:t xml:space="preserve">the department of the Public Service principally assisting in the administration of the </w:t>
      </w:r>
      <w:r>
        <w:rPr>
          <w:i/>
        </w:rPr>
        <w:t>School Education Act </w:t>
      </w:r>
      <w:r>
        <w:rPr>
          <w:i/>
          <w:iCs/>
        </w:rPr>
        <w:t>1999</w:t>
      </w:r>
      <w:r>
        <w:t>;</w:t>
      </w:r>
    </w:p>
    <w:p>
      <w:pPr>
        <w:pStyle w:val="Indenta"/>
      </w:pPr>
      <w:r>
        <w:tab/>
        <w:t>(i)</w:t>
      </w:r>
      <w:r>
        <w:tab/>
        <w:t>the department of the Public Service designated as the Mental Health Commission;</w:t>
      </w:r>
    </w:p>
    <w:p>
      <w:pPr>
        <w:pStyle w:val="Indenta"/>
      </w:pPr>
      <w:r>
        <w:tab/>
        <w:t>(j)</w:t>
      </w:r>
      <w:r>
        <w:tab/>
        <w:t>the department of the Public Service designated as the Police Service;</w:t>
      </w:r>
    </w:p>
    <w:p>
      <w:pPr>
        <w:pStyle w:val="Indenta"/>
      </w:pPr>
      <w:r>
        <w:tab/>
        <w:t>(k)</w:t>
      </w:r>
      <w:r>
        <w:tab/>
        <w:t xml:space="preserve">the Disability Services Commission referred to in the </w:t>
      </w:r>
      <w:r>
        <w:rPr>
          <w:i/>
        </w:rPr>
        <w:t>Disability Services Act 1993</w:t>
      </w:r>
      <w:r>
        <w:t xml:space="preserve"> section 6;</w:t>
      </w:r>
    </w:p>
    <w:p>
      <w:pPr>
        <w:pStyle w:val="Indenta"/>
      </w:pPr>
      <w:r>
        <w:tab/>
        <w:t>(la)</w:t>
      </w:r>
      <w:r>
        <w:tab/>
        <w:t xml:space="preserve">the Police Force of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>;</w:t>
      </w:r>
    </w:p>
    <w:p>
      <w:pPr>
        <w:pStyle w:val="Indenta"/>
      </w:pPr>
      <w:r>
        <w:tab/>
        <w:t>(l)</w:t>
      </w:r>
      <w:r>
        <w:tab/>
        <w:t xml:space="preserve">the Western Australian Alcohol and Drug Authority established under the </w:t>
      </w:r>
      <w:r>
        <w:rPr>
          <w:i/>
        </w:rPr>
        <w:t>Alcohol and Drug Authority Act 1974</w:t>
      </w:r>
      <w:r>
        <w:t xml:space="preserve"> section 5(1);</w:t>
      </w:r>
    </w:p>
    <w:p>
      <w:pPr>
        <w:pStyle w:val="Indenta"/>
      </w:pPr>
      <w:r>
        <w:tab/>
        <w:t>(m)</w:t>
      </w:r>
      <w:r>
        <w:tab/>
        <w:t xml:space="preserve">each board within the meaning of that term in the </w:t>
      </w:r>
      <w:r>
        <w:rPr>
          <w:i/>
        </w:rPr>
        <w:t xml:space="preserve">Hospitals and Health Services Act 1927 </w:t>
      </w:r>
      <w:r>
        <w:rPr>
          <w:iCs/>
        </w:rPr>
        <w:t>section 2(1)</w:t>
      </w:r>
      <w:r>
        <w:t>.</w:t>
      </w:r>
    </w:p>
    <w:p>
      <w:pPr>
        <w:pStyle w:val="Footnotesection"/>
      </w:pPr>
      <w:r>
        <w:tab/>
        <w:t>[Regulation 20A inserted in Gazette 28 Jan 2011 p. 249-50; amended in Gazette 27 Jan 2012 p. 567.]</w:t>
      </w:r>
    </w:p>
    <w:p>
      <w:pPr>
        <w:pStyle w:val="Heading5"/>
      </w:pPr>
      <w:bookmarkStart w:id="48" w:name="_Toc378075943"/>
      <w:r>
        <w:rPr>
          <w:rStyle w:val="CharSectno"/>
        </w:rPr>
        <w:t>21</w:t>
      </w:r>
      <w:r>
        <w:t>.</w:t>
      </w:r>
      <w:r>
        <w:tab/>
        <w:t>Special guardians, payments to (Act s. 65)</w:t>
      </w:r>
      <w:bookmarkEnd w:id="48"/>
    </w:p>
    <w:p>
      <w:pPr>
        <w:pStyle w:val="Subsection"/>
      </w:pPr>
      <w:r>
        <w:tab/>
        <w:t>(1)</w:t>
      </w:r>
      <w:r>
        <w:tab/>
        <w:t>For the purposes of section 65 the scale of amounts set out in the Table is prescribed.</w:t>
      </w:r>
    </w:p>
    <w:p>
      <w:pPr>
        <w:pStyle w:val="THeadingNAm"/>
      </w:pPr>
      <w:r>
        <w:t>Table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536"/>
        <w:gridCol w:w="1559"/>
      </w:tblGrid>
      <w:tr>
        <w:trPr>
          <w:tblHeader/>
        </w:trPr>
        <w:tc>
          <w:tcPr>
            <w:tcW w:w="4536" w:type="dxa"/>
          </w:tcPr>
          <w:p>
            <w:pPr>
              <w:pStyle w:val="TableNAm"/>
            </w:pPr>
            <w:r>
              <w:rPr>
                <w:b/>
                <w:bCs/>
              </w:rPr>
              <w:t>Class of children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rPr>
                <w:b/>
                <w:bCs/>
              </w:rPr>
              <w:t>Amount ($)</w:t>
            </w:r>
          </w:p>
        </w:tc>
      </w:tr>
      <w:tr>
        <w:tc>
          <w:tcPr>
            <w:tcW w:w="4536" w:type="dxa"/>
          </w:tcPr>
          <w:p>
            <w:pPr>
              <w:pStyle w:val="TableNAm"/>
            </w:pPr>
            <w:r>
              <w:t>Children who are under 7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t>373.44</w:t>
            </w:r>
          </w:p>
        </w:tc>
      </w:tr>
      <w:tr>
        <w:tc>
          <w:tcPr>
            <w:tcW w:w="4536" w:type="dxa"/>
          </w:tcPr>
          <w:p>
            <w:pPr>
              <w:pStyle w:val="TableNAm"/>
            </w:pPr>
            <w:r>
              <w:t>Children who have reached 7 years of age but are under 13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br/>
              <w:t>441.16</w:t>
            </w:r>
          </w:p>
        </w:tc>
      </w:tr>
      <w:tr>
        <w:tc>
          <w:tcPr>
            <w:tcW w:w="4536" w:type="dxa"/>
          </w:tcPr>
          <w:p>
            <w:pPr>
              <w:pStyle w:val="TableNAm"/>
            </w:pPr>
            <w:r>
              <w:t>Children who have reached 13 years of age but are under 16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br/>
              <w:t>533.35</w:t>
            </w:r>
          </w:p>
        </w:tc>
      </w:tr>
      <w:tr>
        <w:tc>
          <w:tcPr>
            <w:tcW w:w="4536" w:type="dxa"/>
          </w:tcPr>
          <w:p>
            <w:pPr>
              <w:pStyle w:val="TableNAm"/>
            </w:pPr>
            <w:r>
              <w:t>Children who have reached 16 years of age</w:t>
            </w:r>
          </w:p>
        </w:tc>
        <w:tc>
          <w:tcPr>
            <w:tcW w:w="1559" w:type="dxa"/>
          </w:tcPr>
          <w:p>
            <w:pPr>
              <w:pStyle w:val="TableNAm"/>
            </w:pPr>
            <w:r>
              <w:t>467.20</w:t>
            </w:r>
          </w:p>
        </w:tc>
      </w:tr>
    </w:tbl>
    <w:p>
      <w:pPr>
        <w:pStyle w:val="Subsection"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 in Gazette 7 Aug 2007 p. 4029; 18 Jan 2011 p. 146; 21 Sep 2012 p. 4422.]</w:t>
      </w:r>
    </w:p>
    <w:p>
      <w:pPr>
        <w:pStyle w:val="Heading5"/>
      </w:pPr>
      <w:bookmarkStart w:id="49" w:name="_Toc378075944"/>
      <w:r>
        <w:rPr>
          <w:rStyle w:val="CharSectno"/>
        </w:rPr>
        <w:t>21A</w:t>
      </w:r>
      <w:r>
        <w:t>.</w:t>
      </w:r>
      <w:r>
        <w:tab/>
        <w:t>Work prescribed (Act s. 191(4))</w:t>
      </w:r>
      <w:bookmarkEnd w:id="49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 in Gazette 18 Aug 2006 p. 3367.]</w:t>
      </w:r>
    </w:p>
    <w:p>
      <w:pPr>
        <w:pStyle w:val="Ednotesection"/>
        <w:tabs>
          <w:tab w:val="clear" w:pos="893"/>
          <w:tab w:val="left" w:pos="1080"/>
        </w:tabs>
        <w:ind w:left="960" w:hanging="960"/>
      </w:pPr>
      <w:r>
        <w:t>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2"/>
      </w:pPr>
      <w:bookmarkStart w:id="50" w:name="_Toc378075945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50"/>
    </w:p>
    <w:p>
      <w:pPr>
        <w:pStyle w:val="Heading5"/>
      </w:pPr>
      <w:bookmarkStart w:id="51" w:name="_Toc378075946"/>
      <w:r>
        <w:rPr>
          <w:rStyle w:val="CharSectno"/>
        </w:rPr>
        <w:t>24</w:t>
      </w:r>
      <w:r>
        <w:t>.</w:t>
      </w:r>
      <w:r>
        <w:tab/>
        <w:t>Term used: commencement day</w:t>
      </w:r>
      <w:bookmarkEnd w:id="51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 in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Deleted in Gazette 7 Aug 2007 p. 4030.]</w:t>
      </w:r>
    </w:p>
    <w:p>
      <w:pPr>
        <w:pStyle w:val="Heading5"/>
      </w:pPr>
      <w:bookmarkStart w:id="52" w:name="_Toc378075947"/>
      <w:r>
        <w:rPr>
          <w:rStyle w:val="CharSectno"/>
        </w:rPr>
        <w:t>29</w:t>
      </w:r>
      <w:r>
        <w:t>.</w:t>
      </w:r>
      <w:r>
        <w:tab/>
        <w:t>Certain children in care as at 1 Mar 2006</w:t>
      </w:r>
      <w:bookmarkEnd w:id="52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rPr>
          <w:i/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3</w:t>
      </w:r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</w:p>
    <w:p>
      <w:pPr>
        <w:pStyle w:val="Indenta"/>
        <w:sectPr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53" w:name="_Toc378075948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53"/>
    </w:p>
    <w:p>
      <w:pPr>
        <w:pStyle w:val="yShoulderClause"/>
      </w:pPr>
      <w:r>
        <w:t>[r. 9AA, 9AB, 9AC, 16E, 16I and 16L]</w:t>
      </w:r>
    </w:p>
    <w:p>
      <w:pPr>
        <w:pStyle w:val="yFootnoteheading"/>
      </w:pPr>
      <w:r>
        <w:tab/>
        <w:t>[Heading inserted in Gazette 28 Jan 2011 p. 250.]</w:t>
      </w:r>
    </w:p>
    <w:p>
      <w:pPr>
        <w:pStyle w:val="yHeading5"/>
        <w:spacing w:after="80"/>
      </w:pPr>
      <w:bookmarkStart w:id="54" w:name="_Toc378075949"/>
      <w:r>
        <w:rPr>
          <w:rStyle w:val="CharSClsNo"/>
        </w:rPr>
        <w:t>1</w:t>
      </w:r>
      <w:r>
        <w:t>.</w:t>
      </w:r>
      <w:r>
        <w:tab/>
        <w:t>Warrant (access)</w:t>
      </w:r>
      <w:bookmarkEnd w:id="5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80"/>
        <w:gridCol w:w="184"/>
        <w:gridCol w:w="416"/>
        <w:gridCol w:w="718"/>
        <w:gridCol w:w="142"/>
        <w:gridCol w:w="220"/>
        <w:gridCol w:w="480"/>
        <w:gridCol w:w="9"/>
        <w:gridCol w:w="231"/>
        <w:gridCol w:w="27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(access)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33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34(3)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52(4)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135(5)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remain at the place and have access to the child for as long as the officer considers reasonably necessary.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9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7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access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1 inserted in Gazette 19 Jun 2009 p. 2226-7.]</w:t>
      </w:r>
    </w:p>
    <w:p>
      <w:pPr>
        <w:pStyle w:val="yHeading5"/>
        <w:pageBreakBefore/>
        <w:spacing w:after="80"/>
      </w:pPr>
      <w:bookmarkStart w:id="55" w:name="_Toc378075950"/>
      <w:r>
        <w:rPr>
          <w:rStyle w:val="CharSClsNo"/>
        </w:rPr>
        <w:t>2</w:t>
      </w:r>
      <w:r>
        <w:t>.</w:t>
      </w:r>
      <w:r>
        <w:tab/>
        <w:t>Warrant (apprehension)</w:t>
      </w:r>
      <w:bookmarkEnd w:id="5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200"/>
        <w:gridCol w:w="64"/>
        <w:gridCol w:w="536"/>
        <w:gridCol w:w="598"/>
        <w:gridCol w:w="142"/>
        <w:gridCol w:w="340"/>
        <w:gridCol w:w="369"/>
        <w:gridCol w:w="240"/>
        <w:gridCol w:w="111"/>
        <w:gridCol w:w="15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(apprehension)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86(3)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 xml:space="preserve">if the child is found, to apprehend the child and 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(i)</w:t>
            </w:r>
            <w:r>
              <w:rPr>
                <w:b/>
                <w:bCs/>
                <w:sz w:val="20"/>
              </w:rPr>
              <w:tab/>
              <w:t xml:space="preserve">in the case of a warrant issued under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85, to take the child to such place as the CEO directs; or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(ii)</w:t>
            </w:r>
            <w:r>
              <w:rPr>
                <w:b/>
                <w:bCs/>
                <w:sz w:val="20"/>
              </w:rPr>
              <w:tab/>
              <w:t>in the case of a warrant issued under section 86 of that Act, to take the child to the place referred to in section 86(1) or such other place as the CEO directs.</w:t>
            </w: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apprehension of the child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2 inserted in Gazette 19 Jun 2009 p. 2227-8.]</w:t>
      </w:r>
    </w:p>
    <w:p>
      <w:pPr>
        <w:pStyle w:val="yHeading5"/>
        <w:pageBreakBefore/>
        <w:spacing w:after="80"/>
      </w:pPr>
      <w:bookmarkStart w:id="56" w:name="_Toc378075951"/>
      <w:r>
        <w:rPr>
          <w:rStyle w:val="CharSClsNo"/>
        </w:rPr>
        <w:t>3</w:t>
      </w:r>
      <w:r>
        <w:t>.</w:t>
      </w:r>
      <w:r>
        <w:tab/>
        <w:t>Warrant (provisional protection and care)</w:t>
      </w:r>
      <w:bookmarkEnd w:id="5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840"/>
        <w:gridCol w:w="360"/>
        <w:gridCol w:w="600"/>
        <w:gridCol w:w="598"/>
        <w:gridCol w:w="143"/>
        <w:gridCol w:w="339"/>
        <w:gridCol w:w="370"/>
        <w:gridCol w:w="240"/>
        <w:gridCol w:w="110"/>
        <w:gridCol w:w="153"/>
        <w:gridCol w:w="1062"/>
      </w:tblGrid>
      <w:tr>
        <w:tc>
          <w:tcPr>
            <w:tcW w:w="31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975" w:type="dxa"/>
            <w:gridSpan w:val="10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(provisional protection and care)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5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133(3)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take the child into provisional protection and care and to such place as the CEO directs.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30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taking the child into provisional protection care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3 inserted in Gazette 19 Jun 2009 p. 2228-9.]</w:t>
      </w:r>
    </w:p>
    <w:p>
      <w:pPr>
        <w:pStyle w:val="yHeading5"/>
        <w:pageBreakBefore/>
      </w:pPr>
      <w:bookmarkStart w:id="57" w:name="_Toc378075952"/>
      <w:r>
        <w:rPr>
          <w:rStyle w:val="CharSClsNo"/>
        </w:rPr>
        <w:t>4</w:t>
      </w:r>
      <w:r>
        <w:t>.</w:t>
      </w:r>
      <w:r>
        <w:rPr>
          <w:b w:val="0"/>
        </w:rPr>
        <w:tab/>
      </w:r>
      <w:r>
        <w:t>Parentage testing procedure</w:t>
      </w:r>
      <w:bookmarkEnd w:id="57"/>
    </w:p>
    <w:p>
      <w:pPr>
        <w:pStyle w:val="yMiscellaneousHeading"/>
        <w:ind w:left="840"/>
        <w:jc w:val="left"/>
        <w:rPr>
          <w:b/>
          <w:bCs/>
        </w:rPr>
      </w:pPr>
      <w:r>
        <w:rPr>
          <w:b/>
          <w:bCs/>
        </w:rPr>
        <w:t>AFFIDAVIT BY/IN RELATION TO DONOR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</w:pPr>
      <w:r>
        <w:t>NAME OF DONOR: (insert donor’s name)</w:t>
      </w:r>
    </w:p>
    <w:p>
      <w:pPr>
        <w:pStyle w:val="yMiscellaneousBody"/>
      </w:pPr>
      <w:r>
        <w:t>DATE OF BIRTH OF DONOR: (insert donor’s date of birth)</w:t>
      </w:r>
    </w:p>
    <w:p>
      <w:pPr>
        <w:pStyle w:val="yMiscellaneousBody"/>
      </w:pPr>
      <w:r>
        <w:t>*RELATIONSHIP/*PUTATIVE RELATIONSHIP OF DONOR TO CHILD WHOSE PARENTAGE IS IN ISSUE: (if donor is not the child whose parentage is in issue, insert relationship of donor to child)</w:t>
      </w:r>
    </w:p>
    <w:p>
      <w:pPr>
        <w:pStyle w:val="yMiscellaneousBody"/>
      </w:pPr>
      <w:r>
        <w:t>DATE OF TAKING SAMPLE FROM DONOR: (insert date sample is to be taken)</w:t>
      </w:r>
    </w:p>
    <w:p>
      <w:pPr>
        <w:pStyle w:val="yMiscellaneousBody"/>
      </w:pPr>
      <w:r>
        <w:t>I, (insert name), of (insert address), (insert occupation), *make oath and say/*affirm:</w:t>
      </w:r>
    </w:p>
    <w:p>
      <w:pPr>
        <w:pStyle w:val="zyMiscellaneousBody"/>
        <w:ind w:left="0"/>
      </w:pPr>
    </w:p>
    <w:p>
      <w:pPr>
        <w:pStyle w:val="yMiscellaneousBody"/>
      </w:pPr>
      <w:r>
        <w:rPr>
          <w:b/>
          <w:bCs/>
        </w:rPr>
        <w:t>IMPORTANT</w:t>
      </w:r>
      <w:r>
        <w:t xml:space="preserve"> Either Part 1 or 2 of this form must be completed and sworn or affirmed by the person making the affidavit in the presence of an authorised witness, on the day the donor’s sample is taken.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1</w:t>
      </w:r>
    </w:p>
    <w:p>
      <w:pPr>
        <w:pStyle w:val="yMiscellaneousBody"/>
      </w:pPr>
      <w:r>
        <w:t>Part 1 must be completed if the person making the affidavit is the donor.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My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I *have/*have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I *have/*have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I *have/*have not received a transfusion of blood or a blood product within the last 6 months.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>The particulars of the transfusion of blood or blood product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7.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me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2</w:t>
      </w:r>
    </w:p>
    <w:p>
      <w:pPr>
        <w:pStyle w:val="yMiscellaneousBody"/>
      </w:pPr>
      <w:r>
        <w:t>Part 2 must be completed on behalf of a child or a represented person.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(state relationship or other status in relation to the donor) of (insert name of donor) who was born on (insert date of birth of donor).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(insert name of donor) is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(insert name of donor) is a person whose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donor *has/*has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donor *has/*has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*5.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6.</w:t>
      </w:r>
      <w:r>
        <w:tab/>
        <w:t>The donor *has/*has not received a transfusion of blood or a blood product within the last 6 months.</w:t>
      </w:r>
    </w:p>
    <w:p>
      <w:pPr>
        <w:pStyle w:val="yMiscellaneousBody"/>
        <w:keepNext/>
        <w:tabs>
          <w:tab w:val="left" w:pos="600"/>
        </w:tabs>
        <w:ind w:left="600" w:hanging="600"/>
      </w:pPr>
      <w:r>
        <w:t>*7.</w:t>
      </w:r>
      <w:r>
        <w:tab/>
        <w:t xml:space="preserve">The particulars of the transfusion of blood or blood product are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8.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the donor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zyMiscellaneousBody"/>
        <w:ind w:left="0"/>
      </w:pPr>
    </w:p>
    <w:p>
      <w:pPr>
        <w:pStyle w:val="yMiscellaneousBody"/>
        <w:tabs>
          <w:tab w:val="left" w:pos="600"/>
        </w:tabs>
      </w:pPr>
      <w:r>
        <w:t xml:space="preserve">*SWORN/*AFFIRMED by </w:t>
      </w:r>
    </w:p>
    <w:p>
      <w:pPr>
        <w:pStyle w:val="yMiscellaneousBody"/>
        <w:tabs>
          <w:tab w:val="left" w:pos="600"/>
        </w:tabs>
      </w:pPr>
      <w:r>
        <w:t>at</w:t>
      </w:r>
    </w:p>
    <w:p>
      <w:pPr>
        <w:pStyle w:val="yMiscellaneousBody"/>
        <w:tabs>
          <w:tab w:val="left" w:pos="600"/>
          <w:tab w:val="left" w:pos="1440"/>
        </w:tabs>
      </w:pPr>
      <w:r>
        <w:t>on</w:t>
      </w:r>
      <w:r>
        <w:tab/>
      </w:r>
      <w:r>
        <w:tab/>
        <w:t>20</w:t>
      </w:r>
    </w:p>
    <w:p>
      <w:pPr>
        <w:pStyle w:val="yMiscellaneousBody"/>
        <w:tabs>
          <w:tab w:val="left" w:pos="600"/>
        </w:tabs>
      </w:pPr>
      <w:r>
        <w:t>(Signature of person making affidavit)</w:t>
      </w:r>
    </w:p>
    <w:p>
      <w:pPr>
        <w:pStyle w:val="yMiscellaneousBody"/>
      </w:pPr>
      <w:r>
        <w:t xml:space="preserve">BEFORE ME: </w:t>
      </w:r>
      <w:r>
        <w:br/>
        <w:t xml:space="preserve">(insert name of person </w:t>
      </w:r>
      <w:r>
        <w:br/>
        <w:t xml:space="preserve">before whom the affidavit </w:t>
      </w:r>
      <w:r>
        <w:br/>
        <w:t>is made)</w:t>
      </w:r>
    </w:p>
    <w:p>
      <w:pPr>
        <w:pStyle w:val="yMiscellaneousBody"/>
      </w:pPr>
      <w:r>
        <w:t xml:space="preserve">(Signature of person </w:t>
      </w:r>
      <w:r>
        <w:br/>
        <w:t xml:space="preserve">before whom affidavit is </w:t>
      </w:r>
      <w:r>
        <w:br/>
        <w:t>made)</w:t>
      </w:r>
    </w:p>
    <w:p>
      <w:pPr>
        <w:pStyle w:val="yMiscellaneousBody"/>
      </w:pPr>
      <w:r>
        <w:t>Attach a recent photograph of the donor named in the affidavit, measuring approximately 45 mm by 35 mm, that shows a full face view of the donor’s head and the donor’s shoulders against a plain background. The photograph must be marked ‘A’, and must bear a statement, signed by both the person before whom the affidavit is made and the person making the affidavit, identifying it as the photograph mentioned in the affidavit.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4 inserted in Gazette 28 Jan 2011 p. 250-2.]</w:t>
      </w:r>
    </w:p>
    <w:p>
      <w:pPr>
        <w:pStyle w:val="yHeading5"/>
        <w:pageBreakBefore/>
      </w:pPr>
      <w:bookmarkStart w:id="58" w:name="_Toc378075953"/>
      <w:r>
        <w:rPr>
          <w:rStyle w:val="CharSClsNo"/>
        </w:rPr>
        <w:t>5</w:t>
      </w:r>
      <w:r>
        <w:t>.</w:t>
      </w:r>
      <w:r>
        <w:rPr>
          <w:b w:val="0"/>
        </w:rPr>
        <w:tab/>
      </w:r>
      <w:r>
        <w:t>Parentage testing procedure</w:t>
      </w:r>
      <w:bookmarkEnd w:id="58"/>
    </w:p>
    <w:p>
      <w:pPr>
        <w:pStyle w:val="zyMiscellaneousBody"/>
        <w:ind w:left="840"/>
        <w:rPr>
          <w:b/>
          <w:bCs/>
        </w:rPr>
      </w:pPr>
      <w:r>
        <w:rPr>
          <w:b/>
          <w:bCs/>
        </w:rPr>
        <w:t>COLLECTION OF BODILY SAMPLES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I, (insert name of sampler), of (insert professional address), (insert occupation), took the *bodily sample/*bodily samples specified below at (insert time) *a.m./*p.m. on (insert date) at (insert place of collection) from the following *person/*persons: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person, type of bodily sample and person’s photograph).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 xml:space="preserve">When I took the *bodily sample/*bodily samples specified above, I complied with the </w:t>
      </w:r>
      <w:r>
        <w:rPr>
          <w:i/>
        </w:rPr>
        <w:t xml:space="preserve">Children and Community Services Regulations 2006 </w:t>
      </w:r>
      <w:r>
        <w:rPr>
          <w:iCs/>
        </w:rPr>
        <w:t>Part 5A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I placed the *bodily sample/*each of the bodily samples specified above in a container that was immediately sealed and then labelled in accordance with the </w:t>
      </w:r>
      <w:r>
        <w:rPr>
          <w:i/>
        </w:rPr>
        <w:t>Children and Community Services Regulations 2006</w:t>
      </w:r>
      <w:r>
        <w:t xml:space="preserve"> regulation 16H.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>(Signature of sampler)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5 inserted in Gazette 28 Jan 2011 p. 252-3.]</w:t>
      </w:r>
    </w:p>
    <w:p>
      <w:pPr>
        <w:pStyle w:val="yHeading5"/>
        <w:pageBreakBefore/>
      </w:pPr>
      <w:bookmarkStart w:id="59" w:name="_Toc378075954"/>
      <w:r>
        <w:rPr>
          <w:rStyle w:val="CharSClsNo"/>
        </w:rPr>
        <w:t>6</w:t>
      </w:r>
      <w:r>
        <w:t>.</w:t>
      </w:r>
      <w:r>
        <w:rPr>
          <w:b w:val="0"/>
        </w:rPr>
        <w:tab/>
      </w:r>
      <w:r>
        <w:t>Parentage testing procedure report</w:t>
      </w:r>
      <w:bookmarkEnd w:id="59"/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 xml:space="preserve">I, (insert name of nominated reporter), of (insert street address of laboratory where testing was performed), (insert occupation), am a person nominated by the laboratory specified below to prepare a report for the purposes of the </w:t>
      </w:r>
      <w:r>
        <w:rPr>
          <w:i/>
        </w:rPr>
        <w:t>Children and Community Services Act 2004</w:t>
      </w:r>
      <w:r>
        <w:t xml:space="preserve"> section 136H(b).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I report that *a parentage testing procedure/*parentage testing procedures being: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*(a)</w:t>
      </w:r>
      <w:r>
        <w:tab/>
        <w:t>red cell antigen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red cell enzyme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testing for serum markers;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HLA tissue typing;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DNA typing;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*has/*have been carried out on the bodily *sample/*samples contained in the sealed *container/*containers bearing the *name/*names of the following *donor/*donors: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donor’s name, date of birth and relationship to child whose parentage is in issue).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Each bodily sample referred to in item 2 is the same bodily sample as the bodily sample specified in the statement completed on (insert date) by (insert name of sampler) in the </w:t>
      </w:r>
      <w:r>
        <w:rPr>
          <w:i/>
        </w:rPr>
        <w:t xml:space="preserve">Children and Community Services Regulations 2006 </w:t>
      </w:r>
      <w:r>
        <w:rPr>
          <w:iCs/>
        </w:rPr>
        <w:t>Schedule 1 Form 5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The parentage testing *procedure was/*procedures were carried out at (insert name and street address of *laboratory/*laboratories where testing was performed) on (insert date/s).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The results of the parentage testing *procedure/*procedures are set out in Part II of this report.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not excluded from identification as the *father/*mother of (insert name of child whose parentage is in issue).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excluded from identification as the *father/*mother of (insert name of child whose parentage is in issue). 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probability that (insert name of putative parent) is the genetic *father/*mother of (insert name of child whose parentage is in issue) has been calculated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Putative *father/*mother is (insert figure) times more likely to produce a child with the required alleles than a *man/*woman drawn randomly from the general population.  This equates to a Relative Chance of *Paternity/*Maternity of (insert figure).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exclusion is based on contradictions of the laws of genetic inheritance in (insert amount) of the (insert amount) genetic markers: (insert the names of the genetic markers and whether the contradictions are of the first or second order). </w:t>
      </w:r>
    </w:p>
    <w:p>
      <w:pPr>
        <w:pStyle w:val="yMiscellaneousBody"/>
        <w:tabs>
          <w:tab w:val="left" w:pos="600"/>
        </w:tabs>
        <w:ind w:left="600" w:hanging="600"/>
      </w:pPr>
      <w:r>
        <w:t>*8.</w:t>
      </w:r>
      <w:r>
        <w:tab/>
        <w:t>I further report (if necessary, provide further explanation of results detailed in item 6 or 7, or both).</w:t>
      </w:r>
    </w:p>
    <w:p>
      <w:pPr>
        <w:pStyle w:val="yMiscellaneousBody"/>
        <w:tabs>
          <w:tab w:val="left" w:pos="3360"/>
          <w:tab w:val="left" w:pos="4440"/>
        </w:tabs>
      </w:pPr>
      <w:r>
        <w:t>DATED:</w:t>
      </w:r>
      <w:r>
        <w:tab/>
        <w:t>20</w:t>
      </w:r>
      <w:r>
        <w:tab/>
        <w:t>.</w:t>
      </w:r>
    </w:p>
    <w:p>
      <w:pPr>
        <w:pStyle w:val="yMiscellaneousBody"/>
        <w:tabs>
          <w:tab w:val="left" w:pos="3360"/>
          <w:tab w:val="left" w:pos="4440"/>
        </w:tabs>
      </w:pPr>
      <w:r>
        <w:t>(Signature of nominated reporter)</w:t>
      </w:r>
    </w:p>
    <w:p>
      <w:pPr>
        <w:pStyle w:val="yMiscellaneousBody"/>
        <w:keepNext/>
        <w:rPr>
          <w:b/>
          <w:bCs/>
        </w:rPr>
      </w:pPr>
      <w:r>
        <w:rPr>
          <w:b/>
          <w:bCs/>
        </w:rPr>
        <w:t>PART II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The bodily *sample/*samples referred to in Part I of this report were received at (insert name and street address of laboratory at which parentage testing *procedure was/*procedures were carried out) on the following date/s: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(specify sample) — (insert date)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The following identification *number was/*numbers were allocated respectively to the bodily *sample/*samples in the *container/*containers in respect of which the parentage testing *procedure was/*procedures were carried out: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donor and identification number).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The results obtained from the parentage testing *procedure/*procedures are: (set out the results).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the parentage testing procedure carried out was red cell antigen blood grouping, red cell enzyme blood grouping, HLA tissue typing or testing for serum markers.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 xml:space="preserve">The results set out above in item 3 refer to the parentage testing *procedure/*procedures carried out *by me/*under my supervision on (insert date/s).  The bodily *sample was/*samples were tested with the same reagents and in parallel with appropriate known controls. Results from controls show that all reagents were of correct specificity and normal potency.  I am satisfied that the results obtained are true and that they have been correctly transcribed from the laboratory records.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parentage testing procedure carried out was DNA typing.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results set out above in item 3 refer to the parentage testing *procedure/*procedures carried out *by me/*under my supervision on (insert date/s).  The bodily *sample was/*samples were tested with the same probes/primers and in parallel with appropriate known controls.  Fragment length and/or hybridisation patterns were in accordance with scientifically accepted standards.  I am satisfied that the results obtained have been correctly coded from the fragment and/or hybridisation pattern and that they have been correctly transcribed from the laboratory records.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 xml:space="preserve">(Signature of person who carried </w:t>
      </w:r>
      <w:r>
        <w:br/>
        <w:t xml:space="preserve">out parentage testing procedure </w:t>
      </w:r>
      <w:r>
        <w:br/>
        <w:t xml:space="preserve">or person under whose </w:t>
      </w:r>
      <w:r>
        <w:br/>
        <w:t xml:space="preserve">supervision parentage testing </w:t>
      </w:r>
      <w:r>
        <w:br/>
        <w:t>procedure was carried out)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6 inserted in Gazette 28 Jan 2011 p. 253-6.]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7"/>
          <w:headerReference w:type="default" r:id="rId28"/>
          <w:headerReference w:type="first" r:id="rId2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60" w:name="_Toc378075955"/>
      <w:r>
        <w:t>Notes</w:t>
      </w:r>
      <w:bookmarkEnd w:id="6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Children and Community Services Regulations 2006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61" w:name="_Toc378075956"/>
      <w:r>
        <w:t>Compilation table</w:t>
      </w:r>
      <w:bookmarkEnd w:id="6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Mar 2006 (see r. 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14 Feb 2006 p. 695)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2006 p. 927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Mar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Aug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Dec 2006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  <w:sz w:val="19"/>
              </w:rPr>
              <w:t>Children and Community Services Regulations 2006</w:t>
            </w:r>
            <w:r>
              <w:rPr>
                <w:b/>
                <w:bCs/>
                <w:sz w:val="19"/>
              </w:rPr>
              <w:t xml:space="preserve"> as at 2 Feb 2007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Aug 2007 p. 4029</w:t>
            </w:r>
            <w:r>
              <w:rPr>
                <w:sz w:val="19"/>
              </w:rPr>
              <w:noBreakHyphen/>
              <w:t>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</w:rPr>
              <w:t>r. 1 and 2: 7 Aug 2007 (see r. 2(a));</w:t>
            </w:r>
            <w:r>
              <w:rPr>
                <w:snapToGrid w:val="0"/>
                <w:sz w:val="19"/>
              </w:rPr>
              <w:br/>
              <w:t xml:space="preserve">Regulations other than r. 1 and 2: 10 Aug 2007 (see r. 2(b) </w:t>
            </w:r>
            <w:r>
              <w:rPr>
                <w:sz w:val="19"/>
              </w:rPr>
              <w:t xml:space="preserve">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9 Aug 2007 p. 4071)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Dec 2008 p. 5107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 1 and 2: 9 Dec 2008 (see r. 2(a));</w:t>
            </w:r>
            <w:r>
              <w:rPr>
                <w:snapToGrid w:val="0"/>
                <w:sz w:val="19"/>
              </w:rPr>
              <w:br/>
              <w:t xml:space="preserve">Regulations other than r. 1 and 2: 1 Jan 2009 (see r. 2(b) and </w:t>
            </w:r>
            <w:r>
              <w:rPr>
                <w:i/>
                <w:iCs/>
                <w:snapToGrid w:val="0"/>
                <w:sz w:val="19"/>
              </w:rPr>
              <w:t xml:space="preserve">Gazette </w:t>
            </w:r>
            <w:r>
              <w:rPr>
                <w:snapToGrid w:val="0"/>
                <w:sz w:val="19"/>
              </w:rPr>
              <w:t>9 Dec 2008 p. 5107)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Jun 2009 p. 2225-9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 1 and 2: 19 Jun 2009 (see r. 2(a));</w:t>
            </w:r>
            <w:r>
              <w:rPr>
                <w:snapToGrid w:val="0"/>
                <w:sz w:val="19"/>
              </w:rPr>
              <w:br/>
              <w:t>Regulations other than r. 1 and 2: 20 Jun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 Jan 2011 p. 145-6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 1 and 2: 18 Jan 2011 (see r. 2(a));</w:t>
            </w:r>
            <w:r>
              <w:rPr>
                <w:snapToGrid w:val="0"/>
                <w:sz w:val="19"/>
              </w:rPr>
              <w:br/>
              <w:t>Regulations other than r. 1, 2 and 4: 19 Jan 2011 (see r. 2(c));</w:t>
            </w:r>
            <w:r>
              <w:rPr>
                <w:snapToGrid w:val="0"/>
                <w:sz w:val="19"/>
              </w:rPr>
              <w:br/>
              <w:t xml:space="preserve">r. 4: 31 Jan 2011 (see r. 2(b) and </w:t>
            </w:r>
            <w:r>
              <w:rPr>
                <w:i/>
                <w:iCs/>
                <w:snapToGrid w:val="0"/>
                <w:sz w:val="19"/>
              </w:rPr>
              <w:t>Gazette</w:t>
            </w:r>
            <w:r>
              <w:rPr>
                <w:snapToGrid w:val="0"/>
                <w:sz w:val="19"/>
              </w:rPr>
              <w:t xml:space="preserve"> 28 Jan 2011 p. 241)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28 Jan 2011 p. 243-56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 1 and 2: 28 Jan 2011 (see r. 2(a));</w:t>
            </w:r>
            <w:r>
              <w:rPr>
                <w:snapToGrid w:val="0"/>
                <w:sz w:val="19"/>
              </w:rPr>
              <w:br/>
              <w:t xml:space="preserve">r. 5: 31 Jan 2011 (see r. 2(b) and </w:t>
            </w:r>
            <w:r>
              <w:rPr>
                <w:i/>
                <w:iCs/>
                <w:snapToGrid w:val="0"/>
                <w:sz w:val="19"/>
              </w:rPr>
              <w:t xml:space="preserve">Gazette </w:t>
            </w:r>
            <w:r>
              <w:rPr>
                <w:snapToGrid w:val="0"/>
                <w:sz w:val="19"/>
              </w:rPr>
              <w:t>28 Jan 2011 p. 241);</w:t>
            </w:r>
            <w:r>
              <w:rPr>
                <w:snapToGrid w:val="0"/>
                <w:sz w:val="19"/>
              </w:rPr>
              <w:br/>
              <w:t xml:space="preserve">Regulations other than r. 1, 2 and 5: 31 Jan 2011 (see r. 2(c) and </w:t>
            </w:r>
            <w:r>
              <w:rPr>
                <w:i/>
                <w:iCs/>
                <w:snapToGrid w:val="0"/>
                <w:sz w:val="19"/>
              </w:rPr>
              <w:t xml:space="preserve">Gazette </w:t>
            </w:r>
            <w:r>
              <w:rPr>
                <w:snapToGrid w:val="0"/>
                <w:sz w:val="19"/>
              </w:rPr>
              <w:t>28 Jan 2011 p. 241)</w:t>
            </w:r>
          </w:p>
        </w:tc>
      </w:tr>
      <w:tr>
        <w:tc>
          <w:tcPr>
            <w:tcW w:w="7087" w:type="dxa"/>
            <w:gridSpan w:val="3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z w:val="19"/>
              </w:rPr>
            </w:pPr>
            <w:r>
              <w:rPr>
                <w:b/>
                <w:bCs/>
                <w:sz w:val="19"/>
              </w:rPr>
              <w:t xml:space="preserve">Reprint 2: The </w:t>
            </w:r>
            <w:r>
              <w:rPr>
                <w:b/>
                <w:bCs/>
                <w:i/>
                <w:noProof/>
                <w:snapToGrid w:val="0"/>
                <w:sz w:val="19"/>
              </w:rPr>
              <w:t>Children and Community Services Regulations 2006</w:t>
            </w:r>
            <w:r>
              <w:rPr>
                <w:b/>
                <w:bCs/>
                <w:sz w:val="19"/>
              </w:rPr>
              <w:t xml:space="preserve"> as at 8 Apr 2011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keepLines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27 Jan 2012 p. 567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 1 and 2: 27 Jan 2012 (see r. 2(a));</w:t>
            </w:r>
            <w:r>
              <w:rPr>
                <w:snapToGrid w:val="0"/>
                <w:sz w:val="19"/>
              </w:rPr>
              <w:br/>
              <w:t>Regulations other than r. 1 and 2: 28 Jan 2012 (see r. 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Children and Community Services Amendment Regulations (No. 2) 2012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21 Sep 2012 p. 4422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 1 and 2: 21 Sep 2012 (see r. 2(a));</w:t>
            </w:r>
            <w:r>
              <w:rPr>
                <w:snapToGrid w:val="0"/>
                <w:sz w:val="19"/>
              </w:rPr>
              <w:br/>
              <w:t>Regulations other than r. 1 and 2: 22 Sep 2012 (see r. 2(b))</w:t>
            </w:r>
          </w:p>
        </w:tc>
      </w:tr>
    </w:tbl>
    <w:p>
      <w:pPr>
        <w:pStyle w:val="nSubsection"/>
        <w:spacing w:before="12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Subsection"/>
        <w:spacing w:before="12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>
      <w:pPr>
        <w:sectPr>
          <w:headerReference w:type="even" r:id="rId30"/>
          <w:headerReference w:type="default" r:id="rId31"/>
          <w:headerReference w:type="first" r:id="rId32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62" w:name="_Toc378075957"/>
      <w:r>
        <w:rPr>
          <w:sz w:val="28"/>
        </w:rPr>
        <w:t>Defined Terms</w:t>
      </w:r>
      <w:bookmarkEnd w:id="62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bookmarkStart w:id="63" w:name="DefinedTerms"/>
      <w:bookmarkEnd w:id="63"/>
      <w:r>
        <w:t>audio link</w:t>
      </w:r>
      <w:r>
        <w:tab/>
        <w:t>9</w:t>
      </w:r>
    </w:p>
    <w:p>
      <w:pPr>
        <w:pStyle w:val="DefinedTerms"/>
      </w:pPr>
      <w:r>
        <w:t>bodily sample</w:t>
      </w:r>
      <w:r>
        <w:tab/>
        <w:t>16A</w:t>
      </w:r>
    </w:p>
    <w:p>
      <w:pPr>
        <w:pStyle w:val="DefinedTerms"/>
      </w:pPr>
      <w:r>
        <w:t>care plan</w:t>
      </w:r>
      <w:r>
        <w:tab/>
        <w:t>5(2)</w:t>
      </w:r>
    </w:p>
    <w:p>
      <w:pPr>
        <w:pStyle w:val="DefinedTerms"/>
      </w:pPr>
      <w:r>
        <w:t>commencement day</w:t>
      </w:r>
      <w:r>
        <w:tab/>
        <w:t>24</w:t>
      </w:r>
    </w:p>
    <w:p>
      <w:pPr>
        <w:pStyle w:val="DefinedTerms"/>
      </w:pPr>
      <w:r>
        <w:t>donor</w:t>
      </w:r>
      <w:r>
        <w:tab/>
        <w:t>16A</w:t>
      </w:r>
    </w:p>
    <w:p>
      <w:pPr>
        <w:pStyle w:val="DefinedTerms"/>
      </w:pPr>
      <w:r>
        <w:t>guardian</w:t>
      </w:r>
      <w:r>
        <w:tab/>
        <w:t>16A</w:t>
      </w:r>
    </w:p>
    <w:p>
      <w:pPr>
        <w:pStyle w:val="DefinedTerms"/>
      </w:pPr>
      <w:r>
        <w:t>HLA</w:t>
      </w:r>
      <w:r>
        <w:tab/>
        <w:t>16A</w:t>
      </w:r>
    </w:p>
    <w:p>
      <w:pPr>
        <w:pStyle w:val="DefinedTerms"/>
      </w:pPr>
      <w:r>
        <w:t>incident</w:t>
      </w:r>
      <w:r>
        <w:tab/>
        <w:t>7</w:t>
      </w:r>
    </w:p>
    <w:p>
      <w:pPr>
        <w:pStyle w:val="DefinedTerms"/>
      </w:pPr>
      <w:r>
        <w:t>medical practitioner</w:t>
      </w:r>
      <w:r>
        <w:tab/>
        <w:t>16A</w:t>
      </w:r>
    </w:p>
    <w:p>
      <w:pPr>
        <w:pStyle w:val="DefinedTerms"/>
      </w:pPr>
      <w:r>
        <w:t>NATA</w:t>
      </w:r>
      <w:r>
        <w:tab/>
        <w:t>16A</w:t>
      </w:r>
    </w:p>
    <w:p>
      <w:pPr>
        <w:pStyle w:val="DefinedTerms"/>
      </w:pPr>
      <w:r>
        <w:t>nominated reporter</w:t>
      </w:r>
      <w:r>
        <w:tab/>
        <w:t>16A</w:t>
      </w:r>
    </w:p>
    <w:p>
      <w:pPr>
        <w:pStyle w:val="DefinedTerms"/>
      </w:pPr>
      <w:r>
        <w:t>panel</w:t>
      </w:r>
      <w:r>
        <w:tab/>
        <w:t>16</w:t>
      </w:r>
    </w:p>
    <w:p>
      <w:pPr>
        <w:pStyle w:val="DefinedTerms"/>
      </w:pPr>
      <w:r>
        <w:t>President</w:t>
      </w:r>
      <w:r>
        <w:tab/>
        <w:t>3</w:t>
      </w:r>
    </w:p>
    <w:p>
      <w:pPr>
        <w:pStyle w:val="DefinedTerms"/>
      </w:pPr>
      <w:r>
        <w:t>provisional care plan</w:t>
      </w:r>
      <w:r>
        <w:tab/>
        <w:t>5(2)</w:t>
      </w:r>
    </w:p>
    <w:p>
      <w:pPr>
        <w:pStyle w:val="DefinedTerms"/>
      </w:pPr>
      <w:r>
        <w:t>report</w:t>
      </w:r>
      <w:r>
        <w:tab/>
        <w:t>16A, 16</w:t>
      </w:r>
    </w:p>
    <w:p>
      <w:pPr>
        <w:pStyle w:val="DefinedTerms"/>
      </w:pPr>
      <w:r>
        <w:t>represented person</w:t>
      </w:r>
      <w:r>
        <w:tab/>
        <w:t>16A</w:t>
      </w:r>
    </w:p>
    <w:p>
      <w:pPr>
        <w:pStyle w:val="DefinedTerms"/>
      </w:pPr>
      <w:r>
        <w:t>responsible person</w:t>
      </w:r>
      <w:r>
        <w:tab/>
        <w:t>16A</w:t>
      </w:r>
    </w:p>
    <w:p>
      <w:pPr>
        <w:pStyle w:val="DefinedTerms"/>
      </w:pPr>
      <w:r>
        <w:t>sample</w:t>
      </w:r>
      <w:r>
        <w:tab/>
        <w:t>16A</w:t>
      </w:r>
    </w:p>
    <w:p>
      <w:pPr>
        <w:pStyle w:val="DefinedTerms"/>
      </w:pPr>
      <w:r>
        <w:t>sampler</w:t>
      </w:r>
      <w:r>
        <w:tab/>
        <w:t>16A</w:t>
      </w:r>
    </w:p>
    <w:p>
      <w:pPr>
        <w:pStyle w:val="DefinedTerms"/>
      </w:pPr>
      <w:r>
        <w:t>section</w:t>
      </w:r>
      <w:r>
        <w:tab/>
        <w:t>3</w:t>
      </w:r>
    </w:p>
    <w:p>
      <w:pPr>
        <w:pStyle w:val="DefinedTerms"/>
      </w:pPr>
      <w:r>
        <w:t>seized article</w:t>
      </w:r>
      <w:r>
        <w:tab/>
        <w:t>8(1)</w:t>
      </w:r>
    </w:p>
    <w:p>
      <w:pPr>
        <w:pStyle w:val="DefinedTerms"/>
      </w:pPr>
      <w:r>
        <w:t>testing</w:t>
      </w:r>
      <w:r>
        <w:tab/>
        <w:t>16A</w:t>
      </w:r>
    </w:p>
    <w:p>
      <w:pPr>
        <w:pStyle w:val="DefinedTerms"/>
      </w:pPr>
      <w:r>
        <w:t>video link</w:t>
      </w:r>
      <w:r>
        <w:tab/>
        <w:t>9</w:t>
      </w:r>
    </w:p>
    <w:p>
      <w:pPr>
        <w:pStyle w:val="DefinedTerms"/>
      </w:pPr>
    </w:p>
    <w:p/>
    <w:p/>
    <w:p/>
    <w:p/>
    <w:p/>
    <w:p/>
    <w:p/>
    <w:p/>
    <w:p>
      <w:pPr>
        <w:sectPr>
          <w:headerReference w:type="even" r:id="rId33"/>
          <w:headerReference w:type="default" r:id="rId34"/>
          <w:headerReference w:type="first" r:id="rId35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6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02-c0-03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Sep 2012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Sep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02-c0-03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Sep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02-c0-03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02-c0-03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Sep 2012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Sep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02-c0-03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Sep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02-c0-03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38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02-c0-03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Sep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Sep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02-c0-03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39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22 Sep 2012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02-c0-03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Children and Community Services Regulations 2006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5AA3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88B4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78DF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0AAD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4C91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8CB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8663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563A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CE6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DC02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CDCEDB6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C2808C0"/>
    <w:multiLevelType w:val="singleLevel"/>
    <w:tmpl w:val="6FFA42D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3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4"/>
  </w:num>
  <w:num w:numId="1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8094334"/>
    <w:docVar w:name="WAFER_20140121133117" w:val="RemoveTocBookmarks,RemoveUnusedBookmarks,RemoveLanguageTags,UsedStyles,ResetPageSize,UpdateArrangement"/>
    <w:docVar w:name="WAFER_20140121133117_GUID" w:val="59c53881-6f93-4db4-9c2b-30bf43e1754e"/>
    <w:docVar w:name="WAFER_20140121134956" w:val="RemoveTocBookmarks,RunningHeaders"/>
    <w:docVar w:name="WAFER_20140121134956_GUID" w:val="1bec880c-e586-49ab-92d8-853a671149b3"/>
    <w:docVar w:name="WAFER_20151208094334" w:val="RemoveTrackChanges"/>
    <w:docVar w:name="WAFER_20151208094334_GUID" w:val="62a2e69e-3eb8-4e92-8232-a65f0ff27b1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pPr>
      <w:tabs>
        <w:tab w:val="left" w:pos="567"/>
      </w:tabs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33" Type="http://schemas.openxmlformats.org/officeDocument/2006/relationships/header" Target="header1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7866</Words>
  <Characters>38784</Characters>
  <Application>Microsoft Office Word</Application>
  <DocSecurity>0</DocSecurity>
  <Lines>1385</Lines>
  <Paragraphs>880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Community Services Regulations 2006</vt:lpstr>
    </vt:vector>
  </TitlesOfParts>
  <Manager/>
  <Company/>
  <LinksUpToDate>false</LinksUpToDate>
  <CharactersWithSpaces>45770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2006 - 02-c0-03</dc:title>
  <dc:subject/>
  <dc:creator/>
  <cp:keywords/>
  <dc:description/>
  <cp:lastModifiedBy>svcMRProcess</cp:lastModifiedBy>
  <cp:revision>4</cp:revision>
  <cp:lastPrinted>2011-04-15T02:30:00Z</cp:lastPrinted>
  <dcterms:created xsi:type="dcterms:W3CDTF">2018-09-10T06:32:00Z</dcterms:created>
  <dcterms:modified xsi:type="dcterms:W3CDTF">2018-09-10T06:32:00Z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CommencementDate">
    <vt:lpwstr>20120922</vt:lpwstr>
  </property>
  <property fmtid="{D5CDD505-2E9C-101B-9397-08002B2CF9AE}" pid="4" name="OwlsUID">
    <vt:i4>37906</vt:i4>
  </property>
  <property fmtid="{D5CDD505-2E9C-101B-9397-08002B2CF9AE}" pid="5" name="AsAtDate">
    <vt:lpwstr>22 Sep 2012</vt:lpwstr>
  </property>
  <property fmtid="{D5CDD505-2E9C-101B-9397-08002B2CF9AE}" pid="6" name="Suffix">
    <vt:lpwstr>02-c0-03</vt:lpwstr>
  </property>
  <property fmtid="{D5CDD505-2E9C-101B-9397-08002B2CF9AE}" pid="7" name="ReprintNo">
    <vt:lpwstr>2</vt:lpwstr>
  </property>
  <property fmtid="{D5CDD505-2E9C-101B-9397-08002B2CF9AE}" pid="8" name="ReprintedAsAt">
    <vt:filetime>2011-04-07T16:00:00Z</vt:filetime>
  </property>
  <property fmtid="{D5CDD505-2E9C-101B-9397-08002B2CF9AE}" pid="9" name="DocumentType">
    <vt:lpwstr>Reg</vt:lpwstr>
  </property>
</Properties>
</file>