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4.xml" ContentType="application/vnd.openxmlformats-officedocument.wordprocessingml.header+xml"/>
  <Override PartName="/word/footer12.xml" ContentType="application/vnd.openxmlformats-officedocument.wordprocessingml.footer+xml"/>
  <Override PartName="/word/header1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5EA" w:rsidRDefault="009F65EA">
      <w:pPr>
        <w:pStyle w:val="WA"/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9F65EA" w:rsidRDefault="009F65EA">
      <w:pPr>
        <w:pStyle w:val="PrincipalActReg"/>
        <w:spacing w:before="2600" w:after="0"/>
      </w:pPr>
      <w:r>
        <w:t>Racing Bets Levy Act 2009</w:t>
      </w:r>
    </w:p>
    <w:p w:rsidR="009F65EA" w:rsidRDefault="009F65EA">
      <w:pPr>
        <w:pStyle w:val="NameofActRegPage1"/>
        <w:spacing w:before="1800" w:after="4200"/>
      </w:pPr>
      <w:r>
        <w:rPr>
          <w:noProof/>
        </w:rPr>
        <w:fldChar w:fldCharType="begin"/>
      </w:r>
      <w:r>
        <w:rPr>
          <w:noProof/>
        </w:rPr>
        <w:instrText xml:space="preserve"> STYLEREF "Name Of Act/Reg"</w:instrText>
      </w:r>
      <w:r>
        <w:rPr>
          <w:noProof/>
        </w:rPr>
        <w:fldChar w:fldCharType="separate"/>
      </w:r>
      <w:r w:rsidR="003C4B99">
        <w:rPr>
          <w:noProof/>
        </w:rPr>
        <w:t>Racing Bets Levy Regulations 2009</w:t>
      </w:r>
      <w:r>
        <w:fldChar w:fldCharType="end"/>
      </w:r>
    </w:p>
    <w:p w:rsidR="009F65EA" w:rsidRDefault="009F65EA">
      <w:pPr>
        <w:jc w:val="center"/>
        <w:rPr>
          <w:b/>
        </w:rPr>
        <w:sectPr w:rsidR="009F65E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F65EA" w:rsidRDefault="009F65EA">
      <w:pPr>
        <w:pStyle w:val="WA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 w:rsidR="009F65EA" w:rsidRDefault="009F65EA"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 w:rsidR="003C4B99">
        <w:rPr>
          <w:noProof/>
        </w:rPr>
        <w:t>Racing Bets Levy Regulations 2009</w:t>
      </w:r>
      <w:r>
        <w:fldChar w:fldCharType="end"/>
      </w:r>
    </w:p>
    <w:p w:rsidR="009F65EA" w:rsidRDefault="009F65EA">
      <w:pPr>
        <w:pStyle w:val="Arrangement"/>
      </w:pPr>
      <w:r>
        <w:t>CONTENTS</w:t>
      </w:r>
    </w:p>
    <w:p w:rsidR="0057450A" w:rsidRDefault="009F65EA">
      <w:pPr>
        <w:pStyle w:val="TOC8"/>
        <w:rPr>
          <w:sz w:val="24"/>
          <w:szCs w:val="24"/>
          <w:lang w:val="en-US"/>
        </w:rPr>
      </w:pPr>
      <w:r>
        <w:fldChar w:fldCharType="begin"/>
      </w:r>
      <w:r>
        <w:instrText xml:space="preserve"> TOC \t </w:instrText>
      </w:r>
      <w:r>
        <w:rPr>
          <w:szCs w:val="24"/>
          <w:lang w:val="en-US"/>
        </w:rPr>
        <w:instrText xml:space="preserve">"Heading 2,2,yScheduleHeading,2,yHeading 2,2,nHeading 2,2,zHeading 2,3,zyScheduleHeading,3,zyHeading 2,3,Heading 3,4,yHeading 3,4,zHeading 3,5,zyHeading 3,5,Heading 4,6,yHeading 4,6,zHeading 4,7,zyHeading 4,7,Heading 5,8,yHeading 5,8,nHeading 3,8,zHeading 5,9,zyHeading 5,9" </w:instrText>
      </w:r>
      <w:r>
        <w:instrText>\n "2</w:instrText>
      </w:r>
      <w:r>
        <w:noBreakHyphen/>
        <w:instrText xml:space="preserve">7" \w \* MERGEFORMAT </w:instrText>
      </w:r>
      <w:r>
        <w:fldChar w:fldCharType="separate"/>
      </w:r>
      <w:r w:rsidR="0057450A">
        <w:t>1.</w:t>
      </w:r>
      <w:r w:rsidR="0057450A">
        <w:tab/>
        <w:t>Citation</w:t>
      </w:r>
      <w:r w:rsidR="0057450A">
        <w:tab/>
      </w:r>
      <w:r w:rsidR="0057450A">
        <w:fldChar w:fldCharType="begin"/>
      </w:r>
      <w:r w:rsidR="0057450A">
        <w:instrText xml:space="preserve"> PAGEREF _Toc337721892 \h </w:instrText>
      </w:r>
      <w:r w:rsidR="0057450A">
        <w:fldChar w:fldCharType="separate"/>
      </w:r>
      <w:r w:rsidR="003C4B99">
        <w:t>1</w:t>
      </w:r>
      <w:r w:rsidR="0057450A">
        <w:fldChar w:fldCharType="end"/>
      </w:r>
    </w:p>
    <w:p w:rsidR="0057450A" w:rsidRDefault="0057450A">
      <w:pPr>
        <w:pStyle w:val="TOC8"/>
        <w:rPr>
          <w:sz w:val="24"/>
          <w:szCs w:val="24"/>
          <w:lang w:val="en-US"/>
        </w:rPr>
      </w:pPr>
      <w:r>
        <w:t>2</w:t>
      </w:r>
      <w:r w:rsidRPr="00D81A51">
        <w:rPr>
          <w:spacing w:val="-2"/>
        </w:rPr>
        <w:t>.</w:t>
      </w:r>
      <w:r w:rsidRPr="00D81A51"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_Toc337721893 \h </w:instrText>
      </w:r>
      <w:r>
        <w:fldChar w:fldCharType="separate"/>
      </w:r>
      <w:r w:rsidR="003C4B99">
        <w:t>1</w:t>
      </w:r>
      <w:r>
        <w:fldChar w:fldCharType="end"/>
      </w:r>
    </w:p>
    <w:p w:rsidR="0057450A" w:rsidRDefault="0057450A">
      <w:pPr>
        <w:pStyle w:val="TOC8"/>
        <w:rPr>
          <w:sz w:val="24"/>
          <w:szCs w:val="24"/>
          <w:lang w:val="en-US"/>
        </w:rPr>
      </w:pPr>
      <w:r>
        <w:t>3</w:t>
      </w:r>
      <w:r w:rsidRPr="00D81A51">
        <w:rPr>
          <w:snapToGrid w:val="0"/>
        </w:rPr>
        <w:t>.</w:t>
      </w:r>
      <w:r w:rsidRPr="00D81A51">
        <w:rPr>
          <w:snapToGrid w:val="0"/>
        </w:rPr>
        <w:tab/>
        <w:t>Term used: Commission</w:t>
      </w:r>
      <w:r>
        <w:tab/>
      </w:r>
      <w:r>
        <w:fldChar w:fldCharType="begin"/>
      </w:r>
      <w:r>
        <w:instrText xml:space="preserve"> PAGEREF _Toc337721894 \h </w:instrText>
      </w:r>
      <w:r>
        <w:fldChar w:fldCharType="separate"/>
      </w:r>
      <w:r w:rsidR="003C4B99">
        <w:t>1</w:t>
      </w:r>
      <w:r>
        <w:fldChar w:fldCharType="end"/>
      </w:r>
    </w:p>
    <w:p w:rsidR="0057450A" w:rsidRDefault="0057450A">
      <w:pPr>
        <w:pStyle w:val="TOC8"/>
        <w:rPr>
          <w:sz w:val="24"/>
          <w:szCs w:val="24"/>
          <w:lang w:val="en-US"/>
        </w:rPr>
      </w:pPr>
      <w:r>
        <w:t>4.</w:t>
      </w:r>
      <w:r>
        <w:tab/>
        <w:t>Levy amount prescribed</w:t>
      </w:r>
      <w:r>
        <w:tab/>
      </w:r>
      <w:r>
        <w:fldChar w:fldCharType="begin"/>
      </w:r>
      <w:r>
        <w:instrText xml:space="preserve"> PAGEREF _Toc337721895 \h </w:instrText>
      </w:r>
      <w:r>
        <w:fldChar w:fldCharType="separate"/>
      </w:r>
      <w:r w:rsidR="003C4B99">
        <w:t>1</w:t>
      </w:r>
      <w:r>
        <w:fldChar w:fldCharType="end"/>
      </w:r>
    </w:p>
    <w:p w:rsidR="0057450A" w:rsidRDefault="0057450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Notes</w:t>
      </w:r>
    </w:p>
    <w:p w:rsidR="0057450A" w:rsidRDefault="0057450A" w:rsidP="0057450A">
      <w:pPr>
        <w:pStyle w:val="TOC8"/>
        <w:rPr>
          <w:sz w:val="24"/>
          <w:szCs w:val="24"/>
          <w:lang w:val="en-US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_Toc337721897 \h </w:instrText>
      </w:r>
      <w:r>
        <w:fldChar w:fldCharType="separate"/>
      </w:r>
      <w:r w:rsidR="003C4B99">
        <w:t>3</w:t>
      </w:r>
      <w:r>
        <w:fldChar w:fldCharType="end"/>
      </w:r>
    </w:p>
    <w:p w:rsidR="0057450A" w:rsidRDefault="0057450A">
      <w:pPr>
        <w:pStyle w:val="TOC2"/>
        <w:tabs>
          <w:tab w:val="right" w:leader="dot" w:pos="7086"/>
        </w:tabs>
        <w:rPr>
          <w:b w:val="0"/>
          <w:sz w:val="24"/>
          <w:szCs w:val="24"/>
          <w:lang w:val="en-US"/>
        </w:rPr>
      </w:pPr>
      <w:r>
        <w:t>Defined Terms</w:t>
      </w:r>
    </w:p>
    <w:p w:rsidR="009F65EA" w:rsidRDefault="009F65EA">
      <w:pPr>
        <w:pStyle w:val="TOC8"/>
      </w:pPr>
      <w:r>
        <w:fldChar w:fldCharType="end"/>
      </w:r>
    </w:p>
    <w:p w:rsidR="009F65EA" w:rsidRDefault="009F65EA"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rPr>
          <w:rStyle w:val="CharSClsNo"/>
        </w:rPr>
        <w:t xml:space="preserve"> </w:t>
      </w:r>
    </w:p>
    <w:p w:rsidR="009F65EA" w:rsidRDefault="009F65EA">
      <w:pPr>
        <w:pStyle w:val="NoteHeading"/>
        <w:sectPr w:rsidR="009F65EA">
          <w:headerReference w:type="even" r:id="rId14"/>
          <w:headerReference w:type="default" r:id="rId15"/>
          <w:footerReference w:type="even" r:id="rId16"/>
          <w:footerReference w:type="default" r:id="rId17"/>
          <w:footerReference w:type="first" r:id="rId18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 w:rsidR="009F65EA" w:rsidRDefault="009F65EA">
      <w:pPr>
        <w:pStyle w:val="WA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 w:rsidR="009F65EA" w:rsidRDefault="009F65EA">
      <w:pPr>
        <w:pStyle w:val="PrincipalActReg"/>
      </w:pPr>
      <w:r>
        <w:t>Racing Bets Levy Act 2009</w:t>
      </w:r>
    </w:p>
    <w:p w:rsidR="009F65EA" w:rsidRDefault="009F65EA">
      <w:pPr>
        <w:pStyle w:val="NameofActReg"/>
      </w:pPr>
      <w:r>
        <w:t>Racing Bets Levy Regulations 2009</w:t>
      </w:r>
    </w:p>
    <w:p w:rsidR="009F65EA" w:rsidRDefault="009F65EA">
      <w:pPr>
        <w:pStyle w:val="Heading5"/>
      </w:pPr>
      <w:bookmarkStart w:id="1" w:name="_Toc423332722"/>
      <w:bookmarkStart w:id="2" w:name="_Toc425219441"/>
      <w:bookmarkStart w:id="3" w:name="_Toc426249308"/>
      <w:bookmarkStart w:id="4" w:name="_Toc449924704"/>
      <w:bookmarkStart w:id="5" w:name="_Toc449947722"/>
      <w:bookmarkStart w:id="6" w:name="_Toc454185713"/>
      <w:bookmarkStart w:id="7" w:name="_Toc515958686"/>
      <w:bookmarkStart w:id="8" w:name="_Toc337721892"/>
      <w:r>
        <w:rPr>
          <w:rStyle w:val="CharSectno"/>
        </w:rPr>
        <w:t>1</w:t>
      </w:r>
      <w:r>
        <w:t>.</w:t>
      </w:r>
      <w:r>
        <w:tab/>
        <w:t>Citation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9F65EA" w:rsidRDefault="009F65EA">
      <w:pPr>
        <w:pStyle w:val="Subsection"/>
        <w:rPr>
          <w:i/>
        </w:rPr>
      </w:pPr>
      <w:r>
        <w:tab/>
      </w:r>
      <w:r>
        <w:tab/>
      </w:r>
      <w:bookmarkStart w:id="9" w:name="Start_Cursor"/>
      <w:bookmarkEnd w:id="9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Racing Bets Levy Regulations 2009 </w:t>
      </w:r>
      <w:r>
        <w:rPr>
          <w:iCs/>
          <w:vertAlign w:val="superscript"/>
        </w:rPr>
        <w:t>1</w:t>
      </w:r>
      <w:r>
        <w:t>.</w:t>
      </w:r>
    </w:p>
    <w:p w:rsidR="009F65EA" w:rsidRDefault="009F65EA">
      <w:pPr>
        <w:pStyle w:val="Heading5"/>
        <w:rPr>
          <w:spacing w:val="-2"/>
        </w:rPr>
      </w:pPr>
      <w:bookmarkStart w:id="10" w:name="_Toc423332723"/>
      <w:bookmarkStart w:id="11" w:name="_Toc425219442"/>
      <w:bookmarkStart w:id="12" w:name="_Toc426249309"/>
      <w:bookmarkStart w:id="13" w:name="_Toc449924705"/>
      <w:bookmarkStart w:id="14" w:name="_Toc449947723"/>
      <w:bookmarkStart w:id="15" w:name="_Toc454185714"/>
      <w:bookmarkStart w:id="16" w:name="_Toc515958687"/>
      <w:bookmarkStart w:id="17" w:name="_Toc33772189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9F65EA" w:rsidRDefault="009F65EA">
      <w:pPr>
        <w:pStyle w:val="Subsection"/>
      </w:pPr>
      <w:r>
        <w:tab/>
      </w:r>
      <w:r>
        <w:tab/>
        <w:t xml:space="preserve">These regulations come into operation as follows — </w:t>
      </w:r>
    </w:p>
    <w:p w:rsidR="009F65EA" w:rsidRDefault="009F65EA">
      <w:pPr>
        <w:pStyle w:val="Indenta"/>
      </w:pPr>
      <w:r>
        <w:tab/>
        <w:t>(a)</w:t>
      </w:r>
      <w:r>
        <w:tab/>
        <w:t xml:space="preserve">regulations 1 and 2 — on the day on which these regulations are published in the </w:t>
      </w:r>
      <w:r>
        <w:rPr>
          <w:i/>
          <w:iCs/>
        </w:rPr>
        <w:t>Gazette</w:t>
      </w:r>
      <w:r>
        <w:t>;</w:t>
      </w:r>
    </w:p>
    <w:p w:rsidR="009F65EA" w:rsidRDefault="009F65EA">
      <w:pPr>
        <w:pStyle w:val="Indenta"/>
      </w:pPr>
      <w:r>
        <w:tab/>
        <w:t>(b)</w:t>
      </w:r>
      <w:r>
        <w:tab/>
        <w:t>the rest of the regulations — on the day after that day.</w:t>
      </w:r>
    </w:p>
    <w:p w:rsidR="009F65EA" w:rsidRDefault="009F65EA">
      <w:pPr>
        <w:pStyle w:val="Heading5"/>
        <w:rPr>
          <w:snapToGrid w:val="0"/>
        </w:rPr>
      </w:pPr>
      <w:bookmarkStart w:id="18" w:name="_Toc423332724"/>
      <w:bookmarkStart w:id="19" w:name="_Toc425219443"/>
      <w:bookmarkStart w:id="20" w:name="_Toc426249310"/>
      <w:bookmarkStart w:id="21" w:name="_Toc449924706"/>
      <w:bookmarkStart w:id="22" w:name="_Toc449947724"/>
      <w:bookmarkStart w:id="23" w:name="_Toc454185715"/>
      <w:bookmarkStart w:id="24" w:name="_Toc515958688"/>
      <w:bookmarkStart w:id="25" w:name="_Toc337721894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Term used</w:t>
      </w:r>
      <w:bookmarkEnd w:id="18"/>
      <w:bookmarkEnd w:id="19"/>
      <w:bookmarkEnd w:id="20"/>
      <w:bookmarkEnd w:id="21"/>
      <w:bookmarkEnd w:id="22"/>
      <w:bookmarkEnd w:id="23"/>
      <w:bookmarkEnd w:id="24"/>
      <w:r>
        <w:rPr>
          <w:snapToGrid w:val="0"/>
        </w:rPr>
        <w:t>: Commission</w:t>
      </w:r>
      <w:bookmarkEnd w:id="25"/>
    </w:p>
    <w:p w:rsidR="009F65EA" w:rsidRDefault="009F65EA">
      <w:pPr>
        <w:pStyle w:val="Subsection"/>
      </w:pPr>
      <w:r>
        <w:tab/>
      </w:r>
      <w:r>
        <w:tab/>
        <w:t xml:space="preserve">In these regulations — </w:t>
      </w:r>
    </w:p>
    <w:p w:rsidR="009F65EA" w:rsidRDefault="009F65EA">
      <w:pPr>
        <w:pStyle w:val="Defstart"/>
      </w:pPr>
      <w:r>
        <w:tab/>
      </w:r>
      <w:r>
        <w:rPr>
          <w:rStyle w:val="CharDefText"/>
        </w:rPr>
        <w:t>Commission</w:t>
      </w:r>
      <w:r>
        <w:t xml:space="preserve"> means the Gaming and Wagering Commission of Western Australia established under the </w:t>
      </w:r>
      <w:r>
        <w:rPr>
          <w:i/>
        </w:rPr>
        <w:t>Gaming and Wagering Commission Act 1987</w:t>
      </w:r>
      <w:r>
        <w:rPr>
          <w:iCs/>
        </w:rPr>
        <w:t xml:space="preserve"> section 4(1)</w:t>
      </w:r>
      <w:r>
        <w:t>.</w:t>
      </w:r>
    </w:p>
    <w:p w:rsidR="009F65EA" w:rsidRDefault="009F65EA">
      <w:pPr>
        <w:pStyle w:val="Heading5"/>
      </w:pPr>
      <w:bookmarkStart w:id="26" w:name="_Toc337721895"/>
      <w:r>
        <w:rPr>
          <w:rStyle w:val="CharSectno"/>
        </w:rPr>
        <w:t>4</w:t>
      </w:r>
      <w:r>
        <w:t>.</w:t>
      </w:r>
      <w:r>
        <w:tab/>
        <w:t>Levy amount prescribed</w:t>
      </w:r>
      <w:bookmarkEnd w:id="26"/>
    </w:p>
    <w:p w:rsidR="009F65EA" w:rsidRDefault="009F65EA">
      <w:pPr>
        <w:pStyle w:val="Subsection"/>
      </w:pPr>
      <w:r>
        <w:tab/>
      </w:r>
      <w:r w:rsidR="00814ADC">
        <w:t>(1)</w:t>
      </w:r>
      <w:r w:rsidR="00814ADC">
        <w:tab/>
        <w:t>The amount</w:t>
      </w:r>
      <w:r w:rsidR="00814ADC" w:rsidDel="00814ADC">
        <w:t xml:space="preserve"> </w:t>
      </w:r>
      <w:r>
        <w:t xml:space="preserve">by way of levy to be paid under the </w:t>
      </w:r>
      <w:r>
        <w:rPr>
          <w:i/>
        </w:rPr>
        <w:t>Betting Control Act 1954</w:t>
      </w:r>
      <w:r>
        <w:t xml:space="preserve"> section 14A(2) by a betting operator in respect of racing bets placed or accepted on or after 1 September 2008</w:t>
      </w:r>
      <w:r w:rsidR="00814ADC" w:rsidRPr="00814ADC">
        <w:t xml:space="preserve"> </w:t>
      </w:r>
      <w:r w:rsidR="00814ADC">
        <w:t>and before 1 November 2012</w:t>
      </w:r>
      <w:r>
        <w:t xml:space="preserve"> is — </w:t>
      </w:r>
    </w:p>
    <w:p w:rsidR="009F65EA" w:rsidRDefault="009F65EA">
      <w:pPr>
        <w:pStyle w:val="Indenta"/>
      </w:pPr>
      <w:r>
        <w:tab/>
        <w:t>(a)</w:t>
      </w:r>
      <w:r>
        <w:tab/>
        <w:t>1.5% of turnover for each month beginning with September 2008; or</w:t>
      </w:r>
    </w:p>
    <w:p w:rsidR="009F65EA" w:rsidRDefault="009F65EA">
      <w:pPr>
        <w:pStyle w:val="Indenta"/>
      </w:pPr>
      <w:r>
        <w:tab/>
        <w:t>(b)</w:t>
      </w:r>
      <w:r>
        <w:tab/>
        <w:t>either 20% of gross revenue for each month or 0.2% of turnover for each month beginning with September 2008, whichever is the greater, or if the amounts are equal, that amount.</w:t>
      </w:r>
    </w:p>
    <w:p w:rsidR="00814ADC" w:rsidRDefault="00814ADC" w:rsidP="00814ADC">
      <w:pPr>
        <w:pStyle w:val="Subsection"/>
      </w:pPr>
      <w:r>
        <w:tab/>
        <w:t>(2)</w:t>
      </w:r>
      <w:r>
        <w:tab/>
        <w:t xml:space="preserve">The amount by way of levy to be paid under the </w:t>
      </w:r>
      <w:r>
        <w:rPr>
          <w:i/>
        </w:rPr>
        <w:t xml:space="preserve">Betting Control Act 1954 </w:t>
      </w:r>
      <w:r w:rsidRPr="005E419E">
        <w:t>section</w:t>
      </w:r>
      <w:r>
        <w:t xml:space="preserve"> 14A(2) by a betting operator in respect of racing bets placed or accepted on or after 1 November 2012 is </w:t>
      </w:r>
      <w:r w:rsidRPr="005E419E">
        <w:t>as follows —</w:t>
      </w:r>
      <w:r>
        <w:t xml:space="preserve"> </w:t>
      </w:r>
    </w:p>
    <w:p w:rsidR="00814ADC" w:rsidRDefault="00814ADC" w:rsidP="00814ADC">
      <w:pPr>
        <w:pStyle w:val="Indenta"/>
      </w:pPr>
      <w:r>
        <w:tab/>
        <w:t>(a)</w:t>
      </w:r>
      <w:r>
        <w:tab/>
        <w:t>in the case of racing bets placed or accepted on thoroughbred racing occurring during the premium thoroughbred racing season, 2% of turnover for each month beginning with November 2012;</w:t>
      </w:r>
    </w:p>
    <w:p w:rsidR="00814ADC" w:rsidRDefault="00814ADC" w:rsidP="00814ADC">
      <w:pPr>
        <w:pStyle w:val="Indenta"/>
      </w:pPr>
      <w:r>
        <w:tab/>
        <w:t>(b)</w:t>
      </w:r>
      <w:r>
        <w:tab/>
        <w:t>in the case of all other racing bets, 1.5% of turnover for each month beginning with November 2012.</w:t>
      </w:r>
    </w:p>
    <w:p w:rsidR="00814ADC" w:rsidRDefault="00814ADC" w:rsidP="00814ADC">
      <w:pPr>
        <w:pStyle w:val="Subsection"/>
      </w:pPr>
      <w:r>
        <w:tab/>
        <w:t>(3)</w:t>
      </w:r>
      <w:r>
        <w:tab/>
        <w:t xml:space="preserve">In subregulation (2) — </w:t>
      </w:r>
    </w:p>
    <w:p w:rsidR="00814ADC" w:rsidRDefault="00814ADC" w:rsidP="00814ADC">
      <w:pPr>
        <w:pStyle w:val="Defstart"/>
      </w:pPr>
      <w:r>
        <w:tab/>
      </w:r>
      <w:r w:rsidRPr="00A8503A">
        <w:rPr>
          <w:rStyle w:val="CharDefText"/>
        </w:rPr>
        <w:t>p</w:t>
      </w:r>
      <w:r>
        <w:rPr>
          <w:rStyle w:val="CharDefText"/>
        </w:rPr>
        <w:t>remium thoroughbred r</w:t>
      </w:r>
      <w:r w:rsidRPr="005203D5">
        <w:rPr>
          <w:rStyle w:val="CharDefText"/>
        </w:rPr>
        <w:t>acing season</w:t>
      </w:r>
      <w:r>
        <w:t xml:space="preserve"> means the period beginning on 1 November in any year and ending on 1 January in the next year, both dates inclusive;</w:t>
      </w:r>
    </w:p>
    <w:p w:rsidR="00814ADC" w:rsidRDefault="00814ADC" w:rsidP="00814ADC">
      <w:pPr>
        <w:pStyle w:val="Defstart"/>
      </w:pPr>
      <w:r>
        <w:tab/>
      </w:r>
      <w:r w:rsidRPr="00A8503A">
        <w:rPr>
          <w:rStyle w:val="CharDefText"/>
        </w:rPr>
        <w:t>t</w:t>
      </w:r>
      <w:r w:rsidRPr="005203D5">
        <w:rPr>
          <w:rStyle w:val="CharDefText"/>
        </w:rPr>
        <w:t>horoughbred racing</w:t>
      </w:r>
      <w:r>
        <w:t xml:space="preserve"> has the meaning given to that term in the </w:t>
      </w:r>
      <w:r w:rsidRPr="005E419E">
        <w:rPr>
          <w:i/>
        </w:rPr>
        <w:t xml:space="preserve">Racing and Wagering </w:t>
      </w:r>
      <w:smartTag w:uri="urn:schemas-microsoft-com:office:smarttags" w:element="place">
        <w:smartTag w:uri="urn:schemas-microsoft-com:office:smarttags" w:element="State">
          <w:r w:rsidRPr="005E419E">
            <w:rPr>
              <w:i/>
            </w:rPr>
            <w:t>Western Australia</w:t>
          </w:r>
        </w:smartTag>
      </w:smartTag>
      <w:r w:rsidRPr="005E419E">
        <w:rPr>
          <w:i/>
        </w:rPr>
        <w:t xml:space="preserve"> Act 2003</w:t>
      </w:r>
      <w:r>
        <w:t xml:space="preserve"> </w:t>
      </w:r>
      <w:r w:rsidRPr="005E419E">
        <w:t>section</w:t>
      </w:r>
      <w:r>
        <w:t> 3(1).</w:t>
      </w:r>
    </w:p>
    <w:p w:rsidR="00814ADC" w:rsidRDefault="00814ADC" w:rsidP="00814ADC">
      <w:pPr>
        <w:pStyle w:val="Footnotesection"/>
      </w:pPr>
      <w:r>
        <w:tab/>
        <w:t>[Regulation 4 amended in Gazette 12 Oct 2012 p. 4851</w:t>
      </w:r>
      <w:r>
        <w:noBreakHyphen/>
        <w:t>2.]</w:t>
      </w:r>
    </w:p>
    <w:p w:rsidR="00814ADC" w:rsidRDefault="00814ADC" w:rsidP="00814ADC">
      <w:pPr>
        <w:pStyle w:val="Ednotesection"/>
      </w:pPr>
      <w:r>
        <w:t>[</w:t>
      </w:r>
      <w:r>
        <w:rPr>
          <w:b/>
        </w:rPr>
        <w:t>5.</w:t>
      </w:r>
      <w:r>
        <w:rPr>
          <w:b/>
        </w:rPr>
        <w:tab/>
      </w:r>
      <w:r>
        <w:t>Deleted in Gazette 12 Oct 2012 p. 4852.]</w:t>
      </w:r>
    </w:p>
    <w:p w:rsidR="009F65EA" w:rsidRDefault="009F65EA">
      <w:pPr>
        <w:sectPr w:rsidR="009F65EA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endnotePr>
            <w:numFmt w:val="decimal"/>
          </w:endnotePr>
          <w:pgSz w:w="11906" w:h="16838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  <w:bookmarkStart w:id="27" w:name="_Toc113695922"/>
      <w:bookmarkStart w:id="28" w:name="_Toc250643472"/>
    </w:p>
    <w:p w:rsidR="009F65EA" w:rsidRDefault="009F65EA">
      <w:pPr>
        <w:pStyle w:val="nHeading2"/>
      </w:pPr>
      <w:bookmarkStart w:id="29" w:name="_Toc250643535"/>
      <w:bookmarkStart w:id="30" w:name="_Toc337721896"/>
      <w:r>
        <w:t>Notes</w:t>
      </w:r>
      <w:bookmarkEnd w:id="27"/>
      <w:bookmarkEnd w:id="28"/>
      <w:bookmarkEnd w:id="29"/>
      <w:bookmarkEnd w:id="30"/>
    </w:p>
    <w:p w:rsidR="009F65EA" w:rsidRDefault="009F65EA">
      <w:pPr>
        <w:pStyle w:val="nSubsection"/>
        <w:rPr>
          <w:snapToGrid w:val="0"/>
        </w:rPr>
      </w:pPr>
      <w:bookmarkStart w:id="31" w:name="_Toc70311430"/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Racing Bets Levy Regulations 2009</w:t>
      </w:r>
      <w:r w:rsidR="00814ADC" w:rsidRPr="00814ADC">
        <w:rPr>
          <w:snapToGrid w:val="0"/>
        </w:rPr>
        <w:t xml:space="preserve"> </w:t>
      </w:r>
      <w:r w:rsidR="00814ADC">
        <w:rPr>
          <w:snapToGrid w:val="0"/>
        </w:rPr>
        <w:t xml:space="preserve">and includes the amendments made by the other written laws referred to in the following table.  </w:t>
      </w:r>
    </w:p>
    <w:p w:rsidR="009F65EA" w:rsidRDefault="009F65EA">
      <w:pPr>
        <w:pStyle w:val="nHeading3"/>
      </w:pPr>
      <w:bookmarkStart w:id="32" w:name="_Toc337721897"/>
      <w:r>
        <w:t>Compilation table</w:t>
      </w:r>
      <w:bookmarkEnd w:id="31"/>
      <w:bookmarkEnd w:id="32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 w:rsidR="009F65EA" w:rsidTr="00607710">
        <w:trPr>
          <w:tblHeader/>
        </w:trPr>
        <w:tc>
          <w:tcPr>
            <w:tcW w:w="3118" w:type="dxa"/>
            <w:tcBorders>
              <w:bottom w:val="single" w:sz="4" w:space="0" w:color="auto"/>
            </w:tcBorders>
          </w:tcPr>
          <w:p w:rsidR="009F65EA" w:rsidRDefault="009F65E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Citation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F65EA" w:rsidRDefault="009F65E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Gazettal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F65EA" w:rsidRDefault="009F65EA">
            <w:pPr>
              <w:pStyle w:val="nTable"/>
              <w:spacing w:after="40"/>
              <w:rPr>
                <w:b/>
                <w:sz w:val="19"/>
              </w:rPr>
            </w:pPr>
            <w:r>
              <w:rPr>
                <w:b/>
                <w:sz w:val="19"/>
              </w:rPr>
              <w:t>Commencement</w:t>
            </w:r>
          </w:p>
        </w:tc>
      </w:tr>
      <w:tr w:rsidR="009F65EA" w:rsidTr="00607710">
        <w:tc>
          <w:tcPr>
            <w:tcW w:w="3118" w:type="dxa"/>
            <w:tcBorders>
              <w:top w:val="single" w:sz="4" w:space="0" w:color="auto"/>
              <w:bottom w:val="nil"/>
            </w:tcBorders>
          </w:tcPr>
          <w:p w:rsidR="009F65EA" w:rsidRDefault="009F65EA">
            <w:pPr>
              <w:pStyle w:val="nTable"/>
              <w:spacing w:after="40"/>
              <w:rPr>
                <w:sz w:val="19"/>
              </w:rPr>
            </w:pPr>
            <w:r>
              <w:rPr>
                <w:i/>
                <w:sz w:val="19"/>
              </w:rPr>
              <w:t>Racing Bets Levy Regulations 2009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</w:tcPr>
          <w:p w:rsidR="009F65EA" w:rsidRDefault="009F65EA">
            <w:pPr>
              <w:pStyle w:val="nTable"/>
              <w:spacing w:after="40"/>
              <w:rPr>
                <w:sz w:val="19"/>
              </w:rPr>
            </w:pPr>
            <w:r>
              <w:rPr>
                <w:sz w:val="19"/>
              </w:rPr>
              <w:t>8 Jan 2010 p. 27</w:t>
            </w:r>
            <w:r>
              <w:rPr>
                <w:sz w:val="19"/>
              </w:rPr>
              <w:noBreakHyphen/>
              <w:t>8</w:t>
            </w:r>
          </w:p>
        </w:tc>
        <w:tc>
          <w:tcPr>
            <w:tcW w:w="2693" w:type="dxa"/>
            <w:tcBorders>
              <w:top w:val="single" w:sz="4" w:space="0" w:color="auto"/>
              <w:bottom w:val="nil"/>
            </w:tcBorders>
          </w:tcPr>
          <w:p w:rsidR="009F65EA" w:rsidRDefault="009F65EA">
            <w:pPr>
              <w:pStyle w:val="nTable"/>
              <w:spacing w:after="40"/>
              <w:rPr>
                <w:sz w:val="19"/>
              </w:rPr>
            </w:pPr>
            <w:r>
              <w:rPr>
                <w:snapToGrid w:val="0"/>
                <w:spacing w:val="-2"/>
                <w:sz w:val="19"/>
                <w:lang w:val="en-US"/>
              </w:rPr>
              <w:t>r. 1 and 2: 8 Jan 2010 (see r. 2(a));</w:t>
            </w:r>
            <w:r>
              <w:rPr>
                <w:snapToGrid w:val="0"/>
                <w:spacing w:val="-2"/>
                <w:sz w:val="19"/>
                <w:lang w:val="en-US"/>
              </w:rPr>
              <w:br/>
              <w:t>Regulations other than r. 1 and 2: 9 Jan 2010 (see r. 2(b))</w:t>
            </w:r>
          </w:p>
        </w:tc>
      </w:tr>
      <w:tr w:rsidR="00814ADC" w:rsidTr="00607710"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 w:rsidR="00814ADC" w:rsidRPr="00814ADC" w:rsidRDefault="00814ADC">
            <w:pPr>
              <w:pStyle w:val="nTable"/>
              <w:spacing w:after="40"/>
              <w:rPr>
                <w:i/>
                <w:sz w:val="19"/>
              </w:rPr>
            </w:pPr>
            <w:r w:rsidRPr="00814ADC">
              <w:rPr>
                <w:i/>
                <w:sz w:val="19"/>
              </w:rPr>
              <w:t>Racing Bets Levy Amendment</w:t>
            </w:r>
            <w:r w:rsidR="0057450A">
              <w:rPr>
                <w:i/>
                <w:sz w:val="19"/>
              </w:rPr>
              <w:t xml:space="preserve"> Regulations 2012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:rsidR="00814ADC" w:rsidRDefault="00814ADC">
            <w:pPr>
              <w:pStyle w:val="nTable"/>
              <w:spacing w:after="40"/>
              <w:rPr>
                <w:sz w:val="19"/>
              </w:rPr>
            </w:pPr>
            <w:r w:rsidRPr="00814ADC">
              <w:rPr>
                <w:sz w:val="19"/>
              </w:rPr>
              <w:t>12 Oct 2012 p. 485</w:t>
            </w:r>
            <w:r>
              <w:rPr>
                <w:sz w:val="19"/>
              </w:rPr>
              <w:t>1</w:t>
            </w:r>
            <w:r>
              <w:rPr>
                <w:sz w:val="19"/>
              </w:rPr>
              <w:noBreakHyphen/>
              <w:t>2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814ADC" w:rsidRDefault="00814ADC">
            <w:pPr>
              <w:pStyle w:val="nTable"/>
              <w:spacing w:after="40"/>
              <w:rPr>
                <w:snapToGrid w:val="0"/>
                <w:spacing w:val="-2"/>
                <w:sz w:val="19"/>
                <w:lang w:val="en-US"/>
              </w:rPr>
            </w:pPr>
            <w:r w:rsidRPr="00814ADC">
              <w:rPr>
                <w:snapToGrid w:val="0"/>
                <w:spacing w:val="-2"/>
                <w:sz w:val="19"/>
                <w:lang w:val="en-US"/>
              </w:rPr>
              <w:t xml:space="preserve">r. 1 and 2: </w:t>
            </w:r>
            <w:r>
              <w:rPr>
                <w:snapToGrid w:val="0"/>
                <w:spacing w:val="-2"/>
                <w:sz w:val="19"/>
                <w:lang w:val="en-US"/>
              </w:rPr>
              <w:t>12 Oct</w:t>
            </w:r>
            <w:r w:rsidRPr="00814ADC">
              <w:rPr>
                <w:snapToGrid w:val="0"/>
                <w:spacing w:val="-2"/>
                <w:sz w:val="19"/>
                <w:lang w:val="en-US"/>
              </w:rPr>
              <w:t xml:space="preserve"> 2012 (see r. 2(a));</w:t>
            </w:r>
            <w:r w:rsidRPr="00814ADC">
              <w:rPr>
                <w:snapToGrid w:val="0"/>
                <w:spacing w:val="-2"/>
                <w:sz w:val="19"/>
                <w:lang w:val="en-US"/>
              </w:rPr>
              <w:br/>
              <w:t xml:space="preserve">Regulations other than r. 1 and 2: </w:t>
            </w:r>
            <w:r>
              <w:rPr>
                <w:snapToGrid w:val="0"/>
                <w:spacing w:val="-2"/>
                <w:sz w:val="19"/>
                <w:lang w:val="en-US"/>
              </w:rPr>
              <w:t>13 Oct</w:t>
            </w:r>
            <w:r w:rsidRPr="00814ADC">
              <w:rPr>
                <w:snapToGrid w:val="0"/>
                <w:spacing w:val="-2"/>
                <w:sz w:val="19"/>
                <w:lang w:val="en-US"/>
              </w:rPr>
              <w:t> 2012 (see r. 2(b))</w:t>
            </w:r>
          </w:p>
        </w:tc>
      </w:tr>
    </w:tbl>
    <w:p w:rsidR="009F65EA" w:rsidRDefault="009F65EA"/>
    <w:p w:rsidR="00814ADC" w:rsidRDefault="00814ADC">
      <w:pPr>
        <w:sectPr w:rsidR="00814ADC">
          <w:headerReference w:type="even" r:id="rId25"/>
          <w:headerReference w:type="default" r:id="rId26"/>
          <w:headerReference w:type="first" r:id="rId27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814ADC" w:rsidRDefault="00814ADC" w:rsidP="00814ADC">
      <w:pPr>
        <w:pStyle w:val="nHeading2"/>
        <w:rPr>
          <w:sz w:val="28"/>
        </w:rPr>
      </w:pPr>
      <w:bookmarkStart w:id="33" w:name="_Toc337721898"/>
      <w:r>
        <w:rPr>
          <w:sz w:val="28"/>
        </w:rPr>
        <w:t>Defined Terms</w:t>
      </w:r>
      <w:bookmarkEnd w:id="33"/>
    </w:p>
    <w:p w:rsidR="00814ADC" w:rsidRDefault="00814ADC" w:rsidP="00814ADC">
      <w:pPr>
        <w:ind w:left="850" w:right="850"/>
        <w:jc w:val="center"/>
        <w:rPr>
          <w:i/>
          <w:sz w:val="18"/>
        </w:rPr>
      </w:pPr>
    </w:p>
    <w:p w:rsidR="00814ADC" w:rsidRDefault="00814ADC" w:rsidP="00814ADC"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 w:rsidR="00814ADC" w:rsidRPr="00814ADC" w:rsidRDefault="00814ADC" w:rsidP="00814ADC"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 w:rsidR="00814ADC" w:rsidRDefault="00814ADC" w:rsidP="00814ADC">
      <w:pPr>
        <w:pStyle w:val="DefinedTerms"/>
      </w:pPr>
      <w:bookmarkStart w:id="34" w:name="DefinedTerms"/>
      <w:bookmarkEnd w:id="34"/>
      <w:r>
        <w:t>Commission</w:t>
      </w:r>
      <w:r>
        <w:tab/>
        <w:t>3</w:t>
      </w:r>
    </w:p>
    <w:p w:rsidR="00814ADC" w:rsidRDefault="00814ADC" w:rsidP="00814ADC">
      <w:pPr>
        <w:pStyle w:val="DefinedTerms"/>
      </w:pPr>
      <w:r>
        <w:t>premium thoroughbred racing season</w:t>
      </w:r>
      <w:r>
        <w:tab/>
        <w:t>4(3)</w:t>
      </w:r>
    </w:p>
    <w:p w:rsidR="00814ADC" w:rsidRDefault="00814ADC" w:rsidP="00814ADC">
      <w:pPr>
        <w:pStyle w:val="DefinedTerms"/>
      </w:pPr>
      <w:r>
        <w:t>thoroughbred racing</w:t>
      </w:r>
      <w:r>
        <w:tab/>
        <w:t>4(3)</w:t>
      </w:r>
    </w:p>
    <w:p w:rsidR="009F65EA" w:rsidRDefault="009F65EA" w:rsidP="00814ADC">
      <w:pPr>
        <w:pStyle w:val="DefinedTerms"/>
        <w:sectPr w:rsidR="009F65EA">
          <w:headerReference w:type="even" r:id="rId28"/>
          <w:headerReference w:type="default" r:id="rId29"/>
          <w:footerReference w:type="even" r:id="rId30"/>
          <w:footerReference w:type="default" r:id="rId31"/>
          <w:headerReference w:type="first" r:id="rId32"/>
          <w:footerReference w:type="first" r:id="rId33"/>
          <w:endnotePr>
            <w:numFmt w:val="decimal"/>
          </w:endnotePr>
          <w:pgSz w:w="11906" w:h="16838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 w:rsidR="009F65EA" w:rsidRDefault="009F65EA"/>
    <w:sectPr w:rsidR="009F65EA">
      <w:headerReference w:type="even" r:id="rId34"/>
      <w:endnotePr>
        <w:numFmt w:val="decimal"/>
      </w:endnotePr>
      <w:type w:val="continuous"/>
      <w:pgSz w:w="11906" w:h="16838" w:code="9"/>
      <w:pgMar w:top="2376" w:right="2404" w:bottom="3544" w:left="2404" w:header="720" w:footer="33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50A" w:rsidRDefault="0057450A">
      <w:pPr>
        <w:rPr>
          <w:b/>
          <w:sz w:val="28"/>
        </w:rPr>
      </w:pPr>
      <w:r>
        <w:rPr>
          <w:b/>
          <w:sz w:val="28"/>
        </w:rPr>
        <w:t>Endnotes</w:t>
      </w:r>
    </w:p>
    <w:p w:rsidR="0057450A" w:rsidRDefault="0057450A"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 w:rsidR="0057450A" w:rsidRDefault="0057450A"/>
  </w:endnote>
  <w:endnote w:type="continuationSeparator" w:id="0">
    <w:p w:rsidR="0057450A" w:rsidRDefault="0057450A">
      <w:pPr>
        <w:pStyle w:val="Footer"/>
      </w:pPr>
    </w:p>
    <w:p w:rsidR="0057450A" w:rsidRDefault="005745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4B99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666D4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4666D4">
      <w:rPr>
        <w:rStyle w:val="CharPageNo"/>
        <w:rFonts w:ascii="Arial" w:hAnsi="Arial"/>
        <w:noProof/>
      </w:rPr>
      <w:t>4</w:t>
    </w:r>
    <w:r>
      <w:rPr>
        <w:rStyle w:val="CharPageNo"/>
        <w:rFonts w:ascii="Arial" w:hAnsi="Arial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666D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4666D4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3C4B99">
      <w:rPr>
        <w:rStyle w:val="PageNumber"/>
        <w:rFonts w:ascii="Arial" w:hAnsi="Arial" w:cs="Arial"/>
        <w:noProof/>
      </w:rPr>
      <w:t>i</w:t>
    </w:r>
    <w:r>
      <w:rPr>
        <w:rStyle w:val="PageNumber"/>
        <w:rFonts w:ascii="Arial" w:hAnsi="Arial" w:cs="Arial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4B99">
      <w:rPr>
        <w:rStyle w:val="CharPageNo"/>
        <w:rFonts w:ascii="Arial" w:hAnsi="Arial"/>
        <w:noProof/>
      </w:rPr>
      <w:t>2</w:t>
    </w:r>
    <w:r>
      <w:rPr>
        <w:rStyle w:val="CharPageNo"/>
        <w:rFonts w:ascii="Arial" w:hAnsi="Arial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 xml:space="preserve"> </w:t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4B99">
      <w:rPr>
        <w:rStyle w:val="CharPageNo"/>
        <w:rFonts w:ascii="Arial" w:hAnsi="Arial"/>
        <w:noProof/>
      </w:rPr>
      <w:t>3</w:t>
    </w:r>
    <w:r>
      <w:rPr>
        <w:rStyle w:val="CharPageNo"/>
        <w:rFonts w:ascii="Arial" w:hAnsi="Arial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Footer"/>
      <w:tabs>
        <w:tab w:val="clear" w:pos="4153"/>
        <w:tab w:val="right" w:pos="7088"/>
      </w:tabs>
      <w:rPr>
        <w:rStyle w:val="PageNumber"/>
      </w:rPr>
    </w:pPr>
  </w:p>
  <w:p w:rsidR="0057450A" w:rsidRDefault="0057450A"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  <w:lang w:val="en-US"/>
      </w:rPr>
    </w:pPr>
    <w:r>
      <w:rPr>
        <w:rFonts w:ascii="Arial" w:hAnsi="Arial" w:cs="Arial"/>
        <w:sz w:val="20"/>
        <w:lang w:val="en-US"/>
      </w:rPr>
      <w:t xml:space="preserve">As at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"AsAtDate"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13 Oct 2012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Version </w:t>
    </w:r>
    <w:r>
      <w:rPr>
        <w:rFonts w:ascii="Arial" w:hAnsi="Arial" w:cs="Arial"/>
        <w:sz w:val="20"/>
        <w:lang w:val="en-US"/>
      </w:rPr>
      <w:fldChar w:fldCharType="begin"/>
    </w:r>
    <w:r>
      <w:rPr>
        <w:rFonts w:ascii="Arial" w:hAnsi="Arial" w:cs="Arial"/>
        <w:sz w:val="20"/>
        <w:lang w:val="en-US"/>
      </w:rPr>
      <w:instrText xml:space="preserve"> DOCPROPERTY "Suffix"  \* MERGEFORMAT </w:instrText>
    </w:r>
    <w:r>
      <w:rPr>
        <w:rFonts w:ascii="Arial" w:hAnsi="Arial" w:cs="Arial"/>
        <w:sz w:val="20"/>
        <w:lang w:val="en-US"/>
      </w:rPr>
      <w:fldChar w:fldCharType="separate"/>
    </w:r>
    <w:r w:rsidR="003C4B99">
      <w:rPr>
        <w:rFonts w:ascii="Arial" w:hAnsi="Arial" w:cs="Arial"/>
        <w:sz w:val="20"/>
        <w:lang w:val="en-US"/>
      </w:rPr>
      <w:t>00-b0-01</w:t>
    </w:r>
    <w:r>
      <w:rPr>
        <w:rFonts w:ascii="Arial" w:hAnsi="Arial" w:cs="Arial"/>
        <w:sz w:val="20"/>
        <w:lang w:val="en-US"/>
      </w:rPr>
      <w:fldChar w:fldCharType="end"/>
    </w:r>
    <w:r>
      <w:rPr>
        <w:rFonts w:ascii="Arial" w:hAnsi="Arial" w:cs="Arial"/>
        <w:sz w:val="20"/>
        <w:lang w:val="en-US"/>
      </w:rPr>
      <w:tab/>
      <w:t xml:space="preserve">page </w:t>
    </w:r>
    <w:r>
      <w:rPr>
        <w:rStyle w:val="CharPageNo"/>
        <w:rFonts w:ascii="Arial" w:hAnsi="Arial"/>
      </w:rPr>
      <w:fldChar w:fldCharType="begin"/>
    </w:r>
    <w:r>
      <w:rPr>
        <w:rStyle w:val="CharPageNo"/>
        <w:rFonts w:ascii="Arial" w:hAnsi="Arial"/>
      </w:rPr>
      <w:instrText xml:space="preserve"> PAGE </w:instrText>
    </w:r>
    <w:r>
      <w:rPr>
        <w:rStyle w:val="CharPageNo"/>
        <w:rFonts w:ascii="Arial" w:hAnsi="Arial"/>
      </w:rPr>
      <w:fldChar w:fldCharType="separate"/>
    </w:r>
    <w:r w:rsidR="003C4B99">
      <w:rPr>
        <w:rStyle w:val="CharPageNo"/>
        <w:rFonts w:ascii="Arial" w:hAnsi="Arial"/>
        <w:noProof/>
      </w:rPr>
      <w:t>1</w:t>
    </w:r>
    <w:r>
      <w:rPr>
        <w:rStyle w:val="CharPageNo"/>
        <w:rFonts w:ascii="Arial" w:hAnsi="Arial"/>
      </w:rPr>
      <w:fldChar w:fldCharType="end"/>
    </w:r>
  </w:p>
  <w:p w:rsidR="0057450A" w:rsidRDefault="0057450A">
    <w:pPr>
      <w:rPr>
        <w:sz w:val="16"/>
      </w:rPr>
    </w:pPr>
    <w:r>
      <w:rPr>
        <w:rFonts w:cs="Arial"/>
        <w:sz w:val="16"/>
        <w:szCs w:val="16"/>
        <w:lang w:val="en-US"/>
      </w:rPr>
      <w:tab/>
      <w:t>Extract from www.slp.wa.gov.au, see that website for further information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50A" w:rsidRDefault="0057450A">
      <w:r>
        <w:separator/>
      </w:r>
    </w:p>
  </w:footnote>
  <w:footnote w:type="continuationSeparator" w:id="0">
    <w:p w:rsidR="0057450A" w:rsidRDefault="00574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headerpartodd"/>
      <w:ind w:left="0" w:firstLine="0"/>
      <w:rPr>
        <w:i/>
      </w:rPr>
    </w:pPr>
    <w:r>
      <w:rPr>
        <w:i/>
      </w:rPr>
      <w:fldChar w:fldCharType="begin"/>
    </w:r>
    <w:r>
      <w:rPr>
        <w:i/>
      </w:rPr>
      <w:instrText xml:space="preserve"> Styleref "Name of Act/Reg" </w:instrText>
    </w:r>
    <w:r>
      <w:rPr>
        <w:i/>
      </w:rPr>
      <w:fldChar w:fldCharType="separate"/>
    </w:r>
    <w:r w:rsidR="003C4B99">
      <w:rPr>
        <w:i/>
        <w:noProof/>
      </w:rPr>
      <w:t>Racing Bets Levy Regulations 2009</w:t>
    </w:r>
    <w:r>
      <w:rPr>
        <w:i/>
      </w:rPr>
      <w:fldChar w:fldCharType="end"/>
    </w:r>
  </w:p>
  <w:p w:rsidR="0057450A" w:rsidRDefault="0057450A">
    <w:pPr>
      <w:pStyle w:val="headerpartodd"/>
      <w:ind w:left="0" w:firstLine="0"/>
      <w:rPr>
        <w:b w:val="0"/>
        <w:i/>
      </w:rPr>
    </w:pPr>
    <w:r>
      <w:fldChar w:fldCharType="begin"/>
    </w:r>
    <w:r>
      <w:instrText xml:space="preserve"> STYLEREF CharPartNo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CharPartText </w:instrText>
    </w:r>
    <w:r>
      <w:rPr>
        <w:b w:val="0"/>
      </w:rPr>
      <w:fldChar w:fldCharType="end"/>
    </w:r>
  </w:p>
  <w:p w:rsidR="0057450A" w:rsidRDefault="0057450A">
    <w:pPr>
      <w:pStyle w:val="headerpart"/>
    </w:pPr>
    <w:r>
      <w:fldChar w:fldCharType="begin"/>
    </w:r>
    <w:r>
      <w:instrText xml:space="preserve"> STYLEREF CharDivNo </w:instrText>
    </w:r>
    <w:r>
      <w:fldChar w:fldCharType="end"/>
    </w:r>
    <w:r>
      <w:rPr>
        <w:b w:val="0"/>
      </w:rPr>
      <w:fldChar w:fldCharType="begin"/>
    </w:r>
    <w:r>
      <w:rPr>
        <w:b w:val="0"/>
      </w:rPr>
      <w:instrText xml:space="preserve"> STYLEREF CharDivText </w:instrText>
    </w:r>
    <w:r>
      <w:rPr>
        <w:b w:val="0"/>
      </w:rPr>
      <w:fldChar w:fldCharType="end"/>
    </w:r>
  </w:p>
  <w:p w:rsidR="0057450A" w:rsidRDefault="0057450A">
    <w:pPr>
      <w:pStyle w:val="headerpart"/>
    </w:pPr>
  </w:p>
  <w:p w:rsidR="0057450A" w:rsidRDefault="0057450A">
    <w:pPr>
      <w:pBdr>
        <w:bottom w:val="single" w:sz="6" w:space="1" w:color="auto"/>
      </w:pBdr>
      <w:rPr>
        <w:b/>
      </w:rPr>
    </w:pPr>
  </w:p>
  <w:p w:rsidR="0057450A" w:rsidRDefault="0057450A"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Right"/>
            <w:ind w:right="17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SectionRight"/>
            <w:ind w:right="17"/>
          </w:pPr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Header"/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Left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15" w:type="dxa"/>
        </w:tcPr>
        <w:p w:rsidR="0057450A" w:rsidRDefault="0057450A">
          <w:pPr>
            <w:pStyle w:val="HeaderTextLeft"/>
          </w:pPr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15" w:type="dxa"/>
        </w:tcPr>
        <w:p w:rsidR="0057450A" w:rsidRDefault="0057450A">
          <w:pPr>
            <w:pStyle w:val="HeaderTextLeft"/>
          </w:pP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Pr="00814ADC" w:rsidRDefault="0057450A">
          <w:pPr>
            <w:pStyle w:val="HeaderSectionRight"/>
            <w:ind w:right="17"/>
            <w:jc w:val="left"/>
          </w:pPr>
          <w:r>
            <w:t>Defined Terms</w:t>
          </w:r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Right"/>
            <w:ind w:right="17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Pr="00814ADC" w:rsidRDefault="0057450A">
          <w:pPr>
            <w:pStyle w:val="HeaderSectionRight"/>
            <w:ind w:right="17"/>
          </w:pPr>
          <w:r>
            <w:t>Defined Terms</w:t>
          </w:r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 w:rsidR="0057450A">
      <w:trPr>
        <w:cantSplit/>
      </w:trPr>
      <w:tc>
        <w:tcPr>
          <w:tcW w:w="7312" w:type="dxa"/>
          <w:gridSpan w:val="2"/>
        </w:tcPr>
        <w:p w:rsidR="0057450A" w:rsidRDefault="0057450A">
          <w:pPr>
            <w:pStyle w:val="HeaderActNameLeft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64" w:type="dxa"/>
        </w:tcPr>
        <w:p w:rsidR="0057450A" w:rsidRDefault="0057450A">
          <w:pPr>
            <w:pStyle w:val="HeaderTextLeft"/>
          </w:pPr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64" w:type="dxa"/>
        </w:tcPr>
        <w:p w:rsidR="0057450A" w:rsidRDefault="0057450A">
          <w:pPr>
            <w:pStyle w:val="HeaderTextLeft"/>
          </w:pPr>
        </w:p>
      </w:tc>
    </w:tr>
    <w:tr w:rsidR="0057450A">
      <w:trPr>
        <w:cantSplit/>
      </w:trPr>
      <w:tc>
        <w:tcPr>
          <w:tcW w:w="7312" w:type="dxa"/>
          <w:gridSpan w:val="2"/>
        </w:tcPr>
        <w:p w:rsidR="0057450A" w:rsidRDefault="0057450A">
          <w:pPr>
            <w:pStyle w:val="HeaderSectionLeft"/>
          </w:pPr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D4" w:rsidRDefault="00466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6D4" w:rsidRDefault="004666D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Left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15" w:type="dxa"/>
        </w:tcPr>
        <w:p w:rsidR="0057450A" w:rsidRDefault="0057450A">
          <w:pPr>
            <w:pStyle w:val="HeaderTextLeft"/>
          </w:pPr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15" w:type="dxa"/>
        </w:tcPr>
        <w:p w:rsidR="0057450A" w:rsidRDefault="0057450A">
          <w:pPr>
            <w:pStyle w:val="HeaderTextLeft"/>
          </w:pP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SectionLeft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Right"/>
            <w:ind w:right="17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SectionRight"/>
            <w:ind w:right="17"/>
            <w:rPr>
              <w:b w:val="0"/>
            </w:rPr>
          </w:pPr>
          <w:r>
            <w:rPr>
              <w:b w:val="0"/>
            </w:rPr>
            <w:t>Contents</w:t>
          </w:r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Left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  <w:tc>
        <w:tcPr>
          <w:tcW w:w="5715" w:type="dxa"/>
          <w:vAlign w:val="bottom"/>
        </w:tcPr>
        <w:p w:rsidR="0057450A" w:rsidRDefault="0057450A">
          <w:pPr>
            <w:pStyle w:val="HeaderTextLef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  <w:tc>
        <w:tcPr>
          <w:tcW w:w="5715" w:type="dxa"/>
        </w:tcPr>
        <w:p w:rsidR="0057450A" w:rsidRDefault="0057450A">
          <w:pPr>
            <w:pStyle w:val="HeaderTextLef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SectionLeft"/>
          </w:pPr>
          <w:r>
            <w:t xml:space="preserve">r. </w:t>
          </w:r>
          <w:fldSimple w:instr=" styleref CharSectno ">
            <w:r w:rsidR="003C4B99">
              <w:rPr>
                <w:noProof/>
              </w:rPr>
              <w:t>1</w:t>
            </w:r>
          </w:fldSimple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Right"/>
            <w:ind w:right="17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CharPartNo </w:instrText>
          </w:r>
          <w:r>
            <w:fldChar w:fldCharType="end"/>
          </w:r>
        </w:p>
      </w:tc>
    </w:tr>
    <w:tr w:rsidR="0057450A">
      <w:tc>
        <w:tcPr>
          <w:tcW w:w="5715" w:type="dxa"/>
        </w:tcPr>
        <w:p w:rsidR="0057450A" w:rsidRDefault="0057450A">
          <w:pPr>
            <w:pStyle w:val="HeaderText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 w:rsidR="0057450A" w:rsidRDefault="0057450A">
          <w:pPr>
            <w:pStyle w:val="HeaderNumberRight"/>
            <w:ind w:right="17"/>
          </w:pPr>
          <w:r>
            <w:fldChar w:fldCharType="begin"/>
          </w:r>
          <w:r>
            <w:instrText xml:space="preserve"> styleref CharDivNo </w:instrText>
          </w:r>
          <w:r>
            <w:fldChar w:fldCharType="end"/>
          </w: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SectionRight"/>
            <w:ind w:right="17"/>
          </w:pPr>
          <w:r>
            <w:t xml:space="preserve">r. </w:t>
          </w:r>
          <w:fldSimple w:instr=" styleref CharSectno ">
            <w:r w:rsidR="003C4B99">
              <w:rPr>
                <w:noProof/>
              </w:rPr>
              <w:t>1</w:t>
            </w:r>
          </w:fldSimple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50A" w:rsidRDefault="0057450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ActNameLeft"/>
          </w:pPr>
          <w:fldSimple w:instr=" Styleref &quot;Name of Act/Reg&quot; ">
            <w:r w:rsidR="003C4B99">
              <w:rPr>
                <w:noProof/>
              </w:rPr>
              <w:t>Racing Bets Levy Regulations 2009</w:t>
            </w:r>
          </w:fldSimple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15" w:type="dxa"/>
        </w:tcPr>
        <w:p w:rsidR="0057450A" w:rsidRDefault="0057450A">
          <w:pPr>
            <w:pStyle w:val="HeaderTextLeft"/>
          </w:pPr>
        </w:p>
      </w:tc>
    </w:tr>
    <w:tr w:rsidR="0057450A">
      <w:tc>
        <w:tcPr>
          <w:tcW w:w="1548" w:type="dxa"/>
        </w:tcPr>
        <w:p w:rsidR="0057450A" w:rsidRDefault="0057450A">
          <w:pPr>
            <w:pStyle w:val="HeaderNumberLeft"/>
          </w:pPr>
        </w:p>
      </w:tc>
      <w:tc>
        <w:tcPr>
          <w:tcW w:w="5715" w:type="dxa"/>
        </w:tcPr>
        <w:p w:rsidR="0057450A" w:rsidRDefault="0057450A">
          <w:pPr>
            <w:pStyle w:val="HeaderTextLeft"/>
          </w:pPr>
        </w:p>
      </w:tc>
    </w:tr>
    <w:tr w:rsidR="0057450A">
      <w:trPr>
        <w:cantSplit/>
      </w:trPr>
      <w:tc>
        <w:tcPr>
          <w:tcW w:w="7258" w:type="dxa"/>
          <w:gridSpan w:val="2"/>
        </w:tcPr>
        <w:p w:rsidR="0057450A" w:rsidRDefault="0057450A">
          <w:pPr>
            <w:pStyle w:val="HeaderSectionRight"/>
            <w:ind w:right="17"/>
            <w:jc w:val="left"/>
          </w:pPr>
        </w:p>
      </w:tc>
    </w:tr>
  </w:tbl>
  <w:p w:rsidR="0057450A" w:rsidRDefault="0057450A">
    <w:pPr>
      <w:pStyle w:val="Header"/>
      <w:pBdr>
        <w:top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2063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9389F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FCC517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E30522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12E6CF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DA8E1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C0E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520EE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020C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34239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BB370D7"/>
    <w:multiLevelType w:val="multilevel"/>
    <w:tmpl w:val="B9D6DF1A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F3C3412"/>
    <w:multiLevelType w:val="multilevel"/>
    <w:tmpl w:val="D78487F2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38B63E2"/>
    <w:multiLevelType w:val="multilevel"/>
    <w:tmpl w:val="FB266D5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>
    <w:nsid w:val="16880C58"/>
    <w:multiLevelType w:val="multilevel"/>
    <w:tmpl w:val="7226A03A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2FF52EB"/>
    <w:multiLevelType w:val="multilevel"/>
    <w:tmpl w:val="7406A100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2">
    <w:nsid w:val="359138CB"/>
    <w:multiLevelType w:val="multilevel"/>
    <w:tmpl w:val="C868F7A4"/>
    <w:name w:val="TableNumber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>
    <w:nsid w:val="3A396798"/>
    <w:multiLevelType w:val="multilevel"/>
    <w:tmpl w:val="0B425D62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>
    <w:nsid w:val="3C2808C0"/>
    <w:multiLevelType w:val="singleLevel"/>
    <w:tmpl w:val="1148560C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5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7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8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9">
    <w:nsid w:val="69F82C98"/>
    <w:multiLevelType w:val="multilevel"/>
    <w:tmpl w:val="70E21894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>
    <w:nsid w:val="6FDE73CC"/>
    <w:multiLevelType w:val="multilevel"/>
    <w:tmpl w:val="04E64ACC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39"/>
    <w:rsid w:val="00001039"/>
    <w:rsid w:val="003C4B99"/>
    <w:rsid w:val="004666D4"/>
    <w:rsid w:val="0057450A"/>
    <w:rsid w:val="00607710"/>
    <w:rsid w:val="00814ADC"/>
    <w:rsid w:val="009A3117"/>
    <w:rsid w:val="009F65EA"/>
    <w:rsid w:val="00CC25DF"/>
    <w:rsid w:val="00D43C35"/>
    <w:rsid w:val="00D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link w:val="FootnotesectionChar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character" w:customStyle="1" w:styleId="FootnotesectionChar">
    <w:name w:val="Footnote(section) Char"/>
    <w:basedOn w:val="DefaultParagraphFont"/>
    <w:link w:val="Footnotesection"/>
    <w:rsid w:val="00814ADC"/>
    <w:rPr>
      <w:i/>
      <w:snapToGrid w:val="0"/>
      <w:sz w:val="24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  <w:lang w:eastAsia="en-US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  <w:lang w:eastAsia="en-US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  <w:lang w:eastAsia="en-US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  <w:lang w:eastAsia="en-US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  <w:lang w:eastAsia="en-US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  <w:lang w:eastAsia="en-US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  <w:lang w:eastAsia="en-US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pBdr>
        <w:top w:val="single" w:sz="4" w:space="10" w:color="auto"/>
        <w:bottom w:val="single" w:sz="4" w:space="10" w:color="auto"/>
      </w:pBdr>
      <w:tabs>
        <w:tab w:val="right" w:leader="dot" w:pos="7086"/>
      </w:tabs>
      <w:spacing w:after="480"/>
      <w:ind w:left="2304" w:right="2304"/>
      <w:jc w:val="center"/>
    </w:pPr>
    <w:rPr>
      <w:sz w:val="24"/>
      <w:lang w:eastAsia="en-US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  <w:lang w:eastAsia="en-US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  <w:lang w:eastAsia="en-US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  <w:lang w:eastAsia="en-US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  <w:rPr>
      <w:lang w:eastAsia="en-US"/>
    </w:rPr>
  </w:style>
  <w:style w:type="character" w:customStyle="1" w:styleId="CharChapNo">
    <w:name w:val="CharChapNo"/>
    <w:rPr>
      <w:noProof w:val="0"/>
      <w:lang w:val="en-AU"/>
    </w:rPr>
  </w:style>
  <w:style w:type="character" w:customStyle="1" w:styleId="CharChapText">
    <w:name w:val="CharChapText"/>
    <w:rPr>
      <w:noProof w:val="0"/>
      <w:lang w:val="en-AU"/>
    </w:rPr>
  </w:style>
  <w:style w:type="character" w:customStyle="1" w:styleId="CharDivNo">
    <w:name w:val="CharDivNo"/>
    <w:rPr>
      <w:noProof w:val="0"/>
      <w:lang w:val="en-AU"/>
    </w:rPr>
  </w:style>
  <w:style w:type="character" w:customStyle="1" w:styleId="CharDivText">
    <w:name w:val="CharDivText"/>
    <w:rPr>
      <w:noProof w:val="0"/>
      <w:lang w:val="en-AU"/>
    </w:rPr>
  </w:style>
  <w:style w:type="character" w:customStyle="1" w:styleId="CharPageNo">
    <w:name w:val="CharPageNo"/>
    <w:rPr>
      <w:noProof w:val="0"/>
      <w:sz w:val="20"/>
      <w:lang w:val="en-AU"/>
    </w:rPr>
  </w:style>
  <w:style w:type="character" w:customStyle="1" w:styleId="CharPartNo">
    <w:name w:val="CharPartNo"/>
    <w:rPr>
      <w:noProof w:val="0"/>
      <w:lang w:val="en-AU"/>
    </w:rPr>
  </w:style>
  <w:style w:type="character" w:customStyle="1" w:styleId="CharPartText">
    <w:name w:val="CharPartText"/>
    <w:rPr>
      <w:noProof w:val="0"/>
      <w:lang w:val="en-AU"/>
    </w:rPr>
  </w:style>
  <w:style w:type="character" w:customStyle="1" w:styleId="CharProduced">
    <w:name w:val="CharProduced"/>
    <w:rPr>
      <w:noProof w:val="0"/>
      <w:spacing w:val="-3"/>
      <w:lang w:val="en-AU"/>
    </w:rPr>
  </w:style>
  <w:style w:type="character" w:customStyle="1" w:styleId="CharSchNo">
    <w:name w:val="CharSchNo"/>
    <w:rPr>
      <w:noProof w:val="0"/>
      <w:lang w:val="en-AU"/>
    </w:rPr>
  </w:style>
  <w:style w:type="character" w:customStyle="1" w:styleId="CharSectno">
    <w:name w:val="CharSectno"/>
    <w:rPr>
      <w:noProof w:val="0"/>
      <w:lang w:val="en-AU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  <w:lang w:val="en-AU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nitionNumbers">
    <w:name w:val="DefinitionNumbers"/>
    <w:basedOn w:val="Normal"/>
    <w:pPr>
      <w:numPr>
        <w:numId w:val="1"/>
      </w:numPr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  <w:lang w:eastAsia="en-US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  <w:lang w:eastAsia="en-US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  <w:lang w:eastAsia="en-US"/>
    </w:rPr>
  </w:style>
  <w:style w:type="paragraph" w:customStyle="1" w:styleId="Ednotedefitem">
    <w:name w:val="Ednote(defitem)"/>
    <w:basedOn w:val="Defitem"/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  <w:lang w:eastAsia="en-US"/>
    </w:rPr>
  </w:style>
  <w:style w:type="paragraph" w:customStyle="1" w:styleId="Ednotedefpara">
    <w:name w:val="Ednote(defpara)"/>
    <w:basedOn w:val="Defpara"/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  <w:lang w:eastAsia="en-US"/>
    </w:rPr>
  </w:style>
  <w:style w:type="paragraph" w:customStyle="1" w:styleId="Ednotedefsubpara">
    <w:name w:val="Ednote(defsubpara)"/>
    <w:basedOn w:val="Defsubpara"/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  <w:lang w:eastAsia="en-US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  <w:lang w:eastAsia="en-US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  <w:lang w:eastAsia="en-US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  <w:lang w:eastAsia="en-US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pacing w:line="260" w:lineRule="atLeast"/>
    </w:pPr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  <w:lang w:eastAsia="en-US"/>
    </w:rPr>
  </w:style>
  <w:style w:type="paragraph" w:customStyle="1" w:styleId="FooterPageLeft">
    <w:name w:val="Footer.Page.Left"/>
    <w:pPr>
      <w:pBdr>
        <w:top w:val="single" w:sz="4" w:space="1" w:color="auto"/>
      </w:pBdr>
    </w:pPr>
    <w:rPr>
      <w:rFonts w:ascii="Arial" w:hAnsi="Arial"/>
      <w:lang w:eastAsia="en-US"/>
    </w:rPr>
  </w:style>
  <w:style w:type="paragraph" w:customStyle="1" w:styleId="FooterPageRight">
    <w:name w:val="Footer.Page.Right"/>
    <w:pPr>
      <w:pBdr>
        <w:top w:val="single" w:sz="4" w:space="1" w:color="auto"/>
      </w:pBdr>
      <w:jc w:val="right"/>
    </w:pPr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  <w:lang w:eastAsia="en-US"/>
    </w:rPr>
  </w:style>
  <w:style w:type="paragraph" w:customStyle="1" w:styleId="Footnotesection">
    <w:name w:val="Footnote(section)"/>
    <w:link w:val="FootnotesectionChar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  <w:lang w:eastAsia="en-US"/>
    </w:rPr>
  </w:style>
  <w:style w:type="paragraph" w:customStyle="1" w:styleId="Graphics">
    <w:name w:val="Graphics"/>
    <w:basedOn w:val="Equation"/>
  </w:style>
  <w:style w:type="paragraph" w:customStyle="1" w:styleId="HeaderActNameLeft">
    <w:name w:val="Header.ActName.Left"/>
    <w:rPr>
      <w:rFonts w:ascii="Arial" w:hAnsi="Arial"/>
      <w:b/>
      <w:i/>
      <w:lang w:eastAsia="en-US"/>
    </w:rPr>
  </w:style>
  <w:style w:type="paragraph" w:customStyle="1" w:styleId="HeaderActNameRight">
    <w:name w:val="Header.ActName.Right"/>
    <w:pPr>
      <w:jc w:val="right"/>
    </w:pPr>
    <w:rPr>
      <w:rFonts w:ascii="Arial" w:hAnsi="Arial"/>
      <w:b/>
      <w:i/>
      <w:lang w:eastAsia="en-US"/>
    </w:rPr>
  </w:style>
  <w:style w:type="paragraph" w:customStyle="1" w:styleId="HeaderNumberLeft">
    <w:name w:val="Header.Number.Left"/>
    <w:pPr>
      <w:spacing w:before="40"/>
    </w:pPr>
    <w:rPr>
      <w:rFonts w:ascii="Arial" w:hAnsi="Arial"/>
      <w:b/>
      <w:lang w:eastAsia="en-US"/>
    </w:rPr>
  </w:style>
  <w:style w:type="paragraph" w:customStyle="1" w:styleId="HeaderNumberRight">
    <w:name w:val="Header.Number.Right"/>
    <w:pPr>
      <w:spacing w:before="40"/>
      <w:jc w:val="right"/>
    </w:pPr>
    <w:rPr>
      <w:rFonts w:ascii="Arial" w:hAnsi="Arial"/>
      <w:b/>
      <w:lang w:eastAsia="en-US"/>
    </w:rPr>
  </w:style>
  <w:style w:type="paragraph" w:customStyle="1" w:styleId="headerpart">
    <w:name w:val="header.part"/>
    <w:basedOn w:val="Normal"/>
    <w:pPr>
      <w:keepNext/>
      <w:spacing w:line="260" w:lineRule="atLeast"/>
    </w:pPr>
    <w:rPr>
      <w:rFonts w:ascii="Arial" w:hAnsi="Arial"/>
      <w:b/>
    </w:rPr>
  </w:style>
  <w:style w:type="paragraph" w:customStyle="1" w:styleId="headerpartodd">
    <w:name w:val="header.part.odd"/>
    <w:basedOn w:val="headerpart"/>
    <w:pPr>
      <w:ind w:left="5387" w:hanging="1134"/>
    </w:pPr>
  </w:style>
  <w:style w:type="paragraph" w:customStyle="1" w:styleId="HeaderSectionLeft">
    <w:name w:val="Header.Section.Left"/>
    <w:pPr>
      <w:spacing w:before="120"/>
    </w:pPr>
    <w:rPr>
      <w:rFonts w:ascii="Arial" w:hAnsi="Arial"/>
      <w:b/>
      <w:lang w:eastAsia="en-US"/>
    </w:rPr>
  </w:style>
  <w:style w:type="paragraph" w:customStyle="1" w:styleId="HeaderSectionRight">
    <w:name w:val="Header.Section.Right"/>
    <w:pPr>
      <w:spacing w:before="120"/>
      <w:jc w:val="right"/>
    </w:pPr>
    <w:rPr>
      <w:rFonts w:ascii="Arial" w:hAnsi="Arial"/>
      <w:b/>
      <w:lang w:eastAsia="en-US"/>
    </w:rPr>
  </w:style>
  <w:style w:type="paragraph" w:customStyle="1" w:styleId="HeaderTextLeft">
    <w:name w:val="Header.Text.Left"/>
    <w:pPr>
      <w:spacing w:before="40"/>
    </w:pPr>
    <w:rPr>
      <w:rFonts w:ascii="Arial" w:hAnsi="Arial"/>
      <w:lang w:eastAsia="en-US"/>
    </w:rPr>
  </w:style>
  <w:style w:type="paragraph" w:customStyle="1" w:styleId="HeaderTextRight">
    <w:name w:val="Header.Text.Right"/>
    <w:pPr>
      <w:spacing w:before="40"/>
      <w:jc w:val="right"/>
    </w:pPr>
    <w:rPr>
      <w:rFonts w:ascii="Arial" w:hAnsi="Arial"/>
      <w:lang w:eastAsia="en-US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  <w:lang w:eastAsia="en-US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  <w:lang w:eastAsia="en-US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  <w:lang w:eastAsia="en-US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  <w:lang w:eastAsia="en-US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  <w:lang w:eastAsia="en-U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eastAsia="en-US"/>
    </w:rPr>
  </w:style>
  <w:style w:type="paragraph" w:customStyle="1" w:styleId="MadeBy">
    <w:name w:val="MadeBy"/>
    <w:pPr>
      <w:spacing w:before="600"/>
    </w:pPr>
    <w:rPr>
      <w:sz w:val="24"/>
      <w:lang w:eastAsia="en-US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  <w:lang w:eastAsia="en-US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  <w:lang w:eastAsia="en-US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  <w:lang w:eastAsia="en-US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basedOn w:val="Table"/>
    <w:pPr>
      <w:spacing w:before="40" w:line="240" w:lineRule="auto"/>
    </w:pPr>
    <w:rPr>
      <w:sz w:val="18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  <w:lang w:eastAsia="en-US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  <w:lang w:eastAsia="en-US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  <w:lang w:eastAsia="en-US"/>
    </w:rPr>
  </w:style>
  <w:style w:type="paragraph" w:customStyle="1" w:styleId="PrincipalActReg">
    <w:name w:val="PrincipalAct_Reg"/>
    <w:pPr>
      <w:spacing w:after="480"/>
      <w:jc w:val="center"/>
    </w:pPr>
    <w:rPr>
      <w:sz w:val="24"/>
      <w:lang w:eastAsia="en-US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Salutation">
    <w:name w:val="Salutation"/>
    <w:basedOn w:val="Normal"/>
    <w:next w:val="Normal"/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semiHidden/>
    <w:pPr>
      <w:keepNext/>
      <w:spacing w:before="120" w:after="60"/>
      <w:ind w:left="1985" w:right="1134" w:hanging="567"/>
    </w:pPr>
    <w:rPr>
      <w:b/>
      <w:noProof/>
      <w:sz w:val="28"/>
      <w:lang w:eastAsia="en-US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  <w:lang w:eastAsia="en-US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  <w:lang w:eastAsia="en-US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  <w:lang w:eastAsia="en-US"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  <w:lang w:eastAsia="en-US"/>
    </w:rPr>
  </w:style>
  <w:style w:type="paragraph" w:styleId="TOC8">
    <w:name w:val="toc 8"/>
    <w:next w:val="Normal"/>
    <w:semiHidden/>
    <w:pPr>
      <w:tabs>
        <w:tab w:val="left" w:pos="1418"/>
        <w:tab w:val="right" w:pos="6804"/>
      </w:tabs>
      <w:ind w:left="1418" w:right="1134" w:hanging="851"/>
    </w:pPr>
    <w:rPr>
      <w:noProof/>
      <w:sz w:val="22"/>
      <w:lang w:eastAsia="en-US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  <w:lang w:eastAsia="en-US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  <w:lang w:eastAsia="en-US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basedOn w:val="Normal"/>
    <w:next w:val="Heading5"/>
    <w:pPr>
      <w:tabs>
        <w:tab w:val="center" w:pos="4153"/>
        <w:tab w:val="right" w:pos="8306"/>
      </w:tabs>
      <w:spacing w:line="260" w:lineRule="atLeast"/>
    </w:pPr>
    <w:rPr>
      <w:rFonts w:ascii="NewCenturySchlbk" w:hAnsi="NewCenturySchlbk"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  <w:lang w:val="en-AU"/>
    </w:r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lang w:eastAsia="en-US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otesPerm2">
    <w:name w:val="NotesPerm(2)"/>
    <w:basedOn w:val="NotesPerm"/>
    <w:pPr>
      <w:numPr>
        <w:numId w:val="12"/>
      </w:numPr>
      <w:tabs>
        <w:tab w:val="clear" w:pos="879"/>
      </w:tabs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  <w:lang w:val="en-AU"/>
    </w:rPr>
  </w:style>
  <w:style w:type="character" w:customStyle="1" w:styleId="CharSDivNo">
    <w:name w:val="CharSDivNo"/>
    <w:basedOn w:val="DefaultParagraphFont"/>
    <w:rPr>
      <w:sz w:val="24"/>
      <w:lang w:val="en-AU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."/>
    <w:pPr>
      <w:outlineLvl w:val="0"/>
    </w:pPr>
    <w:rPr>
      <w:b/>
      <w:noProof/>
      <w:sz w:val="28"/>
      <w:lang w:eastAsia="en-US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  <w:lang w:eastAsia="en-US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character" w:customStyle="1" w:styleId="FootnotesectionChar">
    <w:name w:val="Footnote(section) Char"/>
    <w:basedOn w:val="DefaultParagraphFont"/>
    <w:link w:val="Footnotesection"/>
    <w:rsid w:val="00814ADC"/>
    <w:rPr>
      <w:i/>
      <w:snapToGrid w:val="0"/>
      <w:sz w:val="24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footer" Target="footer7.xml"/><Relationship Id="rId34" Type="http://schemas.openxmlformats.org/officeDocument/2006/relationships/header" Target="header15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eader" Target="header9.xml"/><Relationship Id="rId33" Type="http://schemas.openxmlformats.org/officeDocument/2006/relationships/footer" Target="footer12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29" Type="http://schemas.openxmlformats.org/officeDocument/2006/relationships/header" Target="header1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32" Type="http://schemas.openxmlformats.org/officeDocument/2006/relationships/header" Target="header14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6.xml"/><Relationship Id="rId31" Type="http://schemas.openxmlformats.org/officeDocument/2006/relationships/footer" Target="footer1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0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618</Words>
  <Characters>2949</Characters>
  <Application>Microsoft Office Word</Application>
  <DocSecurity>0</DocSecurity>
  <Lines>113</Lines>
  <Paragraphs>79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Drafting Template (Regs)</vt:lpstr>
      <vt:lpstr>    Notes</vt:lpstr>
      <vt:lpstr>    Defined Terms</vt:lpstr>
    </vt:vector>
  </TitlesOfParts>
  <Company>Parliamentary Counsel's Office</Company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Racing Bets Levy Regulations 2009 - 00-b0-01</dc:title>
  <dc:subject>Subsidiary Legislation</dc:subject>
  <dc:creator>Clare Dias</dc:creator>
  <cp:keywords/>
  <dc:description>V1.1</dc:description>
  <cp:lastModifiedBy>svcMRProcess</cp:lastModifiedBy>
  <cp:revision>4</cp:revision>
  <cp:lastPrinted>2009-12-07T05:10:00Z</cp:lastPrinted>
  <dcterms:created xsi:type="dcterms:W3CDTF">2013-02-17T12:00:00Z</dcterms:created>
  <dcterms:modified xsi:type="dcterms:W3CDTF">2013-02-17T12:00:00Z</dcterms:modified>
  <cp:category>Reg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8 Jan 2010 p 27-8</vt:lpwstr>
  </property>
  <property fmtid="{D5CDD505-2E9C-101B-9397-08002B2CF9AE}" pid="3" name="CommencementDate">
    <vt:lpwstr>20121013</vt:lpwstr>
  </property>
  <property fmtid="{D5CDD505-2E9C-101B-9397-08002B2CF9AE}" pid="4" name="AsAtDate">
    <vt:lpwstr>13 Oct 2012</vt:lpwstr>
  </property>
  <property fmtid="{D5CDD505-2E9C-101B-9397-08002B2CF9AE}" pid="5" name="Suffix">
    <vt:lpwstr>00-b0-01</vt:lpwstr>
  </property>
  <property fmtid="{D5CDD505-2E9C-101B-9397-08002B2CF9AE}" pid="6" name="OwlsUID">
    <vt:i4>42204</vt:i4>
  </property>
  <property fmtid="{D5CDD505-2E9C-101B-9397-08002B2CF9AE}" pid="7" name="DocumentType">
    <vt:lpwstr>Reg</vt:lpwstr>
  </property>
</Properties>
</file>