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War Service Land Settlement Scheme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War Service Land Settlement Scheme Act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_Toc536178500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_Toc536178501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_Toc536178502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_Toc536178503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Minister’s functions as to scheme</w:t>
      </w:r>
      <w:r>
        <w:tab/>
      </w:r>
      <w:r>
        <w:fldChar w:fldCharType="begin"/>
      </w:r>
      <w:r>
        <w:instrText xml:space="preserve"> PAGEREF _Toc536178504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Tenures, perpetual leases etc., granting etc.</w:t>
      </w:r>
      <w:r>
        <w:tab/>
      </w:r>
      <w:r>
        <w:fldChar w:fldCharType="begin"/>
      </w:r>
      <w:r>
        <w:instrText xml:space="preserve"> PAGEREF _Toc536178505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Perpetual leasehold, purchase of fee simple by lessee of</w:t>
      </w:r>
      <w:r>
        <w:tab/>
      </w:r>
      <w:r>
        <w:fldChar w:fldCharType="begin"/>
      </w:r>
      <w:r>
        <w:instrText xml:space="preserve"> PAGEREF _Toc536178506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Mineral rights revested in Crown in some cases</w:t>
      </w:r>
      <w:r>
        <w:tab/>
      </w:r>
      <w:r>
        <w:fldChar w:fldCharType="begin"/>
      </w:r>
      <w:r>
        <w:instrText xml:space="preserve"> PAGEREF _Toc536178507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Validation of things done under repealed Acts</w:t>
      </w:r>
      <w:r>
        <w:tab/>
      </w:r>
      <w:r>
        <w:fldChar w:fldCharType="begin"/>
      </w:r>
      <w:r>
        <w:instrText xml:space="preserve"> PAGEREF _Toc536178508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w:t>
      </w:r>
      <w:r>
        <w:tab/>
      </w:r>
      <w:r>
        <w:fldChar w:fldCharType="begin"/>
      </w:r>
      <w:r>
        <w:instrText xml:space="preserve"> PAGEREF _Toc536178509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Delegation </w:t>
      </w:r>
      <w:r>
        <w:rPr>
          <w:snapToGrid w:val="0"/>
        </w:rPr>
        <w:t>by Minister</w:t>
      </w:r>
      <w:r>
        <w:tab/>
      </w:r>
      <w:r>
        <w:fldChar w:fldCharType="begin"/>
      </w:r>
      <w:r>
        <w:instrText xml:space="preserve"> PAGEREF _Toc536178510 \h </w:instrText>
      </w:r>
      <w:r>
        <w:fldChar w:fldCharType="separate"/>
      </w:r>
      <w:r>
        <w:t>9</w:t>
      </w:r>
      <w:r>
        <w:fldChar w:fldCharType="end"/>
      </w:r>
    </w:p>
    <w:p>
      <w:pPr>
        <w:pStyle w:val="TOC8"/>
        <w:rPr>
          <w:rFonts w:asciiTheme="minorHAnsi" w:eastAsiaTheme="minorEastAsia" w:hAnsiTheme="minorHAnsi" w:cstheme="minorBidi"/>
          <w:szCs w:val="22"/>
        </w:rPr>
      </w:pPr>
      <w:r>
        <w:t>12.</w:t>
      </w:r>
      <w:r>
        <w:tab/>
        <w:t>Protection from personal liability for torts</w:t>
      </w:r>
      <w:r>
        <w:tab/>
      </w:r>
      <w:r>
        <w:fldChar w:fldCharType="begin"/>
      </w:r>
      <w:r>
        <w:instrText xml:space="preserve"> PAGEREF _Toc536178511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Form of Crown grant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_Toc536178514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after="720"/>
      </w:pPr>
      <w:r>
        <w:t xml:space="preserve">War </w:t>
      </w:r>
      <w:smartTag w:uri="urn:schemas-microsoft-com:office:smarttags" w:element="PlaceName">
        <w:r>
          <w:t>Service</w:t>
        </w:r>
      </w:smartTag>
      <w:r>
        <w:t xml:space="preserve"> </w:t>
      </w:r>
      <w:smartTag w:uri="urn:schemas-microsoft-com:office:smarttags" w:element="PlaceType">
        <w:r>
          <w:t>Land</w:t>
        </w:r>
      </w:smartTag>
      <w:r>
        <w:t xml:space="preserve"> Settlement Scheme Act 1954 </w:t>
      </w:r>
    </w:p>
    <w:p>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States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spacing w:before="480"/>
        <w:rPr>
          <w:snapToGrid w:val="0"/>
        </w:rPr>
      </w:pPr>
      <w:bookmarkStart w:id="3" w:name="_Toc379274382"/>
      <w:bookmarkStart w:id="4" w:name="_Toc53617850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 </w:t>
      </w:r>
      <w:r>
        <w:rPr>
          <w:snapToGrid w:val="0"/>
          <w:vertAlign w:val="superscript"/>
        </w:rPr>
        <w:t>1</w:t>
      </w:r>
      <w:r>
        <w:rPr>
          <w:snapToGrid w:val="0"/>
        </w:rPr>
        <w:t>.</w:t>
      </w:r>
    </w:p>
    <w:p>
      <w:pPr>
        <w:pStyle w:val="Heading5"/>
        <w:rPr>
          <w:snapToGrid w:val="0"/>
        </w:rPr>
      </w:pPr>
      <w:bookmarkStart w:id="5" w:name="_Toc379274383"/>
      <w:bookmarkStart w:id="6" w:name="_Toc53617850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9274384"/>
      <w:bookmarkStart w:id="8" w:name="_Toc536178502"/>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Agreement Act 1951</w:t>
      </w:r>
      <w:r>
        <w:rPr>
          <w:snapToGrid w:val="0"/>
        </w:rPr>
        <w:t xml:space="preserve"> is repealed.</w:t>
      </w:r>
    </w:p>
    <w:p>
      <w:pPr>
        <w:pStyle w:val="Subsection"/>
        <w:keepLines/>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9" w:name="_Toc379274385"/>
      <w:bookmarkStart w:id="10" w:name="_Toc536178503"/>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r>
        <w:rPr>
          <w:i/>
        </w:rPr>
        <w:t>States Grants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Act 1952</w:t>
      </w:r>
      <w:r>
        <w:t xml:space="preserve">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authorised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 No. 31 of 1997 s. 141.]</w:t>
      </w:r>
    </w:p>
    <w:p>
      <w:pPr>
        <w:pStyle w:val="Heading5"/>
        <w:rPr>
          <w:snapToGrid w:val="0"/>
        </w:rPr>
      </w:pPr>
      <w:bookmarkStart w:id="11" w:name="_Toc379274386"/>
      <w:bookmarkStart w:id="12" w:name="_Toc536178504"/>
      <w:r>
        <w:rPr>
          <w:rStyle w:val="CharSectno"/>
        </w:rPr>
        <w:t>5</w:t>
      </w:r>
      <w:r>
        <w:rPr>
          <w:snapToGrid w:val="0"/>
        </w:rPr>
        <w:t>.</w:t>
      </w:r>
      <w:r>
        <w:rPr>
          <w:snapToGrid w:val="0"/>
        </w:rPr>
        <w:tab/>
        <w:t>Minister’s functions as to scheme</w:t>
      </w:r>
      <w:bookmarkEnd w:id="11"/>
      <w:bookmarkEnd w:id="12"/>
      <w:r>
        <w:rPr>
          <w:snapToGrid w:val="0"/>
        </w:rPr>
        <w:t xml:space="preserve"> </w:t>
      </w:r>
    </w:p>
    <w:p>
      <w:pPr>
        <w:pStyle w:val="Subsection"/>
        <w:rPr>
          <w:snapToGrid w:val="0"/>
        </w:rPr>
      </w:pPr>
      <w:r>
        <w:rPr>
          <w:snapToGrid w:val="0"/>
        </w:rPr>
        <w:tab/>
        <w:t>(1)</w:t>
      </w:r>
      <w:r>
        <w:rPr>
          <w:snapToGrid w:val="0"/>
        </w:rPr>
        <w:tab/>
        <w:t>The Minister on behalf of the State is authorised — </w:t>
      </w:r>
    </w:p>
    <w:p>
      <w:pPr>
        <w:pStyle w:val="Indenta"/>
        <w:rPr>
          <w:snapToGrid w:val="0"/>
        </w:rPr>
      </w:pPr>
      <w:r>
        <w:rPr>
          <w:snapToGrid w:val="0"/>
        </w:rPr>
        <w:tab/>
        <w:t>(a)</w:t>
      </w:r>
      <w:r>
        <w:rPr>
          <w:snapToGrid w:val="0"/>
        </w:rPr>
        <w:tab/>
        <w:t>to carry out and give effect to the scheme; and</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 xml:space="preserve">[Section 5 amended: No. 6 of 1993 s. 11; No. 49 of 1996 s. 64; No. 77 of 2006 s. 4.] </w:t>
      </w:r>
    </w:p>
    <w:p>
      <w:pPr>
        <w:pStyle w:val="Heading5"/>
        <w:spacing w:before="120"/>
        <w:rPr>
          <w:snapToGrid w:val="0"/>
        </w:rPr>
      </w:pPr>
      <w:bookmarkStart w:id="13" w:name="_Toc379274387"/>
      <w:bookmarkStart w:id="14" w:name="_Toc536178505"/>
      <w:r>
        <w:rPr>
          <w:rStyle w:val="CharSectno"/>
        </w:rPr>
        <w:t>6</w:t>
      </w:r>
      <w:r>
        <w:rPr>
          <w:snapToGrid w:val="0"/>
        </w:rPr>
        <w:t>.</w:t>
      </w:r>
      <w:r>
        <w:rPr>
          <w:snapToGrid w:val="0"/>
        </w:rPr>
        <w:tab/>
        <w:t>Tenures, perpetual leases etc., granting etc.</w:t>
      </w:r>
      <w:bookmarkEnd w:id="13"/>
      <w:bookmarkEnd w:id="14"/>
      <w:r>
        <w:rPr>
          <w:snapToGrid w:val="0"/>
        </w:rPr>
        <w:t xml:space="preserve"> </w:t>
      </w:r>
    </w:p>
    <w:p>
      <w:pPr>
        <w:pStyle w:val="Subsection"/>
        <w:rPr>
          <w:snapToGrid w:val="0"/>
        </w:rPr>
      </w:pPr>
      <w:r>
        <w:rPr>
          <w:snapToGrid w:val="0"/>
        </w:rPr>
        <w:tab/>
        <w:t>(1)</w:t>
      </w:r>
      <w:r>
        <w:rPr>
          <w:snapToGrid w:val="0"/>
        </w:rPr>
        <w:tab/>
        <w:t>Notwithstanding the provisions of the Land Act the Governor is authorised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keepNext/>
        <w:keepLines/>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authorising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Ednotesubsection"/>
      </w:pP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spacing w:before="100"/>
        <w:rPr>
          <w:snapToGrid w:val="0"/>
        </w:rPr>
      </w:pPr>
      <w:r>
        <w:rPr>
          <w:snapToGrid w:val="0"/>
        </w:rPr>
        <w:tab/>
        <w:t>(a)</w:t>
      </w:r>
      <w:r>
        <w:rPr>
          <w:snapToGrid w:val="0"/>
        </w:rPr>
        <w:tab/>
        <w:t>there shall not be in any perpetual lease issued under this Act any reservation to the Crown of a right to take marketable timber on land the subject of the lease; and</w:t>
      </w:r>
    </w:p>
    <w:p>
      <w:pPr>
        <w:pStyle w:val="Indenta"/>
        <w:spacing w:before="100"/>
        <w:rPr>
          <w:snapToGrid w:val="0"/>
        </w:rPr>
      </w:pPr>
      <w:r>
        <w:rPr>
          <w:snapToGrid w:val="0"/>
        </w:rPr>
        <w:tab/>
        <w:t>(b)</w:t>
      </w:r>
      <w:r>
        <w:rPr>
          <w:snapToGrid w:val="0"/>
        </w:rPr>
        <w:tab/>
        <w:t>any such reservation in any perpetual lease issued before that date under this Act or any Act repealed by this Act shall be no effect; and</w:t>
      </w:r>
    </w:p>
    <w:p>
      <w:pPr>
        <w:pStyle w:val="Indenta"/>
        <w:spacing w:before="100"/>
        <w:rPr>
          <w:snapToGrid w:val="0"/>
          <w:spacing w:val="-4"/>
        </w:rPr>
      </w:pPr>
      <w:r>
        <w:rPr>
          <w:snapToGrid w:val="0"/>
          <w:spacing w:val="-4"/>
        </w:rPr>
        <w:tab/>
        <w:t>(c)</w:t>
      </w:r>
      <w:r>
        <w:rPr>
          <w:snapToGrid w:val="0"/>
          <w:spacing w:val="-4"/>
        </w:rPr>
        <w:tab/>
        <w:t xml:space="preserve">no permit shall be granted, and no licence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spacing w:before="100"/>
        <w:rPr>
          <w:snapToGrid w:val="0"/>
        </w:rPr>
      </w:pPr>
      <w:r>
        <w:rPr>
          <w:snapToGrid w:val="0"/>
        </w:rPr>
        <w:tab/>
        <w:t>(d)</w:t>
      </w:r>
      <w:r>
        <w:rPr>
          <w:snapToGrid w:val="0"/>
        </w:rPr>
        <w:tab/>
        <w:t xml:space="preserve">any permit granted, or any licence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 xml:space="preserve">[Section 6 amended: No. 9 of 1960 s. 2; No. 6 of 1962 s. 2; No. 52 of 1972 s. 2; No. 11 of 1974 s. 2; No. 6 of 1994 s. 13; No. 14 of 1995 s. 44; No. 8 of 2010 s. 34; No. 19 of 2010 s. 51.] </w:t>
      </w:r>
    </w:p>
    <w:p>
      <w:pPr>
        <w:pStyle w:val="Heading5"/>
        <w:spacing w:before="240"/>
        <w:rPr>
          <w:snapToGrid w:val="0"/>
        </w:rPr>
      </w:pPr>
      <w:bookmarkStart w:id="15" w:name="_Toc379274388"/>
      <w:bookmarkStart w:id="16" w:name="_Toc536178506"/>
      <w:r>
        <w:rPr>
          <w:rStyle w:val="CharSectno"/>
        </w:rPr>
        <w:t>7</w:t>
      </w:r>
      <w:r>
        <w:rPr>
          <w:snapToGrid w:val="0"/>
        </w:rPr>
        <w:t>.</w:t>
      </w:r>
      <w:r>
        <w:rPr>
          <w:snapToGrid w:val="0"/>
        </w:rPr>
        <w:tab/>
        <w:t>Perpetual leasehold, purchase of fee simple by lessee of</w:t>
      </w:r>
      <w:bookmarkEnd w:id="15"/>
      <w:bookmarkEnd w:id="16"/>
      <w:r>
        <w:rPr>
          <w:snapToGrid w:val="0"/>
        </w:rPr>
        <w:t xml:space="preserve"> </w:t>
      </w:r>
    </w:p>
    <w:p>
      <w:pPr>
        <w:pStyle w:val="Subsection"/>
        <w:spacing w:before="18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pPr>
        <w:pStyle w:val="Indenta"/>
        <w:spacing w:before="100"/>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pPr>
        <w:pStyle w:val="Indenti"/>
        <w:rPr>
          <w:snapToGrid w:val="0"/>
        </w:rPr>
      </w:pPr>
      <w:r>
        <w:rPr>
          <w:snapToGrid w:val="0"/>
        </w:rPr>
        <w:tab/>
        <w:t>(i)</w:t>
      </w:r>
      <w:r>
        <w:rPr>
          <w:snapToGrid w:val="0"/>
        </w:rPr>
        <w:tab/>
        <w:t>the conditions, if any, imposed under the Commonwealth Act; and</w:t>
      </w:r>
    </w:p>
    <w:p>
      <w:pPr>
        <w:pStyle w:val="Indenti"/>
        <w:rPr>
          <w:snapToGrid w:val="0"/>
        </w:rPr>
      </w:pPr>
      <w:r>
        <w:rPr>
          <w:snapToGrid w:val="0"/>
        </w:rPr>
        <w:tab/>
        <w:t>(ii)</w:t>
      </w:r>
      <w:r>
        <w:rPr>
          <w:snapToGrid w:val="0"/>
        </w:rPr>
        <w:tab/>
        <w:t>the provisions, if applicable to the land, of section 8(5) relating to mineral rights; and</w:t>
      </w:r>
    </w:p>
    <w:p>
      <w:pPr>
        <w:pStyle w:val="Indenti"/>
        <w:rPr>
          <w:snapToGrid w:val="0"/>
        </w:rPr>
      </w:pPr>
      <w:r>
        <w:rPr>
          <w:snapToGrid w:val="0"/>
        </w:rPr>
        <w:tab/>
        <w:t>(iii)</w:t>
      </w:r>
      <w:r>
        <w:rPr>
          <w:snapToGrid w:val="0"/>
        </w:rPr>
        <w:tab/>
        <w:t>mortgages and other encumbrances, if any, affecting the land; and</w:t>
      </w:r>
    </w:p>
    <w:p>
      <w:pPr>
        <w:pStyle w:val="Indenti"/>
        <w:rPr>
          <w:snapToGrid w:val="0"/>
        </w:rPr>
      </w:pPr>
      <w:r>
        <w:rPr>
          <w:snapToGrid w:val="0"/>
        </w:rPr>
        <w:tab/>
        <w:t>(iv)</w:t>
      </w:r>
      <w:r>
        <w:rPr>
          <w:snapToGrid w:val="0"/>
        </w:rPr>
        <w:tab/>
        <w:t>the provisions of the regulations where applicable; and</w:t>
      </w:r>
    </w:p>
    <w:p>
      <w:pPr>
        <w:pStyle w:val="Indenti"/>
        <w:rPr>
          <w:snapToGrid w:val="0"/>
        </w:rPr>
      </w:pPr>
      <w:r>
        <w:rPr>
          <w:snapToGrid w:val="0"/>
        </w:rPr>
        <w:tab/>
        <w:t>(v)</w:t>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pPr>
        <w:pStyle w:val="Footnotesection"/>
        <w:keepLines w:val="0"/>
      </w:pPr>
      <w:r>
        <w:tab/>
        <w:t xml:space="preserve">[Section 7 amended: No. 9 of 1960 s. 3; No. 31 of 1997 s. 136(1); No. 19 of 2010 s. 51.] </w:t>
      </w:r>
    </w:p>
    <w:p>
      <w:pPr>
        <w:pStyle w:val="Heading5"/>
        <w:spacing w:before="180"/>
        <w:rPr>
          <w:snapToGrid w:val="0"/>
        </w:rPr>
      </w:pPr>
      <w:bookmarkStart w:id="17" w:name="_Toc379274389"/>
      <w:bookmarkStart w:id="18" w:name="_Toc536178507"/>
      <w:r>
        <w:rPr>
          <w:rStyle w:val="CharSectno"/>
        </w:rPr>
        <w:t>8</w:t>
      </w:r>
      <w:r>
        <w:rPr>
          <w:snapToGrid w:val="0"/>
        </w:rPr>
        <w:t>.</w:t>
      </w:r>
      <w:r>
        <w:rPr>
          <w:snapToGrid w:val="0"/>
        </w:rPr>
        <w:tab/>
        <w:t>Mineral rights revested in Crown in some cases</w:t>
      </w:r>
      <w:bookmarkEnd w:id="17"/>
      <w:bookmarkEnd w:id="18"/>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to —</w:t>
      </w:r>
    </w:p>
    <w:p>
      <w:pPr>
        <w:pStyle w:val="Defpara"/>
      </w:pPr>
      <w:r>
        <w:tab/>
        <w:t>(a)</w:t>
      </w:r>
      <w:r>
        <w:tab/>
        <w:t>the Company; or</w:t>
      </w:r>
    </w:p>
    <w:p>
      <w:pPr>
        <w:pStyle w:val="Defpara"/>
      </w:pPr>
      <w:r>
        <w:tab/>
        <w:t>(b)</w:t>
      </w:r>
      <w:r>
        <w:tab/>
        <w:t>a person who derives his title to the mineral rights from the Company and is registered pursuant to the provisions of the Transfer of Land Act as the proprietor of the mineral rights,</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and Transfers, the Under Secretary for Mines, and any other person authorised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t>(aa)</w:t>
      </w:r>
      <w:r>
        <w:rPr>
          <w:snapToGrid w:val="0"/>
        </w:rPr>
        <w:tab/>
        <w:t>acquired by the State by agreement for the purposes of the Scheme; and</w:t>
      </w:r>
    </w:p>
    <w:p>
      <w:pPr>
        <w:pStyle w:val="Indenta"/>
        <w:rPr>
          <w:snapToGrid w:val="0"/>
        </w:rPr>
      </w:pPr>
      <w:r>
        <w:rPr>
          <w:snapToGrid w:val="0"/>
        </w:rPr>
        <w:tab/>
        <w:t>(ab)</w:t>
      </w:r>
      <w:r>
        <w:rPr>
          <w:snapToGrid w:val="0"/>
        </w:rPr>
        <w:tab/>
        <w:t>under the operation of the Transfer of Land Act; and</w:t>
      </w:r>
    </w:p>
    <w:p>
      <w:pPr>
        <w:pStyle w:val="Indenta"/>
        <w:rPr>
          <w:snapToGrid w:val="0"/>
        </w:rPr>
      </w:pPr>
      <w:r>
        <w:rPr>
          <w:snapToGrid w:val="0"/>
        </w:rPr>
        <w:tab/>
        <w:t>(ac)</w:t>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 and</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authorised to record in the appropriate manner the effect of the operation of the provisions of this section in relation to land.</w:t>
      </w:r>
    </w:p>
    <w:p>
      <w:pPr>
        <w:pStyle w:val="Footnotesection"/>
      </w:pPr>
      <w:r>
        <w:tab/>
        <w:t>[Section 8 amended: No. 31 of 1997 s. 136(2); No. 19 of 2010 s. 51</w:t>
      </w:r>
      <w:r>
        <w:rPr>
          <w:spacing w:val="-4"/>
        </w:rPr>
        <w:t>; No. 47 of 2011 s.</w:t>
      </w:r>
      <w:r>
        <w:t> 16.]</w:t>
      </w:r>
    </w:p>
    <w:p>
      <w:pPr>
        <w:pStyle w:val="Heading5"/>
        <w:rPr>
          <w:snapToGrid w:val="0"/>
        </w:rPr>
      </w:pPr>
      <w:bookmarkStart w:id="19" w:name="_Toc379274390"/>
      <w:bookmarkStart w:id="20" w:name="_Toc536178508"/>
      <w:r>
        <w:rPr>
          <w:rStyle w:val="CharSectno"/>
        </w:rPr>
        <w:t>9</w:t>
      </w:r>
      <w:r>
        <w:rPr>
          <w:snapToGrid w:val="0"/>
        </w:rPr>
        <w:t>.</w:t>
      </w:r>
      <w:r>
        <w:rPr>
          <w:snapToGrid w:val="0"/>
        </w:rPr>
        <w:tab/>
        <w:t>Validation of things done under repealed Acts</w:t>
      </w:r>
      <w:bookmarkEnd w:id="19"/>
      <w:bookmarkEnd w:id="20"/>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r>
        <w:rPr>
          <w:rStyle w:val="CharDefText"/>
        </w:rPr>
        <w:t>mineral rights</w:t>
      </w:r>
      <w:r>
        <w:rPr>
          <w:snapToGrid w:val="0"/>
        </w:rPr>
        <w:t xml:space="preserve"> 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xml:space="preserve"> came into operation.</w:t>
      </w:r>
    </w:p>
    <w:p>
      <w:pPr>
        <w:pStyle w:val="Heading5"/>
        <w:rPr>
          <w:snapToGrid w:val="0"/>
        </w:rPr>
      </w:pPr>
      <w:bookmarkStart w:id="21" w:name="_Toc379274391"/>
      <w:bookmarkStart w:id="22" w:name="_Toc536178509"/>
      <w:r>
        <w:rPr>
          <w:rStyle w:val="CharSectno"/>
        </w:rPr>
        <w:t>10</w:t>
      </w:r>
      <w:r>
        <w:rPr>
          <w:snapToGrid w:val="0"/>
        </w:rPr>
        <w:t>.</w:t>
      </w:r>
      <w:r>
        <w:rPr>
          <w:snapToGrid w:val="0"/>
        </w:rPr>
        <w:tab/>
        <w:t>Regulations</w:t>
      </w:r>
      <w:bookmarkEnd w:id="21"/>
      <w:bookmarkEnd w:id="22"/>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$100 for breach of a regulation so made.</w:t>
      </w:r>
    </w:p>
    <w:p>
      <w:pPr>
        <w:pStyle w:val="Footnotesection"/>
      </w:pPr>
      <w:r>
        <w:tab/>
        <w:t>[Section 10 amended: No. 113 of 1965 s. 8(1).]</w:t>
      </w:r>
    </w:p>
    <w:p>
      <w:pPr>
        <w:pStyle w:val="Heading5"/>
      </w:pPr>
      <w:bookmarkStart w:id="23" w:name="_Toc379274392"/>
      <w:bookmarkStart w:id="24" w:name="_Toc536178510"/>
      <w:r>
        <w:rPr>
          <w:rStyle w:val="CharSectno"/>
        </w:rPr>
        <w:t>11</w:t>
      </w:r>
      <w:r>
        <w:t>.</w:t>
      </w:r>
      <w:r>
        <w:tab/>
        <w:t xml:space="preserve">Delegation </w:t>
      </w:r>
      <w:r>
        <w:rPr>
          <w:snapToGrid w:val="0"/>
        </w:rPr>
        <w:t>by Minister</w:t>
      </w:r>
      <w:bookmarkEnd w:id="23"/>
      <w:bookmarkEnd w:id="24"/>
    </w:p>
    <w:p>
      <w:pPr>
        <w:pStyle w:val="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 inserted: No. 8 of 2010 s. 35.]</w:t>
      </w:r>
    </w:p>
    <w:p>
      <w:pPr>
        <w:pStyle w:val="Heading5"/>
      </w:pPr>
      <w:bookmarkStart w:id="25" w:name="_Toc379274393"/>
      <w:bookmarkStart w:id="26" w:name="_Toc536178511"/>
      <w:r>
        <w:rPr>
          <w:rStyle w:val="CharSectno"/>
        </w:rPr>
        <w:t>12</w:t>
      </w:r>
      <w:r>
        <w:t>.</w:t>
      </w:r>
      <w:r>
        <w:tab/>
        <w:t>Protection from personal liability for torts</w:t>
      </w:r>
      <w:bookmarkEnd w:id="25"/>
      <w:bookmarkEnd w:id="2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neither the Minister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12 inserted: No. 8 of 2010 s. 35.]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7" w:name="_Toc379274394"/>
      <w:bookmarkStart w:id="28" w:name="_Toc424567477"/>
      <w:bookmarkStart w:id="29" w:name="_Toc434934544"/>
      <w:bookmarkStart w:id="30" w:name="_Toc536177812"/>
      <w:bookmarkStart w:id="31" w:name="_Toc536178512"/>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27"/>
      <w:bookmarkEnd w:id="28"/>
      <w:bookmarkEnd w:id="29"/>
      <w:bookmarkEnd w:id="30"/>
      <w:bookmarkEnd w:id="31"/>
    </w:p>
    <w:p>
      <w:pPr>
        <w:pStyle w:val="yShoulderClause"/>
        <w:rPr>
          <w:rFonts w:eastAsia="MS Mincho"/>
        </w:rPr>
      </w:pPr>
      <w:r>
        <w:rPr>
          <w:rFonts w:eastAsia="MS Mincho"/>
        </w:rPr>
        <w:t>[s. 8(3)(b) and 9(2)]</w:t>
      </w:r>
    </w:p>
    <w:p>
      <w:pPr>
        <w:pStyle w:val="yFootnoteheading"/>
        <w:rPr>
          <w:rFonts w:eastAsia="MS Mincho"/>
        </w:rPr>
      </w:pPr>
      <w:r>
        <w:rPr>
          <w:rFonts w:eastAsia="MS Mincho"/>
        </w:rPr>
        <w:tab/>
        <w:t>[Heading inserted: No. 19 of 2010 s. 39.]</w:t>
      </w:r>
    </w:p>
    <w:p>
      <w:pPr>
        <w:pStyle w:val="yMiscellaneousHeading"/>
        <w:spacing w:before="2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240" w:after="120"/>
      </w:pPr>
      <w:r>
        <w:rPr>
          <w:snapToGrid w:val="0"/>
        </w:rPr>
        <w:t>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 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keepNext/>
        <w:keepLines/>
        <w:rPr>
          <w:snapToGrid w:val="0"/>
          <w:sz w:val="20"/>
        </w:rPr>
      </w:pPr>
      <w:r>
        <w:rPr>
          <w:snapToGrid w:val="0"/>
          <w:sz w:val="20"/>
        </w:rPr>
        <w:t>SEALED this ............ day of .................... two thousand and ......................</w:t>
      </w:r>
    </w:p>
    <w:p>
      <w:pPr>
        <w:pStyle w:val="MiscellaneousBody"/>
        <w:keepNext/>
        <w:keepLines/>
        <w:tabs>
          <w:tab w:val="right" w:pos="7088"/>
        </w:tabs>
        <w:rPr>
          <w:snapToGrid w:val="0"/>
          <w:sz w:val="20"/>
        </w:rPr>
      </w:pPr>
      <w:r>
        <w:rPr>
          <w:snapToGrid w:val="0"/>
          <w:sz w:val="20"/>
        </w:rPr>
        <w:tab/>
        <w:t>.....................................</w:t>
      </w:r>
      <w:r>
        <w:rPr>
          <w:snapToGrid w:val="0"/>
          <w:sz w:val="20"/>
        </w:rPr>
        <w:tab/>
        <w:t xml:space="preserve">Governor. </w:t>
      </w:r>
    </w:p>
    <w:p>
      <w:pPr>
        <w:pStyle w:val="MiscellaneousBody"/>
        <w:keepNext/>
        <w:keepLines/>
        <w:rPr>
          <w:snapToGrid w:val="0"/>
          <w:sz w:val="20"/>
        </w:rPr>
      </w:pPr>
      <w:r>
        <w:rPr>
          <w:snapToGrid w:val="0"/>
          <w:sz w:val="20"/>
        </w:rPr>
        <w:t>...........................................</w:t>
      </w:r>
    </w:p>
    <w:p>
      <w:pPr>
        <w:pStyle w:val="MiscellaneousBody"/>
        <w:keepNext/>
        <w:keepLines/>
        <w:spacing w:before="0"/>
        <w:rPr>
          <w:snapToGrid w:val="0"/>
          <w:sz w:val="20"/>
        </w:rPr>
      </w:pPr>
      <w:r>
        <w:rPr>
          <w:snapToGrid w:val="0"/>
          <w:sz w:val="20"/>
        </w:rPr>
        <w:t>Minister for Lands.</w:t>
      </w:r>
    </w:p>
    <w:p>
      <w:pPr>
        <w:pStyle w:val="yFootnotesection"/>
      </w:pPr>
      <w:r>
        <w:tab/>
        <w:t>[Schedule amended: No. 38 of 1947</w:t>
      </w:r>
      <w:r>
        <w:rPr>
          <w:vertAlign w:val="superscript"/>
        </w:rPr>
        <w:t> 6</w:t>
      </w:r>
      <w:r>
        <w:t xml:space="preserve"> s. 3; No. 19 of 2010 s. 39.]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3" w:name="_Toc379274395"/>
      <w:bookmarkStart w:id="34" w:name="_Toc424567478"/>
      <w:bookmarkStart w:id="35" w:name="_Toc434934545"/>
      <w:bookmarkStart w:id="36" w:name="_Toc536177813"/>
      <w:bookmarkStart w:id="37" w:name="_Toc536178513"/>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War</w:t>
          </w:r>
        </w:smartTag>
        <w:r>
          <w:rPr>
            <w:i/>
            <w:noProof/>
            <w:snapToGrid w:val="0"/>
          </w:rPr>
          <w:t xml:space="preserve"> </w:t>
        </w:r>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Settlement Scheme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9274396"/>
      <w:bookmarkStart w:id="39" w:name="_Toc536178514"/>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5"/>
        <w:gridCol w:w="19"/>
        <w:gridCol w:w="1116"/>
        <w:gridCol w:w="19"/>
        <w:gridCol w:w="2534"/>
        <w:gridCol w:w="29"/>
      </w:tblGrid>
      <w:tr>
        <w:trPr>
          <w:gridAfter w:val="1"/>
          <w:wAfter w:w="29" w:type="dxa"/>
          <w:cantSplit/>
          <w:tblHeader/>
        </w:trPr>
        <w:tc>
          <w:tcPr>
            <w:tcW w:w="2273"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9" w:type="dxa"/>
          <w:cantSplit/>
        </w:trPr>
        <w:tc>
          <w:tcPr>
            <w:tcW w:w="2273" w:type="dxa"/>
            <w:gridSpan w:val="2"/>
            <w:tcBorders>
              <w:top w:val="single" w:sz="8" w:space="0" w:color="auto"/>
            </w:tcBorders>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p>
        </w:tc>
        <w:tc>
          <w:tcPr>
            <w:tcW w:w="1138" w:type="dxa"/>
            <w:gridSpan w:val="2"/>
            <w:tcBorders>
              <w:top w:val="single" w:sz="8" w:space="0" w:color="auto"/>
            </w:tcBorders>
          </w:tcPr>
          <w:p>
            <w:pPr>
              <w:pStyle w:val="nTable"/>
              <w:spacing w:after="40"/>
            </w:pPr>
            <w:r>
              <w:t>29 of 1954</w:t>
            </w:r>
            <w:r>
              <w:rPr>
                <w:color w:val="000000"/>
              </w:rPr>
              <w:t xml:space="preserve"> (3 Eliz. II No. 29)</w:t>
            </w:r>
          </w:p>
        </w:tc>
        <w:tc>
          <w:tcPr>
            <w:tcW w:w="1135" w:type="dxa"/>
            <w:gridSpan w:val="2"/>
            <w:tcBorders>
              <w:top w:val="single" w:sz="8" w:space="0" w:color="auto"/>
            </w:tcBorders>
          </w:tcPr>
          <w:p>
            <w:pPr>
              <w:pStyle w:val="nTable"/>
              <w:spacing w:after="40"/>
            </w:pPr>
            <w:r>
              <w:t>5 Nov 1954</w:t>
            </w:r>
          </w:p>
        </w:tc>
        <w:tc>
          <w:tcPr>
            <w:tcW w:w="2553" w:type="dxa"/>
            <w:gridSpan w:val="2"/>
            <w:tcBorders>
              <w:top w:val="single" w:sz="8" w:space="0" w:color="auto"/>
            </w:tcBorders>
          </w:tcPr>
          <w:p>
            <w:pPr>
              <w:pStyle w:val="nTable"/>
              <w:spacing w:after="40"/>
            </w:pPr>
            <w:r>
              <w:t xml:space="preserve">28 Jan 1955 (see s. 2 and </w:t>
            </w:r>
            <w:r>
              <w:rPr>
                <w:i/>
              </w:rPr>
              <w:t>Gazette</w:t>
            </w:r>
            <w:r>
              <w:t xml:space="preserve"> 28 Jan 1955 p. 171)</w:t>
            </w:r>
          </w:p>
        </w:tc>
      </w:tr>
      <w:tr>
        <w:trPr>
          <w:gridAfter w:val="1"/>
          <w:wAfter w:w="29" w:type="dxa"/>
          <w:cantSplit/>
        </w:trPr>
        <w:tc>
          <w:tcPr>
            <w:tcW w:w="2273" w:type="dxa"/>
            <w:gridSpan w:val="2"/>
          </w:tcPr>
          <w:p>
            <w:pPr>
              <w:pStyle w:val="nTable"/>
              <w:spacing w:after="40"/>
              <w:ind w:right="113"/>
              <w:rPr>
                <w:iCs/>
              </w:rPr>
            </w:pPr>
            <w:r>
              <w:rPr>
                <w:i/>
              </w:rPr>
              <w:t xml:space="preserve">Royal Style and Titles Act 1947 </w:t>
            </w:r>
            <w:r>
              <w:t>s. 3</w:t>
            </w:r>
            <w:r>
              <w:rPr>
                <w:iCs/>
                <w:vertAlign w:val="superscript"/>
              </w:rPr>
              <w:t> 6</w:t>
            </w:r>
          </w:p>
        </w:tc>
        <w:tc>
          <w:tcPr>
            <w:tcW w:w="1138" w:type="dxa"/>
            <w:gridSpan w:val="2"/>
          </w:tcPr>
          <w:p>
            <w:pPr>
              <w:pStyle w:val="nTable"/>
              <w:spacing w:after="40"/>
            </w:pPr>
            <w:r>
              <w:t>38 of 1947</w:t>
            </w:r>
            <w:r>
              <w:rPr>
                <w:color w:val="000000"/>
              </w:rPr>
              <w:t xml:space="preserve"> (11 and 12 Geo. VI No. 38)</w:t>
            </w:r>
          </w:p>
        </w:tc>
        <w:tc>
          <w:tcPr>
            <w:tcW w:w="1135" w:type="dxa"/>
            <w:gridSpan w:val="2"/>
          </w:tcPr>
          <w:p>
            <w:pPr>
              <w:pStyle w:val="nTable"/>
              <w:spacing w:after="40"/>
            </w:pPr>
            <w:r>
              <w:t>11 Dec 1947</w:t>
            </w:r>
          </w:p>
        </w:tc>
        <w:tc>
          <w:tcPr>
            <w:tcW w:w="2553" w:type="dxa"/>
            <w:gridSpan w:val="2"/>
          </w:tcPr>
          <w:p>
            <w:pPr>
              <w:pStyle w:val="nTable"/>
              <w:spacing w:after="40"/>
            </w:pPr>
            <w:r>
              <w:t xml:space="preserve">19 Mar 1948 (see s. 2 and </w:t>
            </w:r>
            <w:r>
              <w:rPr>
                <w:i/>
                <w:iCs/>
              </w:rPr>
              <w:t>Gazette</w:t>
            </w:r>
            <w:r>
              <w:t xml:space="preserve"> 19 Mar 1948 p. 627-8)</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1960</w:t>
            </w:r>
          </w:p>
        </w:tc>
        <w:tc>
          <w:tcPr>
            <w:tcW w:w="1138" w:type="dxa"/>
            <w:gridSpan w:val="2"/>
          </w:tcPr>
          <w:p>
            <w:pPr>
              <w:pStyle w:val="nTable"/>
              <w:spacing w:after="40"/>
            </w:pPr>
            <w:r>
              <w:t xml:space="preserve">9 of 1960 </w:t>
            </w:r>
            <w:r>
              <w:rPr>
                <w:color w:val="000000"/>
              </w:rPr>
              <w:t>(9 Eliz. II No. 9)</w:t>
            </w:r>
          </w:p>
        </w:tc>
        <w:tc>
          <w:tcPr>
            <w:tcW w:w="1135" w:type="dxa"/>
            <w:gridSpan w:val="2"/>
          </w:tcPr>
          <w:p>
            <w:pPr>
              <w:pStyle w:val="nTable"/>
              <w:spacing w:after="40"/>
            </w:pPr>
            <w:r>
              <w:t>6 Oct 1960</w:t>
            </w:r>
          </w:p>
        </w:tc>
        <w:tc>
          <w:tcPr>
            <w:tcW w:w="2553" w:type="dxa"/>
            <w:gridSpan w:val="2"/>
          </w:tcPr>
          <w:p>
            <w:pPr>
              <w:pStyle w:val="nTable"/>
              <w:spacing w:after="40"/>
            </w:pPr>
            <w:r>
              <w:t>6 Oct 1960</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1962</w:t>
            </w:r>
          </w:p>
        </w:tc>
        <w:tc>
          <w:tcPr>
            <w:tcW w:w="1138" w:type="dxa"/>
            <w:gridSpan w:val="2"/>
          </w:tcPr>
          <w:p>
            <w:pPr>
              <w:pStyle w:val="nTable"/>
              <w:spacing w:after="40"/>
            </w:pPr>
            <w:r>
              <w:t>6 of 1962</w:t>
            </w:r>
            <w:r>
              <w:rPr>
                <w:color w:val="000000"/>
              </w:rPr>
              <w:t xml:space="preserve"> (11 Eliz. II No. 6)</w:t>
            </w:r>
          </w:p>
        </w:tc>
        <w:tc>
          <w:tcPr>
            <w:tcW w:w="1135" w:type="dxa"/>
            <w:gridSpan w:val="2"/>
          </w:tcPr>
          <w:p>
            <w:pPr>
              <w:pStyle w:val="nTable"/>
              <w:spacing w:after="40"/>
            </w:pPr>
            <w:r>
              <w:t>27 Sep 1962</w:t>
            </w:r>
          </w:p>
        </w:tc>
        <w:tc>
          <w:tcPr>
            <w:tcW w:w="2553" w:type="dxa"/>
            <w:gridSpan w:val="2"/>
          </w:tcPr>
          <w:p>
            <w:pPr>
              <w:pStyle w:val="nTable"/>
              <w:spacing w:after="40"/>
            </w:pPr>
            <w:r>
              <w:t>27 Sep 1962</w:t>
            </w:r>
          </w:p>
        </w:tc>
      </w:tr>
      <w:tr>
        <w:trPr>
          <w:gridAfter w:val="1"/>
          <w:wAfter w:w="29" w:type="dxa"/>
          <w:cantSplit/>
        </w:trPr>
        <w:tc>
          <w:tcPr>
            <w:tcW w:w="2273" w:type="dxa"/>
            <w:gridSpan w:val="2"/>
          </w:tcPr>
          <w:p>
            <w:pPr>
              <w:pStyle w:val="yTable"/>
              <w:spacing w:after="40"/>
              <w:ind w:right="113"/>
              <w:rPr>
                <w:i/>
                <w:sz w:val="19"/>
              </w:rPr>
            </w:pPr>
            <w:r>
              <w:rPr>
                <w:i/>
                <w:sz w:val="19"/>
              </w:rPr>
              <w:t>Decimal Currency Act 1965</w:t>
            </w:r>
          </w:p>
        </w:tc>
        <w:tc>
          <w:tcPr>
            <w:tcW w:w="1138" w:type="dxa"/>
            <w:gridSpan w:val="2"/>
          </w:tcPr>
          <w:p>
            <w:pPr>
              <w:pStyle w:val="yTable"/>
              <w:spacing w:after="40"/>
              <w:rPr>
                <w:sz w:val="19"/>
              </w:rPr>
            </w:pPr>
            <w:r>
              <w:rPr>
                <w:sz w:val="19"/>
              </w:rPr>
              <w:t>113 of 1965</w:t>
            </w:r>
          </w:p>
        </w:tc>
        <w:tc>
          <w:tcPr>
            <w:tcW w:w="1135" w:type="dxa"/>
            <w:gridSpan w:val="2"/>
          </w:tcPr>
          <w:p>
            <w:pPr>
              <w:pStyle w:val="yTable"/>
              <w:spacing w:after="40"/>
              <w:rPr>
                <w:sz w:val="19"/>
              </w:rPr>
            </w:pPr>
            <w:r>
              <w:rPr>
                <w:sz w:val="19"/>
              </w:rPr>
              <w:t>21 Dec 1965</w:t>
            </w:r>
          </w:p>
        </w:tc>
        <w:tc>
          <w:tcPr>
            <w:tcW w:w="2553" w:type="dxa"/>
            <w:gridSpan w:val="2"/>
          </w:tcPr>
          <w:p>
            <w:pPr>
              <w:pStyle w:val="yTable"/>
              <w:spacing w:after="40"/>
              <w:rPr>
                <w:sz w:val="19"/>
              </w:rPr>
            </w:pPr>
            <w:r>
              <w:rPr>
                <w:sz w:val="19"/>
              </w:rPr>
              <w:t>Act other than s. 4-9: 21 Dec 1965 (see s. 2(1));</w:t>
            </w:r>
            <w:r>
              <w:rPr>
                <w:sz w:val="19"/>
              </w:rPr>
              <w:br/>
              <w:t>s. 4-9: 14 Feb 1966 (see s. 2(2))</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1972</w:t>
            </w:r>
          </w:p>
        </w:tc>
        <w:tc>
          <w:tcPr>
            <w:tcW w:w="1138" w:type="dxa"/>
            <w:gridSpan w:val="2"/>
          </w:tcPr>
          <w:p>
            <w:pPr>
              <w:pStyle w:val="nTable"/>
              <w:spacing w:after="40"/>
            </w:pPr>
            <w:r>
              <w:t>52 of 1972</w:t>
            </w:r>
          </w:p>
        </w:tc>
        <w:tc>
          <w:tcPr>
            <w:tcW w:w="1135" w:type="dxa"/>
            <w:gridSpan w:val="2"/>
          </w:tcPr>
          <w:p>
            <w:pPr>
              <w:pStyle w:val="nTable"/>
              <w:spacing w:after="40"/>
            </w:pPr>
            <w:r>
              <w:t>2 Oct 1972</w:t>
            </w:r>
          </w:p>
        </w:tc>
        <w:tc>
          <w:tcPr>
            <w:tcW w:w="2553" w:type="dxa"/>
            <w:gridSpan w:val="2"/>
          </w:tcPr>
          <w:p>
            <w:pPr>
              <w:pStyle w:val="nTable"/>
              <w:spacing w:after="40"/>
            </w:pPr>
            <w:r>
              <w:t>2 Oct 1972</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1974</w:t>
            </w:r>
          </w:p>
        </w:tc>
        <w:tc>
          <w:tcPr>
            <w:tcW w:w="1138" w:type="dxa"/>
            <w:gridSpan w:val="2"/>
          </w:tcPr>
          <w:p>
            <w:pPr>
              <w:pStyle w:val="nTable"/>
              <w:spacing w:after="40"/>
            </w:pPr>
            <w:r>
              <w:t>11 of 1974</w:t>
            </w:r>
          </w:p>
        </w:tc>
        <w:tc>
          <w:tcPr>
            <w:tcW w:w="1135" w:type="dxa"/>
            <w:gridSpan w:val="2"/>
          </w:tcPr>
          <w:p>
            <w:pPr>
              <w:pStyle w:val="nTable"/>
              <w:spacing w:after="40"/>
            </w:pPr>
            <w:r>
              <w:t>27 Sep 1974</w:t>
            </w:r>
          </w:p>
        </w:tc>
        <w:tc>
          <w:tcPr>
            <w:tcW w:w="2553" w:type="dxa"/>
            <w:gridSpan w:val="2"/>
          </w:tcPr>
          <w:p>
            <w:pPr>
              <w:pStyle w:val="nTable"/>
              <w:spacing w:after="40"/>
            </w:pPr>
            <w:r>
              <w:t>27 Sep 1974</w:t>
            </w:r>
          </w:p>
        </w:tc>
      </w:tr>
      <w:tr>
        <w:trPr>
          <w:gridAfter w:val="1"/>
          <w:wAfter w:w="29" w:type="dxa"/>
          <w:cantSplit/>
        </w:trPr>
        <w:tc>
          <w:tcPr>
            <w:tcW w:w="2273" w:type="dxa"/>
            <w:gridSpan w:val="2"/>
          </w:tcPr>
          <w:p>
            <w:pPr>
              <w:pStyle w:val="nTable"/>
              <w:spacing w:after="40"/>
              <w:ind w:right="113"/>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After w:val="1"/>
          <w:wAfter w:w="29" w:type="dxa"/>
          <w:cantSplit/>
        </w:trPr>
        <w:tc>
          <w:tcPr>
            <w:tcW w:w="2273" w:type="dxa"/>
            <w:gridSpan w:val="2"/>
          </w:tcPr>
          <w:p>
            <w:pPr>
              <w:pStyle w:val="nTable"/>
              <w:spacing w:after="40"/>
              <w:ind w:right="113"/>
              <w:rPr>
                <w:i/>
              </w:rPr>
            </w:pPr>
            <w:r>
              <w:rPr>
                <w:i/>
              </w:rPr>
              <w:t>R &amp; I Bank Amendment Act 1994</w:t>
            </w:r>
            <w:r>
              <w:t xml:space="preserve"> s. 13</w:t>
            </w:r>
          </w:p>
        </w:tc>
        <w:tc>
          <w:tcPr>
            <w:tcW w:w="1138" w:type="dxa"/>
            <w:gridSpan w:val="2"/>
          </w:tcPr>
          <w:p>
            <w:pPr>
              <w:pStyle w:val="nTable"/>
              <w:spacing w:after="40"/>
            </w:pPr>
            <w:r>
              <w:t>6 of 1994</w:t>
            </w:r>
          </w:p>
        </w:tc>
        <w:tc>
          <w:tcPr>
            <w:tcW w:w="1135" w:type="dxa"/>
            <w:gridSpan w:val="2"/>
          </w:tcPr>
          <w:p>
            <w:pPr>
              <w:pStyle w:val="nTable"/>
              <w:spacing w:after="40"/>
            </w:pPr>
            <w:r>
              <w:t>11 Apr 1994</w:t>
            </w:r>
          </w:p>
        </w:tc>
        <w:tc>
          <w:tcPr>
            <w:tcW w:w="2553" w:type="dxa"/>
            <w:gridSpan w:val="2"/>
          </w:tcPr>
          <w:p>
            <w:pPr>
              <w:pStyle w:val="nTable"/>
              <w:spacing w:after="40"/>
            </w:pPr>
            <w:r>
              <w:t xml:space="preserve">26 Apr 1994 (see s. 2(2) and </w:t>
            </w:r>
            <w:r>
              <w:rPr>
                <w:i/>
              </w:rPr>
              <w:t>Gazette</w:t>
            </w:r>
            <w:r>
              <w:t xml:space="preserve"> 26 Apr 1994 p. 1743)</w:t>
            </w:r>
          </w:p>
        </w:tc>
      </w:tr>
      <w:tr>
        <w:trPr>
          <w:gridAfter w:val="1"/>
          <w:wAfter w:w="29" w:type="dxa"/>
          <w:cantSplit/>
        </w:trPr>
        <w:tc>
          <w:tcPr>
            <w:tcW w:w="2273"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8" w:type="dxa"/>
            <w:gridSpan w:val="2"/>
          </w:tcPr>
          <w:p>
            <w:pPr>
              <w:pStyle w:val="nTable"/>
              <w:spacing w:after="40"/>
            </w:pPr>
            <w:r>
              <w:t>14 of 1995</w:t>
            </w:r>
          </w:p>
        </w:tc>
        <w:tc>
          <w:tcPr>
            <w:tcW w:w="1135" w:type="dxa"/>
            <w:gridSpan w:val="2"/>
          </w:tcPr>
          <w:p>
            <w:pPr>
              <w:pStyle w:val="nTable"/>
              <w:spacing w:after="40"/>
            </w:pPr>
            <w:r>
              <w:t>4 Jul 1995</w:t>
            </w:r>
          </w:p>
        </w:tc>
        <w:tc>
          <w:tcPr>
            <w:tcW w:w="2553" w:type="dxa"/>
            <w:gridSpan w:val="2"/>
          </w:tcPr>
          <w:p>
            <w:pPr>
              <w:pStyle w:val="nTable"/>
              <w:spacing w:after="40"/>
            </w:pPr>
            <w:r>
              <w:t xml:space="preserve">1 Dec 1995 (see s. 2(3) and </w:t>
            </w:r>
            <w:r>
              <w:rPr>
                <w:i/>
              </w:rPr>
              <w:t>Gazette</w:t>
            </w:r>
            <w:r>
              <w:t xml:space="preserve"> 29 Nov 1995 p. 5529)</w:t>
            </w:r>
          </w:p>
        </w:tc>
      </w:tr>
      <w:tr>
        <w:trPr>
          <w:gridAfter w:val="1"/>
          <w:wAfter w:w="29" w:type="dxa"/>
          <w:cantSplit/>
        </w:trPr>
        <w:tc>
          <w:tcPr>
            <w:tcW w:w="2273" w:type="dxa"/>
            <w:gridSpan w:val="2"/>
          </w:tcPr>
          <w:p>
            <w:pPr>
              <w:pStyle w:val="nTable"/>
              <w:spacing w:after="40"/>
              <w:ind w:right="113"/>
            </w:pPr>
            <w:r>
              <w:rPr>
                <w:i/>
              </w:rPr>
              <w:t>Financial Legislation Amendment Act 1996</w:t>
            </w:r>
            <w:r>
              <w:t xml:space="preserve"> s. 64</w:t>
            </w:r>
          </w:p>
        </w:tc>
        <w:tc>
          <w:tcPr>
            <w:tcW w:w="1138" w:type="dxa"/>
            <w:gridSpan w:val="2"/>
          </w:tcPr>
          <w:p>
            <w:pPr>
              <w:pStyle w:val="nTable"/>
              <w:spacing w:after="40"/>
            </w:pPr>
            <w:r>
              <w:t>49 of 1996</w:t>
            </w:r>
          </w:p>
        </w:tc>
        <w:tc>
          <w:tcPr>
            <w:tcW w:w="1135" w:type="dxa"/>
            <w:gridSpan w:val="2"/>
          </w:tcPr>
          <w:p>
            <w:pPr>
              <w:pStyle w:val="nTable"/>
              <w:spacing w:after="40"/>
            </w:pPr>
            <w:r>
              <w:t>25 Oct 1996</w:t>
            </w:r>
          </w:p>
        </w:tc>
        <w:tc>
          <w:tcPr>
            <w:tcW w:w="2553" w:type="dxa"/>
            <w:gridSpan w:val="2"/>
          </w:tcPr>
          <w:p>
            <w:pPr>
              <w:pStyle w:val="nTable"/>
              <w:spacing w:after="40"/>
            </w:pPr>
            <w:r>
              <w:t>25 Oct 1996 (see s. 2(1))</w:t>
            </w:r>
          </w:p>
        </w:tc>
      </w:tr>
      <w:tr>
        <w:trPr>
          <w:gridAfter w:val="1"/>
          <w:wAfter w:w="29" w:type="dxa"/>
          <w:cantSplit/>
        </w:trPr>
        <w:tc>
          <w:tcPr>
            <w:tcW w:w="2273" w:type="dxa"/>
            <w:gridSpan w:val="2"/>
          </w:tcPr>
          <w:p>
            <w:pPr>
              <w:pStyle w:val="nTable"/>
              <w:spacing w:after="40"/>
              <w:ind w:right="113"/>
            </w:pPr>
            <w:r>
              <w:rPr>
                <w:i/>
              </w:rPr>
              <w:t>Acts Amendment (Land Administration) Act 1997</w:t>
            </w:r>
            <w:r>
              <w:t xml:space="preserve"> Pt. 63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gridAfter w:val="1"/>
          <w:wAfter w:w="29" w:type="dxa"/>
          <w:cantSplit/>
        </w:trPr>
        <w:tc>
          <w:tcPr>
            <w:tcW w:w="7099" w:type="dxa"/>
            <w:gridSpan w:val="8"/>
          </w:tcPr>
          <w:p>
            <w:pPr>
              <w:pStyle w:val="nTable"/>
              <w:spacing w:after="40"/>
            </w:pPr>
            <w:r>
              <w:rPr>
                <w:b/>
              </w:rPr>
              <w:t xml:space="preserve">Reprint of the </w:t>
            </w:r>
            <w:smartTag w:uri="urn:schemas-microsoft-com:office:smarttags" w:element="place">
              <w:smartTag w:uri="urn:schemas-microsoft-com:office:smarttags" w:element="PlaceName">
                <w:r>
                  <w:rPr>
                    <w:b/>
                    <w:i/>
                  </w:rPr>
                  <w:t>War</w:t>
                </w:r>
              </w:smartTag>
              <w:r>
                <w:rPr>
                  <w:b/>
                  <w:i/>
                </w:rPr>
                <w:t xml:space="preserve"> </w:t>
              </w:r>
              <w:smartTag w:uri="urn:schemas-microsoft-com:office:smarttags" w:element="PlaceName">
                <w:r>
                  <w:rPr>
                    <w:b/>
                    <w:i/>
                  </w:rPr>
                  <w:t>Service</w:t>
                </w:r>
              </w:smartTag>
              <w:r>
                <w:rPr>
                  <w:b/>
                  <w:i/>
                </w:rPr>
                <w:t xml:space="preserve"> </w:t>
              </w:r>
              <w:smartTag w:uri="urn:schemas-microsoft-com:office:smarttags" w:element="PlaceType">
                <w:r>
                  <w:rPr>
                    <w:b/>
                    <w:i/>
                  </w:rPr>
                  <w:t>Land</w:t>
                </w:r>
              </w:smartTag>
            </w:smartTag>
            <w:r>
              <w:rPr>
                <w:b/>
                <w:i/>
              </w:rPr>
              <w:t xml:space="preserve"> Settlement Scheme Act 1954 </w:t>
            </w:r>
            <w:r>
              <w:rPr>
                <w:b/>
              </w:rPr>
              <w:t>as at 16 Jul 1999</w:t>
            </w:r>
            <w:r>
              <w:t xml:space="preserve"> (includes amendments listed above)</w:t>
            </w:r>
          </w:p>
        </w:tc>
      </w:tr>
      <w:tr>
        <w:trPr>
          <w:gridAfter w:val="1"/>
          <w:wAfter w:w="29" w:type="dxa"/>
          <w:cantSplit/>
        </w:trPr>
        <w:tc>
          <w:tcPr>
            <w:tcW w:w="2273" w:type="dxa"/>
            <w:gridSpan w:val="2"/>
          </w:tcPr>
          <w:p>
            <w:pPr>
              <w:pStyle w:val="nTable"/>
              <w:spacing w:after="40"/>
              <w:ind w:right="113"/>
              <w:rPr>
                <w:iCs/>
              </w:rPr>
            </w:pPr>
            <w:r>
              <w:rPr>
                <w:i/>
              </w:rPr>
              <w:t>Financial Legislation Amendment and Repeal Act 2006</w:t>
            </w:r>
            <w:r>
              <w:rPr>
                <w:iCs/>
              </w:rPr>
              <w:t xml:space="preserve"> s. 4</w:t>
            </w:r>
          </w:p>
        </w:tc>
        <w:tc>
          <w:tcPr>
            <w:tcW w:w="1138" w:type="dxa"/>
            <w:gridSpan w:val="2"/>
          </w:tcPr>
          <w:p>
            <w:pPr>
              <w:pStyle w:val="nTable"/>
              <w:spacing w:after="40"/>
            </w:pPr>
            <w:r>
              <w:t>77 of 2006</w:t>
            </w:r>
          </w:p>
        </w:tc>
        <w:tc>
          <w:tcPr>
            <w:tcW w:w="1135" w:type="dxa"/>
            <w:gridSpan w:val="2"/>
          </w:tcPr>
          <w:p>
            <w:pPr>
              <w:pStyle w:val="nTable"/>
              <w:spacing w:after="40"/>
            </w:pPr>
            <w:r>
              <w:t>21 Dec 2006</w:t>
            </w:r>
          </w:p>
        </w:tc>
        <w:tc>
          <w:tcPr>
            <w:tcW w:w="2553" w:type="dxa"/>
            <w:gridSpan w:val="2"/>
          </w:tcPr>
          <w:p>
            <w:pPr>
              <w:pStyle w:val="nTable"/>
              <w:spacing w:after="40"/>
            </w:pPr>
            <w:r>
              <w:t xml:space="preserve">1 Feb 2007 (see s. 2(1) and </w:t>
            </w:r>
            <w:r>
              <w:rPr>
                <w:i/>
                <w:iCs/>
              </w:rPr>
              <w:t>Gazette</w:t>
            </w:r>
            <w:r>
              <w:t xml:space="preserve"> 19 Jan 2007 p. 137)</w:t>
            </w:r>
          </w:p>
        </w:tc>
      </w:tr>
      <w:tr>
        <w:trPr>
          <w:gridAfter w:val="1"/>
          <w:wAfter w:w="29" w:type="dxa"/>
          <w:cantSplit/>
        </w:trPr>
        <w:tc>
          <w:tcPr>
            <w:tcW w:w="2273" w:type="dxa"/>
            <w:gridSpan w:val="2"/>
          </w:tcPr>
          <w:p>
            <w:pPr>
              <w:pStyle w:val="nTable"/>
              <w:spacing w:after="40"/>
              <w:ind w:right="113"/>
              <w:rPr>
                <w:i/>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10</w:t>
            </w:r>
          </w:p>
        </w:tc>
        <w:tc>
          <w:tcPr>
            <w:tcW w:w="1138" w:type="dxa"/>
            <w:gridSpan w:val="2"/>
          </w:tcPr>
          <w:p>
            <w:pPr>
              <w:pStyle w:val="nTable"/>
              <w:spacing w:after="40"/>
            </w:pPr>
            <w:r>
              <w:rPr>
                <w:snapToGrid w:val="0"/>
              </w:rPr>
              <w:t>8 of 2010</w:t>
            </w:r>
          </w:p>
        </w:tc>
        <w:tc>
          <w:tcPr>
            <w:tcW w:w="1135" w:type="dxa"/>
            <w:gridSpan w:val="2"/>
          </w:tcPr>
          <w:p>
            <w:pPr>
              <w:pStyle w:val="nTable"/>
              <w:spacing w:after="40"/>
            </w:pPr>
            <w:r>
              <w:rPr>
                <w:snapToGrid w:val="0"/>
              </w:rP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39 and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6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gridSpan w:val="2"/>
          </w:tcPr>
          <w:p>
            <w:pPr>
              <w:pStyle w:val="nTable"/>
              <w:spacing w:after="40"/>
              <w:rPr>
                <w:snapToGrid w:val="0"/>
              </w:rPr>
            </w:pPr>
            <w:r>
              <w:rPr>
                <w:snapToGrid w:val="0"/>
              </w:rPr>
              <w:t>47 of 2011</w:t>
            </w:r>
          </w:p>
        </w:tc>
        <w:tc>
          <w:tcPr>
            <w:tcW w:w="1135" w:type="dxa"/>
            <w:gridSpan w:val="2"/>
          </w:tcPr>
          <w:p>
            <w:pPr>
              <w:pStyle w:val="nTable"/>
              <w:spacing w:after="40"/>
              <w:rPr>
                <w:snapToGrid w:val="0"/>
              </w:rPr>
            </w:pPr>
            <w:r>
              <w:rPr>
                <w:snapToGrid w:val="0"/>
              </w:rPr>
              <w:t>25 Oct 2011</w:t>
            </w:r>
          </w:p>
        </w:tc>
        <w:tc>
          <w:tcPr>
            <w:tcW w:w="2563" w:type="dxa"/>
            <w:gridSpan w:val="2"/>
          </w:tcPr>
          <w:p>
            <w:pPr>
              <w:pStyle w:val="nTable"/>
              <w:spacing w:after="40"/>
              <w:rPr>
                <w:snapToGrid w:val="0"/>
              </w:rPr>
            </w:pPr>
            <w:r>
              <w:rPr>
                <w:snapToGrid w:val="0"/>
              </w:rPr>
              <w:t>26 Oct 2011 (see s. 2(b))</w:t>
            </w:r>
          </w:p>
        </w:tc>
      </w:tr>
      <w:tr>
        <w:trPr>
          <w:gridBefore w:val="1"/>
          <w:wBefore w:w="28" w:type="dxa"/>
          <w:cantSplit/>
        </w:trPr>
        <w:tc>
          <w:tcPr>
            <w:tcW w:w="7100" w:type="dxa"/>
            <w:gridSpan w:val="8"/>
            <w:tcBorders>
              <w:bottom w:val="single" w:sz="8" w:space="0" w:color="auto"/>
            </w:tcBorders>
            <w:shd w:val="clear" w:color="auto" w:fill="auto"/>
          </w:tcPr>
          <w:p>
            <w:pPr>
              <w:pStyle w:val="nTable"/>
              <w:spacing w:after="40"/>
              <w:rPr>
                <w:snapToGrid w:val="0"/>
              </w:rPr>
            </w:pPr>
            <w:r>
              <w:rPr>
                <w:b/>
              </w:rPr>
              <w:t xml:space="preserve">Reprint 2:  The </w:t>
            </w:r>
            <w:smartTag w:uri="urn:schemas-microsoft-com:office:smarttags" w:element="place">
              <w:smartTag w:uri="urn:schemas-microsoft-com:office:smarttags" w:element="PlaceName">
                <w:r>
                  <w:rPr>
                    <w:b/>
                    <w:i/>
                  </w:rPr>
                  <w:t>War</w:t>
                </w:r>
              </w:smartTag>
              <w:r>
                <w:rPr>
                  <w:b/>
                  <w:i/>
                </w:rPr>
                <w:t xml:space="preserve"> </w:t>
              </w:r>
              <w:smartTag w:uri="urn:schemas-microsoft-com:office:smarttags" w:element="PlaceName">
                <w:r>
                  <w:rPr>
                    <w:b/>
                    <w:i/>
                  </w:rPr>
                  <w:t>Service</w:t>
                </w:r>
              </w:smartTag>
              <w:r>
                <w:rPr>
                  <w:b/>
                  <w:i/>
                </w:rPr>
                <w:t xml:space="preserve"> </w:t>
              </w:r>
              <w:smartTag w:uri="urn:schemas-microsoft-com:office:smarttags" w:element="PlaceType">
                <w:r>
                  <w:rPr>
                    <w:b/>
                    <w:i/>
                  </w:rPr>
                  <w:t>Land</w:t>
                </w:r>
              </w:smartTag>
            </w:smartTag>
            <w:r>
              <w:rPr>
                <w:b/>
                <w:i/>
              </w:rPr>
              <w:t xml:space="preserve"> Settlement Scheme Act 1954 </w:t>
            </w:r>
            <w:r>
              <w:rPr>
                <w:b/>
              </w:rPr>
              <w:t>as at 19 Oct 2012</w:t>
            </w:r>
            <w:r>
              <w:t xml:space="preserve"> (includes amendments listed above)</w:t>
            </w:r>
          </w:p>
        </w:tc>
      </w:tr>
    </w:tbl>
    <w:p>
      <w:pPr>
        <w:pStyle w:val="nSubsection"/>
        <w:spacing w:before="160"/>
      </w:pPr>
      <w:r>
        <w:rPr>
          <w:vertAlign w:val="superscript"/>
        </w:rPr>
        <w:t>2</w:t>
      </w:r>
      <w:r>
        <w:tab/>
        <w:t xml:space="preserve">Repealed by the </w:t>
      </w:r>
      <w:r>
        <w:rPr>
          <w:i/>
          <w:iCs/>
        </w:rPr>
        <w:t>Interpretation Act 1984</w:t>
      </w:r>
      <w:r>
        <w:t>.</w:t>
      </w:r>
    </w:p>
    <w:p>
      <w:pPr>
        <w:pStyle w:val="nSubsection"/>
      </w:pPr>
      <w:r>
        <w:rPr>
          <w:vertAlign w:val="superscript"/>
        </w:rPr>
        <w:t>3</w:t>
      </w:r>
      <w:r>
        <w:tab/>
        <w:t xml:space="preserve">Repealed by the </w:t>
      </w:r>
      <w:r>
        <w:rPr>
          <w:i/>
          <w:iCs/>
        </w:rPr>
        <w:t>Conservation and Land Management Act 1984</w:t>
      </w:r>
      <w:r>
        <w:t>.</w:t>
      </w:r>
    </w:p>
    <w:p>
      <w:pPr>
        <w:pStyle w:val="nSubsection"/>
        <w:rPr>
          <w:i/>
        </w:rPr>
      </w:pPr>
      <w:r>
        <w:rPr>
          <w:vertAlign w:val="superscript"/>
        </w:rPr>
        <w:t>4</w:t>
      </w:r>
      <w:r>
        <w:tab/>
        <w:t xml:space="preserve">Repealed by the </w:t>
      </w:r>
      <w:r>
        <w:rPr>
          <w:i/>
          <w:iCs/>
        </w:rPr>
        <w:t>Petroleum Act 1967</w:t>
      </w:r>
      <w:r>
        <w:t>, now called the</w:t>
      </w:r>
      <w:r>
        <w:rPr>
          <w:i/>
        </w:rPr>
        <w:t xml:space="preserve"> Petroleum and Geothermal Energy Act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 and Titles Act 1947</w:t>
      </w:r>
      <w:r>
        <w:t xml:space="preserve"> (see </w:t>
      </w:r>
      <w:r>
        <w:rPr>
          <w:i/>
          <w:iCs/>
        </w:rPr>
        <w:t>Gazette</w:t>
      </w:r>
      <w:r>
        <w:t xml:space="preserve"> 7 December 1974 p. 4479).</w:t>
      </w:r>
    </w:p>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1" w:name="_Toc434934547"/>
      <w:bookmarkStart w:id="42" w:name="_Toc536177815"/>
      <w:bookmarkStart w:id="43" w:name="_Toc536178515"/>
      <w:r>
        <w:rPr>
          <w:sz w:val="28"/>
        </w:rPr>
        <w:t>Defined terms</w:t>
      </w:r>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Act</w:t>
      </w:r>
      <w:r>
        <w:tab/>
        <w:t>4</w:t>
      </w:r>
    </w:p>
    <w:p>
      <w:pPr>
        <w:pStyle w:val="DefinedTerms"/>
      </w:pPr>
      <w:r>
        <w:t>Company</w:t>
      </w:r>
      <w:r>
        <w:tab/>
        <w:t>8(1)</w:t>
      </w:r>
    </w:p>
    <w:p>
      <w:pPr>
        <w:pStyle w:val="DefinedTerms"/>
      </w:pPr>
      <w:r>
        <w:t>Land Act</w:t>
      </w:r>
      <w:r>
        <w:tab/>
        <w:t>4</w:t>
      </w:r>
    </w:p>
    <w:p>
      <w:pPr>
        <w:pStyle w:val="DefinedTerms"/>
      </w:pPr>
      <w:r>
        <w:t>mineral rights</w:t>
      </w:r>
      <w:r>
        <w:tab/>
        <w:t>8(1), 9(2)</w:t>
      </w:r>
    </w:p>
    <w:p>
      <w:pPr>
        <w:pStyle w:val="DefinedTerms"/>
      </w:pPr>
      <w:r>
        <w:t>registration authority</w:t>
      </w:r>
      <w:r>
        <w:tab/>
        <w:t>8(1)</w:t>
      </w:r>
    </w:p>
    <w:p>
      <w:pPr>
        <w:pStyle w:val="DefinedTerms"/>
      </w:pPr>
      <w:r>
        <w:t>repealed Acts</w:t>
      </w:r>
      <w:r>
        <w:tab/>
        <w:t>4</w:t>
      </w:r>
    </w:p>
    <w:p>
      <w:pPr>
        <w:pStyle w:val="DefinedTerms"/>
      </w:pPr>
      <w:r>
        <w:t>scheme</w:t>
      </w:r>
      <w:r>
        <w:tab/>
        <w:t>4</w:t>
      </w:r>
    </w:p>
    <w:p>
      <w:pPr>
        <w:pStyle w:val="DefinedTerms"/>
      </w:pPr>
      <w:r>
        <w:t>tenure</w:t>
      </w:r>
      <w:r>
        <w:tab/>
        <w:t>4</w:t>
      </w:r>
    </w:p>
    <w:p>
      <w:pPr>
        <w:pStyle w:val="DefinedTerms"/>
      </w:pPr>
      <w:r>
        <w:t>Transfer of Land Act</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 Service Land Settlement Scheme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 Service Land Settlement Scheme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 Service Land Settlement Scheme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F0D7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3213"/>
    <w:docVar w:name="WAFER_20140204100728" w:val="RemoveTocBookmarks,RemoveUnusedBookmarks,RemoveLanguageTags,UsedStyles,ResetPageSize,UpdateArrangement"/>
    <w:docVar w:name="WAFER_20140204100728_GUID" w:val="91450e15-6d84-42ff-a75a-b02e30c28ba9"/>
    <w:docVar w:name="WAFER_20140204104553" w:val="RemoveTocBookmarks,RunningHeaders"/>
    <w:docVar w:name="WAFER_20140204104553_GUID" w:val="ec0c9c67-7b65-48d0-a07f-5c9ba816daa9"/>
    <w:docVar w:name="WAFER_20150713155835" w:val="ResetPageSize,UpdateArrangement,UpdateNTable"/>
    <w:docVar w:name="WAFER_20150713155835_GUID" w:val="129cfffe-9e9d-4ca7-bf53-2a179c3b8d43"/>
    <w:docVar w:name="WAFER_20151110153213" w:val="UpdateStyles,UsedStyles"/>
    <w:docVar w:name="WAFER_20151110153213_GUID" w:val="fef7da32-5393-459a-b780-32e788f054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3911</Words>
  <Characters>18460</Characters>
  <Application>Microsoft Office Word</Application>
  <DocSecurity>0</DocSecurity>
  <Lines>527</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1954 - 02-a0-06</dc:title>
  <dc:subject/>
  <dc:creator/>
  <cp:keywords/>
  <dc:description/>
  <cp:lastModifiedBy>svcMRProcess</cp:lastModifiedBy>
  <cp:revision>4</cp:revision>
  <cp:lastPrinted>2012-10-23T03:25:00Z</cp:lastPrinted>
  <dcterms:created xsi:type="dcterms:W3CDTF">2019-02-14T08:41:00Z</dcterms:created>
  <dcterms:modified xsi:type="dcterms:W3CDTF">2019-02-14T08:41:00Z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20121019</vt:lpwstr>
  </property>
  <property fmtid="{D5CDD505-2E9C-101B-9397-08002B2CF9AE}" pid="4" name="DocumentType">
    <vt:lpwstr>Act</vt:lpwstr>
  </property>
  <property fmtid="{D5CDD505-2E9C-101B-9397-08002B2CF9AE}" pid="5" name="OwlsUID">
    <vt:i4>861</vt:i4>
  </property>
  <property fmtid="{D5CDD505-2E9C-101B-9397-08002B2CF9AE}" pid="6" name="ReprintNo">
    <vt:lpwstr>2</vt:lpwstr>
  </property>
  <property fmtid="{D5CDD505-2E9C-101B-9397-08002B2CF9AE}" pid="7" name="ReprintedAsAt">
    <vt:filetime>2012-10-18T16:00:00Z</vt:filetime>
  </property>
  <property fmtid="{D5CDD505-2E9C-101B-9397-08002B2CF9AE}" pid="8" name="AsAtDate">
    <vt:lpwstr>19 Oct 2012</vt:lpwstr>
  </property>
  <property fmtid="{D5CDD505-2E9C-101B-9397-08002B2CF9AE}" pid="9" name="Suffix">
    <vt:lpwstr>02-a0-06</vt:lpwstr>
  </property>
</Properties>
</file>