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Workers’ Compensation and Injury Management Act 1981</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and Injury Management (Scales of Fees) Regulations 1998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_Toc339360481 \h </w:instrText>
      </w:r>
      <w:r>
        <w:fldChar w:fldCharType="separate"/>
      </w:r>
      <w:r>
        <w:t>1</w:t>
      </w:r>
      <w:r>
        <w:fldChar w:fldCharType="end"/>
      </w:r>
    </w:p>
    <w:p>
      <w:pPr>
        <w:pStyle w:val="TOC8"/>
        <w:rPr>
          <w:sz w:val="24"/>
          <w:szCs w:val="24"/>
          <w:lang w:val="en-US"/>
        </w:rPr>
      </w:pPr>
      <w:r>
        <w:t>2</w:t>
      </w:r>
      <w:r>
        <w:rPr>
          <w:snapToGrid w:val="0"/>
        </w:rPr>
        <w:t>.</w:t>
      </w:r>
      <w:r>
        <w:rPr>
          <w:snapToGrid w:val="0"/>
        </w:rPr>
        <w:tab/>
        <w:t>Scales of fees — medical specialists and other medical practitioners</w:t>
      </w:r>
      <w:r>
        <w:tab/>
      </w:r>
      <w:r>
        <w:fldChar w:fldCharType="begin"/>
      </w:r>
      <w:r>
        <w:instrText xml:space="preserve"> PAGEREF _Toc339360482 \h </w:instrText>
      </w:r>
      <w:r>
        <w:fldChar w:fldCharType="separate"/>
      </w:r>
      <w:r>
        <w:t>1</w:t>
      </w:r>
      <w:r>
        <w:fldChar w:fldCharType="end"/>
      </w:r>
    </w:p>
    <w:p>
      <w:pPr>
        <w:pStyle w:val="TOC8"/>
        <w:rPr>
          <w:sz w:val="24"/>
          <w:szCs w:val="24"/>
          <w:lang w:val="en-US"/>
        </w:rPr>
      </w:pPr>
      <w:r>
        <w:t>3</w:t>
      </w:r>
      <w:r>
        <w:rPr>
          <w:snapToGrid w:val="0"/>
        </w:rPr>
        <w:t>.</w:t>
      </w:r>
      <w:r>
        <w:rPr>
          <w:snapToGrid w:val="0"/>
        </w:rPr>
        <w:tab/>
        <w:t>Scale of fees — physiotherapists</w:t>
      </w:r>
      <w:r>
        <w:tab/>
      </w:r>
      <w:r>
        <w:fldChar w:fldCharType="begin"/>
      </w:r>
      <w:r>
        <w:instrText xml:space="preserve"> PAGEREF _Toc339360483 \h </w:instrText>
      </w:r>
      <w:r>
        <w:fldChar w:fldCharType="separate"/>
      </w:r>
      <w:r>
        <w:t>2</w:t>
      </w:r>
      <w:r>
        <w:fldChar w:fldCharType="end"/>
      </w:r>
    </w:p>
    <w:p>
      <w:pPr>
        <w:pStyle w:val="TOC8"/>
        <w:rPr>
          <w:sz w:val="24"/>
          <w:szCs w:val="24"/>
          <w:lang w:val="en-US"/>
        </w:rPr>
      </w:pPr>
      <w:r>
        <w:t>4</w:t>
      </w:r>
      <w:r>
        <w:rPr>
          <w:snapToGrid w:val="0"/>
        </w:rPr>
        <w:t>.</w:t>
      </w:r>
      <w:r>
        <w:rPr>
          <w:snapToGrid w:val="0"/>
        </w:rPr>
        <w:tab/>
        <w:t>Scale of fees — chiropractors</w:t>
      </w:r>
      <w:r>
        <w:tab/>
      </w:r>
      <w:r>
        <w:fldChar w:fldCharType="begin"/>
      </w:r>
      <w:r>
        <w:instrText xml:space="preserve"> PAGEREF _Toc339360484 \h </w:instrText>
      </w:r>
      <w:r>
        <w:fldChar w:fldCharType="separate"/>
      </w:r>
      <w:r>
        <w:t>2</w:t>
      </w:r>
      <w:r>
        <w:fldChar w:fldCharType="end"/>
      </w:r>
    </w:p>
    <w:p>
      <w:pPr>
        <w:pStyle w:val="TOC8"/>
        <w:rPr>
          <w:sz w:val="24"/>
          <w:szCs w:val="24"/>
          <w:lang w:val="en-US"/>
        </w:rPr>
      </w:pPr>
      <w:r>
        <w:t>5</w:t>
      </w:r>
      <w:r>
        <w:rPr>
          <w:snapToGrid w:val="0"/>
        </w:rPr>
        <w:t>.</w:t>
      </w:r>
      <w:r>
        <w:rPr>
          <w:snapToGrid w:val="0"/>
        </w:rPr>
        <w:tab/>
        <w:t>Scale of fees — occupational therapists</w:t>
      </w:r>
      <w:r>
        <w:tab/>
      </w:r>
      <w:r>
        <w:fldChar w:fldCharType="begin"/>
      </w:r>
      <w:r>
        <w:instrText xml:space="preserve"> PAGEREF _Toc339360485 \h </w:instrText>
      </w:r>
      <w:r>
        <w:fldChar w:fldCharType="separate"/>
      </w:r>
      <w:r>
        <w:t>2</w:t>
      </w:r>
      <w:r>
        <w:fldChar w:fldCharType="end"/>
      </w:r>
    </w:p>
    <w:p>
      <w:pPr>
        <w:pStyle w:val="TOC8"/>
        <w:rPr>
          <w:sz w:val="24"/>
          <w:szCs w:val="24"/>
          <w:lang w:val="en-US"/>
        </w:rPr>
      </w:pPr>
      <w:r>
        <w:t>6.</w:t>
      </w:r>
      <w:r>
        <w:tab/>
        <w:t>Scale of fees — clinical psychologists</w:t>
      </w:r>
      <w:r>
        <w:tab/>
      </w:r>
      <w:r>
        <w:fldChar w:fldCharType="begin"/>
      </w:r>
      <w:r>
        <w:instrText xml:space="preserve"> PAGEREF _Toc339360486 \h </w:instrText>
      </w:r>
      <w:r>
        <w:fldChar w:fldCharType="separate"/>
      </w:r>
      <w:r>
        <w:t>2</w:t>
      </w:r>
      <w:r>
        <w:fldChar w:fldCharType="end"/>
      </w:r>
    </w:p>
    <w:p>
      <w:pPr>
        <w:pStyle w:val="TOC8"/>
        <w:rPr>
          <w:sz w:val="24"/>
          <w:szCs w:val="24"/>
          <w:lang w:val="en-US"/>
        </w:rPr>
      </w:pPr>
      <w:r>
        <w:t>6A.</w:t>
      </w:r>
      <w:r>
        <w:tab/>
        <w:t>Scale of fees — counselling psychology</w:t>
      </w:r>
      <w:r>
        <w:tab/>
      </w:r>
      <w:r>
        <w:fldChar w:fldCharType="begin"/>
      </w:r>
      <w:r>
        <w:instrText xml:space="preserve"> PAGEREF _Toc339360487 \h </w:instrText>
      </w:r>
      <w:r>
        <w:fldChar w:fldCharType="separate"/>
      </w:r>
      <w:r>
        <w:t>3</w:t>
      </w:r>
      <w:r>
        <w:fldChar w:fldCharType="end"/>
      </w:r>
    </w:p>
    <w:p>
      <w:pPr>
        <w:pStyle w:val="TOC8"/>
        <w:rPr>
          <w:sz w:val="24"/>
          <w:szCs w:val="24"/>
          <w:lang w:val="en-US"/>
        </w:rPr>
      </w:pPr>
      <w:r>
        <w:t>7</w:t>
      </w:r>
      <w:r>
        <w:rPr>
          <w:snapToGrid w:val="0"/>
        </w:rPr>
        <w:t>.</w:t>
      </w:r>
      <w:r>
        <w:rPr>
          <w:snapToGrid w:val="0"/>
        </w:rPr>
        <w:tab/>
        <w:t>Scale of fees — speech therapists</w:t>
      </w:r>
      <w:r>
        <w:tab/>
      </w:r>
      <w:r>
        <w:fldChar w:fldCharType="begin"/>
      </w:r>
      <w:r>
        <w:instrText xml:space="preserve"> PAGEREF _Toc339360488 \h </w:instrText>
      </w:r>
      <w:r>
        <w:fldChar w:fldCharType="separate"/>
      </w:r>
      <w:r>
        <w:t>3</w:t>
      </w:r>
      <w:r>
        <w:fldChar w:fldCharType="end"/>
      </w:r>
    </w:p>
    <w:p>
      <w:pPr>
        <w:pStyle w:val="TOC8"/>
        <w:rPr>
          <w:sz w:val="24"/>
          <w:szCs w:val="24"/>
          <w:lang w:val="en-US"/>
        </w:rPr>
      </w:pPr>
      <w:r>
        <w:t>7A.</w:t>
      </w:r>
      <w:r>
        <w:tab/>
        <w:t>Scale of fees — osteopaths</w:t>
      </w:r>
      <w:r>
        <w:tab/>
      </w:r>
      <w:r>
        <w:fldChar w:fldCharType="begin"/>
      </w:r>
      <w:r>
        <w:instrText xml:space="preserve"> PAGEREF _Toc339360489 \h </w:instrText>
      </w:r>
      <w:r>
        <w:fldChar w:fldCharType="separate"/>
      </w:r>
      <w:r>
        <w:t>3</w:t>
      </w:r>
      <w:r>
        <w:fldChar w:fldCharType="end"/>
      </w:r>
    </w:p>
    <w:p>
      <w:pPr>
        <w:pStyle w:val="TOC8"/>
        <w:rPr>
          <w:sz w:val="24"/>
          <w:szCs w:val="24"/>
          <w:lang w:val="en-US"/>
        </w:rPr>
      </w:pPr>
      <w:r>
        <w:t>7B.</w:t>
      </w:r>
      <w:r>
        <w:tab/>
        <w:t>Scale of fees — exercise physiologists</w:t>
      </w:r>
      <w:r>
        <w:tab/>
      </w:r>
      <w:r>
        <w:fldChar w:fldCharType="begin"/>
      </w:r>
      <w:r>
        <w:instrText xml:space="preserve"> PAGEREF _Toc339360490 \h </w:instrText>
      </w:r>
      <w:r>
        <w:fldChar w:fldCharType="separate"/>
      </w:r>
      <w:r>
        <w:t>4</w:t>
      </w:r>
      <w:r>
        <w:fldChar w:fldCharType="end"/>
      </w:r>
    </w:p>
    <w:p>
      <w:pPr>
        <w:pStyle w:val="TOC8"/>
        <w:rPr>
          <w:sz w:val="24"/>
          <w:szCs w:val="24"/>
          <w:lang w:val="en-US"/>
        </w:rPr>
      </w:pPr>
      <w:r>
        <w:t>8</w:t>
      </w:r>
      <w:r>
        <w:rPr>
          <w:snapToGrid w:val="0"/>
        </w:rPr>
        <w:t>.</w:t>
      </w:r>
      <w:r>
        <w:rPr>
          <w:snapToGrid w:val="0"/>
        </w:rPr>
        <w:tab/>
        <w:t>Scale of fees — vocational rehabilitation providers</w:t>
      </w:r>
      <w:r>
        <w:tab/>
      </w:r>
      <w:r>
        <w:fldChar w:fldCharType="begin"/>
      </w:r>
      <w:r>
        <w:instrText xml:space="preserve"> PAGEREF _Toc339360491 \h </w:instrText>
      </w:r>
      <w:r>
        <w:fldChar w:fldCharType="separate"/>
      </w:r>
      <w:r>
        <w:t>4</w:t>
      </w:r>
      <w:r>
        <w:fldChar w:fldCharType="end"/>
      </w:r>
    </w:p>
    <w:p>
      <w:pPr>
        <w:pStyle w:val="TOC8"/>
        <w:rPr>
          <w:sz w:val="24"/>
          <w:szCs w:val="24"/>
          <w:lang w:val="en-US"/>
        </w:rPr>
      </w:pPr>
      <w:r>
        <w:t>9.</w:t>
      </w:r>
      <w:r>
        <w:tab/>
        <w:t>Scale of maximum fees — approved medical specialists</w:t>
      </w:r>
      <w:r>
        <w:tab/>
      </w:r>
      <w:r>
        <w:fldChar w:fldCharType="begin"/>
      </w:r>
      <w:r>
        <w:instrText xml:space="preserve"> PAGEREF _Toc339360492 \h </w:instrText>
      </w:r>
      <w:r>
        <w:fldChar w:fldCharType="separate"/>
      </w:r>
      <w:r>
        <w:t>4</w:t>
      </w:r>
      <w:r>
        <w:fldChar w:fldCharType="end"/>
      </w:r>
    </w:p>
    <w:p>
      <w:pPr>
        <w:pStyle w:val="TOC8"/>
        <w:rPr>
          <w:sz w:val="24"/>
          <w:szCs w:val="24"/>
          <w:lang w:val="en-US"/>
        </w:rPr>
      </w:pPr>
      <w:r>
        <w:t>10.</w:t>
      </w:r>
      <w:r>
        <w:tab/>
        <w:t>Effect of GST</w:t>
      </w:r>
      <w:r>
        <w:tab/>
      </w:r>
      <w:r>
        <w:fldChar w:fldCharType="begin"/>
      </w:r>
      <w:r>
        <w:instrText xml:space="preserve"> PAGEREF _Toc339360493 \h </w:instrText>
      </w:r>
      <w:r>
        <w:fldChar w:fldCharType="separate"/>
      </w:r>
      <w:r>
        <w:t>5</w:t>
      </w:r>
      <w:r>
        <w:fldChar w:fldCharType="end"/>
      </w:r>
    </w:p>
    <w:p>
      <w:pPr>
        <w:pStyle w:val="TOC2"/>
        <w:keepNext w:val="0"/>
        <w:tabs>
          <w:tab w:val="right" w:leader="dot" w:pos="7078"/>
        </w:tabs>
        <w:rPr>
          <w:b w:val="0"/>
          <w:sz w:val="24"/>
          <w:szCs w:val="24"/>
          <w:lang w:val="en-US"/>
        </w:rPr>
      </w:pPr>
      <w:r>
        <w:t>Schedule 1 — Scale of fees: medical specialists and other medical practitioners</w:t>
      </w:r>
    </w:p>
    <w:p>
      <w:pPr>
        <w:pStyle w:val="TOC4"/>
        <w:keepNext w:val="0"/>
        <w:tabs>
          <w:tab w:val="right" w:leader="dot" w:pos="7078"/>
        </w:tabs>
        <w:rPr>
          <w:b w:val="0"/>
          <w:sz w:val="24"/>
          <w:szCs w:val="24"/>
          <w:lang w:val="en-US"/>
        </w:rPr>
      </w:pPr>
      <w:r>
        <w:t>Part 1 — Medical specialists and other medical practitioners</w:t>
      </w:r>
    </w:p>
    <w:p>
      <w:pPr>
        <w:pStyle w:val="TOC4"/>
        <w:keepNext w:val="0"/>
        <w:tabs>
          <w:tab w:val="right" w:leader="dot" w:pos="7078"/>
        </w:tabs>
        <w:rPr>
          <w:b w:val="0"/>
          <w:sz w:val="24"/>
          <w:szCs w:val="24"/>
          <w:lang w:val="en-US"/>
        </w:rPr>
      </w:pPr>
      <w:r>
        <w:t>Part 2 — Medical procedures</w:t>
      </w:r>
    </w:p>
    <w:p>
      <w:pPr>
        <w:pStyle w:val="TOC4"/>
        <w:keepNext w:val="0"/>
        <w:tabs>
          <w:tab w:val="right" w:leader="dot" w:pos="7078"/>
        </w:tabs>
        <w:rPr>
          <w:b w:val="0"/>
          <w:sz w:val="24"/>
          <w:szCs w:val="24"/>
          <w:lang w:val="en-US"/>
        </w:rPr>
      </w:pPr>
      <w:r>
        <w:t>Part 3 — Diagnostic Imaging Services</w:t>
      </w:r>
    </w:p>
    <w:p>
      <w:pPr>
        <w:pStyle w:val="TOC2"/>
        <w:keepNext w:val="0"/>
        <w:tabs>
          <w:tab w:val="right" w:leader="dot" w:pos="7078"/>
        </w:tabs>
        <w:rPr>
          <w:b w:val="0"/>
          <w:sz w:val="24"/>
          <w:szCs w:val="24"/>
          <w:lang w:val="en-US"/>
        </w:rPr>
      </w:pPr>
      <w:r>
        <w:t>Schedule 2 — Scale of fees: physiotherapists</w:t>
      </w:r>
    </w:p>
    <w:p>
      <w:pPr>
        <w:pStyle w:val="TOC4"/>
        <w:keepNext w:val="0"/>
        <w:tabs>
          <w:tab w:val="right" w:leader="dot" w:pos="7078"/>
        </w:tabs>
        <w:rPr>
          <w:b w:val="0"/>
          <w:sz w:val="24"/>
          <w:szCs w:val="24"/>
          <w:lang w:val="en-US"/>
        </w:rPr>
      </w:pPr>
      <w:r>
        <w:t>Part 1 — General</w:t>
      </w:r>
    </w:p>
    <w:p>
      <w:pPr>
        <w:pStyle w:val="TOC4"/>
        <w:keepNext w:val="0"/>
        <w:tabs>
          <w:tab w:val="right" w:leader="dot" w:pos="7078"/>
        </w:tabs>
        <w:rPr>
          <w:b w:val="0"/>
          <w:sz w:val="24"/>
          <w:szCs w:val="24"/>
          <w:lang w:val="en-US"/>
        </w:rPr>
      </w:pPr>
      <w:r>
        <w:t>Part 2 — Exercise</w:t>
      </w:r>
      <w:r>
        <w:noBreakHyphen/>
        <w:t>based programs</w:t>
      </w:r>
    </w:p>
    <w:p>
      <w:pPr>
        <w:pStyle w:val="TOC2"/>
        <w:tabs>
          <w:tab w:val="right" w:leader="dot" w:pos="7078"/>
        </w:tabs>
        <w:rPr>
          <w:b w:val="0"/>
          <w:sz w:val="24"/>
          <w:szCs w:val="24"/>
          <w:lang w:val="en-US"/>
        </w:rPr>
      </w:pPr>
      <w:r>
        <w:t>Schedule 3 — Scale of fees: chiropractors</w:t>
      </w:r>
    </w:p>
    <w:p>
      <w:pPr>
        <w:pStyle w:val="TOC2"/>
        <w:tabs>
          <w:tab w:val="right" w:leader="dot" w:pos="7078"/>
        </w:tabs>
        <w:rPr>
          <w:b w:val="0"/>
          <w:sz w:val="24"/>
          <w:szCs w:val="24"/>
          <w:lang w:val="en-US"/>
        </w:rPr>
      </w:pPr>
      <w:r>
        <w:t>Schedule 4 — Scale of fees: occupational therapists</w:t>
      </w:r>
    </w:p>
    <w:p>
      <w:pPr>
        <w:pStyle w:val="TOC2"/>
        <w:tabs>
          <w:tab w:val="right" w:leader="dot" w:pos="7078"/>
        </w:tabs>
        <w:rPr>
          <w:b w:val="0"/>
          <w:sz w:val="24"/>
          <w:szCs w:val="24"/>
          <w:lang w:val="en-US"/>
        </w:rPr>
      </w:pPr>
      <w:r>
        <w:t>Schedule 5 — Scale of fees: speech pathologists</w:t>
      </w:r>
    </w:p>
    <w:p>
      <w:pPr>
        <w:pStyle w:val="TOC2"/>
        <w:tabs>
          <w:tab w:val="right" w:leader="dot" w:pos="7078"/>
        </w:tabs>
        <w:rPr>
          <w:b w:val="0"/>
          <w:sz w:val="24"/>
          <w:szCs w:val="24"/>
          <w:lang w:val="en-US"/>
        </w:rPr>
      </w:pPr>
      <w:r>
        <w:t>Schedule 5A — Scale of fees: exercise physiologists</w:t>
      </w:r>
    </w:p>
    <w:p>
      <w:pPr>
        <w:pStyle w:val="TOC4"/>
        <w:tabs>
          <w:tab w:val="right" w:leader="dot" w:pos="7078"/>
        </w:tabs>
        <w:rPr>
          <w:b w:val="0"/>
          <w:sz w:val="24"/>
          <w:szCs w:val="24"/>
          <w:lang w:val="en-US"/>
        </w:rPr>
      </w:pPr>
      <w:r>
        <w:t>Exercise</w:t>
      </w:r>
      <w:r>
        <w:noBreakHyphen/>
        <w:t>based programs</w:t>
      </w:r>
    </w:p>
    <w:p>
      <w:pPr>
        <w:pStyle w:val="TOC2"/>
        <w:tabs>
          <w:tab w:val="right" w:leader="dot" w:pos="7078"/>
        </w:tabs>
        <w:rPr>
          <w:b w:val="0"/>
          <w:sz w:val="24"/>
          <w:szCs w:val="24"/>
          <w:lang w:val="en-US"/>
        </w:rPr>
      </w:pPr>
      <w:r>
        <w:t>Schedule 6 — Scale of maximum fees: approved medical specialists</w:t>
      </w:r>
    </w:p>
    <w:p>
      <w:pPr>
        <w:pStyle w:val="TOC4"/>
        <w:tabs>
          <w:tab w:val="right" w:leader="dot" w:pos="7078"/>
        </w:tabs>
        <w:rPr>
          <w:b w:val="0"/>
          <w:sz w:val="24"/>
          <w:szCs w:val="24"/>
          <w:lang w:val="en-US"/>
        </w:rPr>
      </w:pPr>
      <w:r>
        <w:t>Part 1 — Assessments</w:t>
      </w:r>
    </w:p>
    <w:p>
      <w:pPr>
        <w:pStyle w:val="TOC4"/>
        <w:tabs>
          <w:tab w:val="right" w:leader="dot" w:pos="7078"/>
        </w:tabs>
        <w:rPr>
          <w:b w:val="0"/>
          <w:sz w:val="24"/>
          <w:szCs w:val="24"/>
          <w:lang w:val="en-US"/>
        </w:rPr>
      </w:pPr>
      <w:r>
        <w:t>Part 2 — Attempted assessments</w:t>
      </w:r>
    </w:p>
    <w:p>
      <w:pPr>
        <w:pStyle w:val="TOC2"/>
        <w:tabs>
          <w:tab w:val="right" w:leader="dot" w:pos="7078"/>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_Toc339360510 \h </w:instrText>
      </w:r>
      <w:r>
        <w:fldChar w:fldCharType="separate"/>
      </w:r>
      <w:r>
        <w:t>81</w:t>
      </w:r>
      <w:r>
        <w:fldChar w:fldCharType="end"/>
      </w:r>
    </w:p>
    <w:p>
      <w:pPr>
        <w:pStyle w:val="TOC2"/>
        <w:tabs>
          <w:tab w:val="right" w:leader="dot" w:pos="7078"/>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Workers’ Compensation and Injury Management Act 1981</w:t>
      </w:r>
    </w:p>
    <w:p>
      <w:pPr>
        <w:pStyle w:val="NameofActReg"/>
        <w:spacing w:before="880" w:after="1000"/>
      </w:pPr>
      <w:r>
        <w:t>Workers’ Compensation and Injury Management (Scales of Fees) Regulations 1998</w:t>
      </w:r>
    </w:p>
    <w:p>
      <w:pPr>
        <w:pStyle w:val="Heading5"/>
        <w:rPr>
          <w:snapToGrid w:val="0"/>
        </w:rPr>
      </w:pPr>
      <w:bookmarkStart w:id="1" w:name="_Toc339360481"/>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pPr>
      <w:r>
        <w:tab/>
        <w:t>[Regulation 1 amended in Gazette 1 Nov 2005 p. 4977.]</w:t>
      </w:r>
    </w:p>
    <w:p>
      <w:pPr>
        <w:pStyle w:val="Heading5"/>
        <w:rPr>
          <w:snapToGrid w:val="0"/>
        </w:rPr>
      </w:pPr>
      <w:bookmarkStart w:id="2" w:name="_Toc339360482"/>
      <w:r>
        <w:rPr>
          <w:rStyle w:val="CharSectno"/>
        </w:rPr>
        <w:t>2</w:t>
      </w:r>
      <w:r>
        <w:rPr>
          <w:snapToGrid w:val="0"/>
        </w:rPr>
        <w:t>.</w:t>
      </w:r>
      <w:r>
        <w:rPr>
          <w:snapToGrid w:val="0"/>
        </w:rPr>
        <w:tab/>
        <w:t>Scales of fees — medical specialists and other medical practitioners</w:t>
      </w:r>
      <w:bookmarkEnd w:id="2"/>
      <w:r>
        <w:rPr>
          <w:snapToGrid w:val="0"/>
        </w:rPr>
        <w:t xml:space="preserve"> </w:t>
      </w:r>
    </w:p>
    <w:p>
      <w:pPr>
        <w:pStyle w:val="Subsection"/>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rPr>
          <w:snapToGrid w:val="0"/>
        </w:rPr>
      </w:pPr>
      <w:r>
        <w:rPr>
          <w:snapToGrid w:val="0"/>
        </w:rPr>
        <w:tab/>
        <w:t>(2)</w:t>
      </w:r>
      <w:r>
        <w:rPr>
          <w:snapToGrid w:val="0"/>
        </w:rPr>
        <w:tab/>
        <w:t>In Schedule 1 — </w:t>
      </w:r>
    </w:p>
    <w:p>
      <w:pPr>
        <w:pStyle w:val="Defstart"/>
      </w:pPr>
      <w:r>
        <w:tab/>
      </w:r>
      <w:r>
        <w:rPr>
          <w:rStyle w:val="CharDefText"/>
        </w:rPr>
        <w:t>MBS item number</w:t>
      </w:r>
      <w:r>
        <w:t xml:space="preserve"> means the item number corresponding to a radiological service described in the Medicare Benefits Schedule published by the Commonwealth Department of Health and Aged Care, as at November 2006.</w:t>
      </w:r>
    </w:p>
    <w:p>
      <w:pPr>
        <w:pStyle w:val="Footnotesection"/>
      </w:pPr>
      <w:r>
        <w:tab/>
        <w:t>[Regulation 2 amended in Gazette 28 Dec 2001 p. 6691; 23 Sep 2003 p. 4174; 19 Mar 2004 p. 863; 11 Nov 2005 p. 5569 and 5570; 22 Dec 2006 p. 5757-8; 7 Dec 2007 p. 6034.]</w:t>
      </w:r>
    </w:p>
    <w:p>
      <w:pPr>
        <w:pStyle w:val="Heading5"/>
        <w:rPr>
          <w:snapToGrid w:val="0"/>
        </w:rPr>
      </w:pPr>
      <w:bookmarkStart w:id="3" w:name="_Toc339360483"/>
      <w:r>
        <w:rPr>
          <w:rStyle w:val="CharSectno"/>
        </w:rPr>
        <w:t>3</w:t>
      </w:r>
      <w:r>
        <w:rPr>
          <w:snapToGrid w:val="0"/>
        </w:rPr>
        <w:t>.</w:t>
      </w:r>
      <w:r>
        <w:rPr>
          <w:snapToGrid w:val="0"/>
        </w:rPr>
        <w:tab/>
        <w:t>Scale of fees — physiotherapists</w:t>
      </w:r>
      <w:bookmarkEnd w:id="3"/>
      <w:r>
        <w:rPr>
          <w:snapToGrid w:val="0"/>
        </w:rPr>
        <w:t xml:space="preserve"> </w:t>
      </w:r>
    </w:p>
    <w:p>
      <w:pPr>
        <w:pStyle w:val="Subsection"/>
        <w:spacing w:before="120"/>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in Gazette 21 Jan 2005 p. 278; 11 Nov 2005 p. 5569 and 5570; 22 Dec 2006 p. 5757-8; 7 Dec 2007 p. 6034.]</w:t>
      </w:r>
    </w:p>
    <w:p>
      <w:pPr>
        <w:pStyle w:val="Heading5"/>
        <w:rPr>
          <w:snapToGrid w:val="0"/>
        </w:rPr>
      </w:pPr>
      <w:bookmarkStart w:id="4" w:name="_Toc339360484"/>
      <w:r>
        <w:rPr>
          <w:rStyle w:val="CharSectno"/>
        </w:rPr>
        <w:t>4</w:t>
      </w:r>
      <w:r>
        <w:rPr>
          <w:snapToGrid w:val="0"/>
        </w:rPr>
        <w:t>.</w:t>
      </w:r>
      <w:r>
        <w:rPr>
          <w:snapToGrid w:val="0"/>
        </w:rPr>
        <w:tab/>
        <w:t>Scale of fees — chiropractors</w:t>
      </w:r>
      <w:bookmarkEnd w:id="4"/>
      <w:r>
        <w:rPr>
          <w:snapToGrid w:val="0"/>
        </w:rPr>
        <w:t xml:space="preserve"> </w:t>
      </w:r>
    </w:p>
    <w:p>
      <w:pPr>
        <w:pStyle w:val="Subsection"/>
        <w:spacing w:before="120"/>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in Gazette 11 Nov 2005 p. 5569 and 5570; 22 Dec 2006 p. 5757-8; 7 Dec 2007 p. 6034.]</w:t>
      </w:r>
    </w:p>
    <w:p>
      <w:pPr>
        <w:pStyle w:val="Heading5"/>
        <w:rPr>
          <w:snapToGrid w:val="0"/>
        </w:rPr>
      </w:pPr>
      <w:bookmarkStart w:id="5" w:name="_Toc339360485"/>
      <w:r>
        <w:rPr>
          <w:rStyle w:val="CharSectno"/>
        </w:rPr>
        <w:t>5</w:t>
      </w:r>
      <w:r>
        <w:rPr>
          <w:snapToGrid w:val="0"/>
        </w:rPr>
        <w:t>.</w:t>
      </w:r>
      <w:r>
        <w:rPr>
          <w:snapToGrid w:val="0"/>
        </w:rPr>
        <w:tab/>
        <w:t>Scale of fees — occupational therapists</w:t>
      </w:r>
      <w:bookmarkEnd w:id="5"/>
      <w:r>
        <w:rPr>
          <w:snapToGrid w:val="0"/>
        </w:rPr>
        <w:t xml:space="preserve"> </w:t>
      </w:r>
    </w:p>
    <w:p>
      <w:pPr>
        <w:pStyle w:val="Subsection"/>
        <w:spacing w:before="120"/>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in Gazette 11 Nov 2005 p. 5569 and 5570; 22 Dec 2006 p. 5757-8; 7 Dec 2007 p. 6034.]</w:t>
      </w:r>
    </w:p>
    <w:p>
      <w:pPr>
        <w:pStyle w:val="Heading5"/>
      </w:pPr>
      <w:bookmarkStart w:id="6" w:name="_Toc339360486"/>
      <w:r>
        <w:rPr>
          <w:rStyle w:val="CharSectno"/>
        </w:rPr>
        <w:t>6</w:t>
      </w:r>
      <w:r>
        <w:t>.</w:t>
      </w:r>
      <w:r>
        <w:tab/>
        <w:t>Scale of fees — clinical psychologists</w:t>
      </w:r>
      <w:bookmarkEnd w:id="6"/>
    </w:p>
    <w:p>
      <w:pPr>
        <w:pStyle w:val="Subsection"/>
      </w:pPr>
      <w:r>
        <w:tab/>
        <w:t>(1)</w:t>
      </w:r>
      <w:r>
        <w:tab/>
        <w:t>Under section 292(2)(a)(vi) of the Act, the hourly rate of $217.80 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in Gazette 22 Dec 2006 p. 5758; amended in Gazette 7 Dec 2007 p. 6035; 17 Dec 2008 p. 5290; 30 Oct 2009 p. 4345; 29 Oct 2010 p. 5348; 30 Sep 2011 p. 3914; 25 Sep 2012 p. 4449.]</w:t>
      </w:r>
    </w:p>
    <w:p>
      <w:pPr>
        <w:pStyle w:val="Heading5"/>
      </w:pPr>
      <w:bookmarkStart w:id="7" w:name="_Toc339360487"/>
      <w:r>
        <w:rPr>
          <w:rStyle w:val="CharSectno"/>
        </w:rPr>
        <w:t>6A</w:t>
      </w:r>
      <w:r>
        <w:t>.</w:t>
      </w:r>
      <w:r>
        <w:tab/>
        <w:t>Scale of fees — counselling psychology</w:t>
      </w:r>
      <w:bookmarkEnd w:id="7"/>
    </w:p>
    <w:p>
      <w:pPr>
        <w:pStyle w:val="Subsection"/>
      </w:pPr>
      <w:r>
        <w:tab/>
      </w:r>
      <w:r>
        <w:tab/>
        <w:t>Under section 292(2)(a)(viii) of the Act, the hourly rate of $217.80 per hour is prescribed as the fee to be paid to a psychologist providing counselling services for the treatment of a worker suffering injuries that are compensable under the Act.</w:t>
      </w:r>
    </w:p>
    <w:p>
      <w:pPr>
        <w:pStyle w:val="NotesPerm"/>
        <w:tabs>
          <w:tab w:val="clear" w:pos="879"/>
          <w:tab w:val="left" w:pos="851"/>
        </w:tabs>
        <w:ind w:left="1418" w:hanging="1418"/>
      </w:pPr>
      <w:r>
        <w:tab/>
        <w:t>Note:</w:t>
      </w:r>
      <w:r>
        <w:tab/>
        <w:t xml:space="preserve">“Counselling psychology” was approved as an “approved treatment” under section 5(1) of the Act in </w:t>
      </w:r>
      <w:r>
        <w:rPr>
          <w:i/>
          <w:iCs/>
        </w:rPr>
        <w:t>Gazette</w:t>
      </w:r>
      <w:r>
        <w:t xml:space="preserve"> 10/1/2003, p. 55.</w:t>
      </w:r>
    </w:p>
    <w:p>
      <w:pPr>
        <w:pStyle w:val="Footnotesection"/>
      </w:pPr>
      <w:r>
        <w:tab/>
        <w:t>[Regulation 6A inserted in Gazette 22 Dec 2006 p. 5758; amended in Gazette 7 Dec 2007 p. 6035; 17 Dec 2008 p. 5290; 30 Oct 2009 p. 4346; 29 Oct 2010 p. 5348; 30 Sep 2011 p. 3914; 25 Sep 2012 p. 4450.]</w:t>
      </w:r>
    </w:p>
    <w:p>
      <w:pPr>
        <w:pStyle w:val="Heading5"/>
        <w:rPr>
          <w:snapToGrid w:val="0"/>
        </w:rPr>
      </w:pPr>
      <w:bookmarkStart w:id="8" w:name="_Toc339360488"/>
      <w:r>
        <w:rPr>
          <w:rStyle w:val="CharSectno"/>
        </w:rPr>
        <w:t>7</w:t>
      </w:r>
      <w:r>
        <w:rPr>
          <w:snapToGrid w:val="0"/>
        </w:rPr>
        <w:t>.</w:t>
      </w:r>
      <w:r>
        <w:rPr>
          <w:snapToGrid w:val="0"/>
        </w:rPr>
        <w:tab/>
        <w:t>Scale of fees — speech therapists</w:t>
      </w:r>
      <w:bookmarkEnd w:id="8"/>
      <w:r>
        <w:rPr>
          <w:snapToGrid w:val="0"/>
        </w:rPr>
        <w:t xml:space="preserve"> </w:t>
      </w:r>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in Gazette 11 Nov 2005 p. 5569 and 5570; 22 Dec 2006 p. 5757-8; 7 Dec 2007 p. 6035.]</w:t>
      </w:r>
    </w:p>
    <w:p>
      <w:pPr>
        <w:pStyle w:val="Heading5"/>
      </w:pPr>
      <w:bookmarkStart w:id="9" w:name="_Toc339360489"/>
      <w:r>
        <w:rPr>
          <w:rStyle w:val="CharSectno"/>
        </w:rPr>
        <w:t>7A</w:t>
      </w:r>
      <w:r>
        <w:t>.</w:t>
      </w:r>
      <w:r>
        <w:tab/>
        <w:t>Scale of fees — osteopaths</w:t>
      </w:r>
      <w:bookmarkEnd w:id="9"/>
    </w:p>
    <w:p>
      <w:pPr>
        <w:pStyle w:val="Subsection"/>
      </w:pPr>
      <w:r>
        <w:tab/>
      </w:r>
      <w:r>
        <w:tab/>
        <w:t xml:space="preserve">Under section 292(2)(a)(viii) of the Act, the amount of $68.90 is prescribed as the fee to be paid to an osteopath for an osteopathic consultation with a worker suffering </w:t>
      </w:r>
      <w:r>
        <w:rPr>
          <w:snapToGrid w:val="0"/>
        </w:rPr>
        <w:t xml:space="preserve">injuries </w:t>
      </w:r>
      <w:r>
        <w:t>that are compensable under the Act.</w:t>
      </w:r>
    </w:p>
    <w:p>
      <w:pPr>
        <w:pStyle w:val="NotesPerm"/>
        <w:tabs>
          <w:tab w:val="clear" w:pos="879"/>
          <w:tab w:val="left" w:pos="851"/>
        </w:tabs>
        <w:spacing w:before="120"/>
        <w:ind w:left="1418" w:hanging="1418"/>
      </w:pPr>
      <w:r>
        <w:tab/>
        <w:t>Note:</w:t>
      </w:r>
      <w:r>
        <w:tab/>
        <w:t xml:space="preserve">“Osteopathy” was approved as an “approved treatment” under section 5(1) of the Act in </w:t>
      </w:r>
      <w:r>
        <w:rPr>
          <w:i/>
          <w:iCs/>
        </w:rPr>
        <w:t>Gazette</w:t>
      </w:r>
      <w:r>
        <w:t xml:space="preserve"> 29/9/2000, p. 5564.</w:t>
      </w:r>
    </w:p>
    <w:p>
      <w:pPr>
        <w:pStyle w:val="Footnotesection"/>
        <w:spacing w:before="100"/>
        <w:ind w:left="890" w:hanging="890"/>
      </w:pPr>
      <w:r>
        <w:tab/>
        <w:t>[Regulation 7A inserted in Gazette 22 Dec 2006 p. 5759; amended in Gazette 7 Dec 2007 p. 6035; 17 Dec 2008 p. 5290; 30 Oct 2009 p. 4346; 29 Oct 2010 p. 5348; 30 Sep 2011 p. 3914; 25 Sep 2012 p. 4450.]</w:t>
      </w:r>
    </w:p>
    <w:p>
      <w:pPr>
        <w:pStyle w:val="Heading5"/>
      </w:pPr>
      <w:bookmarkStart w:id="10" w:name="_Toc339360490"/>
      <w:r>
        <w:rPr>
          <w:rStyle w:val="CharSectno"/>
        </w:rPr>
        <w:t>7B</w:t>
      </w:r>
      <w:r>
        <w:t>.</w:t>
      </w:r>
      <w:r>
        <w:tab/>
        <w:t>Scale of fees — exercise physiologists</w:t>
      </w:r>
      <w:bookmarkEnd w:id="10"/>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in Gazette 17 Dec 2008 p. 5290.]</w:t>
      </w:r>
    </w:p>
    <w:p>
      <w:pPr>
        <w:pStyle w:val="Heading5"/>
        <w:rPr>
          <w:snapToGrid w:val="0"/>
        </w:rPr>
      </w:pPr>
      <w:bookmarkStart w:id="11" w:name="_Toc339360491"/>
      <w:r>
        <w:rPr>
          <w:rStyle w:val="CharSectno"/>
        </w:rPr>
        <w:t>8</w:t>
      </w:r>
      <w:r>
        <w:rPr>
          <w:snapToGrid w:val="0"/>
        </w:rPr>
        <w:t>.</w:t>
      </w:r>
      <w:r>
        <w:rPr>
          <w:snapToGrid w:val="0"/>
        </w:rPr>
        <w:tab/>
        <w:t>Scale of fees — vocational rehabilitation providers</w:t>
      </w:r>
      <w:bookmarkEnd w:id="11"/>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 xml:space="preserve">$162.60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in Gazette 21 Dec 2000 p. 7626; 28 Dec 2001 p. 6692; 23 Sep 2003 p. 4174; 9 Jan 2004 p. 99; 21 Jan 2005 p. 279; 11 Nov 2005 p. 5569; 10 Jan 2006 p. 44; 22 Dec 2006 p. 5759; 7 Dec 2007 p. 6036; 17 Dec 2008 p. 5291; 30 Oct 2009 p. 4346; 29 Oct 2010 p. 5348; 30 Sep 2011 p. 3914; 25 Sep 2012 p. 4450.]</w:t>
      </w:r>
    </w:p>
    <w:p>
      <w:pPr>
        <w:pStyle w:val="Heading5"/>
      </w:pPr>
      <w:bookmarkStart w:id="12" w:name="_Toc339360492"/>
      <w:r>
        <w:rPr>
          <w:rStyle w:val="CharSectno"/>
        </w:rPr>
        <w:t>9</w:t>
      </w:r>
      <w:r>
        <w:t>.</w:t>
      </w:r>
      <w:r>
        <w:tab/>
        <w:t>Scale of maximum fees — approved medical specialists</w:t>
      </w:r>
      <w:bookmarkEnd w:id="12"/>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assessor</w:t>
      </w:r>
      <w:r>
        <w:t xml:space="preserve"> has the meaning given by the WorkCover Guides;</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in Gazette 11 Nov 2005 p. 5567</w:t>
      </w:r>
      <w:r>
        <w:noBreakHyphen/>
        <w:t>8.]</w:t>
      </w:r>
    </w:p>
    <w:p>
      <w:pPr>
        <w:pStyle w:val="Heading5"/>
      </w:pPr>
      <w:bookmarkStart w:id="13" w:name="_Toc339360493"/>
      <w:r>
        <w:rPr>
          <w:rStyle w:val="CharSectno"/>
        </w:rPr>
        <w:t>10</w:t>
      </w:r>
      <w:r>
        <w:t>.</w:t>
      </w:r>
      <w:r>
        <w:tab/>
        <w:t>Effect of GST</w:t>
      </w:r>
      <w:bookmarkEnd w:id="13"/>
    </w:p>
    <w:p>
      <w:pPr>
        <w:pStyle w:val="Subsection"/>
      </w:pPr>
      <w:r>
        <w:tab/>
        <w:t>(1)</w:t>
      </w:r>
      <w:r>
        <w:tab/>
        <w:t xml:space="preserve">In this regulation — </w:t>
      </w:r>
    </w:p>
    <w:p>
      <w:pPr>
        <w:pStyle w:val="Defstar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in Gazette 7 Dec 2007 p. 6036.]</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4" w:name="_Toc276382369"/>
      <w:bookmarkStart w:id="15" w:name="_Toc305149063"/>
      <w:bookmarkStart w:id="16" w:name="_Toc306890325"/>
      <w:bookmarkStart w:id="17" w:name="_Toc306961496"/>
      <w:bookmarkStart w:id="18" w:name="_Toc306967188"/>
      <w:bookmarkStart w:id="19" w:name="_Toc306977068"/>
      <w:bookmarkStart w:id="20" w:name="_Toc336245207"/>
      <w:bookmarkStart w:id="21" w:name="_Toc339360090"/>
      <w:bookmarkStart w:id="22" w:name="_Toc339360494"/>
      <w:r>
        <w:rPr>
          <w:rStyle w:val="CharSchNo"/>
        </w:rPr>
        <w:t>Schedule 1</w:t>
      </w:r>
      <w:r>
        <w:t> — </w:t>
      </w:r>
      <w:r>
        <w:rPr>
          <w:rStyle w:val="CharSchText"/>
        </w:rPr>
        <w:t>Scale of fees: medical specialists and other medical practitioners</w:t>
      </w:r>
      <w:bookmarkEnd w:id="14"/>
      <w:bookmarkEnd w:id="15"/>
      <w:bookmarkEnd w:id="16"/>
      <w:bookmarkEnd w:id="17"/>
      <w:bookmarkEnd w:id="18"/>
      <w:bookmarkEnd w:id="19"/>
      <w:bookmarkEnd w:id="20"/>
      <w:bookmarkEnd w:id="21"/>
      <w:bookmarkEnd w:id="22"/>
    </w:p>
    <w:p>
      <w:pPr>
        <w:pStyle w:val="yShoulderClause"/>
      </w:pPr>
      <w:r>
        <w:t>[r. 2]</w:t>
      </w:r>
    </w:p>
    <w:p>
      <w:pPr>
        <w:pStyle w:val="yFootnotesection"/>
      </w:pPr>
      <w:r>
        <w:tab/>
        <w:t>[Heading inserted in Gazette 29 Oct 2010 p. 5348.]</w:t>
      </w:r>
    </w:p>
    <w:p>
      <w:pPr>
        <w:pStyle w:val="yHeading3"/>
      </w:pPr>
      <w:bookmarkStart w:id="23" w:name="_Toc276382370"/>
      <w:bookmarkStart w:id="24" w:name="_Toc305149064"/>
      <w:bookmarkStart w:id="25" w:name="_Toc306890326"/>
      <w:bookmarkStart w:id="26" w:name="_Toc306961497"/>
      <w:bookmarkStart w:id="27" w:name="_Toc306967189"/>
      <w:bookmarkStart w:id="28" w:name="_Toc306977069"/>
      <w:bookmarkStart w:id="29" w:name="_Toc336245208"/>
      <w:bookmarkStart w:id="30" w:name="_Toc339360091"/>
      <w:bookmarkStart w:id="31" w:name="_Toc339360495"/>
      <w:r>
        <w:rPr>
          <w:rStyle w:val="CharSDivNo"/>
        </w:rPr>
        <w:t>Part 1</w:t>
      </w:r>
      <w:r>
        <w:t> — </w:t>
      </w:r>
      <w:r>
        <w:rPr>
          <w:rStyle w:val="CharSDivText"/>
        </w:rPr>
        <w:t>Medical specialists and other medical practitioners</w:t>
      </w:r>
      <w:bookmarkEnd w:id="23"/>
      <w:bookmarkEnd w:id="24"/>
      <w:bookmarkEnd w:id="25"/>
      <w:bookmarkEnd w:id="26"/>
      <w:bookmarkEnd w:id="27"/>
      <w:bookmarkEnd w:id="28"/>
      <w:bookmarkEnd w:id="29"/>
      <w:bookmarkEnd w:id="30"/>
      <w:bookmarkEnd w:id="31"/>
    </w:p>
    <w:p>
      <w:pPr>
        <w:pStyle w:val="yFootnoteheading"/>
        <w:spacing w:after="120"/>
        <w:rPr>
          <w:b/>
          <w:sz w:val="24"/>
        </w:rPr>
      </w:pPr>
      <w:r>
        <w:tab/>
        <w:t>[Heading inserted in Gazette 28 Dec 2001 p. 6692.]</w:t>
      </w:r>
    </w:p>
    <w:tbl>
      <w:tblPr>
        <w:tblW w:w="0" w:type="auto"/>
        <w:jc w:val="center"/>
        <w:tblInd w:w="142" w:type="dxa"/>
        <w:tblLayout w:type="fixed"/>
        <w:tblCellMar>
          <w:left w:w="142" w:type="dxa"/>
          <w:right w:w="142" w:type="dxa"/>
        </w:tblCellMar>
        <w:tblLook w:val="0000" w:firstRow="0" w:lastRow="0" w:firstColumn="0" w:lastColumn="0" w:noHBand="0" w:noVBand="0"/>
      </w:tblPr>
      <w:tblGrid>
        <w:gridCol w:w="5529"/>
        <w:gridCol w:w="1559"/>
      </w:tblGrid>
      <w:tr>
        <w:trPr>
          <w:jc w:val="center"/>
        </w:trPr>
        <w:tc>
          <w:tcPr>
            <w:tcW w:w="5529" w:type="dxa"/>
          </w:tcPr>
          <w:p>
            <w:pPr>
              <w:pStyle w:val="yTHeadingNAm"/>
              <w:spacing w:before="0"/>
            </w:pPr>
            <w:r>
              <w:t>Type of service/by whom</w:t>
            </w:r>
          </w:p>
          <w:p>
            <w:pPr>
              <w:pStyle w:val="yTHeadingNAm"/>
              <w:spacing w:before="0"/>
            </w:pPr>
          </w:p>
        </w:tc>
        <w:tc>
          <w:tcPr>
            <w:tcW w:w="1559" w:type="dxa"/>
          </w:tcPr>
          <w:p>
            <w:pPr>
              <w:pStyle w:val="yTHeadingNAm"/>
              <w:spacing w:before="0"/>
            </w:pPr>
            <w:r>
              <w:t>Fee</w:t>
            </w:r>
          </w:p>
          <w:p>
            <w:pPr>
              <w:pStyle w:val="yTHeadingNAm"/>
              <w:spacing w:before="0"/>
            </w:pPr>
            <w:r>
              <w:t>$</w:t>
            </w:r>
          </w:p>
        </w:tc>
      </w:tr>
    </w:tbl>
    <w:p>
      <w:pPr>
        <w:pStyle w:val="yMiscellaneousHeading"/>
        <w:jc w:val="left"/>
        <w:rPr>
          <w:b/>
          <w:bCs/>
          <w:i/>
          <w:iCs/>
        </w:rPr>
      </w:pPr>
      <w:r>
        <w:rPr>
          <w:b/>
          <w:bCs/>
          <w:i/>
          <w:iCs/>
        </w:rPr>
        <w:t>GENERAL PRACTITIONER</w:t>
      </w:r>
    </w:p>
    <w:p>
      <w:pPr>
        <w:pStyle w:val="yMiscellaneousHeading"/>
        <w:jc w:val="left"/>
      </w:pPr>
      <w:r>
        <w:t>CONSULTATIONS</w:t>
      </w:r>
    </w:p>
    <w:p>
      <w:pPr>
        <w:pStyle w:val="yMiscellaneousHeading"/>
        <w:jc w:val="left"/>
      </w:pPr>
      <w:r>
        <w:t>Surgery Consultation</w:t>
      </w:r>
    </w:p>
    <w:p>
      <w:pPr>
        <w:pStyle w:val="yMiscellaneousHeading"/>
        <w:jc w:val="left"/>
      </w:pPr>
      <w:r>
        <w:t>in hours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b/>
              </w:rPr>
              <w:t>Content based</w:t>
            </w:r>
          </w:p>
        </w:tc>
        <w:tc>
          <w:tcPr>
            <w:tcW w:w="1134" w:type="dxa"/>
            <w:vAlign w:val="center"/>
          </w:tcPr>
          <w:p>
            <w:pPr>
              <w:pStyle w:val="yTableNAm"/>
              <w:jc w:val="right"/>
            </w:pPr>
          </w:p>
        </w:tc>
      </w:tr>
      <w:tr>
        <w:tc>
          <w:tcPr>
            <w:tcW w:w="5670" w:type="dxa"/>
          </w:tcPr>
          <w:p>
            <w:pPr>
              <w:pStyle w:val="yTableNAm"/>
            </w:pPr>
            <w:r>
              <w:tab/>
              <w:t>Minor or Specific Service (Level A or B)</w:t>
            </w:r>
          </w:p>
        </w:tc>
        <w:tc>
          <w:tcPr>
            <w:tcW w:w="1134" w:type="dxa"/>
            <w:vAlign w:val="bottom"/>
          </w:tcPr>
          <w:p>
            <w:pPr>
              <w:pStyle w:val="yTableNAm"/>
              <w:jc w:val="right"/>
            </w:pPr>
            <w:r>
              <w:rPr>
                <w:szCs w:val="22"/>
              </w:rPr>
              <w:t>$67.70</w:t>
            </w:r>
          </w:p>
        </w:tc>
      </w:tr>
      <w:tr>
        <w:tc>
          <w:tcPr>
            <w:tcW w:w="5670" w:type="dxa"/>
          </w:tcPr>
          <w:p>
            <w:pPr>
              <w:pStyle w:val="yTableNAm"/>
            </w:pPr>
            <w:r>
              <w:tab/>
              <w:t>Extended Service (Level C)</w:t>
            </w:r>
          </w:p>
        </w:tc>
        <w:tc>
          <w:tcPr>
            <w:tcW w:w="1134" w:type="dxa"/>
            <w:vAlign w:val="bottom"/>
          </w:tcPr>
          <w:p>
            <w:pPr>
              <w:pStyle w:val="yTableNAm"/>
              <w:jc w:val="right"/>
            </w:pPr>
            <w:r>
              <w:rPr>
                <w:szCs w:val="22"/>
              </w:rPr>
              <w:t>$123.75</w:t>
            </w:r>
          </w:p>
        </w:tc>
      </w:tr>
      <w:tr>
        <w:tc>
          <w:tcPr>
            <w:tcW w:w="5670" w:type="dxa"/>
          </w:tcPr>
          <w:p>
            <w:pPr>
              <w:pStyle w:val="yTableNAm"/>
            </w:pPr>
            <w:r>
              <w:tab/>
              <w:t>Comprehensive Service (Level D)</w:t>
            </w:r>
          </w:p>
        </w:tc>
        <w:tc>
          <w:tcPr>
            <w:tcW w:w="1134" w:type="dxa"/>
            <w:vAlign w:val="bottom"/>
          </w:tcPr>
          <w:p>
            <w:pPr>
              <w:pStyle w:val="yTableNAm"/>
              <w:jc w:val="right"/>
            </w:pPr>
            <w:r>
              <w:rPr>
                <w:szCs w:val="22"/>
              </w:rPr>
              <w:t>$190.15</w:t>
            </w:r>
          </w:p>
        </w:tc>
      </w:tr>
      <w:tr>
        <w:tc>
          <w:tcPr>
            <w:tcW w:w="5670" w:type="dxa"/>
          </w:tcPr>
          <w:p>
            <w:pPr>
              <w:pStyle w:val="yTableNAm"/>
            </w:pPr>
            <w:r>
              <w:rPr>
                <w:b/>
              </w:rPr>
              <w:t>Time based</w:t>
            </w:r>
          </w:p>
        </w:tc>
        <w:tc>
          <w:tcPr>
            <w:tcW w:w="1134" w:type="dxa"/>
            <w:vAlign w:val="center"/>
          </w:tcPr>
          <w:p>
            <w:pPr>
              <w:pStyle w:val="yTableNAm"/>
              <w:jc w:val="right"/>
            </w:pPr>
          </w:p>
        </w:tc>
      </w:tr>
      <w:tr>
        <w:tc>
          <w:tcPr>
            <w:tcW w:w="5670" w:type="dxa"/>
          </w:tcPr>
          <w:p>
            <w:pPr>
              <w:pStyle w:val="yTableNAm"/>
            </w:pPr>
            <w:r>
              <w:tab/>
              <w:t>up to 5 minutes</w:t>
            </w:r>
          </w:p>
        </w:tc>
        <w:tc>
          <w:tcPr>
            <w:tcW w:w="1134" w:type="dxa"/>
            <w:vAlign w:val="bottom"/>
          </w:tcPr>
          <w:p>
            <w:pPr>
              <w:pStyle w:val="yTableNAm"/>
              <w:jc w:val="right"/>
            </w:pPr>
            <w:r>
              <w:rPr>
                <w:szCs w:val="22"/>
              </w:rPr>
              <w:t>$40.40</w:t>
            </w:r>
          </w:p>
        </w:tc>
      </w:tr>
      <w:tr>
        <w:tc>
          <w:tcPr>
            <w:tcW w:w="5670" w:type="dxa"/>
          </w:tcPr>
          <w:p>
            <w:pPr>
              <w:pStyle w:val="yTableNAm"/>
            </w:pPr>
            <w:r>
              <w:tab/>
              <w:t>more than 5 minutes to 15 minutes</w:t>
            </w:r>
          </w:p>
        </w:tc>
        <w:tc>
          <w:tcPr>
            <w:tcW w:w="1134" w:type="dxa"/>
            <w:vAlign w:val="bottom"/>
          </w:tcPr>
          <w:p>
            <w:pPr>
              <w:pStyle w:val="yTableNAm"/>
              <w:jc w:val="right"/>
            </w:pPr>
            <w:r>
              <w:rPr>
                <w:szCs w:val="22"/>
              </w:rPr>
              <w:t>$52.70</w:t>
            </w:r>
          </w:p>
        </w:tc>
      </w:tr>
      <w:tr>
        <w:tc>
          <w:tcPr>
            <w:tcW w:w="5670" w:type="dxa"/>
          </w:tcPr>
          <w:p>
            <w:pPr>
              <w:pStyle w:val="yTableNAm"/>
            </w:pPr>
            <w:r>
              <w:tab/>
              <w:t>more than 15 minutes to 30 minutes</w:t>
            </w:r>
          </w:p>
        </w:tc>
        <w:tc>
          <w:tcPr>
            <w:tcW w:w="1134" w:type="dxa"/>
            <w:vAlign w:val="bottom"/>
          </w:tcPr>
          <w:p>
            <w:pPr>
              <w:pStyle w:val="yTableNAm"/>
              <w:jc w:val="right"/>
            </w:pPr>
            <w:r>
              <w:rPr>
                <w:szCs w:val="22"/>
              </w:rPr>
              <w:t>$101.65</w:t>
            </w:r>
          </w:p>
        </w:tc>
      </w:tr>
      <w:tr>
        <w:tc>
          <w:tcPr>
            <w:tcW w:w="5670" w:type="dxa"/>
          </w:tcPr>
          <w:p>
            <w:pPr>
              <w:pStyle w:val="yTableNAm"/>
            </w:pPr>
            <w:r>
              <w:tab/>
              <w:t>more than 30 minutes to 45 minutes</w:t>
            </w:r>
          </w:p>
        </w:tc>
        <w:tc>
          <w:tcPr>
            <w:tcW w:w="1134" w:type="dxa"/>
            <w:vAlign w:val="bottom"/>
          </w:tcPr>
          <w:p>
            <w:pPr>
              <w:pStyle w:val="yTableNAm"/>
              <w:jc w:val="right"/>
            </w:pPr>
            <w:r>
              <w:rPr>
                <w:szCs w:val="22"/>
              </w:rPr>
              <w:t>$153.70</w:t>
            </w:r>
          </w:p>
        </w:tc>
      </w:tr>
      <w:tr>
        <w:tc>
          <w:tcPr>
            <w:tcW w:w="5670" w:type="dxa"/>
          </w:tcPr>
          <w:p>
            <w:pPr>
              <w:pStyle w:val="yTableNAm"/>
            </w:pPr>
            <w:r>
              <w:tab/>
              <w:t>more than 45 minutes to 60 minutes</w:t>
            </w:r>
          </w:p>
        </w:tc>
        <w:tc>
          <w:tcPr>
            <w:tcW w:w="1134" w:type="dxa"/>
            <w:vAlign w:val="bottom"/>
          </w:tcPr>
          <w:p>
            <w:pPr>
              <w:pStyle w:val="yTableNAm"/>
              <w:jc w:val="right"/>
            </w:pPr>
            <w:r>
              <w:rPr>
                <w:szCs w:val="22"/>
              </w:rPr>
              <w:t>$208.35</w:t>
            </w:r>
          </w:p>
        </w:tc>
      </w:tr>
    </w:tbl>
    <w:p>
      <w:pPr>
        <w:pStyle w:val="yMiscellaneousHeading"/>
        <w:spacing w:before="200"/>
        <w:jc w:val="left"/>
      </w:pPr>
      <w:r>
        <w:t>Surgery Consultations</w:t>
      </w:r>
    </w:p>
    <w:p>
      <w:pPr>
        <w:pStyle w:val="yMiscellaneousHeading"/>
        <w:jc w:val="left"/>
      </w:pPr>
      <w:r>
        <w:t>out of hours</w:t>
      </w:r>
    </w:p>
    <w:p>
      <w:pPr>
        <w:pStyle w:val="yMiscellaneousHeading"/>
        <w:keepNext w:val="0"/>
        <w:jc w:val="left"/>
      </w:pPr>
      <w:r>
        <w:t>For attendances between the hours of 6 p.m. and 8 a.m. on a weekday or between 12 noon on Saturday and 8 a.m. on the following Monday, and Public Holiday.</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br w:type="page"/>
            </w:r>
            <w:r>
              <w:rPr>
                <w:b/>
                <w:szCs w:val="22"/>
              </w:rPr>
              <w:t>Content based</w:t>
            </w:r>
          </w:p>
        </w:tc>
        <w:tc>
          <w:tcPr>
            <w:tcW w:w="1134" w:type="dxa"/>
            <w:vAlign w:val="center"/>
          </w:tcPr>
          <w:p>
            <w:pPr>
              <w:pStyle w:val="yTableNAm"/>
              <w:jc w:val="right"/>
            </w:pPr>
          </w:p>
        </w:tc>
      </w:tr>
      <w:tr>
        <w:tc>
          <w:tcPr>
            <w:tcW w:w="5670" w:type="dxa"/>
          </w:tcPr>
          <w:p>
            <w:pPr>
              <w:pStyle w:val="yTableNAm"/>
            </w:pPr>
            <w:r>
              <w:rPr>
                <w:szCs w:val="22"/>
              </w:rPr>
              <w:tab/>
              <w:t>Minor Service (Level A)</w:t>
            </w:r>
          </w:p>
        </w:tc>
        <w:tc>
          <w:tcPr>
            <w:tcW w:w="1134" w:type="dxa"/>
            <w:vAlign w:val="bottom"/>
          </w:tcPr>
          <w:p>
            <w:pPr>
              <w:pStyle w:val="yTableNAm"/>
              <w:jc w:val="right"/>
            </w:pPr>
            <w:r>
              <w:rPr>
                <w:szCs w:val="22"/>
              </w:rPr>
              <w:t>$50.80</w:t>
            </w:r>
          </w:p>
        </w:tc>
      </w:tr>
      <w:tr>
        <w:tc>
          <w:tcPr>
            <w:tcW w:w="5670" w:type="dxa"/>
          </w:tcPr>
          <w:p>
            <w:pPr>
              <w:pStyle w:val="yTableNAm"/>
            </w:pPr>
            <w:r>
              <w:rPr>
                <w:szCs w:val="22"/>
              </w:rPr>
              <w:tab/>
              <w:t>Specific Service (Level B)</w:t>
            </w:r>
          </w:p>
        </w:tc>
        <w:tc>
          <w:tcPr>
            <w:tcW w:w="1134" w:type="dxa"/>
            <w:vAlign w:val="bottom"/>
          </w:tcPr>
          <w:p>
            <w:pPr>
              <w:pStyle w:val="yTableNAm"/>
              <w:jc w:val="right"/>
            </w:pPr>
            <w:r>
              <w:rPr>
                <w:szCs w:val="22"/>
              </w:rPr>
              <w:t>$101.65</w:t>
            </w:r>
          </w:p>
        </w:tc>
      </w:tr>
      <w:tr>
        <w:tc>
          <w:tcPr>
            <w:tcW w:w="5670" w:type="dxa"/>
          </w:tcPr>
          <w:p>
            <w:pPr>
              <w:pStyle w:val="yTableNAm"/>
            </w:pPr>
            <w:r>
              <w:rPr>
                <w:szCs w:val="22"/>
              </w:rPr>
              <w:tab/>
              <w:t>Extended Service (Level C)</w:t>
            </w:r>
          </w:p>
        </w:tc>
        <w:tc>
          <w:tcPr>
            <w:tcW w:w="1134" w:type="dxa"/>
            <w:vAlign w:val="bottom"/>
          </w:tcPr>
          <w:p>
            <w:pPr>
              <w:pStyle w:val="yTableNAm"/>
              <w:jc w:val="right"/>
            </w:pPr>
            <w:r>
              <w:rPr>
                <w:szCs w:val="22"/>
              </w:rPr>
              <w:t>$185.05</w:t>
            </w:r>
          </w:p>
        </w:tc>
      </w:tr>
      <w:tr>
        <w:tc>
          <w:tcPr>
            <w:tcW w:w="5670" w:type="dxa"/>
          </w:tcPr>
          <w:p>
            <w:pPr>
              <w:pStyle w:val="yTableNAm"/>
            </w:pPr>
            <w:r>
              <w:rPr>
                <w:szCs w:val="22"/>
              </w:rPr>
              <w:tab/>
              <w:t>Comprehensive Service (Level D)</w:t>
            </w:r>
          </w:p>
        </w:tc>
        <w:tc>
          <w:tcPr>
            <w:tcW w:w="1134" w:type="dxa"/>
            <w:vAlign w:val="bottom"/>
          </w:tcPr>
          <w:p>
            <w:pPr>
              <w:pStyle w:val="yTableNAm"/>
              <w:jc w:val="right"/>
            </w:pPr>
            <w:r>
              <w:rPr>
                <w:szCs w:val="22"/>
              </w:rPr>
              <w:t>$286.50</w:t>
            </w:r>
          </w:p>
        </w:tc>
      </w:tr>
      <w:tr>
        <w:tc>
          <w:tcPr>
            <w:tcW w:w="5670" w:type="dxa"/>
          </w:tcPr>
          <w:p>
            <w:pPr>
              <w:pStyle w:val="yTableNAm"/>
            </w:pPr>
            <w:r>
              <w:rPr>
                <w:b/>
                <w:szCs w:val="22"/>
              </w:rPr>
              <w:t>Time based</w:t>
            </w:r>
          </w:p>
        </w:tc>
        <w:tc>
          <w:tcPr>
            <w:tcW w:w="1134" w:type="dxa"/>
            <w:vAlign w:val="center"/>
          </w:tcPr>
          <w:p>
            <w:pPr>
              <w:pStyle w:val="yTableNAm"/>
              <w:jc w:val="right"/>
            </w:pPr>
          </w:p>
        </w:tc>
      </w:tr>
      <w:tr>
        <w:tc>
          <w:tcPr>
            <w:tcW w:w="5670" w:type="dxa"/>
          </w:tcPr>
          <w:p>
            <w:pPr>
              <w:pStyle w:val="yTableNAm"/>
            </w:pPr>
            <w:r>
              <w:rPr>
                <w:szCs w:val="22"/>
              </w:rPr>
              <w:tab/>
              <w:t>up to 5 minutes</w:t>
            </w:r>
          </w:p>
        </w:tc>
        <w:tc>
          <w:tcPr>
            <w:tcW w:w="1134" w:type="dxa"/>
            <w:vAlign w:val="bottom"/>
          </w:tcPr>
          <w:p>
            <w:pPr>
              <w:pStyle w:val="yTableNAm"/>
              <w:jc w:val="right"/>
            </w:pPr>
            <w:r>
              <w:rPr>
                <w:szCs w:val="22"/>
              </w:rPr>
              <w:t>$80.45</w:t>
            </w:r>
          </w:p>
        </w:tc>
      </w:tr>
      <w:tr>
        <w:tc>
          <w:tcPr>
            <w:tcW w:w="5670" w:type="dxa"/>
          </w:tcPr>
          <w:p>
            <w:pPr>
              <w:pStyle w:val="yTableNAm"/>
            </w:pPr>
            <w:r>
              <w:rPr>
                <w:szCs w:val="22"/>
              </w:rPr>
              <w:tab/>
              <w:t>more than 5 minutes to 15 minutes</w:t>
            </w:r>
          </w:p>
        </w:tc>
        <w:tc>
          <w:tcPr>
            <w:tcW w:w="1134" w:type="dxa"/>
            <w:vAlign w:val="bottom"/>
          </w:tcPr>
          <w:p>
            <w:pPr>
              <w:pStyle w:val="yTableNAm"/>
              <w:jc w:val="right"/>
            </w:pPr>
            <w:r>
              <w:rPr>
                <w:szCs w:val="22"/>
              </w:rPr>
              <w:t>$87.30</w:t>
            </w:r>
          </w:p>
        </w:tc>
      </w:tr>
      <w:tr>
        <w:tc>
          <w:tcPr>
            <w:tcW w:w="5670" w:type="dxa"/>
          </w:tcPr>
          <w:p>
            <w:pPr>
              <w:pStyle w:val="yTableNAm"/>
            </w:pPr>
            <w:r>
              <w:rPr>
                <w:szCs w:val="22"/>
              </w:rPr>
              <w:tab/>
              <w:t>more than 15 minutes to 30 minutes</w:t>
            </w:r>
          </w:p>
        </w:tc>
        <w:tc>
          <w:tcPr>
            <w:tcW w:w="1134" w:type="dxa"/>
            <w:vAlign w:val="bottom"/>
          </w:tcPr>
          <w:p>
            <w:pPr>
              <w:pStyle w:val="yTableNAm"/>
              <w:jc w:val="right"/>
            </w:pPr>
            <w:r>
              <w:rPr>
                <w:szCs w:val="22"/>
              </w:rPr>
              <w:t>$135.30</w:t>
            </w:r>
          </w:p>
        </w:tc>
      </w:tr>
      <w:tr>
        <w:tc>
          <w:tcPr>
            <w:tcW w:w="5670" w:type="dxa"/>
          </w:tcPr>
          <w:p>
            <w:pPr>
              <w:pStyle w:val="yTableNAm"/>
            </w:pPr>
            <w:r>
              <w:rPr>
                <w:szCs w:val="22"/>
              </w:rPr>
              <w:tab/>
              <w:t>more than 30 minutes</w:t>
            </w:r>
          </w:p>
        </w:tc>
        <w:tc>
          <w:tcPr>
            <w:tcW w:w="1134" w:type="dxa"/>
            <w:vAlign w:val="bottom"/>
          </w:tcPr>
          <w:p>
            <w:pPr>
              <w:pStyle w:val="yTableNAm"/>
              <w:jc w:val="right"/>
            </w:pPr>
            <w:r>
              <w:rPr>
                <w:szCs w:val="22"/>
              </w:rPr>
              <w:t>$185.05</w:t>
            </w:r>
          </w:p>
        </w:tc>
      </w:tr>
    </w:tbl>
    <w:p>
      <w:pPr>
        <w:pStyle w:val="yMiscellaneousHeading"/>
        <w:spacing w:before="200"/>
        <w:jc w:val="left"/>
      </w:pPr>
      <w:r>
        <w:t>VISITS</w:t>
      </w:r>
    </w:p>
    <w:p>
      <w:pPr>
        <w:pStyle w:val="yMiscellaneousHeading"/>
        <w:jc w:val="left"/>
      </w:pPr>
      <w:r>
        <w:t>Consultations at a place other than the Consulting Rooms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in hours</w:t>
            </w:r>
          </w:p>
        </w:tc>
        <w:tc>
          <w:tcPr>
            <w:tcW w:w="1134" w:type="dxa"/>
            <w:vAlign w:val="center"/>
          </w:tcPr>
          <w:p>
            <w:pPr>
              <w:pStyle w:val="yTableNAm"/>
              <w:jc w:val="right"/>
            </w:pPr>
          </w:p>
        </w:tc>
      </w:tr>
      <w:tr>
        <w:tc>
          <w:tcPr>
            <w:tcW w:w="5670" w:type="dxa"/>
          </w:tcPr>
          <w:p>
            <w:pPr>
              <w:pStyle w:val="yTableNAm"/>
            </w:pPr>
            <w:r>
              <w:rPr>
                <w:szCs w:val="22"/>
              </w:rPr>
              <w:tab/>
              <w:t>Minor Service (Level A)</w:t>
            </w:r>
          </w:p>
        </w:tc>
        <w:tc>
          <w:tcPr>
            <w:tcW w:w="1134" w:type="dxa"/>
            <w:vAlign w:val="bottom"/>
          </w:tcPr>
          <w:p>
            <w:pPr>
              <w:pStyle w:val="yTableNAm"/>
              <w:jc w:val="right"/>
            </w:pPr>
            <w:r>
              <w:rPr>
                <w:szCs w:val="22"/>
              </w:rPr>
              <w:t>$84.75</w:t>
            </w:r>
          </w:p>
        </w:tc>
      </w:tr>
      <w:tr>
        <w:tc>
          <w:tcPr>
            <w:tcW w:w="5670" w:type="dxa"/>
          </w:tcPr>
          <w:p>
            <w:pPr>
              <w:pStyle w:val="yTableNAm"/>
            </w:pPr>
            <w:r>
              <w:rPr>
                <w:szCs w:val="22"/>
              </w:rPr>
              <w:tab/>
              <w:t>Specific Service (Level B)</w:t>
            </w:r>
          </w:p>
        </w:tc>
        <w:tc>
          <w:tcPr>
            <w:tcW w:w="1134" w:type="dxa"/>
            <w:vAlign w:val="bottom"/>
          </w:tcPr>
          <w:p>
            <w:pPr>
              <w:pStyle w:val="yTableNAm"/>
              <w:jc w:val="right"/>
            </w:pPr>
            <w:r>
              <w:rPr>
                <w:szCs w:val="22"/>
              </w:rPr>
              <w:t>$115.85</w:t>
            </w:r>
          </w:p>
        </w:tc>
      </w:tr>
      <w:tr>
        <w:tc>
          <w:tcPr>
            <w:tcW w:w="5670" w:type="dxa"/>
          </w:tcPr>
          <w:p>
            <w:pPr>
              <w:pStyle w:val="yTableNAm"/>
            </w:pPr>
            <w:r>
              <w:rPr>
                <w:szCs w:val="22"/>
              </w:rPr>
              <w:tab/>
              <w:t>Extended Service (Level C)</w:t>
            </w:r>
          </w:p>
        </w:tc>
        <w:tc>
          <w:tcPr>
            <w:tcW w:w="1134" w:type="dxa"/>
            <w:vAlign w:val="bottom"/>
          </w:tcPr>
          <w:p>
            <w:pPr>
              <w:pStyle w:val="yTableNAm"/>
              <w:jc w:val="right"/>
            </w:pPr>
            <w:r>
              <w:rPr>
                <w:szCs w:val="22"/>
              </w:rPr>
              <w:t>$171.90</w:t>
            </w:r>
          </w:p>
        </w:tc>
      </w:tr>
      <w:tr>
        <w:tc>
          <w:tcPr>
            <w:tcW w:w="5670" w:type="dxa"/>
          </w:tcPr>
          <w:p>
            <w:pPr>
              <w:pStyle w:val="yTableNAm"/>
            </w:pPr>
            <w:r>
              <w:rPr>
                <w:szCs w:val="22"/>
              </w:rPr>
              <w:tab/>
              <w:t>Comprehensive Service (Level D)</w:t>
            </w:r>
          </w:p>
        </w:tc>
        <w:tc>
          <w:tcPr>
            <w:tcW w:w="1134" w:type="dxa"/>
            <w:vAlign w:val="bottom"/>
          </w:tcPr>
          <w:p>
            <w:pPr>
              <w:pStyle w:val="yTableNAm"/>
              <w:jc w:val="right"/>
            </w:pPr>
            <w:r>
              <w:rPr>
                <w:szCs w:val="22"/>
              </w:rPr>
              <w:t>$239.60</w:t>
            </w:r>
          </w:p>
        </w:tc>
      </w:tr>
      <w:tr>
        <w:tc>
          <w:tcPr>
            <w:tcW w:w="5670" w:type="dxa"/>
          </w:tcPr>
          <w:p>
            <w:pPr>
              <w:pStyle w:val="yTableNAm"/>
            </w:pPr>
            <w:r>
              <w:rPr>
                <w:szCs w:val="22"/>
              </w:rPr>
              <w:t>out of hours</w:t>
            </w:r>
          </w:p>
        </w:tc>
        <w:tc>
          <w:tcPr>
            <w:tcW w:w="1134" w:type="dxa"/>
            <w:vAlign w:val="center"/>
          </w:tcPr>
          <w:p>
            <w:pPr>
              <w:pStyle w:val="yTableNAm"/>
              <w:jc w:val="right"/>
            </w:pPr>
          </w:p>
        </w:tc>
      </w:tr>
      <w:tr>
        <w:tc>
          <w:tcPr>
            <w:tcW w:w="5670" w:type="dxa"/>
          </w:tcPr>
          <w:p>
            <w:pPr>
              <w:pStyle w:val="yTableNAm"/>
            </w:pPr>
            <w:r>
              <w:rPr>
                <w:szCs w:val="22"/>
              </w:rPr>
              <w:tab/>
              <w:t>Minor Service (Level A)</w:t>
            </w:r>
          </w:p>
        </w:tc>
        <w:tc>
          <w:tcPr>
            <w:tcW w:w="1134" w:type="dxa"/>
            <w:vAlign w:val="bottom"/>
          </w:tcPr>
          <w:p>
            <w:pPr>
              <w:pStyle w:val="yTableNAm"/>
              <w:jc w:val="right"/>
            </w:pPr>
            <w:r>
              <w:rPr>
                <w:szCs w:val="22"/>
              </w:rPr>
              <w:t>$101.65</w:t>
            </w:r>
          </w:p>
        </w:tc>
      </w:tr>
      <w:tr>
        <w:tc>
          <w:tcPr>
            <w:tcW w:w="5670" w:type="dxa"/>
          </w:tcPr>
          <w:p>
            <w:pPr>
              <w:pStyle w:val="yTableNAm"/>
            </w:pPr>
            <w:r>
              <w:rPr>
                <w:szCs w:val="22"/>
              </w:rPr>
              <w:tab/>
              <w:t>Specific Service (Level B)</w:t>
            </w:r>
          </w:p>
        </w:tc>
        <w:tc>
          <w:tcPr>
            <w:tcW w:w="1134" w:type="dxa"/>
            <w:vAlign w:val="bottom"/>
          </w:tcPr>
          <w:p>
            <w:pPr>
              <w:pStyle w:val="yTableNAm"/>
              <w:jc w:val="right"/>
            </w:pPr>
            <w:r>
              <w:rPr>
                <w:szCs w:val="22"/>
              </w:rPr>
              <w:t>$151.10</w:t>
            </w:r>
          </w:p>
        </w:tc>
      </w:tr>
      <w:tr>
        <w:tc>
          <w:tcPr>
            <w:tcW w:w="5670" w:type="dxa"/>
          </w:tcPr>
          <w:p>
            <w:pPr>
              <w:pStyle w:val="yTableNAm"/>
            </w:pPr>
            <w:r>
              <w:rPr>
                <w:szCs w:val="22"/>
              </w:rPr>
              <w:tab/>
              <w:t>Extended Service (Level C)</w:t>
            </w:r>
          </w:p>
        </w:tc>
        <w:tc>
          <w:tcPr>
            <w:tcW w:w="1134" w:type="dxa"/>
            <w:vAlign w:val="bottom"/>
          </w:tcPr>
          <w:p>
            <w:pPr>
              <w:pStyle w:val="yTableNAm"/>
              <w:jc w:val="right"/>
            </w:pPr>
            <w:r>
              <w:rPr>
                <w:szCs w:val="22"/>
              </w:rPr>
              <w:t>$231.85</w:t>
            </w:r>
          </w:p>
        </w:tc>
      </w:tr>
      <w:tr>
        <w:tc>
          <w:tcPr>
            <w:tcW w:w="5670" w:type="dxa"/>
          </w:tcPr>
          <w:p>
            <w:pPr>
              <w:pStyle w:val="yTableNAm"/>
            </w:pPr>
            <w:r>
              <w:rPr>
                <w:szCs w:val="22"/>
              </w:rPr>
              <w:tab/>
              <w:t>Comprehensive Service (Level D)</w:t>
            </w:r>
          </w:p>
        </w:tc>
        <w:tc>
          <w:tcPr>
            <w:tcW w:w="1134" w:type="dxa"/>
            <w:vAlign w:val="bottom"/>
          </w:tcPr>
          <w:p>
            <w:pPr>
              <w:pStyle w:val="yTableNAm"/>
              <w:jc w:val="right"/>
            </w:pPr>
            <w:r>
              <w:rPr>
                <w:szCs w:val="22"/>
              </w:rPr>
              <w:t>$338.60</w:t>
            </w:r>
          </w:p>
        </w:tc>
      </w:tr>
    </w:tbl>
    <w:p>
      <w:pPr>
        <w:pStyle w:val="yMiscellaneousHeading"/>
        <w:spacing w:before="200"/>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b/>
                <w:szCs w:val="22"/>
              </w:rPr>
              <w:t>Time based</w:t>
            </w:r>
          </w:p>
        </w:tc>
        <w:tc>
          <w:tcPr>
            <w:tcW w:w="1134" w:type="dxa"/>
            <w:vAlign w:val="center"/>
          </w:tcPr>
          <w:p>
            <w:pPr>
              <w:pStyle w:val="yTableNAm"/>
              <w:jc w:val="right"/>
            </w:pPr>
          </w:p>
        </w:tc>
      </w:tr>
      <w:tr>
        <w:tc>
          <w:tcPr>
            <w:tcW w:w="5670" w:type="dxa"/>
          </w:tcPr>
          <w:p>
            <w:pPr>
              <w:pStyle w:val="yTableNAm"/>
            </w:pPr>
            <w:r>
              <w:rPr>
                <w:szCs w:val="22"/>
              </w:rPr>
              <w:tab/>
              <w:t>up to 5 minutes</w:t>
            </w:r>
          </w:p>
        </w:tc>
        <w:tc>
          <w:tcPr>
            <w:tcW w:w="1134" w:type="dxa"/>
            <w:vAlign w:val="bottom"/>
          </w:tcPr>
          <w:p>
            <w:pPr>
              <w:pStyle w:val="yTableNAm"/>
              <w:jc w:val="right"/>
            </w:pPr>
            <w:r>
              <w:rPr>
                <w:szCs w:val="22"/>
              </w:rPr>
              <w:t>$22.60</w:t>
            </w:r>
          </w:p>
        </w:tc>
      </w:tr>
      <w:tr>
        <w:tc>
          <w:tcPr>
            <w:tcW w:w="5670" w:type="dxa"/>
          </w:tcPr>
          <w:p>
            <w:pPr>
              <w:pStyle w:val="yTableNAm"/>
            </w:pPr>
            <w:r>
              <w:rPr>
                <w:szCs w:val="22"/>
              </w:rPr>
              <w:tab/>
              <w:t>more than 5 minutes to 15 minutes</w:t>
            </w:r>
          </w:p>
        </w:tc>
        <w:tc>
          <w:tcPr>
            <w:tcW w:w="1134" w:type="dxa"/>
            <w:vAlign w:val="bottom"/>
          </w:tcPr>
          <w:p>
            <w:pPr>
              <w:pStyle w:val="yTableNAm"/>
              <w:jc w:val="right"/>
            </w:pPr>
            <w:r>
              <w:rPr>
                <w:szCs w:val="22"/>
              </w:rPr>
              <w:t>$28.30</w:t>
            </w:r>
          </w:p>
        </w:tc>
      </w:tr>
      <w:tr>
        <w:tc>
          <w:tcPr>
            <w:tcW w:w="5670" w:type="dxa"/>
          </w:tcPr>
          <w:p>
            <w:pPr>
              <w:pStyle w:val="yTableNAm"/>
            </w:pPr>
            <w:r>
              <w:rPr>
                <w:szCs w:val="22"/>
              </w:rPr>
              <w:tab/>
              <w:t>more than 15 minutes to 30 minutes</w:t>
            </w:r>
          </w:p>
        </w:tc>
        <w:tc>
          <w:tcPr>
            <w:tcW w:w="1134" w:type="dxa"/>
            <w:vAlign w:val="bottom"/>
          </w:tcPr>
          <w:p>
            <w:pPr>
              <w:pStyle w:val="yTableNAm"/>
              <w:jc w:val="right"/>
            </w:pPr>
            <w:r>
              <w:rPr>
                <w:szCs w:val="22"/>
              </w:rPr>
              <w:t>$59.25</w:t>
            </w:r>
          </w:p>
        </w:tc>
      </w:tr>
      <w:tr>
        <w:tc>
          <w:tcPr>
            <w:tcW w:w="5670" w:type="dxa"/>
          </w:tcPr>
          <w:p>
            <w:pPr>
              <w:pStyle w:val="yTableNAm"/>
            </w:pPr>
            <w:r>
              <w:rPr>
                <w:szCs w:val="22"/>
              </w:rPr>
              <w:tab/>
              <w:t>more than 30 minutes</w:t>
            </w:r>
          </w:p>
        </w:tc>
        <w:tc>
          <w:tcPr>
            <w:tcW w:w="1134" w:type="dxa"/>
            <w:vAlign w:val="bottom"/>
          </w:tcPr>
          <w:p>
            <w:pPr>
              <w:pStyle w:val="yTableNAm"/>
              <w:jc w:val="right"/>
            </w:pPr>
            <w:r>
              <w:rPr>
                <w:szCs w:val="22"/>
              </w:rPr>
              <w:t>$88.75</w:t>
            </w:r>
          </w:p>
        </w:tc>
      </w:tr>
    </w:tbl>
    <w:p>
      <w:pPr>
        <w:pStyle w:val="yMiscellaneousHeading"/>
        <w:jc w:val="left"/>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per hour</w:t>
            </w:r>
          </w:p>
        </w:tc>
        <w:tc>
          <w:tcPr>
            <w:tcW w:w="1134" w:type="dxa"/>
            <w:vAlign w:val="bottom"/>
          </w:tcPr>
          <w:p>
            <w:pPr>
              <w:pStyle w:val="yTableNAm"/>
              <w:jc w:val="right"/>
            </w:pPr>
            <w:r>
              <w:rPr>
                <w:szCs w:val="22"/>
              </w:rPr>
              <w:t>$254.70</w:t>
            </w:r>
          </w:p>
        </w:tc>
      </w:tr>
    </w:tbl>
    <w:p>
      <w:pPr>
        <w:pStyle w:val="yMiscellaneousBody"/>
      </w:pPr>
      <w:r>
        <w:t>TRAVELLING FEES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t>Rate per kilometre</w:t>
            </w:r>
          </w:p>
        </w:tc>
        <w:tc>
          <w:tcPr>
            <w:tcW w:w="1134" w:type="dxa"/>
            <w:vAlign w:val="center"/>
          </w:tcPr>
          <w:p>
            <w:pPr>
              <w:pStyle w:val="yTableNAm"/>
              <w:jc w:val="right"/>
            </w:pPr>
            <w:r>
              <w:t>$4.55</w:t>
            </w:r>
          </w:p>
        </w:tc>
      </w:tr>
    </w:tbl>
    <w:p>
      <w:pPr>
        <w:pStyle w:val="yMiscellaneousHeading"/>
        <w:keepLines/>
        <w:spacing w:before="320"/>
        <w:jc w:val="left"/>
        <w:rPr>
          <w:b/>
          <w:bCs/>
        </w:rPr>
      </w:pPr>
      <w:r>
        <w:rPr>
          <w:b/>
          <w:bCs/>
        </w:rPr>
        <w:t>PHYSICIANS, OCCUPATIONAL &amp; REHABILITATION PHYSICIANS</w:t>
      </w:r>
    </w:p>
    <w:p>
      <w:pPr>
        <w:pStyle w:val="yMiscellaneousHeading"/>
        <w:keepLines/>
        <w:jc w:val="left"/>
        <w:rPr>
          <w:b/>
          <w:bCs/>
          <w:i/>
          <w:iCs/>
        </w:rPr>
      </w:pPr>
      <w:r>
        <w:rPr>
          <w:b/>
          <w:bCs/>
          <w:i/>
          <w:iCs/>
        </w:rPr>
        <w:t>PHYSICIANS</w:t>
      </w:r>
    </w:p>
    <w:p>
      <w:pPr>
        <w:pStyle w:val="yMiscellaneousHeading"/>
        <w:keepLines/>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$257.10</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$128.65</w:t>
            </w:r>
          </w:p>
        </w:tc>
      </w:tr>
    </w:tbl>
    <w:p>
      <w:pPr>
        <w:pStyle w:val="yMiscellaneousHeading"/>
        <w:jc w:val="left"/>
        <w:rPr>
          <w:bCs/>
        </w:rPr>
      </w:pPr>
      <w:r>
        <w:rPr>
          <w:bCs/>
        </w:rP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a place other than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$307.95</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$177.70</w:t>
            </w:r>
          </w:p>
        </w:tc>
      </w:tr>
    </w:tbl>
    <w:p>
      <w:pPr>
        <w:pStyle w:val="yMiscellaneousHeading"/>
        <w:jc w:val="left"/>
        <w:rPr>
          <w:b/>
          <w:bCs/>
          <w:i/>
          <w:iCs/>
        </w:rPr>
      </w:pPr>
      <w:r>
        <w:rPr>
          <w:b/>
          <w:bCs/>
          <w:i/>
          <w:iCs/>
        </w:rPr>
        <w:t>REHABILITATION PHYSICIANS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$257.10</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$128.65</w:t>
            </w:r>
          </w:p>
        </w:tc>
      </w:tr>
    </w:tbl>
    <w:p>
      <w:pPr>
        <w:pStyle w:val="yMiscellaneousBody"/>
        <w:keepNext/>
        <w:keepLines/>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a place other than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$307.95</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$177.70</w:t>
            </w:r>
          </w:p>
        </w:tc>
      </w:tr>
    </w:tbl>
    <w:p>
      <w:pPr>
        <w:pStyle w:val="yMiscellaneousHeading"/>
        <w:spacing w:before="280"/>
        <w:jc w:val="left"/>
        <w:rPr>
          <w:b/>
          <w:bCs/>
          <w:i/>
          <w:iCs/>
        </w:rPr>
      </w:pPr>
      <w:r>
        <w:rPr>
          <w:b/>
          <w:bCs/>
          <w:i/>
          <w:iCs/>
        </w:rPr>
        <w:t>OCCUPATIONAL PHYSICIANS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$261.40</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$128.65</w:t>
            </w:r>
          </w:p>
        </w:tc>
      </w:tr>
    </w:tbl>
    <w:p>
      <w:pPr>
        <w:pStyle w:val="yMiscellaneousHeading"/>
        <w:jc w:val="left"/>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a place other than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$307.95</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$177.70</w:t>
            </w:r>
          </w:p>
        </w:tc>
      </w:tr>
    </w:tbl>
    <w:p>
      <w:pPr>
        <w:pStyle w:val="yMiscellaneousHeading"/>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b/>
                <w:szCs w:val="22"/>
              </w:rPr>
              <w:t>Time based</w:t>
            </w:r>
          </w:p>
        </w:tc>
        <w:tc>
          <w:tcPr>
            <w:tcW w:w="1134" w:type="dxa"/>
            <w:vAlign w:val="center"/>
          </w:tcPr>
          <w:p>
            <w:pPr>
              <w:pStyle w:val="yTableNAm"/>
              <w:jc w:val="right"/>
            </w:pPr>
          </w:p>
        </w:tc>
      </w:tr>
      <w:tr>
        <w:tc>
          <w:tcPr>
            <w:tcW w:w="5670" w:type="dxa"/>
          </w:tcPr>
          <w:p>
            <w:pPr>
              <w:pStyle w:val="yTableNAm"/>
            </w:pPr>
            <w:r>
              <w:rPr>
                <w:szCs w:val="22"/>
              </w:rPr>
              <w:tab/>
              <w:t>up to 5 minutes</w:t>
            </w:r>
          </w:p>
        </w:tc>
        <w:tc>
          <w:tcPr>
            <w:tcW w:w="1134" w:type="dxa"/>
            <w:vAlign w:val="bottom"/>
          </w:tcPr>
          <w:p>
            <w:pPr>
              <w:pStyle w:val="yTableNAm"/>
              <w:jc w:val="right"/>
            </w:pPr>
            <w:r>
              <w:rPr>
                <w:szCs w:val="22"/>
              </w:rPr>
              <w:t>$33.80</w:t>
            </w:r>
          </w:p>
        </w:tc>
      </w:tr>
      <w:tr>
        <w:tc>
          <w:tcPr>
            <w:tcW w:w="5670" w:type="dxa"/>
          </w:tcPr>
          <w:p>
            <w:pPr>
              <w:pStyle w:val="yTableNAm"/>
            </w:pPr>
            <w:r>
              <w:rPr>
                <w:szCs w:val="22"/>
              </w:rPr>
              <w:tab/>
              <w:t>more than 5 minutes to 15 minutes</w:t>
            </w:r>
          </w:p>
        </w:tc>
        <w:tc>
          <w:tcPr>
            <w:tcW w:w="1134" w:type="dxa"/>
            <w:vAlign w:val="bottom"/>
          </w:tcPr>
          <w:p>
            <w:pPr>
              <w:pStyle w:val="yTableNAm"/>
              <w:jc w:val="right"/>
            </w:pPr>
            <w:r>
              <w:rPr>
                <w:szCs w:val="22"/>
              </w:rPr>
              <w:t>$41.60</w:t>
            </w:r>
          </w:p>
        </w:tc>
      </w:tr>
      <w:tr>
        <w:tc>
          <w:tcPr>
            <w:tcW w:w="5670" w:type="dxa"/>
          </w:tcPr>
          <w:p>
            <w:pPr>
              <w:pStyle w:val="yTableNAm"/>
            </w:pPr>
            <w:r>
              <w:rPr>
                <w:szCs w:val="22"/>
              </w:rPr>
              <w:tab/>
              <w:t>more than 15 minutes to 30 minutes</w:t>
            </w:r>
          </w:p>
        </w:tc>
        <w:tc>
          <w:tcPr>
            <w:tcW w:w="1134" w:type="dxa"/>
            <w:vAlign w:val="bottom"/>
          </w:tcPr>
          <w:p>
            <w:pPr>
              <w:pStyle w:val="yTableNAm"/>
              <w:jc w:val="right"/>
            </w:pPr>
            <w:r>
              <w:rPr>
                <w:szCs w:val="22"/>
              </w:rPr>
              <w:t>$87.00</w:t>
            </w:r>
          </w:p>
        </w:tc>
      </w:tr>
      <w:tr>
        <w:tc>
          <w:tcPr>
            <w:tcW w:w="5670" w:type="dxa"/>
          </w:tcPr>
          <w:p>
            <w:pPr>
              <w:pStyle w:val="yTableNAm"/>
            </w:pPr>
            <w:r>
              <w:rPr>
                <w:szCs w:val="22"/>
              </w:rPr>
              <w:tab/>
              <w:t>more than 30 minutes</w:t>
            </w:r>
          </w:p>
        </w:tc>
        <w:tc>
          <w:tcPr>
            <w:tcW w:w="1134" w:type="dxa"/>
            <w:vAlign w:val="bottom"/>
          </w:tcPr>
          <w:p>
            <w:pPr>
              <w:pStyle w:val="yTableNAm"/>
              <w:jc w:val="right"/>
            </w:pPr>
            <w:r>
              <w:rPr>
                <w:szCs w:val="22"/>
              </w:rPr>
              <w:t>$131.35</w:t>
            </w:r>
          </w:p>
        </w:tc>
      </w:tr>
    </w:tbl>
    <w:p>
      <w:pPr>
        <w:pStyle w:val="yMiscellaneousHeading"/>
        <w:jc w:val="left"/>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per hour</w:t>
            </w:r>
          </w:p>
        </w:tc>
        <w:tc>
          <w:tcPr>
            <w:tcW w:w="1134" w:type="dxa"/>
            <w:vAlign w:val="bottom"/>
          </w:tcPr>
          <w:p>
            <w:pPr>
              <w:pStyle w:val="yTableNAm"/>
              <w:jc w:val="right"/>
            </w:pPr>
            <w:r>
              <w:rPr>
                <w:szCs w:val="22"/>
              </w:rPr>
              <w:t>$377.70</w:t>
            </w:r>
          </w:p>
        </w:tc>
      </w:tr>
    </w:tbl>
    <w:p>
      <w:pPr>
        <w:pStyle w:val="yMiscellaneousHeading"/>
        <w:jc w:val="left"/>
      </w:pPr>
      <w:r>
        <w:t>TRAVELLING FEES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Rate per kilometre</w:t>
            </w:r>
          </w:p>
        </w:tc>
        <w:tc>
          <w:tcPr>
            <w:tcW w:w="1134" w:type="dxa"/>
            <w:vAlign w:val="center"/>
          </w:tcPr>
          <w:p>
            <w:pPr>
              <w:pStyle w:val="yTableNAm"/>
              <w:jc w:val="right"/>
            </w:pPr>
            <w:r>
              <w:rPr>
                <w:szCs w:val="22"/>
              </w:rPr>
              <w:t>$4.55</w:t>
            </w:r>
          </w:p>
        </w:tc>
      </w:tr>
    </w:tbl>
    <w:p>
      <w:pPr>
        <w:pStyle w:val="yMiscellaneousHeading"/>
        <w:spacing w:before="280"/>
        <w:jc w:val="left"/>
        <w:rPr>
          <w:b/>
          <w:bCs/>
          <w:i/>
          <w:iCs/>
        </w:rPr>
      </w:pPr>
      <w:r>
        <w:rPr>
          <w:b/>
          <w:bCs/>
          <w:i/>
          <w:iCs/>
        </w:rPr>
        <w:t>CONSULTANT PSYCHIATRISTS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consulting rooms and issue of certificate (if required) et al</w:t>
            </w:r>
          </w:p>
          <w:p>
            <w:pPr>
              <w:pStyle w:val="yTableNAm"/>
              <w:rPr>
                <w:b/>
                <w:bCs/>
              </w:rPr>
            </w:pPr>
            <w:r>
              <w:rPr>
                <w:b/>
                <w:bCs/>
              </w:rPr>
              <w:t>Time based</w:t>
            </w:r>
          </w:p>
        </w:tc>
        <w:tc>
          <w:tcPr>
            <w:tcW w:w="1134" w:type="dxa"/>
            <w:vAlign w:val="center"/>
          </w:tcPr>
          <w:p>
            <w:pPr>
              <w:pStyle w:val="yTableNAm"/>
              <w:jc w:val="right"/>
            </w:pPr>
          </w:p>
        </w:tc>
      </w:tr>
      <w:tr>
        <w:tc>
          <w:tcPr>
            <w:tcW w:w="5670" w:type="dxa"/>
          </w:tcPr>
          <w:p>
            <w:pPr>
              <w:pStyle w:val="yTableNAm"/>
            </w:pPr>
            <w:r>
              <w:rPr>
                <w:szCs w:val="22"/>
              </w:rPr>
              <w:tab/>
              <w:t>up to 15 minutes</w:t>
            </w:r>
          </w:p>
        </w:tc>
        <w:tc>
          <w:tcPr>
            <w:tcW w:w="1134" w:type="dxa"/>
            <w:vAlign w:val="bottom"/>
          </w:tcPr>
          <w:p>
            <w:pPr>
              <w:pStyle w:val="yTableNAm"/>
              <w:jc w:val="right"/>
            </w:pPr>
            <w:r>
              <w:rPr>
                <w:szCs w:val="22"/>
              </w:rPr>
              <w:t>$75.40</w:t>
            </w:r>
          </w:p>
        </w:tc>
      </w:tr>
      <w:tr>
        <w:tc>
          <w:tcPr>
            <w:tcW w:w="5670" w:type="dxa"/>
          </w:tcPr>
          <w:p>
            <w:pPr>
              <w:pStyle w:val="yTableNAm"/>
            </w:pPr>
            <w:r>
              <w:rPr>
                <w:szCs w:val="22"/>
              </w:rPr>
              <w:tab/>
              <w:t>more than 15 minutes to 30 minutes</w:t>
            </w:r>
          </w:p>
        </w:tc>
        <w:tc>
          <w:tcPr>
            <w:tcW w:w="1134" w:type="dxa"/>
            <w:vAlign w:val="bottom"/>
          </w:tcPr>
          <w:p>
            <w:pPr>
              <w:pStyle w:val="yTableNAm"/>
              <w:jc w:val="right"/>
            </w:pPr>
            <w:r>
              <w:rPr>
                <w:szCs w:val="22"/>
              </w:rPr>
              <w:t>$150.50</w:t>
            </w:r>
          </w:p>
        </w:tc>
      </w:tr>
      <w:tr>
        <w:tc>
          <w:tcPr>
            <w:tcW w:w="5670" w:type="dxa"/>
          </w:tcPr>
          <w:p>
            <w:pPr>
              <w:pStyle w:val="yTableNAm"/>
            </w:pPr>
            <w:r>
              <w:rPr>
                <w:szCs w:val="22"/>
              </w:rPr>
              <w:tab/>
              <w:t>more than 30 minutes to 45 minutes</w:t>
            </w:r>
          </w:p>
        </w:tc>
        <w:tc>
          <w:tcPr>
            <w:tcW w:w="1134" w:type="dxa"/>
            <w:vAlign w:val="bottom"/>
          </w:tcPr>
          <w:p>
            <w:pPr>
              <w:pStyle w:val="yTableNAm"/>
              <w:jc w:val="right"/>
            </w:pPr>
            <w:r>
              <w:rPr>
                <w:szCs w:val="22"/>
              </w:rPr>
              <w:t>$225.40</w:t>
            </w:r>
          </w:p>
        </w:tc>
      </w:tr>
      <w:tr>
        <w:tc>
          <w:tcPr>
            <w:tcW w:w="5670" w:type="dxa"/>
          </w:tcPr>
          <w:p>
            <w:pPr>
              <w:pStyle w:val="yTableNAm"/>
            </w:pPr>
            <w:r>
              <w:rPr>
                <w:szCs w:val="22"/>
              </w:rPr>
              <w:tab/>
              <w:t>more than 45 minutes to 60 minutes</w:t>
            </w:r>
          </w:p>
        </w:tc>
        <w:tc>
          <w:tcPr>
            <w:tcW w:w="1134" w:type="dxa"/>
            <w:vAlign w:val="bottom"/>
          </w:tcPr>
          <w:p>
            <w:pPr>
              <w:pStyle w:val="yTableNAm"/>
              <w:jc w:val="right"/>
            </w:pPr>
            <w:r>
              <w:rPr>
                <w:szCs w:val="22"/>
              </w:rPr>
              <w:t>$301.55</w:t>
            </w:r>
          </w:p>
        </w:tc>
      </w:tr>
      <w:tr>
        <w:tc>
          <w:tcPr>
            <w:tcW w:w="5670" w:type="dxa"/>
          </w:tcPr>
          <w:p>
            <w:pPr>
              <w:pStyle w:val="yTableNAm"/>
            </w:pPr>
            <w:r>
              <w:rPr>
                <w:szCs w:val="22"/>
              </w:rPr>
              <w:tab/>
              <w:t>more than 60 minutes to 75 minutes</w:t>
            </w:r>
          </w:p>
        </w:tc>
        <w:tc>
          <w:tcPr>
            <w:tcW w:w="1134" w:type="dxa"/>
            <w:vAlign w:val="bottom"/>
          </w:tcPr>
          <w:p>
            <w:pPr>
              <w:pStyle w:val="yTableNAm"/>
              <w:jc w:val="right"/>
            </w:pPr>
            <w:r>
              <w:rPr>
                <w:szCs w:val="22"/>
              </w:rPr>
              <w:t>$341.25</w:t>
            </w:r>
          </w:p>
        </w:tc>
      </w:tr>
      <w:tr>
        <w:tc>
          <w:tcPr>
            <w:tcW w:w="5670" w:type="dxa"/>
          </w:tcPr>
          <w:p>
            <w:pPr>
              <w:pStyle w:val="yTableNAm"/>
            </w:pPr>
            <w:r>
              <w:rPr>
                <w:szCs w:val="22"/>
              </w:rPr>
              <w:tab/>
              <w:t>more than 75 minutes</w:t>
            </w:r>
          </w:p>
        </w:tc>
        <w:tc>
          <w:tcPr>
            <w:tcW w:w="1134" w:type="dxa"/>
            <w:vAlign w:val="bottom"/>
          </w:tcPr>
          <w:p>
            <w:pPr>
              <w:pStyle w:val="yTableNAm"/>
              <w:jc w:val="right"/>
            </w:pPr>
            <w:r>
              <w:rPr>
                <w:szCs w:val="22"/>
              </w:rPr>
              <w:t>$380.90</w:t>
            </w:r>
          </w:p>
        </w:tc>
      </w:tr>
    </w:tbl>
    <w:p>
      <w:pPr>
        <w:pStyle w:val="yMiscellaneousHeading"/>
        <w:jc w:val="left"/>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cantSplit/>
        </w:trPr>
        <w:tc>
          <w:tcPr>
            <w:tcW w:w="5670" w:type="dxa"/>
          </w:tcPr>
          <w:p>
            <w:pPr>
              <w:pStyle w:val="yTableNAm"/>
            </w:pPr>
            <w:r>
              <w:rPr>
                <w:szCs w:val="22"/>
              </w:rPr>
              <w:t>Professional attendance at a place other than consulting rooms and issue of certificate (if required) et al</w:t>
            </w:r>
            <w:r>
              <w:rPr>
                <w:szCs w:val="22"/>
              </w:rPr>
              <w:br/>
              <w:t>Visits include both attendance at hospitals and home visits</w:t>
            </w:r>
          </w:p>
          <w:p>
            <w:pPr>
              <w:pStyle w:val="yTableNAm"/>
              <w:rPr>
                <w:b/>
                <w:bCs/>
              </w:rPr>
            </w:pPr>
            <w:r>
              <w:rPr>
                <w:b/>
                <w:bCs/>
              </w:rPr>
              <w:t>Time based</w:t>
            </w:r>
          </w:p>
        </w:tc>
        <w:tc>
          <w:tcPr>
            <w:tcW w:w="1134" w:type="dxa"/>
            <w:vAlign w:val="center"/>
          </w:tcPr>
          <w:p>
            <w:pPr>
              <w:pStyle w:val="yTableNAm"/>
              <w:jc w:val="right"/>
            </w:pPr>
          </w:p>
        </w:tc>
      </w:tr>
      <w:tr>
        <w:trPr>
          <w:cantSplit/>
        </w:trPr>
        <w:tc>
          <w:tcPr>
            <w:tcW w:w="5670" w:type="dxa"/>
          </w:tcPr>
          <w:p>
            <w:pPr>
              <w:pStyle w:val="yTableNAm"/>
            </w:pPr>
            <w:r>
              <w:rPr>
                <w:szCs w:val="22"/>
              </w:rPr>
              <w:tab/>
              <w:t>up to 15 minutes</w:t>
            </w:r>
          </w:p>
        </w:tc>
        <w:tc>
          <w:tcPr>
            <w:tcW w:w="1134" w:type="dxa"/>
            <w:vAlign w:val="bottom"/>
          </w:tcPr>
          <w:p>
            <w:pPr>
              <w:pStyle w:val="yTableNAm"/>
              <w:jc w:val="right"/>
            </w:pPr>
            <w:r>
              <w:rPr>
                <w:szCs w:val="22"/>
              </w:rPr>
              <w:t>$123.85</w:t>
            </w:r>
          </w:p>
        </w:tc>
      </w:tr>
      <w:tr>
        <w:trPr>
          <w:cantSplit/>
        </w:trPr>
        <w:tc>
          <w:tcPr>
            <w:tcW w:w="5670" w:type="dxa"/>
          </w:tcPr>
          <w:p>
            <w:pPr>
              <w:pStyle w:val="yTableNAm"/>
            </w:pPr>
            <w:r>
              <w:rPr>
                <w:szCs w:val="22"/>
              </w:rPr>
              <w:tab/>
              <w:t>more than 15 minutes to 30 minutes</w:t>
            </w:r>
          </w:p>
        </w:tc>
        <w:tc>
          <w:tcPr>
            <w:tcW w:w="1134" w:type="dxa"/>
            <w:vAlign w:val="bottom"/>
          </w:tcPr>
          <w:p>
            <w:pPr>
              <w:pStyle w:val="yTableNAm"/>
              <w:jc w:val="right"/>
            </w:pPr>
            <w:r>
              <w:rPr>
                <w:szCs w:val="22"/>
              </w:rPr>
              <w:t>$200.00</w:t>
            </w:r>
          </w:p>
        </w:tc>
      </w:tr>
      <w:tr>
        <w:trPr>
          <w:cantSplit/>
        </w:trPr>
        <w:tc>
          <w:tcPr>
            <w:tcW w:w="5670" w:type="dxa"/>
          </w:tcPr>
          <w:p>
            <w:pPr>
              <w:pStyle w:val="yTableNAm"/>
            </w:pPr>
            <w:r>
              <w:rPr>
                <w:szCs w:val="22"/>
              </w:rPr>
              <w:tab/>
              <w:t>more than 30 minutes to 45 minutes</w:t>
            </w:r>
          </w:p>
        </w:tc>
        <w:tc>
          <w:tcPr>
            <w:tcW w:w="1134" w:type="dxa"/>
            <w:vAlign w:val="bottom"/>
          </w:tcPr>
          <w:p>
            <w:pPr>
              <w:pStyle w:val="yTableNAm"/>
              <w:jc w:val="right"/>
            </w:pPr>
            <w:r>
              <w:rPr>
                <w:szCs w:val="22"/>
              </w:rPr>
              <w:t>$272.90</w:t>
            </w:r>
          </w:p>
        </w:tc>
      </w:tr>
      <w:tr>
        <w:trPr>
          <w:cantSplit/>
        </w:trPr>
        <w:tc>
          <w:tcPr>
            <w:tcW w:w="5670" w:type="dxa"/>
          </w:tcPr>
          <w:p>
            <w:pPr>
              <w:pStyle w:val="yTableNAm"/>
            </w:pPr>
            <w:r>
              <w:rPr>
                <w:szCs w:val="22"/>
              </w:rPr>
              <w:tab/>
              <w:t>more than 45 minutes to 75 minutes</w:t>
            </w:r>
          </w:p>
        </w:tc>
        <w:tc>
          <w:tcPr>
            <w:tcW w:w="1134" w:type="dxa"/>
            <w:vAlign w:val="bottom"/>
          </w:tcPr>
          <w:p>
            <w:pPr>
              <w:pStyle w:val="yTableNAm"/>
              <w:jc w:val="right"/>
            </w:pPr>
            <w:r>
              <w:rPr>
                <w:szCs w:val="22"/>
              </w:rPr>
              <w:t>$349.15</w:t>
            </w:r>
          </w:p>
        </w:tc>
      </w:tr>
      <w:tr>
        <w:trPr>
          <w:cantSplit/>
        </w:trPr>
        <w:tc>
          <w:tcPr>
            <w:tcW w:w="5670" w:type="dxa"/>
          </w:tcPr>
          <w:p>
            <w:pPr>
              <w:pStyle w:val="yTableNAm"/>
            </w:pPr>
            <w:r>
              <w:rPr>
                <w:szCs w:val="22"/>
              </w:rPr>
              <w:tab/>
              <w:t>more than 75 minutes</w:t>
            </w:r>
          </w:p>
        </w:tc>
        <w:tc>
          <w:tcPr>
            <w:tcW w:w="1134" w:type="dxa"/>
            <w:vAlign w:val="bottom"/>
          </w:tcPr>
          <w:p>
            <w:pPr>
              <w:pStyle w:val="yTableNAm"/>
              <w:jc w:val="right"/>
            </w:pPr>
            <w:r>
              <w:rPr>
                <w:szCs w:val="22"/>
              </w:rPr>
              <w:t>$420.70</w:t>
            </w:r>
          </w:p>
        </w:tc>
      </w:tr>
    </w:tbl>
    <w:p>
      <w:pPr>
        <w:pStyle w:val="yMiscellaneousHeading"/>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rPr>
          <w:cantSplit/>
        </w:trPr>
        <w:tc>
          <w:tcPr>
            <w:tcW w:w="5670" w:type="dxa"/>
          </w:tcPr>
          <w:p>
            <w:pPr>
              <w:pStyle w:val="yTableNAm"/>
            </w:pPr>
            <w:r>
              <w:rPr>
                <w:b/>
                <w:szCs w:val="22"/>
              </w:rPr>
              <w:t>Time based</w:t>
            </w:r>
          </w:p>
        </w:tc>
        <w:tc>
          <w:tcPr>
            <w:tcW w:w="1134" w:type="dxa"/>
            <w:vAlign w:val="center"/>
          </w:tcPr>
          <w:p>
            <w:pPr>
              <w:pStyle w:val="yTableNAm"/>
              <w:jc w:val="right"/>
            </w:pPr>
          </w:p>
        </w:tc>
      </w:tr>
      <w:tr>
        <w:trPr>
          <w:cantSplit/>
        </w:trPr>
        <w:tc>
          <w:tcPr>
            <w:tcW w:w="5670" w:type="dxa"/>
          </w:tcPr>
          <w:p>
            <w:pPr>
              <w:pStyle w:val="yTableNAm"/>
            </w:pPr>
            <w:r>
              <w:rPr>
                <w:szCs w:val="22"/>
              </w:rPr>
              <w:tab/>
              <w:t>up to 45 minutes</w:t>
            </w:r>
          </w:p>
        </w:tc>
        <w:tc>
          <w:tcPr>
            <w:tcW w:w="1134" w:type="dxa"/>
            <w:vAlign w:val="bottom"/>
          </w:tcPr>
          <w:p>
            <w:pPr>
              <w:pStyle w:val="yTableNAm"/>
              <w:jc w:val="right"/>
            </w:pPr>
            <w:r>
              <w:rPr>
                <w:szCs w:val="22"/>
              </w:rPr>
              <w:t>$100.05</w:t>
            </w:r>
          </w:p>
        </w:tc>
      </w:tr>
      <w:tr>
        <w:trPr>
          <w:cantSplit/>
        </w:trPr>
        <w:tc>
          <w:tcPr>
            <w:tcW w:w="5670" w:type="dxa"/>
          </w:tcPr>
          <w:p>
            <w:pPr>
              <w:pStyle w:val="yTableNAm"/>
            </w:pPr>
            <w:r>
              <w:rPr>
                <w:szCs w:val="22"/>
              </w:rPr>
              <w:tab/>
              <w:t>more than 45 minutes</w:t>
            </w:r>
          </w:p>
        </w:tc>
        <w:tc>
          <w:tcPr>
            <w:tcW w:w="1134" w:type="dxa"/>
            <w:vAlign w:val="bottom"/>
          </w:tcPr>
          <w:p>
            <w:pPr>
              <w:pStyle w:val="yTableNAm"/>
              <w:jc w:val="right"/>
            </w:pPr>
            <w:r>
              <w:rPr>
                <w:szCs w:val="22"/>
              </w:rPr>
              <w:t>$218.45</w:t>
            </w:r>
          </w:p>
        </w:tc>
      </w:tr>
    </w:tbl>
    <w:p>
      <w:pPr>
        <w:pStyle w:val="yMiscellaneousHeading"/>
        <w:jc w:val="left"/>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per hour</w:t>
            </w:r>
          </w:p>
        </w:tc>
        <w:tc>
          <w:tcPr>
            <w:tcW w:w="1134" w:type="dxa"/>
            <w:vAlign w:val="bottom"/>
          </w:tcPr>
          <w:p>
            <w:pPr>
              <w:pStyle w:val="yTableNAm"/>
              <w:jc w:val="right"/>
            </w:pPr>
            <w:r>
              <w:rPr>
                <w:szCs w:val="22"/>
              </w:rPr>
              <w:t>$377.70</w:t>
            </w:r>
          </w:p>
        </w:tc>
      </w:tr>
    </w:tbl>
    <w:p>
      <w:pPr>
        <w:pStyle w:val="yMiscellaneousHeading"/>
        <w:jc w:val="left"/>
      </w:pPr>
      <w:r>
        <w:t>TRAVELLING FEES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Rate per kilometre</w:t>
            </w:r>
          </w:p>
        </w:tc>
        <w:tc>
          <w:tcPr>
            <w:tcW w:w="1134" w:type="dxa"/>
            <w:vAlign w:val="center"/>
          </w:tcPr>
          <w:p>
            <w:pPr>
              <w:pStyle w:val="yTableNAm"/>
              <w:jc w:val="right"/>
            </w:pPr>
            <w:r>
              <w:rPr>
                <w:szCs w:val="22"/>
              </w:rPr>
              <w:t>$4.55</w:t>
            </w:r>
          </w:p>
        </w:tc>
      </w:tr>
    </w:tbl>
    <w:p>
      <w:pPr>
        <w:pStyle w:val="yMiscellaneousHeading"/>
        <w:spacing w:before="320"/>
        <w:jc w:val="left"/>
        <w:rPr>
          <w:b/>
          <w:bCs/>
        </w:rPr>
      </w:pPr>
      <w:r>
        <w:rPr>
          <w:b/>
          <w:bCs/>
        </w:rPr>
        <w:t>SPECIALISTS</w:t>
      </w:r>
    </w:p>
    <w:p>
      <w:pPr>
        <w:pStyle w:val="yMiscellaneousHeading"/>
        <w:jc w:val="left"/>
        <w:rPr>
          <w:b/>
          <w:bCs/>
          <w:i/>
          <w:iCs/>
        </w:rPr>
      </w:pPr>
      <w:r>
        <w:rPr>
          <w:b/>
          <w:bCs/>
          <w:i/>
          <w:iCs/>
        </w:rPr>
        <w:t>SURGEONS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$146.20</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$76.25</w:t>
            </w:r>
          </w:p>
        </w:tc>
      </w:tr>
    </w:tbl>
    <w:p>
      <w:pPr>
        <w:pStyle w:val="yMiscellaneousHeading"/>
        <w:jc w:val="left"/>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a place other than consulting rooms and issue of certificate (if required) et al</w:t>
            </w:r>
          </w:p>
        </w:tc>
        <w:tc>
          <w:tcPr>
            <w:tcW w:w="1134" w:type="dxa"/>
            <w:vAlign w:val="center"/>
          </w:tcPr>
          <w:p>
            <w:pPr>
              <w:pStyle w:val="yTableNAm"/>
              <w:jc w:val="right"/>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$197.05</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$125.60</w:t>
            </w:r>
          </w:p>
        </w:tc>
      </w:tr>
    </w:tbl>
    <w:p>
      <w:pPr>
        <w:pStyle w:val="yMiscellaneousHeading"/>
        <w:spacing w:before="280"/>
        <w:jc w:val="left"/>
        <w:rPr>
          <w:b/>
          <w:bCs/>
          <w:i/>
          <w:iCs/>
        </w:rPr>
      </w:pPr>
      <w:r>
        <w:rPr>
          <w:b/>
          <w:bCs/>
          <w:i/>
          <w:iCs/>
        </w:rPr>
        <w:t>DERMATOLOGISTS</w:t>
      </w:r>
    </w:p>
    <w:p>
      <w:pPr>
        <w:pStyle w:val="yMiscellaneousHeading"/>
        <w:jc w:val="left"/>
      </w:pPr>
      <w:r>
        <w:t>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consulting rooms and issue of certificate (if required) et al</w:t>
            </w:r>
          </w:p>
        </w:tc>
        <w:tc>
          <w:tcPr>
            <w:tcW w:w="1134" w:type="dxa"/>
            <w:vAlign w:val="center"/>
          </w:tcPr>
          <w:p>
            <w:pPr>
              <w:pStyle w:val="yTableNAm"/>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$146.20</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$76.25</w:t>
            </w:r>
          </w:p>
        </w:tc>
      </w:tr>
    </w:tbl>
    <w:p>
      <w:pPr>
        <w:pStyle w:val="yMiscellaneousHeading"/>
        <w:jc w:val="left"/>
      </w:pPr>
      <w:r>
        <w:t>VISITS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Professional attendance at a place other than consulting rooms and issue of certificate (if required) et al</w:t>
            </w:r>
          </w:p>
        </w:tc>
        <w:tc>
          <w:tcPr>
            <w:tcW w:w="1134" w:type="dxa"/>
            <w:vAlign w:val="center"/>
          </w:tcPr>
          <w:p>
            <w:pPr>
              <w:pStyle w:val="yTableNAm"/>
            </w:pPr>
          </w:p>
        </w:tc>
      </w:tr>
      <w:tr>
        <w:tc>
          <w:tcPr>
            <w:tcW w:w="5670" w:type="dxa"/>
          </w:tcPr>
          <w:p>
            <w:pPr>
              <w:pStyle w:val="yTableNAm"/>
            </w:pPr>
            <w:r>
              <w:rPr>
                <w:szCs w:val="22"/>
              </w:rPr>
              <w:t>first attendance</w:t>
            </w:r>
          </w:p>
        </w:tc>
        <w:tc>
          <w:tcPr>
            <w:tcW w:w="1134" w:type="dxa"/>
            <w:vAlign w:val="bottom"/>
          </w:tcPr>
          <w:p>
            <w:pPr>
              <w:pStyle w:val="yTableNAm"/>
              <w:jc w:val="right"/>
            </w:pPr>
            <w:r>
              <w:rPr>
                <w:szCs w:val="22"/>
              </w:rPr>
              <w:t>$196.75</w:t>
            </w:r>
          </w:p>
        </w:tc>
      </w:tr>
      <w:tr>
        <w:tc>
          <w:tcPr>
            <w:tcW w:w="5670" w:type="dxa"/>
          </w:tcPr>
          <w:p>
            <w:pPr>
              <w:pStyle w:val="yTableNAm"/>
            </w:pPr>
            <w:r>
              <w:rPr>
                <w:szCs w:val="22"/>
              </w:rPr>
              <w:t>subsequent attendances</w:t>
            </w:r>
          </w:p>
        </w:tc>
        <w:tc>
          <w:tcPr>
            <w:tcW w:w="1134" w:type="dxa"/>
            <w:vAlign w:val="bottom"/>
          </w:tcPr>
          <w:p>
            <w:pPr>
              <w:pStyle w:val="yTableNAm"/>
              <w:jc w:val="right"/>
            </w:pPr>
            <w:r>
              <w:rPr>
                <w:szCs w:val="22"/>
              </w:rPr>
              <w:t>$125.40</w:t>
            </w:r>
          </w:p>
        </w:tc>
      </w:tr>
    </w:tbl>
    <w:p>
      <w:pPr>
        <w:pStyle w:val="yMiscellaneousHeading"/>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keepNext/>
            </w:pPr>
            <w:r>
              <w:rPr>
                <w:b/>
                <w:szCs w:val="22"/>
              </w:rPr>
              <w:t>Time based</w:t>
            </w:r>
          </w:p>
        </w:tc>
        <w:tc>
          <w:tcPr>
            <w:tcW w:w="1134" w:type="dxa"/>
            <w:vAlign w:val="center"/>
          </w:tcPr>
          <w:p>
            <w:pPr>
              <w:pStyle w:val="yTableNAm"/>
              <w:keepNext/>
              <w:jc w:val="right"/>
            </w:pPr>
          </w:p>
        </w:tc>
      </w:tr>
      <w:tr>
        <w:tc>
          <w:tcPr>
            <w:tcW w:w="5670" w:type="dxa"/>
          </w:tcPr>
          <w:p>
            <w:pPr>
              <w:pStyle w:val="yTableNAm"/>
            </w:pPr>
            <w:r>
              <w:rPr>
                <w:szCs w:val="22"/>
              </w:rPr>
              <w:tab/>
              <w:t>up to 5 minutes</w:t>
            </w:r>
          </w:p>
        </w:tc>
        <w:tc>
          <w:tcPr>
            <w:tcW w:w="1134" w:type="dxa"/>
            <w:vAlign w:val="bottom"/>
          </w:tcPr>
          <w:p>
            <w:pPr>
              <w:pStyle w:val="yTableNAm"/>
              <w:jc w:val="right"/>
            </w:pPr>
            <w:r>
              <w:rPr>
                <w:szCs w:val="22"/>
              </w:rPr>
              <w:t>$33.80</w:t>
            </w:r>
          </w:p>
        </w:tc>
      </w:tr>
      <w:tr>
        <w:tc>
          <w:tcPr>
            <w:tcW w:w="5670" w:type="dxa"/>
          </w:tcPr>
          <w:p>
            <w:pPr>
              <w:pStyle w:val="yTableNAm"/>
            </w:pPr>
            <w:r>
              <w:rPr>
                <w:szCs w:val="22"/>
              </w:rPr>
              <w:tab/>
              <w:t>more than 5 minutes to 15 minutes</w:t>
            </w:r>
          </w:p>
        </w:tc>
        <w:tc>
          <w:tcPr>
            <w:tcW w:w="1134" w:type="dxa"/>
            <w:vAlign w:val="bottom"/>
          </w:tcPr>
          <w:p>
            <w:pPr>
              <w:pStyle w:val="yTableNAm"/>
              <w:jc w:val="right"/>
            </w:pPr>
            <w:r>
              <w:rPr>
                <w:szCs w:val="22"/>
              </w:rPr>
              <w:t>$41.60</w:t>
            </w:r>
          </w:p>
        </w:tc>
      </w:tr>
      <w:tr>
        <w:tc>
          <w:tcPr>
            <w:tcW w:w="5670" w:type="dxa"/>
          </w:tcPr>
          <w:p>
            <w:pPr>
              <w:pStyle w:val="yTableNAm"/>
            </w:pPr>
            <w:r>
              <w:rPr>
                <w:szCs w:val="22"/>
              </w:rPr>
              <w:tab/>
              <w:t>more than 15 minutes to 30 minutes</w:t>
            </w:r>
          </w:p>
        </w:tc>
        <w:tc>
          <w:tcPr>
            <w:tcW w:w="1134" w:type="dxa"/>
            <w:vAlign w:val="bottom"/>
          </w:tcPr>
          <w:p>
            <w:pPr>
              <w:pStyle w:val="yTableNAm"/>
              <w:jc w:val="right"/>
            </w:pPr>
            <w:r>
              <w:rPr>
                <w:szCs w:val="22"/>
              </w:rPr>
              <w:t>$87.00</w:t>
            </w:r>
          </w:p>
        </w:tc>
      </w:tr>
      <w:tr>
        <w:tc>
          <w:tcPr>
            <w:tcW w:w="5670" w:type="dxa"/>
          </w:tcPr>
          <w:p>
            <w:pPr>
              <w:pStyle w:val="yTableNAm"/>
            </w:pPr>
            <w:r>
              <w:rPr>
                <w:szCs w:val="22"/>
              </w:rPr>
              <w:tab/>
              <w:t>more than 30 minutes</w:t>
            </w:r>
          </w:p>
        </w:tc>
        <w:tc>
          <w:tcPr>
            <w:tcW w:w="1134" w:type="dxa"/>
            <w:vAlign w:val="bottom"/>
          </w:tcPr>
          <w:p>
            <w:pPr>
              <w:pStyle w:val="yTableNAm"/>
              <w:jc w:val="right"/>
            </w:pPr>
            <w:r>
              <w:rPr>
                <w:szCs w:val="22"/>
              </w:rPr>
              <w:t>$131.35</w:t>
            </w:r>
          </w:p>
        </w:tc>
      </w:tr>
    </w:tbl>
    <w:p>
      <w:pPr>
        <w:pStyle w:val="yMiscellaneousHeading"/>
        <w:jc w:val="left"/>
      </w:pPr>
      <w:r>
        <w:t>CASE CONFERENCES, discussions with employers/insurers, rehabilitation providers, workplace assessments, etc.</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per hour</w:t>
            </w:r>
          </w:p>
        </w:tc>
        <w:tc>
          <w:tcPr>
            <w:tcW w:w="1134" w:type="dxa"/>
            <w:vAlign w:val="bottom"/>
          </w:tcPr>
          <w:p>
            <w:pPr>
              <w:pStyle w:val="yTableNAm"/>
              <w:jc w:val="right"/>
            </w:pPr>
            <w:r>
              <w:rPr>
                <w:szCs w:val="22"/>
              </w:rPr>
              <w:t>$377.70</w:t>
            </w:r>
          </w:p>
        </w:tc>
      </w:tr>
    </w:tbl>
    <w:p>
      <w:pPr>
        <w:pStyle w:val="yMiscellaneousHeading"/>
        <w:jc w:val="left"/>
      </w:pPr>
      <w:r>
        <w:t>TRAVELLING FEES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pPr>
            <w:r>
              <w:rPr>
                <w:szCs w:val="22"/>
              </w:rPr>
              <w:t>Rate per kilometre</w:t>
            </w:r>
          </w:p>
        </w:tc>
        <w:tc>
          <w:tcPr>
            <w:tcW w:w="1134" w:type="dxa"/>
            <w:vAlign w:val="center"/>
          </w:tcPr>
          <w:p>
            <w:pPr>
              <w:pStyle w:val="yTableNAm"/>
              <w:jc w:val="right"/>
            </w:pPr>
            <w:r>
              <w:rPr>
                <w:szCs w:val="22"/>
              </w:rPr>
              <w:t>$4.55</w:t>
            </w:r>
          </w:p>
        </w:tc>
      </w:tr>
    </w:tbl>
    <w:p>
      <w:pPr>
        <w:pStyle w:val="yMiscellaneousHeading"/>
        <w:spacing w:before="280"/>
        <w:jc w:val="left"/>
        <w:rPr>
          <w:b/>
          <w:bCs/>
          <w:i/>
          <w:iCs/>
        </w:rPr>
      </w:pPr>
      <w:r>
        <w:rPr>
          <w:b/>
          <w:bCs/>
          <w:i/>
          <w:iCs/>
        </w:rPr>
        <w:t>ANAESTHETISTS</w:t>
      </w:r>
    </w:p>
    <w:p>
      <w:pPr>
        <w:pStyle w:val="yMiscellaneousHeading"/>
        <w:jc w:val="left"/>
      </w:pPr>
      <w:r>
        <w:t>All anaesthesia fees are calculated by multiplying the units for the consultation, attendance, procedure or service by the $ value per unit allocated by this Schedule.</w:t>
      </w:r>
    </w:p>
    <w:p>
      <w:pPr>
        <w:pStyle w:val="yMiscellaneousHeading"/>
        <w:jc w:val="left"/>
      </w:pPr>
      <w:r>
        <w:t>$ VALUE PER UNIT</w:t>
      </w:r>
    </w:p>
    <w:tbl>
      <w:tblPr>
        <w:tblW w:w="0" w:type="auto"/>
        <w:tblInd w:w="284" w:type="dxa"/>
        <w:tblLayout w:type="fixed"/>
        <w:tblCellMar>
          <w:left w:w="142" w:type="dxa"/>
          <w:right w:w="142" w:type="dxa"/>
        </w:tblCellMar>
        <w:tblLook w:val="0000" w:firstRow="0" w:lastRow="0" w:firstColumn="0" w:lastColumn="0" w:noHBand="0" w:noVBand="0"/>
      </w:tblPr>
      <w:tblGrid>
        <w:gridCol w:w="5618"/>
        <w:gridCol w:w="1320"/>
      </w:tblGrid>
      <w:tr>
        <w:trPr>
          <w:tblHeader/>
        </w:trPr>
        <w:tc>
          <w:tcPr>
            <w:tcW w:w="5618" w:type="dxa"/>
          </w:tcPr>
          <w:p>
            <w:pPr>
              <w:pStyle w:val="yTableNAm"/>
            </w:pPr>
            <w:r>
              <w:rPr>
                <w:szCs w:val="22"/>
              </w:rPr>
              <w:t>$ value per unit</w:t>
            </w:r>
          </w:p>
        </w:tc>
        <w:tc>
          <w:tcPr>
            <w:tcW w:w="1320" w:type="dxa"/>
            <w:vAlign w:val="bottom"/>
          </w:tcPr>
          <w:p>
            <w:pPr>
              <w:pStyle w:val="yTableNAm"/>
            </w:pPr>
            <w:r>
              <w:rPr>
                <w:szCs w:val="22"/>
              </w:rPr>
              <w:t>$76.00</w:t>
            </w:r>
          </w:p>
        </w:tc>
      </w:tr>
    </w:tbl>
    <w:p>
      <w:pPr>
        <w:pStyle w:val="yMiscellaneousHeading"/>
        <w:jc w:val="left"/>
      </w:pPr>
    </w:p>
    <w:tbl>
      <w:tblPr>
        <w:tblW w:w="0" w:type="auto"/>
        <w:tblInd w:w="142" w:type="dxa"/>
        <w:tblLayout w:type="fixed"/>
        <w:tblCellMar>
          <w:left w:w="142" w:type="dxa"/>
          <w:right w:w="142" w:type="dxa"/>
        </w:tblCellMar>
        <w:tblLook w:val="0000" w:firstRow="0" w:lastRow="0" w:firstColumn="0" w:lastColumn="0" w:noHBand="0" w:noVBand="0"/>
      </w:tblPr>
      <w:tblGrid>
        <w:gridCol w:w="5760"/>
        <w:gridCol w:w="1320"/>
      </w:tblGrid>
      <w:tr>
        <w:trPr>
          <w:tblHeader/>
        </w:trPr>
        <w:tc>
          <w:tcPr>
            <w:tcW w:w="5760" w:type="dxa"/>
            <w:tcBorders>
              <w:top w:val="single" w:sz="4" w:space="0" w:color="auto"/>
              <w:bottom w:val="single" w:sz="4" w:space="0" w:color="auto"/>
            </w:tcBorders>
          </w:tcPr>
          <w:p>
            <w:pPr>
              <w:pStyle w:val="yTable"/>
              <w:keepNext/>
              <w:keepLines/>
              <w:spacing w:before="40" w:after="40"/>
              <w:ind w:right="141"/>
            </w:pPr>
            <w:r>
              <w:rPr>
                <w:b/>
              </w:rPr>
              <w:t>CONSULTATIONS AND ATTENDANCES</w:t>
            </w:r>
          </w:p>
        </w:tc>
        <w:tc>
          <w:tcPr>
            <w:tcW w:w="1320" w:type="dxa"/>
            <w:tcBorders>
              <w:top w:val="single" w:sz="4" w:space="0" w:color="auto"/>
              <w:bottom w:val="single" w:sz="4" w:space="0" w:color="auto"/>
            </w:tcBorders>
            <w:vAlign w:val="bottom"/>
          </w:tcPr>
          <w:p>
            <w:pPr>
              <w:pStyle w:val="yTable"/>
              <w:keepNext/>
              <w:keepLines/>
              <w:spacing w:before="40" w:after="40"/>
              <w:jc w:val="center"/>
            </w:pPr>
            <w:r>
              <w:t>Units</w:t>
            </w:r>
          </w:p>
          <w:p>
            <w:pPr>
              <w:pStyle w:val="yTable"/>
              <w:keepNext/>
              <w:keepLines/>
              <w:spacing w:before="0"/>
              <w:jc w:val="center"/>
            </w:pPr>
          </w:p>
        </w:tc>
      </w:tr>
      <w:tr>
        <w:tc>
          <w:tcPr>
            <w:tcW w:w="5760" w:type="dxa"/>
          </w:tcPr>
          <w:p>
            <w:pPr>
              <w:pStyle w:val="yTable"/>
              <w:keepNext/>
              <w:keepLines/>
              <w:spacing w:before="40" w:after="40"/>
              <w:ind w:right="142"/>
            </w:pPr>
            <w:r>
              <w:t>Anaesthetist Consultation</w:t>
            </w:r>
          </w:p>
        </w:tc>
        <w:tc>
          <w:tcPr>
            <w:tcW w:w="1320" w:type="dxa"/>
            <w:vAlign w:val="bottom"/>
          </w:tcPr>
          <w:p>
            <w:pPr>
              <w:pStyle w:val="yTable"/>
              <w:keepNext/>
              <w:keepLines/>
              <w:spacing w:before="40" w:after="40"/>
              <w:jc w:val="center"/>
            </w:pPr>
          </w:p>
        </w:tc>
      </w:tr>
      <w:tr>
        <w:tc>
          <w:tcPr>
            <w:tcW w:w="5760" w:type="dxa"/>
          </w:tcPr>
          <w:p>
            <w:pPr>
              <w:pStyle w:val="yTable"/>
              <w:tabs>
                <w:tab w:val="left" w:pos="567"/>
              </w:tabs>
              <w:spacing w:before="40" w:after="40"/>
              <w:ind w:left="567" w:right="141" w:hanging="567"/>
            </w:pPr>
            <w:r>
              <w:t> — an attendance of 15 minutes or less duration</w:t>
            </w:r>
          </w:p>
        </w:tc>
        <w:tc>
          <w:tcPr>
            <w:tcW w:w="1320" w:type="dxa"/>
            <w:vAlign w:val="bottom"/>
          </w:tcPr>
          <w:p>
            <w:pPr>
              <w:pStyle w:val="yTable"/>
              <w:keepNext/>
              <w:spacing w:before="40" w:after="40"/>
              <w:jc w:val="center"/>
            </w:pPr>
            <w:r>
              <w:t>2</w:t>
            </w:r>
          </w:p>
        </w:tc>
      </w:tr>
      <w:tr>
        <w:tc>
          <w:tcPr>
            <w:tcW w:w="5760" w:type="dxa"/>
          </w:tcPr>
          <w:p>
            <w:pPr>
              <w:pStyle w:val="yTable"/>
              <w:spacing w:before="40" w:after="40"/>
              <w:ind w:left="338" w:right="141" w:hanging="338"/>
            </w:pPr>
            <w:r>
              <w:t> — an attendance of more than 15 minutes but not more than 30 minutes duration</w:t>
            </w:r>
          </w:p>
        </w:tc>
        <w:tc>
          <w:tcPr>
            <w:tcW w:w="1320" w:type="dxa"/>
            <w:vAlign w:val="bottom"/>
          </w:tcPr>
          <w:p>
            <w:pPr>
              <w:pStyle w:val="yTable"/>
              <w:spacing w:before="40" w:after="40"/>
              <w:jc w:val="center"/>
            </w:pPr>
            <w:r>
              <w:t>4</w:t>
            </w:r>
          </w:p>
        </w:tc>
      </w:tr>
      <w:tr>
        <w:trPr>
          <w:cantSplit/>
        </w:trPr>
        <w:tc>
          <w:tcPr>
            <w:tcW w:w="5760" w:type="dxa"/>
          </w:tcPr>
          <w:p>
            <w:pPr>
              <w:pStyle w:val="yTable"/>
              <w:spacing w:before="40" w:after="40"/>
              <w:ind w:left="338" w:right="141" w:hanging="338"/>
            </w:pPr>
            <w:r>
              <w:t> — an attendance of more than 30 minutes but not more than 45 minutes duration</w:t>
            </w:r>
          </w:p>
        </w:tc>
        <w:tc>
          <w:tcPr>
            <w:tcW w:w="1320" w:type="dxa"/>
            <w:vAlign w:val="bottom"/>
          </w:tcPr>
          <w:p>
            <w:pPr>
              <w:pStyle w:val="yTable"/>
              <w:spacing w:before="40" w:after="40"/>
              <w:jc w:val="center"/>
            </w:pPr>
            <w:r>
              <w:t>6</w:t>
            </w:r>
          </w:p>
        </w:tc>
      </w:tr>
      <w:tr>
        <w:tc>
          <w:tcPr>
            <w:tcW w:w="5760" w:type="dxa"/>
          </w:tcPr>
          <w:p>
            <w:pPr>
              <w:pStyle w:val="yTable"/>
              <w:tabs>
                <w:tab w:val="left" w:pos="567"/>
              </w:tabs>
              <w:spacing w:before="40" w:after="40"/>
              <w:ind w:left="567" w:right="141" w:hanging="567"/>
            </w:pPr>
            <w:r>
              <w:t> — an attendance of more than 45 minutes duration</w:t>
            </w:r>
          </w:p>
        </w:tc>
        <w:tc>
          <w:tcPr>
            <w:tcW w:w="1320" w:type="dxa"/>
            <w:vAlign w:val="bottom"/>
          </w:tcPr>
          <w:p>
            <w:pPr>
              <w:pStyle w:val="yTable"/>
              <w:keepNext/>
              <w:spacing w:before="40" w:after="40"/>
              <w:jc w:val="center"/>
            </w:pPr>
            <w:r>
              <w:t>8</w:t>
            </w:r>
          </w:p>
        </w:tc>
      </w:tr>
      <w:tr>
        <w:tc>
          <w:tcPr>
            <w:tcW w:w="5760" w:type="dxa"/>
          </w:tcPr>
          <w:p>
            <w:pPr>
              <w:pStyle w:val="yTable"/>
              <w:spacing w:before="40" w:after="40"/>
              <w:ind w:right="141"/>
            </w:pPr>
            <w:r>
              <w:t>Post anaesthesia patient care following a day procedure</w:t>
            </w:r>
          </w:p>
        </w:tc>
        <w:tc>
          <w:tcPr>
            <w:tcW w:w="1320" w:type="dxa"/>
            <w:vAlign w:val="bottom"/>
          </w:tcPr>
          <w:p>
            <w:pPr>
              <w:pStyle w:val="yTable"/>
              <w:keepNext/>
              <w:spacing w:before="40" w:after="40"/>
              <w:jc w:val="center"/>
            </w:pPr>
            <w:r>
              <w:t>2</w:t>
            </w:r>
          </w:p>
        </w:tc>
      </w:tr>
      <w:tr>
        <w:tc>
          <w:tcPr>
            <w:tcW w:w="5760" w:type="dxa"/>
          </w:tcPr>
          <w:p>
            <w:pPr>
              <w:pStyle w:val="yTable"/>
              <w:spacing w:before="40" w:after="40"/>
              <w:ind w:right="141"/>
            </w:pPr>
            <w:r>
              <w:t>EMERGENCY ATTENDANCES</w:t>
            </w:r>
          </w:p>
        </w:tc>
        <w:tc>
          <w:tcPr>
            <w:tcW w:w="1320" w:type="dxa"/>
            <w:vAlign w:val="bottom"/>
          </w:tcPr>
          <w:p>
            <w:pPr>
              <w:pStyle w:val="yTable"/>
              <w:keepNext/>
              <w:spacing w:before="40" w:after="40"/>
              <w:jc w:val="center"/>
            </w:pPr>
          </w:p>
        </w:tc>
      </w:tr>
      <w:tr>
        <w:tc>
          <w:tcPr>
            <w:tcW w:w="5760" w:type="dxa"/>
          </w:tcPr>
          <w:p>
            <w:pPr>
              <w:pStyle w:val="yTable"/>
              <w:spacing w:before="40" w:after="40"/>
              <w:ind w:right="141"/>
            </w:pPr>
            <w:r>
              <w:t>After hours — where immediate attendance is required after 6 p.m. and before 8 a.m. on any weekday, or at any time on a Saturday, Sunday or a public holiday</w:t>
            </w:r>
          </w:p>
        </w:tc>
        <w:tc>
          <w:tcPr>
            <w:tcW w:w="1320" w:type="dxa"/>
            <w:vAlign w:val="bottom"/>
          </w:tcPr>
          <w:p>
            <w:pPr>
              <w:pStyle w:val="yTable"/>
              <w:keepNext/>
              <w:spacing w:before="40" w:after="40"/>
              <w:jc w:val="center"/>
            </w:pPr>
            <w:r>
              <w:t>6</w:t>
            </w:r>
          </w:p>
        </w:tc>
      </w:tr>
      <w:tr>
        <w:tc>
          <w:tcPr>
            <w:tcW w:w="5760" w:type="dxa"/>
          </w:tcPr>
          <w:p>
            <w:pPr>
              <w:pStyle w:val="yTable"/>
              <w:spacing w:before="40" w:after="40"/>
              <w:ind w:right="141"/>
            </w:pPr>
            <w:r>
              <w:rPr>
                <w:b/>
              </w:rPr>
              <w:t>Note: No after hours loading applies to the above item</w:t>
            </w:r>
          </w:p>
        </w:tc>
        <w:tc>
          <w:tcPr>
            <w:tcW w:w="1320" w:type="dxa"/>
            <w:vAlign w:val="bottom"/>
          </w:tcPr>
          <w:p>
            <w:pPr>
              <w:pStyle w:val="yTable"/>
              <w:keepNext/>
              <w:spacing w:before="40" w:after="40"/>
              <w:jc w:val="center"/>
            </w:pPr>
          </w:p>
        </w:tc>
      </w:tr>
      <w:tr>
        <w:tc>
          <w:tcPr>
            <w:tcW w:w="5760" w:type="dxa"/>
          </w:tcPr>
          <w:p>
            <w:pPr>
              <w:pStyle w:val="yTable"/>
              <w:spacing w:before="40" w:after="40"/>
              <w:ind w:right="141"/>
            </w:pPr>
            <w:r>
              <w:t>Attendance on a patient in imminent danger of death requiring continuous life saving emergency treatment to the exclusion of all other patients</w:t>
            </w:r>
          </w:p>
        </w:tc>
        <w:tc>
          <w:tcPr>
            <w:tcW w:w="1320" w:type="dxa"/>
            <w:vAlign w:val="bottom"/>
          </w:tcPr>
          <w:p>
            <w:pPr>
              <w:pStyle w:val="yTable"/>
              <w:keepNext/>
              <w:spacing w:before="40" w:after="40"/>
              <w:jc w:val="center"/>
            </w:pPr>
            <w:r>
              <w:t>6</w:t>
            </w:r>
          </w:p>
        </w:tc>
      </w:tr>
      <w:tr>
        <w:tc>
          <w:tcPr>
            <w:tcW w:w="5760" w:type="dxa"/>
            <w:tcBorders>
              <w:bottom w:val="single" w:sz="4" w:space="0" w:color="auto"/>
            </w:tcBorders>
          </w:tcPr>
          <w:p>
            <w:pPr>
              <w:pStyle w:val="yTable"/>
              <w:spacing w:before="40" w:after="40"/>
              <w:ind w:right="141"/>
            </w:pPr>
            <w:r>
              <w:t>Call back from home, office or other distant location for the provision of emergency services</w:t>
            </w:r>
          </w:p>
        </w:tc>
        <w:tc>
          <w:tcPr>
            <w:tcW w:w="1320" w:type="dxa"/>
            <w:tcBorders>
              <w:bottom w:val="single" w:sz="4" w:space="0" w:color="auto"/>
            </w:tcBorders>
            <w:vAlign w:val="bottom"/>
          </w:tcPr>
          <w:p>
            <w:pPr>
              <w:pStyle w:val="yTable"/>
              <w:keepNext/>
              <w:spacing w:before="40" w:after="40"/>
              <w:jc w:val="center"/>
            </w:pPr>
            <w:r>
              <w:t>4</w:t>
            </w:r>
          </w:p>
        </w:tc>
      </w:tr>
    </w:tbl>
    <w:p>
      <w:pPr>
        <w:pStyle w:val="yTable"/>
        <w:spacing w:before="200"/>
      </w:pPr>
      <w:r>
        <w:t>PROCEDURES AND SERVICES</w:t>
      </w:r>
    </w:p>
    <w:p>
      <w:pPr>
        <w:pStyle w:val="yTable"/>
      </w:pPr>
      <w:r>
        <w:t>All anaesthesia fees in relation to procedures and services are to be charged on the relative value guide (RVG) system. In most cases, the RVG system comprises 3 elements: base units (BUs), modifying units (MUs) and time units (TUs).</w:t>
      </w:r>
    </w:p>
    <w:p>
      <w:pPr>
        <w:pStyle w:val="yTable"/>
      </w:pPr>
      <w:r>
        <w:t>In Part A, the fee for a procedure is calculated by adding the base units for the procedure, the time units, and any modifying units and multiplying the result by the $ value per unit allocated by this Schedule.</w:t>
      </w:r>
    </w:p>
    <w:p>
      <w:pPr>
        <w:pStyle w:val="yTable"/>
        <w:tabs>
          <w:tab w:val="left" w:pos="840"/>
        </w:tabs>
      </w:pPr>
      <w:r>
        <w:tab/>
        <w:t>(BUs + TUs + MUs ) x $ value per unit = Fee</w:t>
      </w:r>
    </w:p>
    <w:p>
      <w:pPr>
        <w:pStyle w:val="yTable"/>
      </w:pPr>
      <w:r>
        <w:t>In Part B, the fee for a therapeutic or diagnostic service only includes modifying units (MUs), and time units (TUs) if the item notes that service as including either or both.</w:t>
      </w:r>
    </w:p>
    <w:p>
      <w:pPr>
        <w:pStyle w:val="yTable"/>
        <w:keepNext/>
        <w:keepLines/>
        <w:spacing w:before="200"/>
        <w:rPr>
          <w:u w:val="single"/>
        </w:rPr>
      </w:pPr>
      <w:r>
        <w:rPr>
          <w:u w:val="single"/>
        </w:rPr>
        <w:t>Base units</w:t>
      </w:r>
    </w:p>
    <w:p>
      <w:pPr>
        <w:pStyle w:val="yTable"/>
        <w:keepLines/>
        <w:spacing w:before="120"/>
      </w:pPr>
      <w:r>
        <w:t>The appropriate number of base units for each procedure has been established and is set out in this Schedule.</w:t>
      </w:r>
    </w:p>
    <w:p>
      <w:pPr>
        <w:pStyle w:val="yTable"/>
        <w:rPr>
          <w:sz w:val="18"/>
        </w:rPr>
      </w:pPr>
      <w:r>
        <w:rPr>
          <w:sz w:val="18"/>
        </w:rPr>
        <w:t>[The number of base units for each procedure has been calculated so as to include usual postoperative visits, the administration of fluids and/or blood incidental to the anaesthesia care and usual monitoring procedures.]</w:t>
      </w:r>
    </w:p>
    <w:p>
      <w:pPr>
        <w:pStyle w:val="yTable"/>
        <w:spacing w:before="120"/>
        <w:rPr>
          <w:u w:val="single"/>
        </w:rPr>
      </w:pPr>
      <w:r>
        <w:rPr>
          <w:u w:val="single"/>
        </w:rPr>
        <w:t>Time units</w:t>
      </w:r>
    </w:p>
    <w:p>
      <w:pPr>
        <w:pStyle w:val="yTable"/>
        <w:spacing w:before="120"/>
      </w:pPr>
      <w:r>
        <w:t>For the first 2 hours, each 15 minutes (or part thereof) of anaesthetic time constitutes one time unit. After 2 hours, time units are calculated at one per 10 minutes (or part thereof).</w:t>
      </w:r>
    </w:p>
    <w:p>
      <w:pPr>
        <w:pStyle w:val="yTable"/>
        <w:spacing w:before="120"/>
        <w:rPr>
          <w:u w:val="single"/>
        </w:rPr>
      </w:pPr>
      <w:r>
        <w:rPr>
          <w:u w:val="single"/>
        </w:rPr>
        <w:t>Modifying units</w:t>
      </w:r>
    </w:p>
    <w:p>
      <w:pPr>
        <w:pStyle w:val="yTable"/>
        <w:spacing w:before="120"/>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Table"/>
        <w:rPr>
          <w:sz w:val="18"/>
        </w:rPr>
      </w:pPr>
      <w:r>
        <w:rPr>
          <w:sz w:val="18"/>
        </w:rPr>
        <w:t>[Note: The modifying units are, in the main, derived from the modifying units set out in the AMA’s “List of Medical Services and Fees”.]</w:t>
      </w:r>
    </w:p>
    <w:p>
      <w:pPr>
        <w:pStyle w:val="yTable"/>
        <w:spacing w:before="0"/>
        <w:ind w:left="567"/>
        <w:rPr>
          <w:sz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
              <w:spacing w:before="40" w:after="40"/>
              <w:rPr>
                <w:b/>
              </w:rPr>
            </w:pPr>
            <w:r>
              <w:rPr>
                <w:b/>
              </w:rPr>
              <w:t>Description</w:t>
            </w:r>
          </w:p>
        </w:tc>
        <w:tc>
          <w:tcPr>
            <w:tcW w:w="120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blPrEx>
          <w:tblCellMar>
            <w:left w:w="142" w:type="dxa"/>
            <w:right w:w="142" w:type="dxa"/>
          </w:tblCellMar>
        </w:tblPrEx>
        <w:trPr>
          <w:cantSplit/>
        </w:trPr>
        <w:tc>
          <w:tcPr>
            <w:tcW w:w="5880" w:type="dxa"/>
          </w:tcPr>
          <w:p>
            <w:pPr>
              <w:pStyle w:val="yTable"/>
              <w:spacing w:before="40" w:after="40"/>
            </w:pPr>
            <w:r>
              <w:t>A normal healthy patient</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mild systemic disease</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severe systemic disease</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A patient with a severe systemic disease that is a constant threat to life</w:t>
            </w:r>
          </w:p>
        </w:tc>
        <w:tc>
          <w:tcPr>
            <w:tcW w:w="1200" w:type="dxa"/>
            <w:vAlign w:val="bottom"/>
          </w:tcPr>
          <w:p>
            <w:pPr>
              <w:pStyle w:val="yTable"/>
              <w:keepNext/>
              <w:spacing w:before="40" w:after="40"/>
              <w:jc w:val="center"/>
            </w:pPr>
            <w:r>
              <w:t>4</w:t>
            </w:r>
          </w:p>
        </w:tc>
      </w:tr>
      <w:tr>
        <w:tblPrEx>
          <w:tblCellMar>
            <w:left w:w="142" w:type="dxa"/>
            <w:right w:w="142" w:type="dxa"/>
          </w:tblCellMar>
        </w:tblPrEx>
        <w:trPr>
          <w:cantSplit/>
        </w:trPr>
        <w:tc>
          <w:tcPr>
            <w:tcW w:w="5880" w:type="dxa"/>
          </w:tcPr>
          <w:p>
            <w:pPr>
              <w:pStyle w:val="yTable"/>
              <w:spacing w:before="40" w:after="40"/>
            </w:pPr>
            <w:r>
              <w:t>A moribund patient who is not expected to survive for 24 hours with or without the operation</w:t>
            </w:r>
          </w:p>
        </w:tc>
        <w:tc>
          <w:tcPr>
            <w:tcW w:w="1200" w:type="dxa"/>
            <w:vAlign w:val="bottom"/>
          </w:tcPr>
          <w:p>
            <w:pPr>
              <w:pStyle w:val="yTable"/>
              <w:keepNext/>
              <w:spacing w:before="40" w:after="40"/>
              <w:jc w:val="center"/>
            </w:pPr>
            <w:r>
              <w:t>6</w:t>
            </w:r>
          </w:p>
        </w:tc>
      </w:tr>
      <w:tr>
        <w:tblPrEx>
          <w:tblCellMar>
            <w:left w:w="142" w:type="dxa"/>
            <w:right w:w="142" w:type="dxa"/>
          </w:tblCellMar>
        </w:tblPrEx>
        <w:trPr>
          <w:cantSplit/>
        </w:trPr>
        <w:tc>
          <w:tcPr>
            <w:tcW w:w="5880" w:type="dxa"/>
          </w:tcPr>
          <w:p>
            <w:pPr>
              <w:pStyle w:val="yTable"/>
              <w:spacing w:before="40" w:after="40"/>
            </w:pPr>
            <w:r>
              <w:t>A patient who is morbidly obese (body mass index is more than 35)</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who is in the 3</w:t>
            </w:r>
            <w:r>
              <w:rPr>
                <w:vertAlign w:val="superscript"/>
              </w:rPr>
              <w:t>rd</w:t>
            </w:r>
            <w:r>
              <w:t xml:space="preserve"> trimester of pregnancy</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declared brain dead whose organs are being removed for donor purposes</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Where the patient is aged under 1 year or over 70 years old</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Emergency surgery (i.e. When undue delay in treatment of the patient would lead to a significant increase in a threat to life or body part)</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
              <w:spacing w:before="40" w:after="40"/>
            </w:pPr>
            <w:r>
              <w:t>Anaesthesia in the prone position (not applicable to lower intestinal endoscopic procedures)</w:t>
            </w:r>
          </w:p>
        </w:tc>
        <w:tc>
          <w:tcPr>
            <w:tcW w:w="1200" w:type="dxa"/>
            <w:tcBorders>
              <w:bottom w:val="single" w:sz="4" w:space="0" w:color="auto"/>
            </w:tcBorders>
            <w:vAlign w:val="bottom"/>
          </w:tcPr>
          <w:p>
            <w:pPr>
              <w:pStyle w:val="yTable"/>
              <w:keepNext/>
              <w:spacing w:before="40" w:after="40"/>
              <w:jc w:val="center"/>
            </w:pPr>
            <w:r>
              <w:t>3</w:t>
            </w:r>
          </w:p>
        </w:tc>
      </w:tr>
    </w:tbl>
    <w:p>
      <w:pPr>
        <w:pStyle w:val="yTable"/>
        <w:keepNext/>
        <w:spacing w:before="200"/>
      </w:pPr>
      <w:r>
        <w:rPr>
          <w:u w:val="single"/>
        </w:rPr>
        <w:t>Anaesthesia for after</w:t>
      </w:r>
      <w:r>
        <w:rPr>
          <w:u w:val="single"/>
        </w:rPr>
        <w:noBreakHyphen/>
        <w:t>hours emergencies</w:t>
      </w:r>
    </w:p>
    <w:p>
      <w:pPr>
        <w:pStyle w:val="yTable"/>
        <w:spacing w:before="80"/>
      </w:pPr>
      <w:r>
        <w:t>A 50% loading should apply to emergency after–hours anaesthesia.  It is calculated using the “total relative value”.  The 50% loading and the emergency surgery modifier should not be used together.</w:t>
      </w:r>
    </w:p>
    <w:p>
      <w:pPr>
        <w:pStyle w:val="yTable"/>
        <w:spacing w:before="80"/>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yTable"/>
        <w:keepNext/>
        <w:keepLines/>
        <w:spacing w:before="260" w:after="120"/>
        <w:jc w:val="center"/>
        <w:rPr>
          <w:b/>
        </w:rPr>
      </w:pPr>
      <w:r>
        <w:rPr>
          <w:b/>
        </w:rPr>
        <w:t>PART A — PROCEDURES</w:t>
      </w:r>
    </w:p>
    <w:tbl>
      <w:tblPr>
        <w:tblW w:w="0" w:type="auto"/>
        <w:tblInd w:w="142" w:type="dxa"/>
        <w:tblLayout w:type="fixed"/>
        <w:tblCellMar>
          <w:left w:w="142" w:type="dxa"/>
          <w:right w:w="142" w:type="dxa"/>
        </w:tblCellMar>
        <w:tblLook w:val="0000" w:firstRow="0" w:lastRow="0" w:firstColumn="0" w:lastColumn="0" w:noHBand="0" w:noVBand="0"/>
      </w:tblPr>
      <w:tblGrid>
        <w:gridCol w:w="6120"/>
        <w:gridCol w:w="960"/>
      </w:tblGrid>
      <w:tr>
        <w:trPr>
          <w:cantSplit/>
          <w:tblHeader/>
        </w:trPr>
        <w:tc>
          <w:tcPr>
            <w:tcW w:w="6120" w:type="dxa"/>
            <w:tcBorders>
              <w:top w:val="single" w:sz="4" w:space="0" w:color="auto"/>
              <w:bottom w:val="single" w:sz="4" w:space="0" w:color="auto"/>
            </w:tcBorders>
          </w:tcPr>
          <w:p>
            <w:pPr>
              <w:pStyle w:val="yTable"/>
              <w:spacing w:before="40" w:after="40"/>
              <w:rPr>
                <w:b/>
              </w:rPr>
            </w:pPr>
            <w:r>
              <w:rPr>
                <w:b/>
              </w:rPr>
              <w:t>Description of procedure, etc</w:t>
            </w:r>
          </w:p>
        </w:tc>
        <w:tc>
          <w:tcPr>
            <w:tcW w:w="96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rPr>
          <w:cantSplit/>
        </w:trPr>
        <w:tc>
          <w:tcPr>
            <w:tcW w:w="6120" w:type="dxa"/>
            <w:tcBorders>
              <w:top w:val="single" w:sz="4" w:space="0" w:color="auto"/>
            </w:tcBorders>
          </w:tcPr>
          <w:p>
            <w:pPr>
              <w:pStyle w:val="yTable"/>
              <w:spacing w:before="220" w:after="40"/>
            </w:pPr>
            <w:r>
              <w:rPr>
                <w:b/>
              </w:rPr>
              <w:t>Head</w:t>
            </w:r>
          </w:p>
        </w:tc>
        <w:tc>
          <w:tcPr>
            <w:tcW w:w="960" w:type="dxa"/>
            <w:tcBorders>
              <w:top w:val="single" w:sz="4" w:space="0" w:color="auto"/>
            </w:tcBorders>
            <w:vAlign w:val="bottom"/>
          </w:tcPr>
          <w:p>
            <w:pPr>
              <w:pStyle w:val="yTable"/>
              <w:keepNext/>
              <w:keepLines/>
              <w:spacing w:before="40" w:after="40"/>
              <w:jc w:val="center"/>
            </w:pPr>
          </w:p>
        </w:tc>
      </w:tr>
      <w:tr>
        <w:trPr>
          <w:cantSplit/>
        </w:trPr>
        <w:tc>
          <w:tcPr>
            <w:tcW w:w="6120" w:type="dxa"/>
          </w:tcPr>
          <w:p>
            <w:pPr>
              <w:pStyle w:val="yTable"/>
              <w:spacing w:after="40"/>
            </w:pPr>
            <w:r>
              <w:t>Anaesthesia for all procedures on the skin and subcutaneous tissue, muscles, salivary glands and superficial blood vessels of the head, including biopsy, unless otherwise specified</w:t>
            </w:r>
          </w:p>
        </w:tc>
        <w:tc>
          <w:tcPr>
            <w:tcW w:w="960" w:type="dxa"/>
            <w:vAlign w:val="bottom"/>
          </w:tcPr>
          <w:p>
            <w:pPr>
              <w:pStyle w:val="yTable"/>
              <w:keepNext/>
              <w:keepLines/>
              <w:spacing w:after="40"/>
              <w:jc w:val="center"/>
            </w:pPr>
            <w:r>
              <w:t>5</w:t>
            </w:r>
          </w:p>
        </w:tc>
      </w:tr>
      <w:tr>
        <w:trPr>
          <w:cantSplit/>
        </w:trPr>
        <w:tc>
          <w:tcPr>
            <w:tcW w:w="6120" w:type="dxa"/>
          </w:tcPr>
          <w:p>
            <w:pPr>
              <w:pStyle w:val="yTable"/>
              <w:spacing w:after="40"/>
            </w:pPr>
            <w:r>
              <w:t> — plastic repair of cleft lip</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electroconvulsive therapy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procedures on external, middle or inner ear, including biopsy,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otoscopy</w:t>
            </w:r>
          </w:p>
        </w:tc>
        <w:tc>
          <w:tcPr>
            <w:tcW w:w="960" w:type="dxa"/>
            <w:vAlign w:val="bottom"/>
          </w:tcPr>
          <w:p>
            <w:pPr>
              <w:pStyle w:val="yTable"/>
              <w:keepNext/>
              <w:spacing w:after="40"/>
              <w:jc w:val="center"/>
            </w:pPr>
            <w:r>
              <w:t>4</w:t>
            </w:r>
          </w:p>
        </w:tc>
      </w:tr>
      <w:tr>
        <w:trPr>
          <w:cantSplit/>
        </w:trPr>
        <w:tc>
          <w:tcPr>
            <w:tcW w:w="6120" w:type="dxa"/>
          </w:tcPr>
          <w:p>
            <w:pPr>
              <w:pStyle w:val="yTable"/>
              <w:keepNext/>
              <w:spacing w:after="40"/>
            </w:pPr>
            <w:r>
              <w:t>Anaesthesia for all procedures on eye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lens surgery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retinal surgery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corneal transplant</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vitrectomy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biopsy of conjunctiva</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ophthalmoscopy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procedures on nose and accessory sinuses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radical surgery</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biopsy, soft tissue</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intraoral procedures, including biopsy,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repair of cleft palate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excision of retropharyngeal tumour</w:t>
            </w:r>
          </w:p>
        </w:tc>
        <w:tc>
          <w:tcPr>
            <w:tcW w:w="960" w:type="dxa"/>
            <w:vAlign w:val="bottom"/>
          </w:tcPr>
          <w:p>
            <w:pPr>
              <w:pStyle w:val="yTable"/>
              <w:keepNext/>
              <w:spacing w:after="40"/>
              <w:jc w:val="center"/>
            </w:pPr>
            <w:r>
              <w:t>9</w:t>
            </w:r>
          </w:p>
        </w:tc>
      </w:tr>
      <w:tr>
        <w:trPr>
          <w:cantSplit/>
        </w:trPr>
        <w:tc>
          <w:tcPr>
            <w:tcW w:w="6120" w:type="dxa"/>
          </w:tcPr>
          <w:p>
            <w:pPr>
              <w:pStyle w:val="yTable"/>
              <w:spacing w:after="40"/>
            </w:pPr>
            <w:r>
              <w:t> — radical intraoral surgery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procedures on facial bones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97" w:hanging="397"/>
            </w:pPr>
            <w:r>
              <w:t> — extensive surgery on facial bones (including prognathism and extensive facial bone reconstruction)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intracranial procedures unless otherwise specified</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 subdural taps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burr holes</w:t>
            </w:r>
          </w:p>
        </w:tc>
        <w:tc>
          <w:tcPr>
            <w:tcW w:w="960" w:type="dxa"/>
            <w:vAlign w:val="bottom"/>
          </w:tcPr>
          <w:p>
            <w:pPr>
              <w:pStyle w:val="yTable"/>
              <w:keepNext/>
              <w:spacing w:after="40"/>
              <w:jc w:val="center"/>
            </w:pPr>
            <w:r>
              <w:t>9</w:t>
            </w:r>
          </w:p>
        </w:tc>
      </w:tr>
      <w:tr>
        <w:trPr>
          <w:cantSplit/>
        </w:trPr>
        <w:tc>
          <w:tcPr>
            <w:tcW w:w="6120" w:type="dxa"/>
          </w:tcPr>
          <w:p>
            <w:pPr>
              <w:pStyle w:val="yTable"/>
              <w:spacing w:after="40"/>
              <w:ind w:left="397" w:hanging="397"/>
            </w:pPr>
            <w:r>
              <w:t> — intracranial vascular procedures including those for aneurysms and arterio</w:t>
            </w:r>
            <w:r>
              <w:noBreakHyphen/>
              <w:t>venous abnormalities</w:t>
            </w:r>
          </w:p>
        </w:tc>
        <w:tc>
          <w:tcPr>
            <w:tcW w:w="960" w:type="dxa"/>
            <w:vAlign w:val="bottom"/>
          </w:tcPr>
          <w:p>
            <w:pPr>
              <w:pStyle w:val="yTable"/>
              <w:keepNext/>
              <w:spacing w:after="40"/>
              <w:jc w:val="center"/>
            </w:pPr>
            <w:r>
              <w:t>20</w:t>
            </w:r>
          </w:p>
        </w:tc>
      </w:tr>
      <w:tr>
        <w:trPr>
          <w:cantSplit/>
        </w:trPr>
        <w:tc>
          <w:tcPr>
            <w:tcW w:w="6120" w:type="dxa"/>
          </w:tcPr>
          <w:p>
            <w:pPr>
              <w:pStyle w:val="yTable"/>
              <w:spacing w:after="40"/>
            </w:pPr>
            <w:r>
              <w:t> — spinal fluid shunt procedures</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ablation of intracranial nerve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cranial bone procedures</w:t>
            </w:r>
          </w:p>
        </w:tc>
        <w:tc>
          <w:tcPr>
            <w:tcW w:w="960" w:type="dxa"/>
            <w:vAlign w:val="bottom"/>
          </w:tcPr>
          <w:p>
            <w:pPr>
              <w:pStyle w:val="yTable"/>
              <w:keepNext/>
              <w:spacing w:after="40"/>
              <w:jc w:val="center"/>
            </w:pPr>
            <w:r>
              <w:t>12</w:t>
            </w:r>
          </w:p>
        </w:tc>
      </w:tr>
      <w:tr>
        <w:trPr>
          <w:cantSplit/>
        </w:trPr>
        <w:tc>
          <w:tcPr>
            <w:tcW w:w="6120" w:type="dxa"/>
          </w:tcPr>
          <w:p>
            <w:pPr>
              <w:pStyle w:val="yTable"/>
              <w:spacing w:before="160" w:after="40"/>
            </w:pPr>
            <w:r>
              <w:rPr>
                <w:b/>
              </w:rPr>
              <w:t>Neck</w:t>
            </w:r>
          </w:p>
        </w:tc>
        <w:tc>
          <w:tcPr>
            <w:tcW w:w="960" w:type="dxa"/>
            <w:vAlign w:val="bottom"/>
          </w:tcPr>
          <w:p>
            <w:pPr>
              <w:pStyle w:val="yTable"/>
              <w:keepNext/>
              <w:spacing w:before="160" w:after="40"/>
              <w:jc w:val="center"/>
            </w:pPr>
          </w:p>
        </w:tc>
      </w:tr>
      <w:tr>
        <w:trPr>
          <w:cantSplit/>
        </w:trPr>
        <w:tc>
          <w:tcPr>
            <w:tcW w:w="6120" w:type="dxa"/>
          </w:tcPr>
          <w:p>
            <w:pPr>
              <w:pStyle w:val="yTable"/>
              <w:spacing w:before="40" w:after="40"/>
            </w:pPr>
            <w:r>
              <w:t>Anaesthesia for all procedures on the skin or subcutaneous tissue of the neck unless otherwise specified</w:t>
            </w:r>
          </w:p>
        </w:tc>
        <w:tc>
          <w:tcPr>
            <w:tcW w:w="960" w:type="dxa"/>
            <w:vAlign w:val="bottom"/>
          </w:tcPr>
          <w:p>
            <w:pPr>
              <w:pStyle w:val="yTable"/>
              <w:keepNext/>
              <w:spacing w:before="40" w:after="40"/>
              <w:jc w:val="center"/>
            </w:pPr>
            <w:r>
              <w:t>5</w:t>
            </w:r>
          </w:p>
        </w:tc>
      </w:tr>
      <w:tr>
        <w:trPr>
          <w:cantSplit/>
        </w:trPr>
        <w:tc>
          <w:tcPr>
            <w:tcW w:w="6120" w:type="dxa"/>
          </w:tcPr>
          <w:p>
            <w:pPr>
              <w:pStyle w:val="yTable"/>
              <w:spacing w:after="40"/>
            </w:pPr>
            <w:r>
              <w:t>Anaesthesia for incision and drainage of large haematoma, large abscess, cellulitis, or similar lesion causing life threatening airway obstruction</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xml:space="preserve">Anaesthesia for all procedures on oesophagus, thyroid, larynx, trachea and lymphatic system muscles, nerves or other deep tissues of the neck unless otherwise specified </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for laryngectomy, hemi laryngectomy, laryngopharyngectomy, or pharyngectomy</w:t>
            </w:r>
          </w:p>
        </w:tc>
        <w:tc>
          <w:tcPr>
            <w:tcW w:w="960" w:type="dxa"/>
            <w:vAlign w:val="bottom"/>
          </w:tcPr>
          <w:p>
            <w:pPr>
              <w:pStyle w:val="yTable"/>
              <w:keepNext/>
              <w:spacing w:after="40"/>
              <w:jc w:val="center"/>
            </w:pPr>
            <w:r>
              <w:t>10</w:t>
            </w:r>
          </w:p>
        </w:tc>
      </w:tr>
      <w:tr>
        <w:trPr>
          <w:cantSplit/>
        </w:trPr>
        <w:tc>
          <w:tcPr>
            <w:tcW w:w="6120" w:type="dxa"/>
          </w:tcPr>
          <w:p>
            <w:pPr>
              <w:pStyle w:val="yTable"/>
              <w:keepNext/>
              <w:spacing w:after="40"/>
            </w:pPr>
            <w:r>
              <w:t>Anaesthesia for laser surgery to the airway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all procedures on major vessels of neck unless otherwise specified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simple ligation</w:t>
            </w:r>
          </w:p>
        </w:tc>
        <w:tc>
          <w:tcPr>
            <w:tcW w:w="960" w:type="dxa"/>
            <w:vAlign w:val="bottom"/>
          </w:tcPr>
          <w:p>
            <w:pPr>
              <w:pStyle w:val="yTable"/>
              <w:keepNext/>
              <w:spacing w:after="40"/>
              <w:jc w:val="center"/>
            </w:pPr>
            <w:r>
              <w:t>5</w:t>
            </w:r>
          </w:p>
        </w:tc>
      </w:tr>
      <w:tr>
        <w:trPr>
          <w:cantSplit/>
        </w:trPr>
        <w:tc>
          <w:tcPr>
            <w:tcW w:w="6120" w:type="dxa"/>
          </w:tcPr>
          <w:p>
            <w:pPr>
              <w:pStyle w:val="yTable"/>
              <w:spacing w:before="200" w:after="40"/>
            </w:pPr>
            <w:r>
              <w:rPr>
                <w:b/>
              </w:rPr>
              <w:t>Thorax (Chest Wall/Shoulder Girdle)</w:t>
            </w:r>
          </w:p>
        </w:tc>
        <w:tc>
          <w:tcPr>
            <w:tcW w:w="960" w:type="dxa"/>
            <w:vAlign w:val="bottom"/>
          </w:tcPr>
          <w:p>
            <w:pPr>
              <w:pStyle w:val="yTable"/>
              <w:keepNext/>
              <w:spacing w:before="200" w:after="40"/>
              <w:jc w:val="center"/>
            </w:pPr>
          </w:p>
        </w:tc>
      </w:tr>
      <w:tr>
        <w:trPr>
          <w:cantSplit/>
        </w:trPr>
        <w:tc>
          <w:tcPr>
            <w:tcW w:w="6120" w:type="dxa"/>
          </w:tcPr>
          <w:p>
            <w:pPr>
              <w:pStyle w:val="yTable"/>
              <w:spacing w:after="40"/>
            </w:pPr>
            <w:r>
              <w:t>Anaesthesia for all procedures on the skin or subcutaneous tissue of the chest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breast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reconstructive procedures on the breast (eg. reduction or augmentation, mammoplasty)</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40" w:hanging="340"/>
            </w:pPr>
            <w:r>
              <w:t> — removal of breast lump or for breast segmentectomy where axillary node dissection is performed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mastectomy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reconstructive procedures on the breast using myocutaneous flaps</w:t>
            </w:r>
          </w:p>
        </w:tc>
        <w:tc>
          <w:tcPr>
            <w:tcW w:w="960" w:type="dxa"/>
            <w:vAlign w:val="bottom"/>
          </w:tcPr>
          <w:p>
            <w:pPr>
              <w:pStyle w:val="yTable"/>
              <w:keepNext/>
              <w:spacing w:after="40"/>
              <w:jc w:val="center"/>
            </w:pPr>
            <w:r>
              <w:t>8</w:t>
            </w:r>
          </w:p>
        </w:tc>
      </w:tr>
      <w:tr>
        <w:trPr>
          <w:cantSplit/>
        </w:trPr>
        <w:tc>
          <w:tcPr>
            <w:tcW w:w="6120" w:type="dxa"/>
          </w:tcPr>
          <w:p>
            <w:pPr>
              <w:pStyle w:val="yTable"/>
              <w:spacing w:after="40"/>
              <w:ind w:left="340" w:hanging="340"/>
            </w:pPr>
            <w:r>
              <w:t> — radical or modified radical procedures on breast with internal mammary node dissection</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 — electrical conversion of arrhythmias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percutaneous bone marrow biopsy of the sternum</w:t>
            </w:r>
          </w:p>
        </w:tc>
        <w:tc>
          <w:tcPr>
            <w:tcW w:w="960" w:type="dxa"/>
            <w:vAlign w:val="bottom"/>
          </w:tcPr>
          <w:p>
            <w:pPr>
              <w:pStyle w:val="yTable"/>
              <w:keepNext/>
              <w:spacing w:after="40"/>
              <w:jc w:val="center"/>
            </w:pPr>
            <w:r>
              <w:t>4</w:t>
            </w:r>
          </w:p>
        </w:tc>
      </w:tr>
      <w:tr>
        <w:trPr>
          <w:cantSplit/>
        </w:trPr>
        <w:tc>
          <w:tcPr>
            <w:tcW w:w="6120" w:type="dxa"/>
          </w:tcPr>
          <w:p>
            <w:pPr>
              <w:pStyle w:val="yTable"/>
              <w:spacing w:after="30"/>
            </w:pPr>
            <w:r>
              <w:t>Anaesthesia for all procedures on the clavicle, scapula or sternum unless otherwise specified</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surgery</w:t>
            </w:r>
          </w:p>
        </w:tc>
        <w:tc>
          <w:tcPr>
            <w:tcW w:w="960" w:type="dxa"/>
            <w:vAlign w:val="bottom"/>
          </w:tcPr>
          <w:p>
            <w:pPr>
              <w:pStyle w:val="yTable"/>
              <w:keepNext/>
              <w:spacing w:after="30"/>
              <w:jc w:val="center"/>
            </w:pPr>
            <w:r>
              <w:t>6</w:t>
            </w:r>
          </w:p>
        </w:tc>
      </w:tr>
      <w:tr>
        <w:trPr>
          <w:cantSplit/>
        </w:trPr>
        <w:tc>
          <w:tcPr>
            <w:tcW w:w="6120" w:type="dxa"/>
          </w:tcPr>
          <w:p>
            <w:pPr>
              <w:pStyle w:val="yTable"/>
              <w:keepNext/>
              <w:spacing w:after="30"/>
            </w:pPr>
            <w:r>
              <w:t>Anaesthesia for partial rib resection unless otherwise specified</w:t>
            </w:r>
          </w:p>
        </w:tc>
        <w:tc>
          <w:tcPr>
            <w:tcW w:w="960" w:type="dxa"/>
            <w:vAlign w:val="bottom"/>
          </w:tcPr>
          <w:p>
            <w:pPr>
              <w:pStyle w:val="yTable"/>
              <w:keepNext/>
              <w:keepLines/>
              <w:spacing w:after="30"/>
              <w:jc w:val="center"/>
            </w:pPr>
            <w:r>
              <w:t>6</w:t>
            </w:r>
          </w:p>
        </w:tc>
      </w:tr>
      <w:tr>
        <w:trPr>
          <w:cantSplit/>
        </w:trPr>
        <w:tc>
          <w:tcPr>
            <w:tcW w:w="6120" w:type="dxa"/>
          </w:tcPr>
          <w:p>
            <w:pPr>
              <w:pStyle w:val="yTable"/>
              <w:keepNext/>
              <w:spacing w:after="30"/>
            </w:pPr>
            <w:r>
              <w:t> — thoracoplasty</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extensive procedures (eg. pectus excavatum)</w:t>
            </w:r>
          </w:p>
        </w:tc>
        <w:tc>
          <w:tcPr>
            <w:tcW w:w="960" w:type="dxa"/>
            <w:vAlign w:val="bottom"/>
          </w:tcPr>
          <w:p>
            <w:pPr>
              <w:pStyle w:val="yTable"/>
              <w:keepNext/>
              <w:spacing w:after="30"/>
              <w:jc w:val="center"/>
            </w:pPr>
            <w:r>
              <w:t>13</w:t>
            </w:r>
          </w:p>
        </w:tc>
      </w:tr>
      <w:tr>
        <w:trPr>
          <w:cantSplit/>
        </w:trPr>
        <w:tc>
          <w:tcPr>
            <w:tcW w:w="6120" w:type="dxa"/>
          </w:tcPr>
          <w:p>
            <w:pPr>
              <w:pStyle w:val="yTable"/>
              <w:keepNext/>
              <w:spacing w:before="240" w:after="40"/>
            </w:pPr>
            <w:r>
              <w:rPr>
                <w:b/>
              </w:rPr>
              <w:t>Intrathoracic</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open procedures on the oesophagus</w:t>
            </w:r>
          </w:p>
        </w:tc>
        <w:tc>
          <w:tcPr>
            <w:tcW w:w="960" w:type="dxa"/>
            <w:vAlign w:val="bottom"/>
          </w:tcPr>
          <w:p>
            <w:pPr>
              <w:pStyle w:val="yTable"/>
              <w:spacing w:after="30"/>
              <w:jc w:val="center"/>
            </w:pPr>
            <w:r>
              <w:t>15</w:t>
            </w:r>
          </w:p>
        </w:tc>
      </w:tr>
      <w:tr>
        <w:trPr>
          <w:cantSplit/>
        </w:trPr>
        <w:tc>
          <w:tcPr>
            <w:tcW w:w="6120" w:type="dxa"/>
          </w:tcPr>
          <w:p>
            <w:pPr>
              <w:pStyle w:val="yTable"/>
              <w:keepNext/>
              <w:spacing w:after="30"/>
            </w:pPr>
            <w:r>
              <w:t>Anaesthesia for all closed chest procedures (including rigid oesophagoscopy or bronchoscopy)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needle biopsy of pleura</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pneumocentesis</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thoracoscopy</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mediastinoscopy</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Anaesthesia for all thoracotomy procedures involving lungs, pleura, diaphragm, and mediastinum unless otherwise specified</w:t>
            </w:r>
          </w:p>
        </w:tc>
        <w:tc>
          <w:tcPr>
            <w:tcW w:w="960" w:type="dxa"/>
            <w:vAlign w:val="bottom"/>
          </w:tcPr>
          <w:p>
            <w:pPr>
              <w:pStyle w:val="yTable"/>
              <w:keepNext/>
              <w:spacing w:after="30"/>
              <w:jc w:val="center"/>
            </w:pPr>
            <w:r>
              <w:t>13</w:t>
            </w:r>
          </w:p>
        </w:tc>
      </w:tr>
      <w:tr>
        <w:trPr>
          <w:cantSplit/>
        </w:trPr>
        <w:tc>
          <w:tcPr>
            <w:tcW w:w="6120" w:type="dxa"/>
          </w:tcPr>
          <w:p>
            <w:pPr>
              <w:pStyle w:val="yTable"/>
              <w:spacing w:after="30"/>
            </w:pPr>
            <w:r>
              <w:t> — pulmonary decortication</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pulmonary resection with thoracoplasty</w:t>
            </w:r>
          </w:p>
        </w:tc>
        <w:tc>
          <w:tcPr>
            <w:tcW w:w="960" w:type="dxa"/>
            <w:vAlign w:val="bottom"/>
          </w:tcPr>
          <w:p>
            <w:pPr>
              <w:pStyle w:val="yTable"/>
              <w:keepNext/>
              <w:spacing w:after="30"/>
              <w:jc w:val="center"/>
            </w:pPr>
            <w:r>
              <w:t>15</w:t>
            </w:r>
          </w:p>
        </w:tc>
      </w:tr>
      <w:tr>
        <w:trPr>
          <w:cantSplit/>
        </w:trPr>
        <w:tc>
          <w:tcPr>
            <w:tcW w:w="6120" w:type="dxa"/>
          </w:tcPr>
          <w:p>
            <w:pPr>
              <w:pStyle w:val="yTable"/>
              <w:spacing w:after="30"/>
              <w:ind w:left="340" w:hanging="340"/>
            </w:pPr>
            <w:r>
              <w:t> — intrathoracic repair of trauma to trachea and bronchi</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Anaesthesia for all open procedures on the heart, pericardium, and great vessels of the chest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Anaesthesia for heart transplant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Anaesthesia for heart and lung transplant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Cadaver harvesting of heart and/or lungs</w:t>
            </w:r>
          </w:p>
        </w:tc>
        <w:tc>
          <w:tcPr>
            <w:tcW w:w="960" w:type="dxa"/>
            <w:vAlign w:val="bottom"/>
          </w:tcPr>
          <w:p>
            <w:pPr>
              <w:pStyle w:val="yTable"/>
              <w:keepNext/>
              <w:spacing w:after="30"/>
              <w:jc w:val="center"/>
            </w:pPr>
            <w:r>
              <w:t>8</w:t>
            </w:r>
          </w:p>
        </w:tc>
      </w:tr>
      <w:tr>
        <w:trPr>
          <w:cantSplit/>
        </w:trPr>
        <w:tc>
          <w:tcPr>
            <w:tcW w:w="6120" w:type="dxa"/>
          </w:tcPr>
          <w:p>
            <w:pPr>
              <w:pStyle w:val="yTable"/>
              <w:keepNext/>
              <w:spacing w:before="240" w:after="40"/>
            </w:pPr>
            <w:r>
              <w:rPr>
                <w:b/>
              </w:rPr>
              <w:t>Spine and spinal cord</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cervical spine and/or cord unless otherwise specified (for myelography and discography see items in ‘Other Procedures’)</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posterior cervical laminectomy in sitting position</w:t>
            </w:r>
          </w:p>
        </w:tc>
        <w:tc>
          <w:tcPr>
            <w:tcW w:w="960" w:type="dxa"/>
            <w:vAlign w:val="bottom"/>
          </w:tcPr>
          <w:p>
            <w:pPr>
              <w:pStyle w:val="yTable"/>
              <w:keepNext/>
              <w:spacing w:after="30"/>
              <w:jc w:val="center"/>
            </w:pPr>
            <w:r>
              <w:t>13</w:t>
            </w:r>
          </w:p>
        </w:tc>
      </w:tr>
      <w:tr>
        <w:trPr>
          <w:cantSplit/>
        </w:trPr>
        <w:tc>
          <w:tcPr>
            <w:tcW w:w="6120" w:type="dxa"/>
          </w:tcPr>
          <w:p>
            <w:pPr>
              <w:pStyle w:val="yTable"/>
              <w:keepNext/>
              <w:spacing w:after="40"/>
            </w:pPr>
            <w:r>
              <w:t>Anaesthesia for all procedures on the thoracic spine and/or cord unless otherwise specified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thoracolumbar sympathectomy</w:t>
            </w:r>
          </w:p>
        </w:tc>
        <w:tc>
          <w:tcPr>
            <w:tcW w:w="960" w:type="dxa"/>
            <w:vAlign w:val="bottom"/>
          </w:tcPr>
          <w:p>
            <w:pPr>
              <w:pStyle w:val="yTable"/>
              <w:keepNext/>
              <w:spacing w:after="40"/>
              <w:jc w:val="center"/>
            </w:pPr>
            <w:r>
              <w:t>13</w:t>
            </w:r>
          </w:p>
        </w:tc>
      </w:tr>
      <w:tr>
        <w:trPr>
          <w:cantSplit/>
        </w:trPr>
        <w:tc>
          <w:tcPr>
            <w:tcW w:w="6120" w:type="dxa"/>
          </w:tcPr>
          <w:p>
            <w:pPr>
              <w:pStyle w:val="yTable"/>
              <w:keepNext/>
              <w:spacing w:after="40"/>
            </w:pPr>
            <w:r>
              <w:t>Anaesthesia for all procedures in the lumbar region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lumbar sympathectomy</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chemonucleolysis</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extensive spine and spinal cord procedures</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Anaesthesia for manipulation of spine</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percutaneous spinal procedures</w:t>
            </w:r>
          </w:p>
        </w:tc>
        <w:tc>
          <w:tcPr>
            <w:tcW w:w="960" w:type="dxa"/>
            <w:vAlign w:val="bottom"/>
          </w:tcPr>
          <w:p>
            <w:pPr>
              <w:pStyle w:val="yTable"/>
              <w:keepNext/>
              <w:spacing w:after="40"/>
              <w:jc w:val="center"/>
            </w:pPr>
            <w:r>
              <w:t>5</w:t>
            </w:r>
          </w:p>
        </w:tc>
      </w:tr>
      <w:tr>
        <w:trPr>
          <w:cantSplit/>
        </w:trPr>
        <w:tc>
          <w:tcPr>
            <w:tcW w:w="6120" w:type="dxa"/>
          </w:tcPr>
          <w:p>
            <w:pPr>
              <w:pStyle w:val="yTable"/>
              <w:spacing w:before="240" w:after="40"/>
            </w:pPr>
            <w:r>
              <w:rPr>
                <w:b/>
              </w:rPr>
              <w:t>Upper abdomen</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upper abdominal wall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nerves, muscles, tendons and fascia of the upper abdominal wall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diagnostic laparoscopy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laparoscopic procedures unless otherwise specified</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extracorporeal shock wave lithotripsy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upper gastrointestinal endoscopic procedures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upper gastrointestinal endoscopic procedures in association with imaging techniques including fluoroscopy and ultrasound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upper gastrointestinal endoscopic procedures in association with acute gastrointestinal haemorrhage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hernia repairs in upper abdomen unless otherwise specified</w:t>
            </w:r>
          </w:p>
        </w:tc>
        <w:tc>
          <w:tcPr>
            <w:tcW w:w="960" w:type="dxa"/>
            <w:vAlign w:val="bottom"/>
          </w:tcPr>
          <w:p>
            <w:pPr>
              <w:pStyle w:val="yTable"/>
              <w:keepNext/>
              <w:keepLines/>
              <w:spacing w:after="40"/>
              <w:jc w:val="center"/>
            </w:pPr>
            <w:r>
              <w:t>4</w:t>
            </w:r>
          </w:p>
        </w:tc>
      </w:tr>
      <w:tr>
        <w:trPr>
          <w:cantSplit/>
        </w:trPr>
        <w:tc>
          <w:tcPr>
            <w:tcW w:w="6120" w:type="dxa"/>
          </w:tcPr>
          <w:p>
            <w:pPr>
              <w:pStyle w:val="yTable"/>
              <w:spacing w:after="40"/>
              <w:ind w:left="340" w:hanging="340"/>
            </w:pPr>
            <w:r>
              <w:t> — repair of incisional hernia and/or wound dehiscence</w:t>
            </w:r>
          </w:p>
        </w:tc>
        <w:tc>
          <w:tcPr>
            <w:tcW w:w="960" w:type="dxa"/>
            <w:vAlign w:val="bottom"/>
          </w:tcPr>
          <w:p>
            <w:pPr>
              <w:pStyle w:val="yTable"/>
              <w:keepNext/>
              <w:keepLines/>
              <w:spacing w:after="40"/>
              <w:jc w:val="center"/>
            </w:pPr>
            <w:r>
              <w:t>6</w:t>
            </w:r>
          </w:p>
        </w:tc>
      </w:tr>
      <w:tr>
        <w:trPr>
          <w:cantSplit/>
        </w:trPr>
        <w:tc>
          <w:tcPr>
            <w:tcW w:w="6120" w:type="dxa"/>
          </w:tcPr>
          <w:p>
            <w:pPr>
              <w:pStyle w:val="yTable"/>
              <w:spacing w:after="40"/>
            </w:pPr>
            <w:r>
              <w:t> — repair of omphalocele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transabdominal repair of diaphragmatic hernia</w:t>
            </w:r>
          </w:p>
        </w:tc>
        <w:tc>
          <w:tcPr>
            <w:tcW w:w="960" w:type="dxa"/>
            <w:vAlign w:val="bottom"/>
          </w:tcPr>
          <w:p>
            <w:pPr>
              <w:pStyle w:val="yTable"/>
              <w:keepNext/>
              <w:spacing w:after="40"/>
              <w:jc w:val="center"/>
            </w:pPr>
            <w:r>
              <w:t>9</w:t>
            </w:r>
          </w:p>
        </w:tc>
      </w:tr>
      <w:tr>
        <w:trPr>
          <w:cantSplit/>
        </w:trPr>
        <w:tc>
          <w:tcPr>
            <w:tcW w:w="6120" w:type="dxa"/>
          </w:tcPr>
          <w:p>
            <w:pPr>
              <w:pStyle w:val="yTable"/>
              <w:spacing w:after="40"/>
            </w:pPr>
            <w:r>
              <w:t>Anaesthesia for all procedures on major abdominal blood vessels</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all procedures within the peritoneal cavity in upper abdomen including cholecystectomy, gastrectomy, laparoscopic nephrectomy, bowel shunts and cadaver harvesting of organs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gastric reduction or gastroplasty for the treatment of morbid obesity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partial hepatectomy (excluding liver biopsy)</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Anaesthesia for extended or trisegmental hepatectomy</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pancreatectomy, partial or total (eg. Whipple procedure)</w:t>
            </w:r>
          </w:p>
        </w:tc>
        <w:tc>
          <w:tcPr>
            <w:tcW w:w="960" w:type="dxa"/>
            <w:vAlign w:val="bottom"/>
          </w:tcPr>
          <w:p>
            <w:pPr>
              <w:pStyle w:val="yTable"/>
              <w:keepNext/>
              <w:spacing w:after="40"/>
              <w:jc w:val="center"/>
            </w:pPr>
            <w:r>
              <w:t>12</w:t>
            </w:r>
          </w:p>
        </w:tc>
      </w:tr>
      <w:tr>
        <w:trPr>
          <w:cantSplit/>
        </w:trPr>
        <w:tc>
          <w:tcPr>
            <w:tcW w:w="6120" w:type="dxa"/>
          </w:tcPr>
          <w:p>
            <w:pPr>
              <w:pStyle w:val="yTable"/>
              <w:spacing w:after="40"/>
            </w:pPr>
            <w:r>
              <w:t>Anaesthesia for liver transplant (recipient)</w:t>
            </w:r>
          </w:p>
        </w:tc>
        <w:tc>
          <w:tcPr>
            <w:tcW w:w="960" w:type="dxa"/>
            <w:vAlign w:val="bottom"/>
          </w:tcPr>
          <w:p>
            <w:pPr>
              <w:pStyle w:val="yTable"/>
              <w:keepNext/>
              <w:spacing w:after="40"/>
              <w:jc w:val="center"/>
            </w:pPr>
            <w:r>
              <w:t>30</w:t>
            </w:r>
          </w:p>
        </w:tc>
      </w:tr>
      <w:tr>
        <w:trPr>
          <w:cantSplit/>
        </w:trPr>
        <w:tc>
          <w:tcPr>
            <w:tcW w:w="6120" w:type="dxa"/>
          </w:tcPr>
          <w:p>
            <w:pPr>
              <w:pStyle w:val="yTable"/>
              <w:spacing w:after="40"/>
            </w:pPr>
            <w:r>
              <w:t>Anaesthesia for neuro endocrine tumour removal (eg. carcinoid)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percutaneous procedures on an intra</w:t>
            </w:r>
            <w:r>
              <w:noBreakHyphen/>
              <w:t>abdominal organ in the upper abdomen</w:t>
            </w:r>
          </w:p>
        </w:tc>
        <w:tc>
          <w:tcPr>
            <w:tcW w:w="960" w:type="dxa"/>
            <w:vAlign w:val="bottom"/>
          </w:tcPr>
          <w:p>
            <w:pPr>
              <w:pStyle w:val="yTable"/>
              <w:keepNext/>
              <w:spacing w:after="40"/>
              <w:jc w:val="center"/>
            </w:pPr>
            <w:r>
              <w:t>6</w:t>
            </w:r>
          </w:p>
        </w:tc>
      </w:tr>
      <w:tr>
        <w:trPr>
          <w:cantSplit/>
        </w:trPr>
        <w:tc>
          <w:tcPr>
            <w:tcW w:w="6120" w:type="dxa"/>
          </w:tcPr>
          <w:p>
            <w:pPr>
              <w:pStyle w:val="yTable"/>
              <w:keepNext/>
              <w:spacing w:before="260" w:after="40"/>
            </w:pPr>
            <w:r>
              <w:rPr>
                <w:b/>
              </w:rPr>
              <w:t>Lower abdomen</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lower abdominal wall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 — lipectomy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procedures on the nerves, muscles, tendons and fascia of the lower abdominal wall (with the exception of abdominal lipectomy)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diagnostic laparoscopy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laparoscopic procedures</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all lower intestinal endoscopic procedures (modifier for prone position is not applicable)</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extracorporeal shock wave lithotripsy</w:t>
            </w:r>
          </w:p>
        </w:tc>
        <w:tc>
          <w:tcPr>
            <w:tcW w:w="960" w:type="dxa"/>
            <w:vAlign w:val="bottom"/>
          </w:tcPr>
          <w:p>
            <w:pPr>
              <w:pStyle w:val="yTable"/>
              <w:keepNext/>
              <w:spacing w:after="40"/>
              <w:jc w:val="center"/>
            </w:pPr>
            <w:r>
              <w:t>6</w:t>
            </w:r>
          </w:p>
        </w:tc>
      </w:tr>
      <w:tr>
        <w:trPr>
          <w:cantSplit/>
        </w:trPr>
        <w:tc>
          <w:tcPr>
            <w:tcW w:w="6120" w:type="dxa"/>
          </w:tcPr>
          <w:p>
            <w:pPr>
              <w:pStyle w:val="yTable"/>
              <w:keepNext/>
              <w:spacing w:after="40"/>
            </w:pPr>
            <w:r>
              <w:t>Anaesthesia for all hernia repairs in lower abdomen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repair of incisional hernia and/or wound dehiscence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procedures within the peritoneal cavity in the lower abdomen (including appendicetomy)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bowel resection, including laparascopic bowel resection,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amniocentesis</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abdominoperineal resection, including pull through procedures, ultra low anterior resection and formation of bowel reservoir</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prostatectomy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hysterectomy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ovarian surgery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pelvic exenteration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Caesarean section</w:t>
            </w:r>
          </w:p>
        </w:tc>
        <w:tc>
          <w:tcPr>
            <w:tcW w:w="960" w:type="dxa"/>
            <w:vAlign w:val="bottom"/>
          </w:tcPr>
          <w:p>
            <w:pPr>
              <w:pStyle w:val="yTable"/>
              <w:keepNext/>
              <w:spacing w:after="40"/>
              <w:jc w:val="center"/>
            </w:pPr>
            <w:r>
              <w:t>10</w:t>
            </w:r>
          </w:p>
        </w:tc>
      </w:tr>
      <w:tr>
        <w:trPr>
          <w:cantSplit/>
        </w:trPr>
        <w:tc>
          <w:tcPr>
            <w:tcW w:w="6120" w:type="dxa"/>
          </w:tcPr>
          <w:p>
            <w:pPr>
              <w:pStyle w:val="yTable"/>
              <w:tabs>
                <w:tab w:val="left" w:pos="567"/>
              </w:tabs>
              <w:spacing w:after="40"/>
              <w:ind w:left="340" w:hanging="340"/>
            </w:pPr>
            <w:r>
              <w:t> — Caesarean hysterectomy or hysterectomy within 24 hours of delivery</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all extraperitoneal procedures in lower abdomen, including urinary tract,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renal procedures, including upper 1/3 or ureter</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total cystectomy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adrenalectomy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neuro endocrine tumour removal (eg. carcinoid)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renal transplant (donor or recipient)</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procedures on major lower abdominal vessels unless otherwise specified</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 inferior vena cava ligation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percutaneous umbrella insertion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percutaneous procedures on an intra</w:t>
            </w:r>
            <w:r>
              <w:noBreakHyphen/>
              <w:t>abdominal organ in the lower abdomen</w:t>
            </w:r>
          </w:p>
        </w:tc>
        <w:tc>
          <w:tcPr>
            <w:tcW w:w="960" w:type="dxa"/>
            <w:vAlign w:val="bottom"/>
          </w:tcPr>
          <w:p>
            <w:pPr>
              <w:pStyle w:val="yTable"/>
              <w:keepNext/>
              <w:spacing w:after="40"/>
              <w:jc w:val="center"/>
            </w:pPr>
            <w:r>
              <w:t>6</w:t>
            </w:r>
          </w:p>
        </w:tc>
      </w:tr>
      <w:tr>
        <w:trPr>
          <w:cantSplit/>
        </w:trPr>
        <w:tc>
          <w:tcPr>
            <w:tcW w:w="6120" w:type="dxa"/>
          </w:tcPr>
          <w:p>
            <w:pPr>
              <w:pStyle w:val="yTable"/>
              <w:spacing w:before="260" w:after="40"/>
            </w:pPr>
            <w:r>
              <w:rPr>
                <w:b/>
              </w:rPr>
              <w:t>Perineum</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perineum (including biopsy of male genital system)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ind w:left="340" w:hanging="340"/>
            </w:pPr>
            <w:r>
              <w:t> — anorectal procedure (including endoscopy and/or biopsy)</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radical perineal procedure including radical perineal prostatectomy or radical vulvectomy</w:t>
            </w:r>
          </w:p>
        </w:tc>
        <w:tc>
          <w:tcPr>
            <w:tcW w:w="960" w:type="dxa"/>
            <w:vAlign w:val="bottom"/>
          </w:tcPr>
          <w:p>
            <w:pPr>
              <w:pStyle w:val="yTable"/>
              <w:keepNext/>
              <w:spacing w:after="40"/>
              <w:jc w:val="center"/>
            </w:pPr>
            <w:r>
              <w:t>7</w:t>
            </w:r>
          </w:p>
        </w:tc>
      </w:tr>
      <w:tr>
        <w:trPr>
          <w:cantSplit/>
        </w:trPr>
        <w:tc>
          <w:tcPr>
            <w:tcW w:w="6120" w:type="dxa"/>
          </w:tcPr>
          <w:p>
            <w:pPr>
              <w:pStyle w:val="yTable"/>
              <w:spacing w:after="40"/>
              <w:ind w:left="567" w:hanging="567"/>
            </w:pPr>
            <w:r>
              <w:t> — vulvectomy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transurethral procedures (including urethrocystoscopy)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transurethral resection of bladder tumour(s)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transurethral resection of prostate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post</w:t>
            </w:r>
            <w:r>
              <w:noBreakHyphen/>
              <w:t>transurethral resection bleeding</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all procedures on male external genitalia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 — undescended testis, unilateral or bilateral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procedures on the cord and/or testes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radical orchidectomy, inguinal approach</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radical orchidectomy, abdominal approach</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orchiopexy, unilateral or bilateral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complete amputation of the penis</w:t>
            </w:r>
          </w:p>
        </w:tc>
        <w:tc>
          <w:tcPr>
            <w:tcW w:w="960" w:type="dxa"/>
            <w:vAlign w:val="bottom"/>
          </w:tcPr>
          <w:p>
            <w:pPr>
              <w:pStyle w:val="yTable"/>
              <w:keepNext/>
              <w:spacing w:after="40"/>
              <w:jc w:val="center"/>
            </w:pPr>
            <w:r>
              <w:t>4</w:t>
            </w:r>
          </w:p>
        </w:tc>
      </w:tr>
      <w:tr>
        <w:trPr>
          <w:cantSplit/>
        </w:trPr>
        <w:tc>
          <w:tcPr>
            <w:tcW w:w="6120" w:type="dxa"/>
          </w:tcPr>
          <w:p>
            <w:pPr>
              <w:pStyle w:val="yTable"/>
              <w:tabs>
                <w:tab w:val="left" w:pos="567"/>
              </w:tabs>
              <w:spacing w:after="40"/>
              <w:ind w:left="397" w:hanging="397"/>
            </w:pPr>
            <w:r>
              <w:t> — complete amputation of the penis with bilateral inguinal lymphadenectomy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complete amputation of the penis with bilateral inguinal and iliac lymphadenectomy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insertion of penile prosthesis (perianal approach)</w:t>
            </w:r>
          </w:p>
        </w:tc>
        <w:tc>
          <w:tcPr>
            <w:tcW w:w="960" w:type="dxa"/>
            <w:vAlign w:val="bottom"/>
          </w:tcPr>
          <w:p>
            <w:pPr>
              <w:pStyle w:val="yTable"/>
              <w:keepNext/>
              <w:spacing w:after="40"/>
              <w:jc w:val="center"/>
            </w:pPr>
            <w:r>
              <w:t>4</w:t>
            </w:r>
          </w:p>
        </w:tc>
      </w:tr>
      <w:tr>
        <w:trPr>
          <w:cantSplit/>
        </w:trPr>
        <w:tc>
          <w:tcPr>
            <w:tcW w:w="6120" w:type="dxa"/>
          </w:tcPr>
          <w:p>
            <w:pPr>
              <w:pStyle w:val="yTable"/>
              <w:keepNext/>
              <w:spacing w:after="40"/>
            </w:pPr>
            <w:r>
              <w:t>Anaesthesia for all vaginal procedures (including biopsy of labia, vagina, cervix or endometrium)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colpotomy, colpectomy, colporrhaphy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transvaginal assisted reproductive services</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vaginal hysterectomy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vaginal delivery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purse string ligation of cervix</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culdoscopy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hysteroscopy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endometrial ablation or resection in association with hysteroscopy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correction of inverted uterus</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evacuation of retained products of conception, as a complication of confinement</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for the manual removal of retained placenta or for repair of vaginal or perineal tear following delivery</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40" w:hanging="340"/>
            </w:pPr>
            <w:r>
              <w:t> — for vaginal procedures in the management of post partum haemorrhage</w:t>
            </w:r>
          </w:p>
        </w:tc>
        <w:tc>
          <w:tcPr>
            <w:tcW w:w="960" w:type="dxa"/>
            <w:vAlign w:val="bottom"/>
          </w:tcPr>
          <w:p>
            <w:pPr>
              <w:pStyle w:val="yTable"/>
              <w:keepNext/>
              <w:spacing w:after="40"/>
              <w:jc w:val="center"/>
            </w:pPr>
            <w:r>
              <w:t>7</w:t>
            </w:r>
          </w:p>
        </w:tc>
      </w:tr>
      <w:tr>
        <w:trPr>
          <w:cantSplit/>
        </w:trPr>
        <w:tc>
          <w:tcPr>
            <w:tcW w:w="6120" w:type="dxa"/>
          </w:tcPr>
          <w:p>
            <w:pPr>
              <w:pStyle w:val="yTable"/>
              <w:spacing w:before="240" w:after="20"/>
            </w:pPr>
            <w:r>
              <w:rPr>
                <w:b/>
              </w:rPr>
              <w:t>Pelvis — except hip</w:t>
            </w:r>
          </w:p>
        </w:tc>
        <w:tc>
          <w:tcPr>
            <w:tcW w:w="960" w:type="dxa"/>
            <w:vAlign w:val="bottom"/>
          </w:tcPr>
          <w:p>
            <w:pPr>
              <w:pStyle w:val="yTable"/>
              <w:keepNext/>
              <w:spacing w:before="40" w:after="20"/>
              <w:jc w:val="center"/>
            </w:pPr>
          </w:p>
        </w:tc>
      </w:tr>
      <w:tr>
        <w:trPr>
          <w:cantSplit/>
        </w:trPr>
        <w:tc>
          <w:tcPr>
            <w:tcW w:w="6120" w:type="dxa"/>
          </w:tcPr>
          <w:p>
            <w:pPr>
              <w:pStyle w:val="yTable"/>
              <w:spacing w:after="40"/>
            </w:pPr>
            <w:r>
              <w:t>Anaesthesia for all procedures on the skin and subcutaneous tissue of the pelvic region, except external genitalia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percutaneous bone marrow biopsy of the anterior iliac crest</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percutaneous bone marrow biopsy of the posterior iliac crest</w:t>
            </w:r>
          </w:p>
        </w:tc>
        <w:tc>
          <w:tcPr>
            <w:tcW w:w="960" w:type="dxa"/>
            <w:vAlign w:val="bottom"/>
          </w:tcPr>
          <w:p>
            <w:pPr>
              <w:pStyle w:val="yTable"/>
              <w:keepNext/>
              <w:spacing w:after="40"/>
              <w:jc w:val="center"/>
            </w:pPr>
            <w:r>
              <w:t>5</w:t>
            </w:r>
          </w:p>
        </w:tc>
      </w:tr>
      <w:tr>
        <w:trPr>
          <w:cantSplit/>
        </w:trPr>
        <w:tc>
          <w:tcPr>
            <w:tcW w:w="6120" w:type="dxa"/>
          </w:tcPr>
          <w:p>
            <w:pPr>
              <w:pStyle w:val="yTable"/>
              <w:spacing w:before="40" w:after="40"/>
            </w:pPr>
            <w:r>
              <w:t>Anaesthesia for percutaneous bone marrow harvesting from the pelvis</w:t>
            </w:r>
          </w:p>
        </w:tc>
        <w:tc>
          <w:tcPr>
            <w:tcW w:w="960" w:type="dxa"/>
            <w:vAlign w:val="bottom"/>
          </w:tcPr>
          <w:p>
            <w:pPr>
              <w:pStyle w:val="yTable"/>
              <w:keepNext/>
              <w:spacing w:before="40" w:after="40"/>
              <w:jc w:val="center"/>
            </w:pPr>
            <w:r>
              <w:t>6</w:t>
            </w:r>
          </w:p>
        </w:tc>
      </w:tr>
      <w:tr>
        <w:trPr>
          <w:cantSplit/>
        </w:trPr>
        <w:tc>
          <w:tcPr>
            <w:tcW w:w="6120" w:type="dxa"/>
          </w:tcPr>
          <w:p>
            <w:pPr>
              <w:pStyle w:val="yTable"/>
              <w:spacing w:before="40" w:after="40"/>
            </w:pPr>
            <w:r>
              <w:t>Anaesthesia for procedures on bony pelvis</w:t>
            </w:r>
          </w:p>
        </w:tc>
        <w:tc>
          <w:tcPr>
            <w:tcW w:w="960" w:type="dxa"/>
            <w:vAlign w:val="bottom"/>
          </w:tcPr>
          <w:p>
            <w:pPr>
              <w:pStyle w:val="yTable"/>
              <w:keepNext/>
              <w:spacing w:before="40" w:after="40"/>
              <w:jc w:val="center"/>
            </w:pPr>
            <w:r>
              <w:t>6</w:t>
            </w:r>
          </w:p>
        </w:tc>
      </w:tr>
      <w:tr>
        <w:trPr>
          <w:cantSplit/>
        </w:trPr>
        <w:tc>
          <w:tcPr>
            <w:tcW w:w="6120" w:type="dxa"/>
          </w:tcPr>
          <w:p>
            <w:pPr>
              <w:pStyle w:val="yTable"/>
              <w:spacing w:before="40" w:after="40"/>
            </w:pPr>
            <w:r>
              <w:t>Anaesthesia for body cast application or revision</w:t>
            </w:r>
          </w:p>
        </w:tc>
        <w:tc>
          <w:tcPr>
            <w:tcW w:w="960" w:type="dxa"/>
            <w:vAlign w:val="bottom"/>
          </w:tcPr>
          <w:p>
            <w:pPr>
              <w:pStyle w:val="yTable"/>
              <w:keepNext/>
              <w:spacing w:before="40" w:after="40"/>
              <w:jc w:val="center"/>
            </w:pPr>
            <w:r>
              <w:t>3</w:t>
            </w:r>
          </w:p>
        </w:tc>
      </w:tr>
      <w:tr>
        <w:trPr>
          <w:cantSplit/>
        </w:trPr>
        <w:tc>
          <w:tcPr>
            <w:tcW w:w="6120" w:type="dxa"/>
          </w:tcPr>
          <w:p>
            <w:pPr>
              <w:pStyle w:val="yTable"/>
              <w:spacing w:before="40" w:after="40"/>
            </w:pPr>
            <w:r>
              <w:t>Anaesthesia for interpelviabdominal (hind quarter) amputation</w:t>
            </w:r>
          </w:p>
        </w:tc>
        <w:tc>
          <w:tcPr>
            <w:tcW w:w="960" w:type="dxa"/>
            <w:vAlign w:val="bottom"/>
          </w:tcPr>
          <w:p>
            <w:pPr>
              <w:pStyle w:val="yTable"/>
              <w:keepNext/>
              <w:spacing w:before="40" w:after="40"/>
              <w:jc w:val="center"/>
            </w:pPr>
            <w:r>
              <w:t>15</w:t>
            </w:r>
          </w:p>
        </w:tc>
      </w:tr>
      <w:tr>
        <w:trPr>
          <w:cantSplit/>
        </w:trPr>
        <w:tc>
          <w:tcPr>
            <w:tcW w:w="6120" w:type="dxa"/>
          </w:tcPr>
          <w:p>
            <w:pPr>
              <w:pStyle w:val="yTable"/>
              <w:spacing w:before="40" w:after="30"/>
            </w:pPr>
            <w:r>
              <w:t>Anaesthesia for radical procedures for tumour of pelvis, except hind quarter amputation</w:t>
            </w:r>
          </w:p>
        </w:tc>
        <w:tc>
          <w:tcPr>
            <w:tcW w:w="960" w:type="dxa"/>
            <w:vAlign w:val="bottom"/>
          </w:tcPr>
          <w:p>
            <w:pPr>
              <w:pStyle w:val="yTable"/>
              <w:keepNext/>
              <w:spacing w:before="40" w:after="30"/>
              <w:jc w:val="center"/>
            </w:pPr>
            <w:r>
              <w:t>10</w:t>
            </w:r>
          </w:p>
        </w:tc>
      </w:tr>
      <w:tr>
        <w:trPr>
          <w:cantSplit/>
        </w:trPr>
        <w:tc>
          <w:tcPr>
            <w:tcW w:w="6120" w:type="dxa"/>
          </w:tcPr>
          <w:p>
            <w:pPr>
              <w:pStyle w:val="yTable"/>
              <w:spacing w:before="40" w:after="30"/>
            </w:pPr>
            <w:r>
              <w:t>Anaesthesia for closed procedures involving symphysis pubis or sacroiliac joint</w:t>
            </w:r>
          </w:p>
        </w:tc>
        <w:tc>
          <w:tcPr>
            <w:tcW w:w="960" w:type="dxa"/>
            <w:vAlign w:val="bottom"/>
          </w:tcPr>
          <w:p>
            <w:pPr>
              <w:pStyle w:val="yTable"/>
              <w:keepNext/>
              <w:spacing w:before="40" w:after="30"/>
              <w:jc w:val="center"/>
            </w:pPr>
            <w:r>
              <w:t>4</w:t>
            </w:r>
          </w:p>
        </w:tc>
      </w:tr>
      <w:tr>
        <w:trPr>
          <w:cantSplit/>
        </w:trPr>
        <w:tc>
          <w:tcPr>
            <w:tcW w:w="6120" w:type="dxa"/>
          </w:tcPr>
          <w:p>
            <w:pPr>
              <w:pStyle w:val="yTable"/>
              <w:spacing w:before="40" w:after="30"/>
            </w:pPr>
            <w:r>
              <w:t>Anaesthesia for open procedures involving symphysis pubis or sacroiliac joint</w:t>
            </w:r>
          </w:p>
        </w:tc>
        <w:tc>
          <w:tcPr>
            <w:tcW w:w="960" w:type="dxa"/>
            <w:vAlign w:val="bottom"/>
          </w:tcPr>
          <w:p>
            <w:pPr>
              <w:pStyle w:val="yTable"/>
              <w:keepNext/>
              <w:spacing w:before="40" w:after="30"/>
              <w:jc w:val="center"/>
            </w:pPr>
            <w:r>
              <w:t>8</w:t>
            </w:r>
          </w:p>
        </w:tc>
      </w:tr>
      <w:tr>
        <w:trPr>
          <w:cantSplit/>
        </w:trPr>
        <w:tc>
          <w:tcPr>
            <w:tcW w:w="6120" w:type="dxa"/>
          </w:tcPr>
          <w:p>
            <w:pPr>
              <w:pStyle w:val="yTable"/>
              <w:keepNext/>
              <w:spacing w:before="160" w:after="40"/>
            </w:pPr>
            <w:r>
              <w:rPr>
                <w:b/>
              </w:rPr>
              <w:t>Upper leg — except knee</w:t>
            </w:r>
          </w:p>
        </w:tc>
        <w:tc>
          <w:tcPr>
            <w:tcW w:w="960" w:type="dxa"/>
            <w:vAlign w:val="bottom"/>
          </w:tcPr>
          <w:p>
            <w:pPr>
              <w:pStyle w:val="yTable"/>
              <w:keepNext/>
              <w:spacing w:before="40" w:after="40"/>
              <w:jc w:val="center"/>
            </w:pPr>
          </w:p>
        </w:tc>
      </w:tr>
      <w:tr>
        <w:trPr>
          <w:cantSplit/>
        </w:trPr>
        <w:tc>
          <w:tcPr>
            <w:tcW w:w="6120" w:type="dxa"/>
          </w:tcPr>
          <w:p>
            <w:pPr>
              <w:pStyle w:val="yTable"/>
              <w:spacing w:before="40" w:after="30"/>
            </w:pPr>
            <w:r>
              <w:t>Anaesthesia for all procedures on the skin or subcutaneous tissue of the upper leg</w:t>
            </w:r>
          </w:p>
        </w:tc>
        <w:tc>
          <w:tcPr>
            <w:tcW w:w="960" w:type="dxa"/>
            <w:vAlign w:val="bottom"/>
          </w:tcPr>
          <w:p>
            <w:pPr>
              <w:pStyle w:val="yTable"/>
              <w:keepNext/>
              <w:spacing w:before="40" w:after="30"/>
              <w:jc w:val="center"/>
            </w:pPr>
            <w:r>
              <w:t>3</w:t>
            </w:r>
          </w:p>
        </w:tc>
      </w:tr>
      <w:tr>
        <w:trPr>
          <w:cantSplit/>
        </w:trPr>
        <w:tc>
          <w:tcPr>
            <w:tcW w:w="6120" w:type="dxa"/>
          </w:tcPr>
          <w:p>
            <w:pPr>
              <w:pStyle w:val="yTable"/>
              <w:spacing w:after="30"/>
              <w:ind w:left="340" w:hanging="340"/>
            </w:pPr>
            <w:r>
              <w:t> — on the nerves, muscles, tendons, fascia, or bursae of the upper leg</w:t>
            </w:r>
          </w:p>
        </w:tc>
        <w:tc>
          <w:tcPr>
            <w:tcW w:w="960" w:type="dxa"/>
            <w:vAlign w:val="bottom"/>
          </w:tcPr>
          <w:p>
            <w:pPr>
              <w:pStyle w:val="yTable"/>
              <w:keepNext/>
              <w:spacing w:before="40" w:after="30"/>
              <w:jc w:val="center"/>
            </w:pPr>
            <w:r>
              <w:t>4</w:t>
            </w:r>
          </w:p>
        </w:tc>
      </w:tr>
      <w:tr>
        <w:trPr>
          <w:cantSplit/>
        </w:trPr>
        <w:tc>
          <w:tcPr>
            <w:tcW w:w="6120" w:type="dxa"/>
          </w:tcPr>
          <w:p>
            <w:pPr>
              <w:pStyle w:val="yTable"/>
              <w:spacing w:after="30"/>
            </w:pPr>
            <w:r>
              <w:t>Anaesthesia for all closed procedures involving hip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arthroscopic procedures of hip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open procedures involving hip joint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hip disarticulation</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total hip replacement or revision</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bilateral total hip replacement</w:t>
            </w:r>
          </w:p>
        </w:tc>
        <w:tc>
          <w:tcPr>
            <w:tcW w:w="960" w:type="dxa"/>
            <w:vAlign w:val="bottom"/>
          </w:tcPr>
          <w:p>
            <w:pPr>
              <w:pStyle w:val="yTable"/>
              <w:keepNext/>
              <w:spacing w:after="30"/>
              <w:jc w:val="center"/>
            </w:pPr>
            <w:r>
              <w:t>14</w:t>
            </w:r>
          </w:p>
        </w:tc>
      </w:tr>
      <w:tr>
        <w:trPr>
          <w:cantSplit/>
        </w:trPr>
        <w:tc>
          <w:tcPr>
            <w:tcW w:w="6120" w:type="dxa"/>
          </w:tcPr>
          <w:p>
            <w:pPr>
              <w:pStyle w:val="yTable"/>
              <w:spacing w:after="30"/>
            </w:pPr>
            <w:r>
              <w:t>Anaesthesia for all closed procedures involving upper 2/3 of femur</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open procedures involving upper 2/3 of femur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amputation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Anaesthesia for all procedures involving veins of the upper leg including exploration</w:t>
            </w:r>
          </w:p>
        </w:tc>
        <w:tc>
          <w:tcPr>
            <w:tcW w:w="960" w:type="dxa"/>
            <w:vAlign w:val="bottom"/>
          </w:tcPr>
          <w:p>
            <w:pPr>
              <w:pStyle w:val="yTable"/>
              <w:keepNext/>
              <w:spacing w:after="30"/>
              <w:jc w:val="center"/>
            </w:pPr>
            <w:r>
              <w:t>4</w:t>
            </w:r>
          </w:p>
        </w:tc>
      </w:tr>
      <w:tr>
        <w:trPr>
          <w:cantSplit/>
        </w:trPr>
        <w:tc>
          <w:tcPr>
            <w:tcW w:w="6120" w:type="dxa"/>
          </w:tcPr>
          <w:p>
            <w:pPr>
              <w:pStyle w:val="yTable"/>
              <w:keepNext/>
              <w:spacing w:after="30"/>
            </w:pPr>
            <w:r>
              <w:t>Anaesthesia for all procedures involving arteries of the upper leg, including bypass graft,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keepNext/>
              <w:spacing w:after="30"/>
            </w:pPr>
            <w:r>
              <w:t> — femoral artery ligation</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femoral artery embolectomy</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for microsurgical reimplantation of upper leg</w:t>
            </w:r>
          </w:p>
        </w:tc>
        <w:tc>
          <w:tcPr>
            <w:tcW w:w="960" w:type="dxa"/>
            <w:vAlign w:val="bottom"/>
          </w:tcPr>
          <w:p>
            <w:pPr>
              <w:pStyle w:val="yTable"/>
              <w:keepNext/>
              <w:spacing w:after="30"/>
              <w:jc w:val="center"/>
            </w:pPr>
            <w:r>
              <w:t>15</w:t>
            </w:r>
          </w:p>
        </w:tc>
      </w:tr>
      <w:tr>
        <w:trPr>
          <w:cantSplit/>
        </w:trPr>
        <w:tc>
          <w:tcPr>
            <w:tcW w:w="6120" w:type="dxa"/>
          </w:tcPr>
          <w:p>
            <w:pPr>
              <w:pStyle w:val="yTable"/>
              <w:keepNext/>
              <w:keepLines/>
              <w:spacing w:before="240" w:after="40"/>
            </w:pPr>
            <w:r>
              <w:rPr>
                <w:b/>
              </w:rPr>
              <w:t>Knee and popliteal area</w:t>
            </w:r>
          </w:p>
        </w:tc>
        <w:tc>
          <w:tcPr>
            <w:tcW w:w="960" w:type="dxa"/>
            <w:vAlign w:val="bottom"/>
          </w:tcPr>
          <w:p>
            <w:pPr>
              <w:pStyle w:val="yTable"/>
              <w:keepNext/>
              <w:keepLines/>
              <w:spacing w:before="40" w:after="40"/>
              <w:jc w:val="center"/>
            </w:pPr>
          </w:p>
        </w:tc>
      </w:tr>
      <w:tr>
        <w:trPr>
          <w:cantSplit/>
        </w:trPr>
        <w:tc>
          <w:tcPr>
            <w:tcW w:w="6120" w:type="dxa"/>
          </w:tcPr>
          <w:p>
            <w:pPr>
              <w:pStyle w:val="yTable"/>
              <w:spacing w:after="40"/>
            </w:pPr>
            <w:r>
              <w:t>Anaesthesia for all procedures on the skin and subcutaneous tissue of the knee and/or popliteal area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nerves, muscles, tendons, fascia and bursae of the knee and/or popliteal area</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the lower 1/3 of femur</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open procedures on the lower 1/3 of femur</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closed procedures on the knee joint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arthroscopic procedures of the knee joint</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upper ends of the tibia and fibula, and/or patella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open procedures on upper ends of the tibia and fibula, and/or patella</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open procedures on the knee joint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knee replacement</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bilateral knee replacement</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disarticulation of knee</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cast applications, removal, or repair involving the knee joint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veins of the knee and popliteal area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repair of arteriovenous fistula</w:t>
            </w:r>
          </w:p>
        </w:tc>
        <w:tc>
          <w:tcPr>
            <w:tcW w:w="960" w:type="dxa"/>
            <w:vAlign w:val="bottom"/>
          </w:tcPr>
          <w:p>
            <w:pPr>
              <w:pStyle w:val="yTable"/>
              <w:keepNext/>
              <w:spacing w:after="40"/>
              <w:jc w:val="center"/>
            </w:pPr>
            <w:r>
              <w:t>5</w:t>
            </w:r>
          </w:p>
        </w:tc>
      </w:tr>
      <w:tr>
        <w:trPr>
          <w:cantSplit/>
        </w:trPr>
        <w:tc>
          <w:tcPr>
            <w:tcW w:w="6120" w:type="dxa"/>
          </w:tcPr>
          <w:p>
            <w:pPr>
              <w:pStyle w:val="yTable"/>
              <w:keepNext/>
              <w:spacing w:after="40"/>
            </w:pPr>
            <w:r>
              <w:t>Anaesthesia for all procedures on the arteries of the knee and popliteal area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before="240" w:after="40"/>
            </w:pPr>
            <w:r>
              <w:rPr>
                <w:b/>
              </w:rPr>
              <w:t>Lower leg — below knee (</w:t>
            </w:r>
            <w:r>
              <w:rPr>
                <w:b/>
                <w:i/>
              </w:rPr>
              <w:t>includes ankle and foot</w:t>
            </w:r>
            <w:r>
              <w:rPr>
                <w:b/>
              </w:rPr>
              <w:t>)</w:t>
            </w:r>
          </w:p>
        </w:tc>
        <w:tc>
          <w:tcPr>
            <w:tcW w:w="960" w:type="dxa"/>
            <w:vAlign w:val="bottom"/>
          </w:tcPr>
          <w:p>
            <w:pPr>
              <w:pStyle w:val="yTable"/>
              <w:keepNext/>
              <w:spacing w:before="0"/>
              <w:jc w:val="center"/>
            </w:pPr>
          </w:p>
        </w:tc>
      </w:tr>
      <w:tr>
        <w:trPr>
          <w:cantSplit/>
        </w:trPr>
        <w:tc>
          <w:tcPr>
            <w:tcW w:w="6120" w:type="dxa"/>
          </w:tcPr>
          <w:p>
            <w:pPr>
              <w:pStyle w:val="yTable"/>
              <w:spacing w:after="40"/>
            </w:pPr>
            <w:r>
              <w:t>Anaesthesia for all procedures on the skin or subcutaneous tissue of the lower leg, ankle and foot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nerves, muscles, tendons and fascia of the lower leg, ankle, and foot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the lower leg, ankle and foot</w:t>
            </w:r>
          </w:p>
        </w:tc>
        <w:tc>
          <w:tcPr>
            <w:tcW w:w="960" w:type="dxa"/>
            <w:vAlign w:val="bottom"/>
          </w:tcPr>
          <w:p>
            <w:pPr>
              <w:pStyle w:val="yTable"/>
              <w:keepNext/>
              <w:spacing w:after="40"/>
              <w:jc w:val="center"/>
            </w:pPr>
            <w:r>
              <w:t>3</w:t>
            </w:r>
          </w:p>
        </w:tc>
      </w:tr>
      <w:tr>
        <w:trPr>
          <w:cantSplit/>
        </w:trPr>
        <w:tc>
          <w:tcPr>
            <w:tcW w:w="6120" w:type="dxa"/>
          </w:tcPr>
          <w:p>
            <w:pPr>
              <w:pStyle w:val="yTable"/>
              <w:keepNext/>
              <w:keepLines/>
              <w:spacing w:after="40"/>
            </w:pPr>
            <w:r>
              <w:t>Anaesthesia for arthroscopic procedure of ankle joint</w:t>
            </w:r>
          </w:p>
        </w:tc>
        <w:tc>
          <w:tcPr>
            <w:tcW w:w="960" w:type="dxa"/>
            <w:vAlign w:val="bottom"/>
          </w:tcPr>
          <w:p>
            <w:pPr>
              <w:pStyle w:val="yTable"/>
              <w:keepNext/>
              <w:spacing w:after="40"/>
              <w:jc w:val="center"/>
            </w:pPr>
            <w:r>
              <w:t>4</w:t>
            </w:r>
          </w:p>
        </w:tc>
      </w:tr>
      <w:tr>
        <w:trPr>
          <w:cantSplit/>
        </w:trPr>
        <w:tc>
          <w:tcPr>
            <w:tcW w:w="6120" w:type="dxa"/>
          </w:tcPr>
          <w:p>
            <w:pPr>
              <w:pStyle w:val="yTable"/>
              <w:keepLines/>
              <w:spacing w:after="40"/>
            </w:pPr>
            <w:r>
              <w:t> — gastrocnemius recession</w:t>
            </w:r>
          </w:p>
        </w:tc>
        <w:tc>
          <w:tcPr>
            <w:tcW w:w="960" w:type="dxa"/>
            <w:vAlign w:val="bottom"/>
          </w:tcPr>
          <w:p>
            <w:pPr>
              <w:pStyle w:val="yTable"/>
              <w:spacing w:after="40"/>
              <w:jc w:val="center"/>
            </w:pPr>
            <w:r>
              <w:t>5</w:t>
            </w:r>
          </w:p>
        </w:tc>
      </w:tr>
      <w:tr>
        <w:trPr>
          <w:cantSplit/>
        </w:trPr>
        <w:tc>
          <w:tcPr>
            <w:tcW w:w="6120" w:type="dxa"/>
          </w:tcPr>
          <w:p>
            <w:pPr>
              <w:pStyle w:val="yTable"/>
              <w:spacing w:after="30"/>
            </w:pPr>
            <w:r>
              <w:t>Anaesthesia for all open procedures on the bones of the lower leg, ankle and foot, including amputation,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osteotomy or osteoplasty of tibia and fibula</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total ankle replacement</w:t>
            </w:r>
          </w:p>
        </w:tc>
        <w:tc>
          <w:tcPr>
            <w:tcW w:w="960" w:type="dxa"/>
            <w:vAlign w:val="bottom"/>
          </w:tcPr>
          <w:p>
            <w:pPr>
              <w:pStyle w:val="yTable"/>
              <w:keepNext/>
              <w:spacing w:after="30"/>
              <w:jc w:val="center"/>
            </w:pPr>
            <w:r>
              <w:t>7</w:t>
            </w:r>
          </w:p>
        </w:tc>
      </w:tr>
      <w:tr>
        <w:trPr>
          <w:cantSplit/>
        </w:trPr>
        <w:tc>
          <w:tcPr>
            <w:tcW w:w="6120" w:type="dxa"/>
          </w:tcPr>
          <w:p>
            <w:pPr>
              <w:pStyle w:val="yTable"/>
              <w:spacing w:after="30"/>
            </w:pPr>
            <w:r>
              <w:t>Anaesthesia for lower leg cast application, removal or repair</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arteries of the lower leg, including bypass graft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embolectomy</w:t>
            </w:r>
          </w:p>
        </w:tc>
        <w:tc>
          <w:tcPr>
            <w:tcW w:w="960" w:type="dxa"/>
            <w:vAlign w:val="bottom"/>
          </w:tcPr>
          <w:p>
            <w:pPr>
              <w:pStyle w:val="yTable"/>
              <w:keepNext/>
              <w:spacing w:after="30"/>
              <w:jc w:val="center"/>
            </w:pPr>
            <w:r>
              <w:t>6</w:t>
            </w:r>
          </w:p>
        </w:tc>
      </w:tr>
      <w:tr>
        <w:trPr>
          <w:cantSplit/>
        </w:trPr>
        <w:tc>
          <w:tcPr>
            <w:tcW w:w="6120" w:type="dxa"/>
          </w:tcPr>
          <w:p>
            <w:pPr>
              <w:pStyle w:val="yTable"/>
              <w:keepNext/>
              <w:spacing w:after="30"/>
            </w:pPr>
            <w:r>
              <w:t>Anaesthesia for all procedures on the veins of the lower leg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venous thrombectomy</w:t>
            </w:r>
          </w:p>
        </w:tc>
        <w:tc>
          <w:tcPr>
            <w:tcW w:w="960" w:type="dxa"/>
            <w:vAlign w:val="bottom"/>
          </w:tcPr>
          <w:p>
            <w:pPr>
              <w:pStyle w:val="yTable"/>
              <w:keepNext/>
              <w:spacing w:after="30"/>
              <w:jc w:val="center"/>
            </w:pPr>
            <w:r>
              <w:t>5</w:t>
            </w:r>
          </w:p>
        </w:tc>
      </w:tr>
      <w:tr>
        <w:trPr>
          <w:cantSplit/>
        </w:trPr>
        <w:tc>
          <w:tcPr>
            <w:tcW w:w="6120" w:type="dxa"/>
          </w:tcPr>
          <w:p>
            <w:pPr>
              <w:pStyle w:val="yTable"/>
              <w:spacing w:after="30"/>
              <w:ind w:left="340" w:hanging="340"/>
            </w:pPr>
            <w:r>
              <w:t> — for microsurgical reimplantation of the lower leg, ankle or foot</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for microsurgical reimplantation of the toe</w:t>
            </w:r>
          </w:p>
        </w:tc>
        <w:tc>
          <w:tcPr>
            <w:tcW w:w="960" w:type="dxa"/>
            <w:vAlign w:val="bottom"/>
          </w:tcPr>
          <w:p>
            <w:pPr>
              <w:pStyle w:val="yTable"/>
              <w:keepNext/>
              <w:spacing w:after="30"/>
              <w:jc w:val="center"/>
            </w:pPr>
            <w:r>
              <w:t>8</w:t>
            </w:r>
          </w:p>
        </w:tc>
      </w:tr>
      <w:tr>
        <w:trPr>
          <w:cantSplit/>
        </w:trPr>
        <w:tc>
          <w:tcPr>
            <w:tcW w:w="6120" w:type="dxa"/>
          </w:tcPr>
          <w:p>
            <w:pPr>
              <w:pStyle w:val="yTable"/>
              <w:spacing w:before="240" w:after="40"/>
            </w:pPr>
            <w:r>
              <w:rPr>
                <w:b/>
              </w:rPr>
              <w:t>Shoulder and axilla (</w:t>
            </w:r>
            <w:r>
              <w:rPr>
                <w:b/>
                <w:i/>
              </w:rPr>
              <w:t>includes humeral head and neck, sternoclavicular joint, acromioclavicular joint and shoulder joint</w:t>
            </w:r>
            <w:r>
              <w:rPr>
                <w:b/>
              </w:rPr>
              <w:t>)</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skin or subcutaneous tissue of the shoulder or axilla</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nerves, muscles, tendons, fascia and bursae of shoulder and axilla, including axillary dissection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closed procedures on humeral head and neck, sternoclavicular joint, acromioclavicular joint or the shoulder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arthroscopic procedures of the shoulder joint</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open procedures on the humeral head and neck, sternoclavicular joint, acromioclavicular joint or the shoulder joint unless otherwise specified</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shoulder disarticulation</w:t>
            </w:r>
          </w:p>
        </w:tc>
        <w:tc>
          <w:tcPr>
            <w:tcW w:w="960" w:type="dxa"/>
            <w:vAlign w:val="bottom"/>
          </w:tcPr>
          <w:p>
            <w:pPr>
              <w:pStyle w:val="yTable"/>
              <w:keepNext/>
              <w:spacing w:after="30"/>
              <w:jc w:val="center"/>
            </w:pPr>
            <w:r>
              <w:t>9</w:t>
            </w:r>
          </w:p>
        </w:tc>
      </w:tr>
      <w:tr>
        <w:trPr>
          <w:cantSplit/>
        </w:trPr>
        <w:tc>
          <w:tcPr>
            <w:tcW w:w="6120" w:type="dxa"/>
          </w:tcPr>
          <w:p>
            <w:pPr>
              <w:pStyle w:val="yTable"/>
              <w:spacing w:after="30"/>
            </w:pPr>
            <w:r>
              <w:t> — interthoracoscapular (forequarter) amputation</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total shoulder replacement</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all procedures on arteries of shoulder and axilla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axillary</w:t>
            </w:r>
            <w:r>
              <w:noBreakHyphen/>
              <w:t>brachial aneurysm</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bypass graft</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axillary</w:t>
            </w:r>
            <w:r>
              <w:noBreakHyphen/>
              <w:t>femoral bypass graft</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all procedures on veins of shoulder and axilla</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shoulder cast application, removal or repair unless otherwise specified</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 — shoulder spica</w:t>
            </w:r>
          </w:p>
        </w:tc>
        <w:tc>
          <w:tcPr>
            <w:tcW w:w="960" w:type="dxa"/>
            <w:vAlign w:val="bottom"/>
          </w:tcPr>
          <w:p>
            <w:pPr>
              <w:pStyle w:val="yTable"/>
              <w:keepNext/>
              <w:spacing w:after="30"/>
              <w:jc w:val="center"/>
            </w:pPr>
            <w:r>
              <w:t>4</w:t>
            </w:r>
          </w:p>
        </w:tc>
      </w:tr>
      <w:tr>
        <w:trPr>
          <w:cantSplit/>
        </w:trPr>
        <w:tc>
          <w:tcPr>
            <w:tcW w:w="6120" w:type="dxa"/>
          </w:tcPr>
          <w:p>
            <w:pPr>
              <w:pStyle w:val="yTable"/>
              <w:keepNext/>
              <w:spacing w:before="240" w:after="40"/>
            </w:pPr>
            <w:r>
              <w:rPr>
                <w:b/>
              </w:rPr>
              <w:t>Upper arm and elbow</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skin or subcutaneous tissue of the upper arm and elbow</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the nerves, muscles, tendons, fascia and bursae of upper arm and elbow,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tenotomy, elbow to shoulder, open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tenoplasty, elbow to shoulder</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tenodesis, rupture of long tendon of biceps</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closed procedures on the humerus and elbow</w:t>
            </w:r>
          </w:p>
        </w:tc>
        <w:tc>
          <w:tcPr>
            <w:tcW w:w="960" w:type="dxa"/>
            <w:vAlign w:val="bottom"/>
          </w:tcPr>
          <w:p>
            <w:pPr>
              <w:pStyle w:val="yTable"/>
              <w:keepNext/>
              <w:spacing w:after="30"/>
              <w:jc w:val="center"/>
            </w:pPr>
            <w:r>
              <w:t>3</w:t>
            </w:r>
          </w:p>
        </w:tc>
      </w:tr>
      <w:tr>
        <w:trPr>
          <w:cantSplit/>
        </w:trPr>
        <w:tc>
          <w:tcPr>
            <w:tcW w:w="6120" w:type="dxa"/>
          </w:tcPr>
          <w:p>
            <w:pPr>
              <w:pStyle w:val="yTable"/>
              <w:spacing w:before="56" w:after="30"/>
            </w:pPr>
            <w:r>
              <w:t>Anaesthesia for arthroscopic procedures of elbow joint</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open procedures on the humerus and elbow unless otherwise specified</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pPr>
            <w:r>
              <w:t> — radical procedures</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 — total elbow replacement</w:t>
            </w:r>
          </w:p>
        </w:tc>
        <w:tc>
          <w:tcPr>
            <w:tcW w:w="960" w:type="dxa"/>
            <w:vAlign w:val="bottom"/>
          </w:tcPr>
          <w:p>
            <w:pPr>
              <w:pStyle w:val="yTable"/>
              <w:keepNext/>
              <w:spacing w:before="56" w:after="30"/>
              <w:jc w:val="center"/>
            </w:pPr>
            <w:r>
              <w:t>7</w:t>
            </w:r>
          </w:p>
        </w:tc>
      </w:tr>
      <w:tr>
        <w:trPr>
          <w:cantSplit/>
        </w:trPr>
        <w:tc>
          <w:tcPr>
            <w:tcW w:w="6120" w:type="dxa"/>
          </w:tcPr>
          <w:p>
            <w:pPr>
              <w:pStyle w:val="yTable"/>
              <w:keepNext/>
              <w:spacing w:before="56" w:after="30"/>
            </w:pPr>
            <w:r>
              <w:t>Anaesthesia for all procedures on the arteries of the upper arm unless otherwise specified</w:t>
            </w:r>
          </w:p>
        </w:tc>
        <w:tc>
          <w:tcPr>
            <w:tcW w:w="960" w:type="dxa"/>
            <w:vAlign w:val="bottom"/>
          </w:tcPr>
          <w:p>
            <w:pPr>
              <w:pStyle w:val="yTable"/>
              <w:keepNext/>
              <w:spacing w:before="56" w:after="30"/>
              <w:jc w:val="center"/>
            </w:pPr>
            <w:r>
              <w:t>8</w:t>
            </w:r>
          </w:p>
        </w:tc>
      </w:tr>
      <w:tr>
        <w:trPr>
          <w:cantSplit/>
        </w:trPr>
        <w:tc>
          <w:tcPr>
            <w:tcW w:w="6120" w:type="dxa"/>
          </w:tcPr>
          <w:p>
            <w:pPr>
              <w:pStyle w:val="yTable"/>
              <w:spacing w:before="56" w:after="30"/>
            </w:pPr>
            <w:r>
              <w:t> — embolectomy</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Anaesthesia for all procedures on the veins of the upper arm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 — for microsurgical reimplantation of the upper arm</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240" w:after="40"/>
            </w:pPr>
            <w:r>
              <w:rPr>
                <w:b/>
              </w:rPr>
              <w:t>Forearm, wrist and hand</w:t>
            </w:r>
          </w:p>
        </w:tc>
        <w:tc>
          <w:tcPr>
            <w:tcW w:w="960" w:type="dxa"/>
            <w:vAlign w:val="bottom"/>
          </w:tcPr>
          <w:p>
            <w:pPr>
              <w:pStyle w:val="yTable"/>
              <w:keepNext/>
              <w:spacing w:before="40" w:after="40"/>
              <w:jc w:val="center"/>
            </w:pPr>
          </w:p>
        </w:tc>
      </w:tr>
      <w:tr>
        <w:trPr>
          <w:cantSplit/>
        </w:trPr>
        <w:tc>
          <w:tcPr>
            <w:tcW w:w="6120" w:type="dxa"/>
          </w:tcPr>
          <w:p>
            <w:pPr>
              <w:pStyle w:val="yTable"/>
              <w:spacing w:before="56" w:after="30"/>
            </w:pPr>
            <w:r>
              <w:t>Anaesthesia for all procedures on the skin or subcutaneous tissue of the forearm, wrist and hand</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pPr>
            <w:r>
              <w:t>Anaesthesia for all procedures on the nerves, muscles, tendons, fascia and bursae of the forearm, wrist and hand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closed procedures on radius, ulna, wrist, or hand bones</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pPr>
            <w:r>
              <w:t>Anaesthesia for all open procedures on radius, ulna, wrist, or hand bones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 — total wrist replacement</w:t>
            </w:r>
          </w:p>
        </w:tc>
        <w:tc>
          <w:tcPr>
            <w:tcW w:w="960" w:type="dxa"/>
            <w:vAlign w:val="bottom"/>
          </w:tcPr>
          <w:p>
            <w:pPr>
              <w:pStyle w:val="yTable"/>
              <w:keepNext/>
              <w:spacing w:before="56" w:after="30"/>
              <w:jc w:val="center"/>
            </w:pPr>
            <w:r>
              <w:t>7</w:t>
            </w:r>
          </w:p>
        </w:tc>
      </w:tr>
      <w:tr>
        <w:trPr>
          <w:cantSplit/>
        </w:trPr>
        <w:tc>
          <w:tcPr>
            <w:tcW w:w="6120" w:type="dxa"/>
          </w:tcPr>
          <w:p>
            <w:pPr>
              <w:pStyle w:val="yTable"/>
              <w:spacing w:before="56" w:after="30"/>
            </w:pPr>
            <w:r>
              <w:t>Anaesthesia for arthroscopic procedures of the wrist joint</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procedures on the arteries of the forearm, wrist, and hand unless otherwise specified</w:t>
            </w:r>
          </w:p>
        </w:tc>
        <w:tc>
          <w:tcPr>
            <w:tcW w:w="960" w:type="dxa"/>
            <w:vAlign w:val="bottom"/>
          </w:tcPr>
          <w:p>
            <w:pPr>
              <w:pStyle w:val="yTable"/>
              <w:keepNext/>
              <w:spacing w:before="56" w:after="30"/>
              <w:jc w:val="center"/>
            </w:pPr>
            <w:r>
              <w:t>8</w:t>
            </w:r>
          </w:p>
        </w:tc>
      </w:tr>
      <w:tr>
        <w:trPr>
          <w:cantSplit/>
        </w:trPr>
        <w:tc>
          <w:tcPr>
            <w:tcW w:w="6120" w:type="dxa"/>
          </w:tcPr>
          <w:p>
            <w:pPr>
              <w:pStyle w:val="yTable"/>
              <w:spacing w:before="56" w:after="30"/>
            </w:pPr>
            <w:r>
              <w:t> — embolectomy</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Anaesthesia for all procedures on the veins of the forearm, wrist, and hand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forearm, wrist, or hand cast application, removal or repair</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ind w:left="340" w:hanging="340"/>
            </w:pPr>
            <w:r>
              <w:t> — for microsurgical reimplantation of forearm, wrist or hand</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56" w:after="40"/>
            </w:pPr>
            <w:r>
              <w:t> — for microsurgical reimplantation of a finger</w:t>
            </w:r>
          </w:p>
        </w:tc>
        <w:tc>
          <w:tcPr>
            <w:tcW w:w="960" w:type="dxa"/>
            <w:vAlign w:val="bottom"/>
          </w:tcPr>
          <w:p>
            <w:pPr>
              <w:pStyle w:val="yTable"/>
              <w:keepNext/>
              <w:spacing w:before="56" w:after="40"/>
              <w:jc w:val="center"/>
            </w:pPr>
            <w:r>
              <w:t>8</w:t>
            </w:r>
          </w:p>
        </w:tc>
      </w:tr>
      <w:tr>
        <w:trPr>
          <w:cantSplit/>
        </w:trPr>
        <w:tc>
          <w:tcPr>
            <w:tcW w:w="6120" w:type="dxa"/>
          </w:tcPr>
          <w:p>
            <w:pPr>
              <w:pStyle w:val="yTable"/>
              <w:spacing w:before="160" w:after="40"/>
              <w:rPr>
                <w:b/>
                <w:bCs/>
              </w:rPr>
            </w:pPr>
            <w:r>
              <w:rPr>
                <w:b/>
                <w:bCs/>
              </w:rPr>
              <w:t>Burns</w:t>
            </w:r>
          </w:p>
        </w:tc>
        <w:tc>
          <w:tcPr>
            <w:tcW w:w="960" w:type="dxa"/>
            <w:vAlign w:val="bottom"/>
          </w:tcPr>
          <w:p>
            <w:pPr>
              <w:pStyle w:val="yTable"/>
              <w:keepNext/>
              <w:spacing w:after="40"/>
              <w:jc w:val="center"/>
            </w:pPr>
          </w:p>
        </w:tc>
      </w:tr>
      <w:tr>
        <w:trPr>
          <w:cantSplit/>
        </w:trPr>
        <w:tc>
          <w:tcPr>
            <w:tcW w:w="6120" w:type="dxa"/>
          </w:tcPr>
          <w:p>
            <w:pPr>
              <w:pStyle w:val="yTable"/>
              <w:spacing w:before="56" w:after="30"/>
            </w:pPr>
            <w:r>
              <w:t>Anaesthesia for excision of debridement of burns with or without skin grafting</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ind w:left="340" w:hanging="340"/>
            </w:pPr>
            <w:r>
              <w:t> — where the burnt area involves not more than 3% of total body surface</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ind w:left="340" w:hanging="340"/>
            </w:pPr>
            <w:r>
              <w:t> — where the burnt area involves more than 3% but less than 10% of total body surface</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ind w:left="340" w:hanging="340"/>
            </w:pPr>
            <w:r>
              <w:t> — where the burnt area involves 10% or more but less than 20% of total body surface</w:t>
            </w:r>
          </w:p>
        </w:tc>
        <w:tc>
          <w:tcPr>
            <w:tcW w:w="960" w:type="dxa"/>
            <w:vAlign w:val="bottom"/>
          </w:tcPr>
          <w:p>
            <w:pPr>
              <w:pStyle w:val="yTable"/>
              <w:keepNext/>
              <w:spacing w:before="56" w:after="30"/>
              <w:jc w:val="center"/>
            </w:pPr>
            <w:r>
              <w:t>7</w:t>
            </w:r>
          </w:p>
        </w:tc>
      </w:tr>
      <w:tr>
        <w:trPr>
          <w:cantSplit/>
        </w:trPr>
        <w:tc>
          <w:tcPr>
            <w:tcW w:w="6120" w:type="dxa"/>
          </w:tcPr>
          <w:p>
            <w:pPr>
              <w:pStyle w:val="yTable"/>
              <w:spacing w:before="56" w:after="30"/>
              <w:ind w:left="340" w:hanging="340"/>
            </w:pPr>
            <w:r>
              <w:t> — where the burnt area involves 20% or more but less than 30% of total body surface</w:t>
            </w:r>
          </w:p>
        </w:tc>
        <w:tc>
          <w:tcPr>
            <w:tcW w:w="960" w:type="dxa"/>
            <w:vAlign w:val="bottom"/>
          </w:tcPr>
          <w:p>
            <w:pPr>
              <w:pStyle w:val="yTable"/>
              <w:keepNext/>
              <w:spacing w:before="56" w:after="30"/>
              <w:jc w:val="center"/>
            </w:pPr>
            <w:r>
              <w:t>9</w:t>
            </w:r>
          </w:p>
        </w:tc>
      </w:tr>
      <w:tr>
        <w:trPr>
          <w:cantSplit/>
        </w:trPr>
        <w:tc>
          <w:tcPr>
            <w:tcW w:w="6120" w:type="dxa"/>
          </w:tcPr>
          <w:p>
            <w:pPr>
              <w:pStyle w:val="yTable"/>
              <w:spacing w:before="56" w:after="30"/>
              <w:ind w:left="340" w:hanging="340"/>
            </w:pPr>
            <w:r>
              <w:t> — where the burnt area involves 30% or more but less than 40% of total body surface</w:t>
            </w:r>
          </w:p>
        </w:tc>
        <w:tc>
          <w:tcPr>
            <w:tcW w:w="960" w:type="dxa"/>
            <w:vAlign w:val="bottom"/>
          </w:tcPr>
          <w:p>
            <w:pPr>
              <w:pStyle w:val="yTable"/>
              <w:keepNext/>
              <w:spacing w:before="56" w:after="30"/>
              <w:jc w:val="center"/>
            </w:pPr>
            <w:r>
              <w:t>11</w:t>
            </w:r>
          </w:p>
        </w:tc>
      </w:tr>
      <w:tr>
        <w:trPr>
          <w:cantSplit/>
        </w:trPr>
        <w:tc>
          <w:tcPr>
            <w:tcW w:w="6120" w:type="dxa"/>
          </w:tcPr>
          <w:p>
            <w:pPr>
              <w:pStyle w:val="yTable"/>
              <w:spacing w:before="56" w:after="30"/>
              <w:ind w:left="340" w:hanging="340"/>
            </w:pPr>
            <w:r>
              <w:t> — where the burnt area involves 40% or more but less than 50% of total body surface</w:t>
            </w:r>
          </w:p>
        </w:tc>
        <w:tc>
          <w:tcPr>
            <w:tcW w:w="960" w:type="dxa"/>
            <w:vAlign w:val="bottom"/>
          </w:tcPr>
          <w:p>
            <w:pPr>
              <w:pStyle w:val="yTable"/>
              <w:keepNext/>
              <w:spacing w:before="56" w:after="30"/>
              <w:jc w:val="center"/>
            </w:pPr>
            <w:r>
              <w:t>13</w:t>
            </w:r>
          </w:p>
        </w:tc>
      </w:tr>
      <w:tr>
        <w:trPr>
          <w:cantSplit/>
        </w:trPr>
        <w:tc>
          <w:tcPr>
            <w:tcW w:w="6120" w:type="dxa"/>
          </w:tcPr>
          <w:p>
            <w:pPr>
              <w:pStyle w:val="yTable"/>
              <w:spacing w:before="56" w:after="30"/>
              <w:ind w:left="340" w:hanging="340"/>
            </w:pPr>
            <w:r>
              <w:t> — where the burnt area involves 50% or more but less than 60% of total body surface</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56" w:after="30"/>
              <w:ind w:left="340" w:hanging="340"/>
            </w:pPr>
            <w:r>
              <w:t> — where the burnt area involves 60% or more but less than 70% of total body surface</w:t>
            </w:r>
          </w:p>
        </w:tc>
        <w:tc>
          <w:tcPr>
            <w:tcW w:w="960" w:type="dxa"/>
            <w:vAlign w:val="bottom"/>
          </w:tcPr>
          <w:p>
            <w:pPr>
              <w:pStyle w:val="yTable"/>
              <w:keepNext/>
              <w:spacing w:before="56" w:after="30"/>
              <w:jc w:val="center"/>
            </w:pPr>
            <w:r>
              <w:t>17</w:t>
            </w:r>
          </w:p>
        </w:tc>
      </w:tr>
      <w:tr>
        <w:trPr>
          <w:cantSplit/>
        </w:trPr>
        <w:tc>
          <w:tcPr>
            <w:tcW w:w="6120" w:type="dxa"/>
          </w:tcPr>
          <w:p>
            <w:pPr>
              <w:pStyle w:val="yTable"/>
              <w:spacing w:before="56" w:after="30"/>
              <w:ind w:left="340" w:hanging="340"/>
            </w:pPr>
            <w:r>
              <w:t> — where the burnt area involves 70% or more but less than 80% of total body surface</w:t>
            </w:r>
          </w:p>
        </w:tc>
        <w:tc>
          <w:tcPr>
            <w:tcW w:w="960" w:type="dxa"/>
            <w:vAlign w:val="bottom"/>
          </w:tcPr>
          <w:p>
            <w:pPr>
              <w:pStyle w:val="yTable"/>
              <w:keepNext/>
              <w:spacing w:before="56" w:after="30"/>
              <w:jc w:val="center"/>
            </w:pPr>
            <w:r>
              <w:t>19</w:t>
            </w:r>
          </w:p>
        </w:tc>
      </w:tr>
      <w:tr>
        <w:trPr>
          <w:cantSplit/>
        </w:trPr>
        <w:tc>
          <w:tcPr>
            <w:tcW w:w="6120" w:type="dxa"/>
          </w:tcPr>
          <w:p>
            <w:pPr>
              <w:pStyle w:val="yTable"/>
              <w:spacing w:before="56" w:after="30"/>
              <w:ind w:left="340" w:hanging="340"/>
            </w:pPr>
            <w:r>
              <w:t> — where the burnt area involves 80% or more of total body surface</w:t>
            </w:r>
          </w:p>
        </w:tc>
        <w:tc>
          <w:tcPr>
            <w:tcW w:w="960" w:type="dxa"/>
            <w:vAlign w:val="bottom"/>
          </w:tcPr>
          <w:p>
            <w:pPr>
              <w:pStyle w:val="yTable"/>
              <w:keepNext/>
              <w:spacing w:before="56" w:after="30"/>
              <w:jc w:val="center"/>
            </w:pPr>
            <w:r>
              <w:t>21</w:t>
            </w:r>
          </w:p>
        </w:tc>
      </w:tr>
      <w:tr>
        <w:trPr>
          <w:cantSplit/>
        </w:trPr>
        <w:tc>
          <w:tcPr>
            <w:tcW w:w="6120" w:type="dxa"/>
          </w:tcPr>
          <w:p>
            <w:pPr>
              <w:pStyle w:val="yTable"/>
              <w:keepNext/>
              <w:keepLines/>
              <w:spacing w:before="220" w:after="40"/>
            </w:pPr>
            <w:r>
              <w:rPr>
                <w:b/>
              </w:rPr>
              <w:t>Other procedures</w:t>
            </w:r>
          </w:p>
        </w:tc>
        <w:tc>
          <w:tcPr>
            <w:tcW w:w="960" w:type="dxa"/>
            <w:vAlign w:val="bottom"/>
          </w:tcPr>
          <w:p>
            <w:pPr>
              <w:pStyle w:val="yTable"/>
              <w:keepNext/>
              <w:spacing w:before="220" w:after="40"/>
              <w:jc w:val="center"/>
            </w:pPr>
          </w:p>
        </w:tc>
      </w:tr>
      <w:tr>
        <w:trPr>
          <w:cantSplit/>
        </w:trPr>
        <w:tc>
          <w:tcPr>
            <w:tcW w:w="6120" w:type="dxa"/>
          </w:tcPr>
          <w:p>
            <w:pPr>
              <w:pStyle w:val="yTable"/>
              <w:spacing w:before="56" w:after="30"/>
            </w:pPr>
            <w:r>
              <w:t>Anaesthesia for injection procedure for myelography:</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pPr>
            <w:r>
              <w:t> — lumbar or thoracic</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pPr>
            <w:r>
              <w:t> — cervical</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 — posterior fossa</w:t>
            </w:r>
          </w:p>
        </w:tc>
        <w:tc>
          <w:tcPr>
            <w:tcW w:w="960" w:type="dxa"/>
            <w:vAlign w:val="bottom"/>
          </w:tcPr>
          <w:p>
            <w:pPr>
              <w:pStyle w:val="yTable"/>
              <w:keepNext/>
              <w:spacing w:before="56" w:after="30"/>
              <w:jc w:val="center"/>
            </w:pPr>
            <w:r>
              <w:t>9</w:t>
            </w:r>
          </w:p>
        </w:tc>
      </w:tr>
      <w:tr>
        <w:trPr>
          <w:cantSplit/>
        </w:trPr>
        <w:tc>
          <w:tcPr>
            <w:tcW w:w="6120" w:type="dxa"/>
          </w:tcPr>
          <w:p>
            <w:pPr>
              <w:pStyle w:val="yTable"/>
              <w:spacing w:before="56" w:after="30"/>
            </w:pPr>
            <w:r>
              <w:t>Anaesthesia for injection procedure for discography:</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pPr>
            <w:r>
              <w:t> — lumbar or thoracic</w:t>
            </w:r>
          </w:p>
        </w:tc>
        <w:tc>
          <w:tcPr>
            <w:tcW w:w="960" w:type="dxa"/>
            <w:vAlign w:val="bottom"/>
          </w:tcPr>
          <w:p>
            <w:pPr>
              <w:pStyle w:val="yTable"/>
              <w:keepNext/>
              <w:spacing w:before="56" w:after="30"/>
              <w:jc w:val="center"/>
            </w:pPr>
            <w:r>
              <w:t>5</w:t>
            </w:r>
          </w:p>
        </w:tc>
      </w:tr>
      <w:tr>
        <w:trPr>
          <w:cantSplit/>
        </w:trPr>
        <w:tc>
          <w:tcPr>
            <w:tcW w:w="6120" w:type="dxa"/>
          </w:tcPr>
          <w:p>
            <w:pPr>
              <w:pStyle w:val="yTable"/>
              <w:spacing w:after="30"/>
            </w:pPr>
            <w:r>
              <w:t> — cervical</w:t>
            </w:r>
          </w:p>
        </w:tc>
        <w:tc>
          <w:tcPr>
            <w:tcW w:w="960" w:type="dxa"/>
            <w:vAlign w:val="bottom"/>
          </w:tcPr>
          <w:p>
            <w:pPr>
              <w:pStyle w:val="yTable"/>
              <w:keepNext/>
              <w:spacing w:after="30"/>
              <w:jc w:val="center"/>
            </w:pPr>
            <w:r>
              <w:t>6</w:t>
            </w:r>
          </w:p>
        </w:tc>
      </w:tr>
      <w:tr>
        <w:trPr>
          <w:cantSplit/>
        </w:trPr>
        <w:tc>
          <w:tcPr>
            <w:tcW w:w="6120" w:type="dxa"/>
          </w:tcPr>
          <w:p>
            <w:pPr>
              <w:pStyle w:val="yTable"/>
              <w:spacing w:after="40"/>
            </w:pPr>
            <w:r>
              <w:t>Anaesthesia for peripheral arteriogram</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arteriograms:</w:t>
            </w:r>
          </w:p>
        </w:tc>
        <w:tc>
          <w:tcPr>
            <w:tcW w:w="960" w:type="dxa"/>
            <w:vAlign w:val="bottom"/>
          </w:tcPr>
          <w:p>
            <w:pPr>
              <w:pStyle w:val="yTable"/>
              <w:keepNext/>
              <w:spacing w:after="40"/>
              <w:jc w:val="center"/>
            </w:pPr>
          </w:p>
        </w:tc>
      </w:tr>
      <w:tr>
        <w:trPr>
          <w:cantSplit/>
        </w:trPr>
        <w:tc>
          <w:tcPr>
            <w:tcW w:w="6120" w:type="dxa"/>
          </w:tcPr>
          <w:p>
            <w:pPr>
              <w:pStyle w:val="yTable"/>
              <w:spacing w:after="40"/>
            </w:pPr>
            <w:r>
              <w:t> — carotid, cerebral or vertebral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retrograde, brachial or femoral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computerised axial tomography scanning, magnetic resonance scanning, ultrasound scanning or digital subtraction angiography scanning</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radiology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retrograde cystography, retrograde urethrography or retrograde cystourethrography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flouroscopy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small bowel enema, barium or other opaque study of the small bowel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bronchography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phlebography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heart, 2 dimensional real time transoesophageal examination</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peripheral venous cannulation</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cardiac catheterisation including coronary arteriography, ventriculography, cardiac mapping, insertion of automatic defibrillator or transvenous pacemaker</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cardiac electrophysiological procedures including radio frequency ablation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central vein catheterisation or insertion of right heart balloon catheter</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lumbar puncture, cisternal puncture, or epidural injection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harvesting of bone marrow for the purpose of transplantation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muscle biopsy for malignant hyperpyrexia</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electroencephalography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brain stem evoked audiometry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electrocochleography by extratympanic method or transtympanic membrane insertion method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 therapeutic procedure where it can be demonstrated that there is a clinical need for anaesthesia</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during hyperbaric therapy where the medical practitioner is not confined in the chamber (including the administration of oxygen)</w:t>
            </w:r>
          </w:p>
        </w:tc>
        <w:tc>
          <w:tcPr>
            <w:tcW w:w="960" w:type="dxa"/>
            <w:vAlign w:val="bottom"/>
          </w:tcPr>
          <w:p>
            <w:pPr>
              <w:pStyle w:val="yTable"/>
              <w:keepNext/>
              <w:spacing w:after="40"/>
              <w:jc w:val="center"/>
            </w:pPr>
            <w:r>
              <w:br/>
            </w:r>
            <w:r>
              <w:br/>
              <w:t>8</w:t>
            </w:r>
          </w:p>
        </w:tc>
      </w:tr>
      <w:tr>
        <w:trPr>
          <w:cantSplit/>
        </w:trPr>
        <w:tc>
          <w:tcPr>
            <w:tcW w:w="6120" w:type="dxa"/>
          </w:tcPr>
          <w:p>
            <w:pPr>
              <w:pStyle w:val="yTable"/>
              <w:spacing w:after="40"/>
            </w:pPr>
            <w:r>
              <w:t>Anaesthesia during hyperbaric therapy where the medical practitioner is confined in the chamber (including the administration of oxygen)</w:t>
            </w:r>
          </w:p>
        </w:tc>
        <w:tc>
          <w:tcPr>
            <w:tcW w:w="960" w:type="dxa"/>
            <w:vAlign w:val="bottom"/>
          </w:tcPr>
          <w:p>
            <w:pPr>
              <w:pStyle w:val="yTable"/>
              <w:keepNext/>
              <w:spacing w:after="40"/>
              <w:jc w:val="center"/>
            </w:pPr>
            <w:r>
              <w:br/>
            </w:r>
            <w:r>
              <w:br/>
              <w:t>15</w:t>
            </w:r>
          </w:p>
        </w:tc>
      </w:tr>
      <w:tr>
        <w:trPr>
          <w:cantSplit/>
        </w:trPr>
        <w:tc>
          <w:tcPr>
            <w:tcW w:w="6120" w:type="dxa"/>
          </w:tcPr>
          <w:p>
            <w:pPr>
              <w:pStyle w:val="yTable"/>
              <w:spacing w:after="40"/>
            </w:pPr>
            <w:r>
              <w:t>Anaesthesia for brachytherapy using radioactive sealed sources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therapeutic nuclear medicine</w:t>
            </w:r>
          </w:p>
        </w:tc>
        <w:tc>
          <w:tcPr>
            <w:tcW w:w="960" w:type="dxa"/>
            <w:vAlign w:val="bottom"/>
          </w:tcPr>
          <w:p>
            <w:pPr>
              <w:pStyle w:val="yTable"/>
              <w:keepNext/>
              <w:spacing w:after="40"/>
              <w:jc w:val="center"/>
            </w:pPr>
            <w:r>
              <w:t>5</w:t>
            </w:r>
          </w:p>
        </w:tc>
      </w:tr>
      <w:tr>
        <w:trPr>
          <w:cantSplit/>
        </w:trPr>
        <w:tc>
          <w:tcPr>
            <w:tcW w:w="6120" w:type="dxa"/>
          </w:tcPr>
          <w:p>
            <w:pPr>
              <w:pStyle w:val="yTable"/>
              <w:keepNext/>
              <w:keepLines/>
              <w:spacing w:after="40"/>
            </w:pPr>
            <w:r>
              <w:t>Anaesthesia for radiotherapy</w:t>
            </w:r>
          </w:p>
        </w:tc>
        <w:tc>
          <w:tcPr>
            <w:tcW w:w="960" w:type="dxa"/>
            <w:vAlign w:val="bottom"/>
          </w:tcPr>
          <w:p>
            <w:pPr>
              <w:pStyle w:val="yTable"/>
              <w:keepNext/>
              <w:spacing w:after="40"/>
              <w:jc w:val="center"/>
            </w:pPr>
            <w:r>
              <w:t>7</w:t>
            </w:r>
          </w:p>
        </w:tc>
      </w:tr>
      <w:tr>
        <w:trPr>
          <w:cantSplit/>
        </w:trPr>
        <w:tc>
          <w:tcPr>
            <w:tcW w:w="6120" w:type="dxa"/>
            <w:tcBorders>
              <w:bottom w:val="single" w:sz="4" w:space="0" w:color="auto"/>
            </w:tcBorders>
          </w:tcPr>
          <w:p>
            <w:pPr>
              <w:pStyle w:val="yTable"/>
              <w:keepNext/>
              <w:keepLines/>
              <w:spacing w:after="40"/>
            </w:pPr>
            <w:r>
              <w:t>Anaesthesia where no procedure ensues</w:t>
            </w:r>
          </w:p>
        </w:tc>
        <w:tc>
          <w:tcPr>
            <w:tcW w:w="960" w:type="dxa"/>
            <w:tcBorders>
              <w:bottom w:val="single" w:sz="4" w:space="0" w:color="auto"/>
            </w:tcBorders>
            <w:vAlign w:val="bottom"/>
          </w:tcPr>
          <w:p>
            <w:pPr>
              <w:pStyle w:val="yTable"/>
              <w:keepNext/>
              <w:spacing w:after="40"/>
              <w:jc w:val="center"/>
            </w:pPr>
            <w:r>
              <w:t>3</w:t>
            </w:r>
          </w:p>
        </w:tc>
      </w:tr>
    </w:tbl>
    <w:p>
      <w:pPr>
        <w:pStyle w:val="yTable"/>
        <w:spacing w:before="120"/>
      </w:pPr>
      <w:r>
        <w:rPr>
          <w:b/>
        </w:rPr>
        <w:t>Note — Unlisted anaesthetic procedures</w:t>
      </w:r>
    </w:p>
    <w:tbl>
      <w:tblPr>
        <w:tblW w:w="0" w:type="auto"/>
        <w:tblInd w:w="142" w:type="dxa"/>
        <w:tblLayout w:type="fixed"/>
        <w:tblCellMar>
          <w:left w:w="142" w:type="dxa"/>
          <w:right w:w="142" w:type="dxa"/>
        </w:tblCellMar>
        <w:tblLook w:val="0000" w:firstRow="0" w:lastRow="0" w:firstColumn="0" w:lastColumn="0" w:noHBand="0" w:noVBand="0"/>
      </w:tblPr>
      <w:tblGrid>
        <w:gridCol w:w="7080"/>
      </w:tblGrid>
      <w:tr>
        <w:trPr>
          <w:cantSplit/>
        </w:trPr>
        <w:tc>
          <w:tcPr>
            <w:tcW w:w="7080" w:type="dxa"/>
          </w:tcPr>
          <w:p>
            <w:pPr>
              <w:pStyle w:val="yTable"/>
              <w:spacing w:after="40"/>
            </w:pPr>
            <w:r>
              <w:rPr>
                <w:i/>
              </w:rPr>
              <w:t>The AMA recognise that in determining the number of units applicable, the anaesthetist shall have regard to equivalent procedures</w:t>
            </w:r>
          </w:p>
        </w:tc>
      </w:tr>
    </w:tbl>
    <w:p>
      <w:pPr>
        <w:pStyle w:val="yTable"/>
        <w:spacing w:before="280" w:after="120"/>
        <w:jc w:val="center"/>
        <w:rPr>
          <w:b/>
        </w:rPr>
      </w:pPr>
      <w:r>
        <w:rPr>
          <w:b/>
        </w:rPr>
        <w:t>PART B — THERAPEUTIC AND DIAGNOSTIC SERVICES</w:t>
      </w:r>
    </w:p>
    <w:tbl>
      <w:tblPr>
        <w:tblW w:w="0" w:type="auto"/>
        <w:tblInd w:w="113" w:type="dxa"/>
        <w:tblLayout w:type="fixed"/>
        <w:tblCellMar>
          <w:left w:w="113" w:type="dxa"/>
          <w:right w:w="113" w:type="dxa"/>
        </w:tblCellMar>
        <w:tblLook w:val="0000" w:firstRow="0" w:lastRow="0" w:firstColumn="0" w:lastColumn="0" w:noHBand="0" w:noVBand="0"/>
      </w:tblPr>
      <w:tblGrid>
        <w:gridCol w:w="4080"/>
        <w:gridCol w:w="1000"/>
        <w:gridCol w:w="1000"/>
        <w:gridCol w:w="1000"/>
      </w:tblGrid>
      <w:tr>
        <w:trPr>
          <w:cantSplit/>
          <w:tblHeader/>
        </w:trPr>
        <w:tc>
          <w:tcPr>
            <w:tcW w:w="4080" w:type="dxa"/>
            <w:tcBorders>
              <w:top w:val="single" w:sz="4" w:space="0" w:color="auto"/>
              <w:bottom w:val="single" w:sz="4" w:space="0" w:color="auto"/>
            </w:tcBorders>
          </w:tcPr>
          <w:p>
            <w:pPr>
              <w:pStyle w:val="yTable"/>
              <w:spacing w:after="40"/>
            </w:pPr>
            <w:r>
              <w:rPr>
                <w:b/>
              </w:rPr>
              <w:t>Description of service, etc.</w:t>
            </w:r>
          </w:p>
        </w:tc>
        <w:tc>
          <w:tcPr>
            <w:tcW w:w="1000" w:type="dxa"/>
            <w:tcBorders>
              <w:top w:val="single" w:sz="4" w:space="0" w:color="auto"/>
              <w:bottom w:val="single" w:sz="4" w:space="0" w:color="auto"/>
            </w:tcBorders>
            <w:vAlign w:val="bottom"/>
          </w:tcPr>
          <w:p>
            <w:pPr>
              <w:pStyle w:val="yTable"/>
              <w:spacing w:after="40"/>
              <w:jc w:val="center"/>
            </w:pPr>
            <w:r>
              <w:rPr>
                <w:b/>
              </w:rPr>
              <w:t>MUs</w:t>
            </w:r>
          </w:p>
        </w:tc>
        <w:tc>
          <w:tcPr>
            <w:tcW w:w="1000" w:type="dxa"/>
            <w:tcBorders>
              <w:top w:val="single" w:sz="4" w:space="0" w:color="auto"/>
              <w:bottom w:val="single" w:sz="4" w:space="0" w:color="auto"/>
            </w:tcBorders>
            <w:vAlign w:val="bottom"/>
          </w:tcPr>
          <w:p>
            <w:pPr>
              <w:pStyle w:val="yTable"/>
              <w:spacing w:after="40"/>
              <w:jc w:val="center"/>
            </w:pPr>
            <w:r>
              <w:rPr>
                <w:b/>
              </w:rPr>
              <w:t>TUs</w:t>
            </w:r>
          </w:p>
        </w:tc>
        <w:tc>
          <w:tcPr>
            <w:tcW w:w="1000" w:type="dxa"/>
            <w:tcBorders>
              <w:top w:val="single" w:sz="4" w:space="0" w:color="auto"/>
              <w:bottom w:val="single" w:sz="4" w:space="0" w:color="auto"/>
            </w:tcBorders>
            <w:vAlign w:val="bottom"/>
          </w:tcPr>
          <w:p>
            <w:pPr>
              <w:pStyle w:val="yTable"/>
              <w:spacing w:after="40"/>
              <w:jc w:val="center"/>
            </w:pPr>
            <w:r>
              <w:rPr>
                <w:b/>
              </w:rPr>
              <w:t>BUs</w:t>
            </w:r>
          </w:p>
        </w:tc>
      </w:tr>
      <w:tr>
        <w:trPr>
          <w:cantSplit/>
        </w:trPr>
        <w:tc>
          <w:tcPr>
            <w:tcW w:w="4080" w:type="dxa"/>
          </w:tcPr>
          <w:p>
            <w:pPr>
              <w:pStyle w:val="yTable"/>
              <w:spacing w:after="40"/>
            </w:pPr>
            <w:r>
              <w:t>Collection of blood for autologous transfusion or when homologous blood is required for immediate transfusion in an emergency situation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Administration of blood or bone marrow already collected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Venous cannulation and blood transfusion (or blood products)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15</w:t>
            </w:r>
          </w:p>
        </w:tc>
      </w:tr>
      <w:tr>
        <w:trPr>
          <w:cantSplit/>
        </w:trPr>
        <w:tc>
          <w:tcPr>
            <w:tcW w:w="4080" w:type="dxa"/>
          </w:tcPr>
          <w:p>
            <w:pPr>
              <w:pStyle w:val="yTable"/>
              <w:spacing w:after="40"/>
            </w:pPr>
            <w:r>
              <w:t>Intubation, endotracheal, not associated with anaesthesia, when subsequent management is not in an intensive care unit</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4</w:t>
            </w:r>
          </w:p>
        </w:tc>
      </w:tr>
      <w:tr>
        <w:trPr>
          <w:cantSplit/>
        </w:trPr>
        <w:tc>
          <w:tcPr>
            <w:tcW w:w="4080" w:type="dxa"/>
          </w:tcPr>
          <w:p>
            <w:pPr>
              <w:pStyle w:val="yTable"/>
              <w:spacing w:after="40"/>
            </w:pPr>
            <w:r>
              <w:t>Awake endotracheal intubation with flexible fibreoptic scope, associated with difficult airway,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Double lumen endobronchial tube or bronchial blocker, insertion of,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Monitoring of depth of anaesthesia, incorporating continuous measurement of the EEG during anaesthesia for the diagnosis of awareness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and commencement of intravenous infusion, under age of 3 years,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Venous cannulation and commencement of intravenous infusion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Right heart balloon catheter, insertion of, including pulmonary wedge pressure and cardiac output measurement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Pulmonary artery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Left atrial pressure monitoring via left atrial catheter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Invasive pressure monitoring, not otherwise listed</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Central vein catheterisation, percutaneous via jugular, subclavian or femoral vein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Central vein catheterisation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Central venous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cannulation, percutaneous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puncture, withdrawal of blood for diagnosis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w:t>
            </w:r>
          </w:p>
        </w:tc>
      </w:tr>
      <w:tr>
        <w:trPr>
          <w:cantSplit/>
        </w:trPr>
        <w:tc>
          <w:tcPr>
            <w:tcW w:w="4080" w:type="dxa"/>
          </w:tcPr>
          <w:p>
            <w:pPr>
              <w:pStyle w:val="yTable"/>
              <w:spacing w:after="40"/>
            </w:pPr>
            <w:r>
              <w:t>Arterial cannulation,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 arterial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Catheterisation, umbilical artery, newborn, for diagnosis, or therapy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w:t>
            </w:r>
            <w:r>
              <w:noBreakHyphen/>
              <w:t>arterial infusion or retrograde intravenous perfusion of a sympatholytic agent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Intravenous regional anaesthesia of limb by retrograde perfusion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Perfusion of limb or organ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12</w:t>
            </w:r>
          </w:p>
        </w:tc>
      </w:tr>
      <w:tr>
        <w:trPr>
          <w:cantSplit/>
        </w:trPr>
        <w:tc>
          <w:tcPr>
            <w:tcW w:w="4080" w:type="dxa"/>
          </w:tcPr>
          <w:p>
            <w:pPr>
              <w:pStyle w:val="yTable"/>
              <w:spacing w:after="40"/>
            </w:pPr>
            <w:r>
              <w:t>Medical management of cardio</w:t>
            </w:r>
            <w:r>
              <w:noBreakHyphen/>
              <w:t>pulmonary bypass perfusion using heart/lung machine</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20</w:t>
            </w:r>
          </w:p>
        </w:tc>
      </w:tr>
      <w:tr>
        <w:trPr>
          <w:cantSplit/>
        </w:trPr>
        <w:tc>
          <w:tcPr>
            <w:tcW w:w="4080" w:type="dxa"/>
          </w:tcPr>
          <w:p>
            <w:pPr>
              <w:pStyle w:val="yTable"/>
              <w:spacing w:after="40"/>
            </w:pPr>
            <w:r>
              <w:t>Hypothermia, total body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Cardioplegia, blood or crystalloid, administration by any route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Deep hypothermia to a core temperature of less than 22 degrees in association with circulatory arrest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Standby medical management of cardio</w:t>
            </w:r>
            <w:r>
              <w:noBreakHyphen/>
              <w:t>pulmonary bypass perfusion using heart/lung machine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5</w:t>
            </w:r>
          </w:p>
        </w:tc>
      </w:tr>
      <w:tr>
        <w:trPr>
          <w:cantSplit/>
        </w:trPr>
        <w:tc>
          <w:tcPr>
            <w:tcW w:w="4080" w:type="dxa"/>
          </w:tcPr>
          <w:p>
            <w:pPr>
              <w:pStyle w:val="yTable"/>
              <w:spacing w:after="40"/>
            </w:pPr>
            <w:r>
              <w:t>Major nerve block (proximal to the elbow or knee), including intercostal nerve clock(s) or plexus block to provide post operative pain relief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Minor nerve block (specify type) to provide post operative pain relief (does not include subcutaneous infiltration)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or epidural injection (subsequent) of a therapeutic substance,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Subarachnoid puncture, lumbar, diagnostic</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Insertion of subarachnoid drain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 xml:space="preserve">Intrathecal, or epidural or injection, (initial or commencement of infusion) of a therapeutic substance, including up to one hour of continuous attendance by a medical practitioner </w:t>
            </w:r>
            <w:r>
              <w:rPr>
                <w:b/>
              </w:rPr>
              <w:t>after hours</w:t>
            </w:r>
            <w:r>
              <w:t xml:space="preserve"> for a patient in labour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 xml:space="preserve">Intrathecal, or epidural or injection, (initial or commencement of infusion) of a therapeutic substance, where continuous </w:t>
            </w:r>
            <w:r>
              <w:rPr>
                <w:b/>
              </w:rPr>
              <w:t>after hours</w:t>
            </w:r>
            <w:r>
              <w:t xml:space="preserve">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Interpleural block, initial injection or commencement of infusion of a therapeutic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epidural or caudal injection of neurolytic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20</w:t>
            </w:r>
          </w:p>
        </w:tc>
      </w:tr>
      <w:tr>
        <w:trPr>
          <w:cantSplit/>
        </w:trPr>
        <w:tc>
          <w:tcPr>
            <w:tcW w:w="4080" w:type="dxa"/>
          </w:tcPr>
          <w:p>
            <w:pPr>
              <w:pStyle w:val="yTable"/>
              <w:spacing w:after="40"/>
            </w:pPr>
            <w:r>
              <w:t>Intrathecal, epidural or caudal injection of substance other than anaesthetic, contrast or neurolytic solutions, not being a service to which another item in the Group applies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Epidural injection of blood for blood patch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keepNext/>
              <w:keepLines/>
              <w:spacing w:after="40"/>
            </w:pPr>
            <w:r>
              <w:t>Injection of an anaesthetic agent</w:t>
            </w:r>
          </w:p>
        </w:tc>
        <w:tc>
          <w:tcPr>
            <w:tcW w:w="1000" w:type="dxa"/>
            <w:vAlign w:val="bottom"/>
          </w:tcPr>
          <w:p>
            <w:pPr>
              <w:pStyle w:val="zytable"/>
              <w:keepNext/>
              <w:spacing w:after="40"/>
              <w:ind w:left="0"/>
              <w:jc w:val="center"/>
            </w:pPr>
          </w:p>
        </w:tc>
        <w:tc>
          <w:tcPr>
            <w:tcW w:w="1000" w:type="dxa"/>
            <w:vAlign w:val="bottom"/>
          </w:tcPr>
          <w:p>
            <w:pPr>
              <w:pStyle w:val="zytable"/>
              <w:keepNext/>
              <w:spacing w:after="40"/>
              <w:ind w:left="0"/>
              <w:jc w:val="center"/>
            </w:pPr>
          </w:p>
        </w:tc>
        <w:tc>
          <w:tcPr>
            <w:tcW w:w="1000" w:type="dxa"/>
            <w:vAlign w:val="bottom"/>
          </w:tcPr>
          <w:p>
            <w:pPr>
              <w:pStyle w:val="yTable"/>
              <w:keepNext/>
              <w:spacing w:after="40"/>
              <w:jc w:val="center"/>
            </w:pPr>
          </w:p>
        </w:tc>
      </w:tr>
      <w:tr>
        <w:trPr>
          <w:cantSplit/>
        </w:trPr>
        <w:tc>
          <w:tcPr>
            <w:tcW w:w="4080" w:type="dxa"/>
          </w:tcPr>
          <w:p>
            <w:pPr>
              <w:pStyle w:val="yTable"/>
              <w:keepNext/>
              <w:keepLines/>
              <w:tabs>
                <w:tab w:val="left" w:pos="596"/>
              </w:tabs>
              <w:spacing w:after="40"/>
              <w:ind w:left="397" w:hanging="397"/>
            </w:pPr>
            <w:r>
              <w:t> — trigeminal nerve, primary division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trigeminal nerve, peripheral branch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facial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retrobulbar or peribulbar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greater occipital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vagus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glossopharyngeal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phrenic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spinal accessory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cervical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brachial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suprascapular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 single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nerves, multiple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ilioinguinal, iliohypogastric or genito femoral nerves,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pudendal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ulnar, radial or median nerve of main trunk, one or more of, not being associated with a brachial plexus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paracervical (uterine)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obturator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femoral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saphenous, sural, popliteal or posterior tibial nerve of main trunk,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397" w:hanging="397"/>
            </w:pPr>
            <w:r>
              <w:t> — paravertebral, cervical, thoracic, lumbar, sacral or coccygeal nerves, single vertebral level</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paravertebral nerves, multiple levels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 — sciatic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other peripheral nerve or branch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sphenopalatine ganglion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carotid sinus, as an independent percutaneous procedure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stellate ganglion (cervical sympathetic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lumbar or thoracic nerves (paravertebral sympathetic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coeliac plexus or splanchnic nerves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Cranial nerve other than trigeminal, destruction by a neurolytic agent, not being a service associated with the injection of botulinum toxin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Nerve branch, not covered by any other item in this Group, destruction by a neurolytic agent, not being a service associated with the injection of botulinum toxin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10</w:t>
            </w:r>
          </w:p>
        </w:tc>
      </w:tr>
      <w:tr>
        <w:trPr>
          <w:cantSplit/>
        </w:trPr>
        <w:tc>
          <w:tcPr>
            <w:tcW w:w="4080" w:type="dxa"/>
          </w:tcPr>
          <w:p>
            <w:pPr>
              <w:pStyle w:val="yTable"/>
              <w:spacing w:after="40"/>
            </w:pPr>
            <w:r>
              <w:t>Coeliac plexus or splanchnic nerves,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Lumbar sympathetic chain,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15</w:t>
            </w:r>
          </w:p>
        </w:tc>
      </w:tr>
      <w:tr>
        <w:trPr>
          <w:cantSplit/>
        </w:trPr>
        <w:tc>
          <w:tcPr>
            <w:tcW w:w="4080" w:type="dxa"/>
          </w:tcPr>
          <w:p>
            <w:pPr>
              <w:pStyle w:val="yTable"/>
              <w:spacing w:after="40"/>
            </w:pPr>
            <w:r>
              <w:t>Cervical or thoracic sympathetic chain,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Cardioversion, elective, electrical conversion of arrhythmia, external</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4</w:t>
            </w:r>
          </w:p>
        </w:tc>
      </w:tr>
      <w:tr>
        <w:trPr>
          <w:cantSplit/>
        </w:trPr>
        <w:tc>
          <w:tcPr>
            <w:tcW w:w="4080" w:type="dxa"/>
          </w:tcPr>
          <w:p>
            <w:pPr>
              <w:pStyle w:val="yTable"/>
              <w:spacing w:after="40"/>
            </w:pPr>
            <w:r>
              <w:t>Hyperbaric oxygen treatment when the specialist is inside the chamber</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15</w:t>
            </w:r>
          </w:p>
        </w:tc>
      </w:tr>
      <w:tr>
        <w:trPr>
          <w:cantSplit/>
        </w:trPr>
        <w:tc>
          <w:tcPr>
            <w:tcW w:w="4080" w:type="dxa"/>
          </w:tcPr>
          <w:p>
            <w:pPr>
              <w:pStyle w:val="yTable"/>
              <w:spacing w:after="40"/>
            </w:pPr>
            <w:r>
              <w:t>Hyperbaric oxygen treatment when the specialist is outside the chamber</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8</w:t>
            </w:r>
          </w:p>
        </w:tc>
      </w:tr>
      <w:tr>
        <w:trPr>
          <w:cantSplit/>
        </w:trPr>
        <w:tc>
          <w:tcPr>
            <w:tcW w:w="4080" w:type="dxa"/>
          </w:tcPr>
          <w:p>
            <w:pPr>
              <w:pStyle w:val="yTable"/>
              <w:keepNext/>
              <w:spacing w:after="40"/>
            </w:pPr>
            <w:r>
              <w:t xml:space="preserve">Heart, 2 dimensional real time transoesophageal examination of, at least 2 oesophageal windows performed using a mechanical sector scanner or phased array transducer with — </w:t>
            </w:r>
          </w:p>
        </w:tc>
        <w:tc>
          <w:tcPr>
            <w:tcW w:w="1000" w:type="dxa"/>
            <w:vAlign w:val="bottom"/>
          </w:tcPr>
          <w:p>
            <w:pPr>
              <w:keepNext/>
              <w:spacing w:before="60" w:after="40"/>
              <w:jc w:val="center"/>
              <w:rPr>
                <w:sz w:val="22"/>
              </w:rPr>
            </w:pPr>
          </w:p>
        </w:tc>
        <w:tc>
          <w:tcPr>
            <w:tcW w:w="1000" w:type="dxa"/>
            <w:vAlign w:val="bottom"/>
          </w:tcPr>
          <w:p>
            <w:pPr>
              <w:keepNext/>
              <w:spacing w:before="60" w:after="40"/>
              <w:jc w:val="center"/>
              <w:rPr>
                <w:sz w:val="22"/>
              </w:rPr>
            </w:pPr>
          </w:p>
        </w:tc>
        <w:tc>
          <w:tcPr>
            <w:tcW w:w="1000" w:type="dxa"/>
            <w:vAlign w:val="bottom"/>
          </w:tcPr>
          <w:p>
            <w:pPr>
              <w:keepNext/>
              <w:spacing w:before="60" w:after="40"/>
              <w:jc w:val="center"/>
              <w:rPr>
                <w:sz w:val="22"/>
              </w:rPr>
            </w:pPr>
          </w:p>
        </w:tc>
      </w:tr>
      <w:tr>
        <w:trPr>
          <w:cantSplit/>
        </w:trPr>
        <w:tc>
          <w:tcPr>
            <w:tcW w:w="4080" w:type="dxa"/>
          </w:tcPr>
          <w:p>
            <w:pPr>
              <w:pStyle w:val="yTable"/>
              <w:tabs>
                <w:tab w:val="left" w:pos="313"/>
                <w:tab w:val="left" w:pos="738"/>
              </w:tabs>
              <w:spacing w:after="40"/>
              <w:ind w:left="738" w:hanging="738"/>
            </w:pPr>
            <w:r>
              <w:tab/>
              <w:t>(a)</w:t>
            </w:r>
            <w:r>
              <w:tab/>
              <w:t>measurement blood flow velocities across the cardiac valves using pulsed wave and continuous Doppler techniques;</w:t>
            </w: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r>
      <w:tr>
        <w:trPr>
          <w:cantSplit/>
        </w:trPr>
        <w:tc>
          <w:tcPr>
            <w:tcW w:w="4080" w:type="dxa"/>
          </w:tcPr>
          <w:p>
            <w:pPr>
              <w:pStyle w:val="yTable"/>
              <w:tabs>
                <w:tab w:val="left" w:pos="313"/>
                <w:tab w:val="left" w:pos="738"/>
              </w:tabs>
              <w:spacing w:after="40"/>
              <w:ind w:left="738" w:hanging="738"/>
            </w:pPr>
            <w:r>
              <w:tab/>
              <w:t>(b)</w:t>
            </w:r>
            <w:r>
              <w:tab/>
              <w:t xml:space="preserve">real time colour flow mapping from at least 2 oesophageal windows; and </w:t>
            </w:r>
          </w:p>
          <w:p>
            <w:pPr>
              <w:pStyle w:val="yTable"/>
              <w:tabs>
                <w:tab w:val="left" w:pos="313"/>
                <w:tab w:val="left" w:pos="738"/>
              </w:tabs>
              <w:spacing w:after="40"/>
              <w:ind w:left="738" w:hanging="738"/>
            </w:pPr>
            <w:r>
              <w:tab/>
              <w:t>(c)</w:t>
            </w:r>
            <w:r>
              <w:tab/>
              <w:t>recording on video tape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10</w:t>
            </w:r>
          </w:p>
        </w:tc>
      </w:tr>
      <w:tr>
        <w:trPr>
          <w:cantSplit/>
        </w:trPr>
        <w:tc>
          <w:tcPr>
            <w:tcW w:w="4080" w:type="dxa"/>
          </w:tcPr>
          <w:p>
            <w:pPr>
              <w:pStyle w:val="yTable"/>
              <w:spacing w:after="40"/>
            </w:pPr>
            <w:r>
              <w:t>Intra</w:t>
            </w:r>
            <w:r>
              <w:noBreakHyphen/>
              <w:t>operative 2 dimensional real time transoesophageal echocardiography incorporating Doppler techniques with colour flow mapping and recording onto video tape, performed during cardiac surgery incorporating sequential assessment of cardiac function before and after the surgical procedure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14</w:t>
            </w:r>
          </w:p>
        </w:tc>
      </w:tr>
      <w:tr>
        <w:trPr>
          <w:cantSplit/>
        </w:trPr>
        <w:tc>
          <w:tcPr>
            <w:tcW w:w="4080" w:type="dxa"/>
          </w:tcPr>
          <w:p>
            <w:pPr>
              <w:pStyle w:val="yTable"/>
              <w:spacing w:after="40"/>
            </w:pPr>
            <w:r>
              <w:t>The use of 2 dimensional imaging ultrasound guidance to assist percutaneous major vascular access involving catheterisation of the jugular, subclavian or femoral vein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The use of 2 dimensional imaging ultrasound guidance to assist percutaneous neural blockade involving the branchial plexus, or femoral and/or sciatic nerve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Skin testing for allergy to anaesthetic agents</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4</w:t>
            </w:r>
          </w:p>
        </w:tc>
      </w:tr>
      <w:tr>
        <w:trPr>
          <w:cantSplit/>
        </w:trPr>
        <w:tc>
          <w:tcPr>
            <w:tcW w:w="4080" w:type="dxa"/>
            <w:tcBorders>
              <w:bottom w:val="single" w:sz="4" w:space="0" w:color="auto"/>
            </w:tcBorders>
          </w:tcPr>
          <w:p>
            <w:pPr>
              <w:pStyle w:val="yTable"/>
              <w:spacing w:after="40"/>
            </w:pPr>
            <w:r>
              <w:t>Assistance in the administration of an anaesthetic</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5</w:t>
            </w:r>
          </w:p>
        </w:tc>
      </w:tr>
    </w:tbl>
    <w:p>
      <w:pPr>
        <w:pStyle w:val="yTable"/>
        <w:keepNext/>
        <w:tabs>
          <w:tab w:val="left" w:pos="709"/>
        </w:tabs>
        <w:spacing w:before="120" w:after="60"/>
      </w:pPr>
      <w:r>
        <w:rPr>
          <w:b/>
        </w:rPr>
        <w:t>Note — Unlisted services</w:t>
      </w:r>
    </w:p>
    <w:tbl>
      <w:tblPr>
        <w:tblW w:w="0" w:type="auto"/>
        <w:tblInd w:w="113" w:type="dxa"/>
        <w:tblLayout w:type="fixed"/>
        <w:tblCellMar>
          <w:left w:w="113" w:type="dxa"/>
          <w:right w:w="113" w:type="dxa"/>
        </w:tblCellMar>
        <w:tblLook w:val="0000" w:firstRow="0" w:lastRow="0" w:firstColumn="0" w:lastColumn="0" w:noHBand="0" w:noVBand="0"/>
      </w:tblPr>
      <w:tblGrid>
        <w:gridCol w:w="7080"/>
      </w:tblGrid>
      <w:tr>
        <w:trPr>
          <w:cantSplit/>
        </w:trPr>
        <w:tc>
          <w:tcPr>
            <w:tcW w:w="7080" w:type="dxa"/>
          </w:tcPr>
          <w:p>
            <w:pPr>
              <w:pStyle w:val="yTable"/>
            </w:pPr>
            <w:r>
              <w:rPr>
                <w:i/>
              </w:rPr>
              <w:t>For an unlisted service, the number of units is to be determined by reference to the nearest listed anaesthetic procedure</w:t>
            </w:r>
          </w:p>
        </w:tc>
      </w:tr>
    </w:tbl>
    <w:p>
      <w:pPr>
        <w:pStyle w:val="yFootnotesection"/>
        <w:keepLines w:val="0"/>
        <w:tabs>
          <w:tab w:val="clear" w:pos="893"/>
          <w:tab w:val="left" w:pos="567"/>
        </w:tabs>
        <w:ind w:left="567" w:hanging="567"/>
      </w:pPr>
      <w:r>
        <w:tab/>
        <w:t>[Part 1 inserted in Gazette 20 Jul 1999 p. 3250</w:t>
      </w:r>
      <w:r>
        <w:noBreakHyphen/>
        <w:t>69; amended in Gazette 31 Aug 1999 p. 4244-5; 21 Dec 2000 p. 7626-34; 28 Dec 2001 p. 6692-7; 23 Sep 2003 p. 4174-7; 19 Mar 2004 p. 864</w:t>
      </w:r>
      <w:r>
        <w:noBreakHyphen/>
        <w:t>96; 29 Oct 2004 p. 4941</w:t>
      </w:r>
      <w:r>
        <w:noBreakHyphen/>
        <w:t>2; 21 Jan 2005 p. 279</w:t>
      </w:r>
      <w:r>
        <w:noBreakHyphen/>
        <w:t>81; 10 Jan 2006 p. 44-52; 22 Dec 2006 p. 5759-68; 7 Dec 2007 p. 6037</w:t>
      </w:r>
      <w:r>
        <w:noBreakHyphen/>
        <w:t>42; 17 Dec 2008 p. 5291</w:t>
      </w:r>
      <w:r>
        <w:noBreakHyphen/>
        <w:t>6; 30 Oct 2009 p. 4346</w:t>
      </w:r>
      <w:r>
        <w:noBreakHyphen/>
        <w:t>53; 29 Oct 2010 p. 5349-55; 30 Sep 2011 p. 3914</w:t>
      </w:r>
      <w:r>
        <w:noBreakHyphen/>
        <w:t>17; 25 Sep 2012 p. 4450</w:t>
      </w:r>
      <w:r>
        <w:noBreakHyphen/>
        <w:t>7.]</w:t>
      </w:r>
    </w:p>
    <w:p>
      <w:pPr>
        <w:pStyle w:val="yHeading3"/>
        <w:rPr>
          <w:rStyle w:val="CharSDivText"/>
        </w:rPr>
      </w:pPr>
      <w:bookmarkStart w:id="32" w:name="_Toc339360092"/>
      <w:bookmarkStart w:id="33" w:name="_Toc339360496"/>
      <w:bookmarkStart w:id="34" w:name="_Toc276382371"/>
      <w:bookmarkStart w:id="35" w:name="_Toc305149065"/>
      <w:bookmarkStart w:id="36" w:name="_Toc306890327"/>
      <w:bookmarkStart w:id="37" w:name="_Toc306961498"/>
      <w:bookmarkStart w:id="38" w:name="_Toc306967190"/>
      <w:bookmarkStart w:id="39" w:name="_Toc306977070"/>
      <w:bookmarkStart w:id="40" w:name="_Toc336245209"/>
      <w:r>
        <w:rPr>
          <w:rStyle w:val="CharSDivNo"/>
        </w:rPr>
        <w:t>Part 2</w:t>
      </w:r>
      <w:r>
        <w:t> — </w:t>
      </w:r>
      <w:r>
        <w:rPr>
          <w:rStyle w:val="CharSDivText"/>
        </w:rPr>
        <w:t>Medical procedures</w:t>
      </w:r>
      <w:bookmarkEnd w:id="32"/>
      <w:bookmarkEnd w:id="33"/>
    </w:p>
    <w:p>
      <w:pPr>
        <w:pStyle w:val="yFootnoteheading"/>
        <w:spacing w:after="120"/>
      </w:pPr>
      <w:r>
        <w:tab/>
        <w:t>[Heading inserted in Gazette 25 Sep 2012 p. 4457.]</w:t>
      </w:r>
    </w:p>
    <w:tbl>
      <w:tblPr>
        <w:tblW w:w="0" w:type="auto"/>
        <w:tblInd w:w="255" w:type="dxa"/>
        <w:tblLayout w:type="fixed"/>
        <w:tblCellMar>
          <w:left w:w="113" w:type="dxa"/>
          <w:right w:w="113" w:type="dxa"/>
        </w:tblCellMar>
        <w:tblLook w:val="0000" w:firstRow="0" w:lastRow="0" w:firstColumn="0" w:lastColumn="0" w:noHBand="0" w:noVBand="0"/>
      </w:tblPr>
      <w:tblGrid>
        <w:gridCol w:w="5738"/>
        <w:gridCol w:w="1200"/>
      </w:tblGrid>
      <w:tr>
        <w:trPr>
          <w:cantSplit/>
          <w:tblHeader/>
        </w:trPr>
        <w:tc>
          <w:tcPr>
            <w:tcW w:w="5738" w:type="dxa"/>
            <w:tcBorders>
              <w:top w:val="single" w:sz="4" w:space="0" w:color="auto"/>
              <w:bottom w:val="single" w:sz="4" w:space="0" w:color="auto"/>
            </w:tcBorders>
          </w:tcPr>
          <w:p>
            <w:pPr>
              <w:pStyle w:val="yTableNAm"/>
            </w:pPr>
            <w:r>
              <w:rPr>
                <w:b/>
              </w:rPr>
              <w:t>Type of procedure</w:t>
            </w:r>
          </w:p>
        </w:tc>
        <w:tc>
          <w:tcPr>
            <w:tcW w:w="1200" w:type="dxa"/>
            <w:tcBorders>
              <w:top w:val="single" w:sz="4" w:space="0" w:color="auto"/>
              <w:bottom w:val="single" w:sz="4" w:space="0" w:color="auto"/>
            </w:tcBorders>
          </w:tcPr>
          <w:p>
            <w:pPr>
              <w:pStyle w:val="yTableNAm"/>
              <w:jc w:val="right"/>
            </w:pPr>
            <w:r>
              <w:rPr>
                <w:b/>
              </w:rPr>
              <w:t>Fee</w:t>
            </w:r>
            <w:r>
              <w:rPr>
                <w:b/>
              </w:rPr>
              <w:br/>
            </w:r>
          </w:p>
        </w:tc>
      </w:tr>
      <w:tr>
        <w:trPr>
          <w:cantSplit/>
        </w:trPr>
        <w:tc>
          <w:tcPr>
            <w:tcW w:w="5738" w:type="dxa"/>
            <w:tcBorders>
              <w:top w:val="single" w:sz="4" w:space="0" w:color="auto"/>
            </w:tcBorders>
          </w:tcPr>
          <w:p>
            <w:pPr>
              <w:pStyle w:val="yTableNAm"/>
            </w:pPr>
            <w:r>
              <w:t>GENERAL</w:t>
            </w:r>
          </w:p>
        </w:tc>
        <w:tc>
          <w:tcPr>
            <w:tcW w:w="1200" w:type="dxa"/>
            <w:vAlign w:val="center"/>
          </w:tcPr>
          <w:p>
            <w:pPr>
              <w:pStyle w:val="yTableNAm"/>
              <w:jc w:val="right"/>
            </w:pPr>
          </w:p>
        </w:tc>
      </w:tr>
      <w:tr>
        <w:trPr>
          <w:cantSplit/>
        </w:trPr>
        <w:tc>
          <w:tcPr>
            <w:tcW w:w="5738" w:type="dxa"/>
          </w:tcPr>
          <w:p>
            <w:pPr>
              <w:pStyle w:val="yTableNAm"/>
            </w:pPr>
            <w:r>
              <w:t>Localised burns</w:t>
            </w:r>
          </w:p>
        </w:tc>
        <w:tc>
          <w:tcPr>
            <w:tcW w:w="1200" w:type="dxa"/>
            <w:vAlign w:val="center"/>
          </w:tcPr>
          <w:p>
            <w:pPr>
              <w:pStyle w:val="yTableNAm"/>
              <w:jc w:val="right"/>
            </w:pPr>
            <w:r>
              <w:t>$56.45</w:t>
            </w:r>
          </w:p>
        </w:tc>
      </w:tr>
      <w:tr>
        <w:trPr>
          <w:cantSplit/>
        </w:trPr>
        <w:tc>
          <w:tcPr>
            <w:tcW w:w="5738" w:type="dxa"/>
          </w:tcPr>
          <w:p>
            <w:pPr>
              <w:pStyle w:val="yTableNAm"/>
            </w:pPr>
            <w:r>
              <w:t>Localised burns, including dressing of, under general anaesthetic</w:t>
            </w:r>
          </w:p>
        </w:tc>
        <w:tc>
          <w:tcPr>
            <w:tcW w:w="1200" w:type="dxa"/>
            <w:vAlign w:val="center"/>
          </w:tcPr>
          <w:p>
            <w:pPr>
              <w:pStyle w:val="yTableNAm"/>
              <w:jc w:val="right"/>
            </w:pPr>
            <w:r>
              <w:t>$160.60</w:t>
            </w:r>
          </w:p>
        </w:tc>
      </w:tr>
      <w:tr>
        <w:trPr>
          <w:cantSplit/>
        </w:trPr>
        <w:tc>
          <w:tcPr>
            <w:tcW w:w="5738" w:type="dxa"/>
          </w:tcPr>
          <w:p>
            <w:pPr>
              <w:pStyle w:val="yTableNAm"/>
            </w:pPr>
            <w:r>
              <w:t>Extensive burns</w:t>
            </w:r>
          </w:p>
        </w:tc>
        <w:tc>
          <w:tcPr>
            <w:tcW w:w="1200" w:type="dxa"/>
            <w:vAlign w:val="center"/>
          </w:tcPr>
          <w:p>
            <w:pPr>
              <w:pStyle w:val="yTableNAm"/>
              <w:jc w:val="right"/>
            </w:pPr>
            <w:r>
              <w:t>$97.40</w:t>
            </w:r>
          </w:p>
        </w:tc>
      </w:tr>
      <w:tr>
        <w:trPr>
          <w:cantSplit/>
        </w:trPr>
        <w:tc>
          <w:tcPr>
            <w:tcW w:w="5738" w:type="dxa"/>
          </w:tcPr>
          <w:p>
            <w:pPr>
              <w:pStyle w:val="yTableNAm"/>
            </w:pPr>
            <w:r>
              <w:t>Extensive burns, including dressing of, under general anaesthetic</w:t>
            </w:r>
          </w:p>
        </w:tc>
        <w:tc>
          <w:tcPr>
            <w:tcW w:w="1200" w:type="dxa"/>
            <w:vAlign w:val="bottom"/>
          </w:tcPr>
          <w:p>
            <w:pPr>
              <w:pStyle w:val="yTableNAm"/>
              <w:jc w:val="right"/>
            </w:pPr>
            <w:r>
              <w:t>$339.95</w:t>
            </w:r>
          </w:p>
        </w:tc>
      </w:tr>
      <w:tr>
        <w:trPr>
          <w:cantSplit/>
        </w:trPr>
        <w:tc>
          <w:tcPr>
            <w:tcW w:w="5738" w:type="dxa"/>
          </w:tcPr>
          <w:p>
            <w:pPr>
              <w:pStyle w:val="yTableNAm"/>
            </w:pPr>
            <w:r>
              <w:t>Dressing of wounds, under general anaesthetic</w:t>
            </w:r>
          </w:p>
        </w:tc>
        <w:tc>
          <w:tcPr>
            <w:tcW w:w="1200" w:type="dxa"/>
            <w:vAlign w:val="bottom"/>
          </w:tcPr>
          <w:p>
            <w:pPr>
              <w:pStyle w:val="yTableNAm"/>
              <w:jc w:val="right"/>
            </w:pPr>
            <w:r>
              <w:t>$160.60</w:t>
            </w:r>
          </w:p>
        </w:tc>
      </w:tr>
      <w:tr>
        <w:trPr>
          <w:cantSplit/>
        </w:trPr>
        <w:tc>
          <w:tcPr>
            <w:tcW w:w="5738" w:type="dxa"/>
          </w:tcPr>
          <w:p>
            <w:pPr>
              <w:pStyle w:val="yTableNAm"/>
            </w:pPr>
            <w:r>
              <w:t>Acupuncture, including consultation</w:t>
            </w:r>
          </w:p>
        </w:tc>
        <w:tc>
          <w:tcPr>
            <w:tcW w:w="1200" w:type="dxa"/>
            <w:vAlign w:val="bottom"/>
          </w:tcPr>
          <w:p>
            <w:pPr>
              <w:pStyle w:val="yTableNAm"/>
              <w:jc w:val="right"/>
            </w:pPr>
            <w:r>
              <w:t>$74.90</w:t>
            </w:r>
          </w:p>
        </w:tc>
      </w:tr>
      <w:tr>
        <w:trPr>
          <w:cantSplit/>
        </w:trPr>
        <w:tc>
          <w:tcPr>
            <w:tcW w:w="5738" w:type="dxa"/>
          </w:tcPr>
          <w:p>
            <w:pPr>
              <w:pStyle w:val="yTableNAm"/>
            </w:pPr>
            <w:r>
              <w:t>DISLOCATIONS</w:t>
            </w:r>
          </w:p>
        </w:tc>
        <w:tc>
          <w:tcPr>
            <w:tcW w:w="1200" w:type="dxa"/>
            <w:vAlign w:val="center"/>
          </w:tcPr>
          <w:p>
            <w:pPr>
              <w:pStyle w:val="yTableNAm"/>
              <w:jc w:val="right"/>
            </w:pPr>
          </w:p>
        </w:tc>
      </w:tr>
      <w:tr>
        <w:trPr>
          <w:cantSplit/>
        </w:trPr>
        <w:tc>
          <w:tcPr>
            <w:tcW w:w="5738" w:type="dxa"/>
          </w:tcPr>
          <w:p>
            <w:pPr>
              <w:pStyle w:val="yTableNAm"/>
              <w:ind w:left="585" w:hanging="585"/>
            </w:pPr>
            <w:r>
              <w:rPr>
                <w:i/>
              </w:rPr>
              <w:tab/>
            </w:r>
            <w:r>
              <w:rPr>
                <w:rStyle w:val="CharDefText"/>
              </w:rPr>
              <w:t>closed reduction</w:t>
            </w:r>
            <w:r>
              <w:t xml:space="preserve"> means non</w:t>
            </w:r>
            <w:r>
              <w:noBreakHyphen/>
              <w:t>operative reduction of the dislocation, and included percutaneous fixation and/or external splintage by cast or splint.</w:t>
            </w:r>
          </w:p>
        </w:tc>
        <w:tc>
          <w:tcPr>
            <w:tcW w:w="1200" w:type="dxa"/>
            <w:vAlign w:val="center"/>
          </w:tcPr>
          <w:p>
            <w:pPr>
              <w:pStyle w:val="yTableNAm"/>
              <w:jc w:val="right"/>
            </w:pPr>
          </w:p>
        </w:tc>
      </w:tr>
      <w:tr>
        <w:trPr>
          <w:cantSplit/>
        </w:trPr>
        <w:tc>
          <w:tcPr>
            <w:tcW w:w="5738" w:type="dxa"/>
          </w:tcPr>
          <w:p>
            <w:pPr>
              <w:pStyle w:val="yTableNAm"/>
              <w:ind w:left="585" w:hanging="585"/>
            </w:pPr>
            <w:r>
              <w:rPr>
                <w:i/>
              </w:rPr>
              <w:tab/>
            </w:r>
            <w:r>
              <w:rPr>
                <w:rStyle w:val="CharDefText"/>
              </w:rPr>
              <w:t>open reduction</w:t>
            </w:r>
            <w:r>
              <w:rPr>
                <w:iCs/>
              </w:rPr>
              <w:t xml:space="preserve"> means </w:t>
            </w:r>
            <w:r>
              <w:t>treatment by either closed reduction and intra</w:t>
            </w:r>
            <w:r>
              <w:noBreakHyphen/>
              <w:t>medullary fixation or treatment by operative exposure of the dislocation including internal or external fixation.</w:t>
            </w:r>
          </w:p>
        </w:tc>
        <w:tc>
          <w:tcPr>
            <w:tcW w:w="1200" w:type="dxa"/>
            <w:vAlign w:val="center"/>
          </w:tcPr>
          <w:p>
            <w:pPr>
              <w:pStyle w:val="yTableNAm"/>
              <w:jc w:val="right"/>
            </w:pPr>
          </w:p>
        </w:tc>
      </w:tr>
      <w:tr>
        <w:trPr>
          <w:cantSplit/>
        </w:trPr>
        <w:tc>
          <w:tcPr>
            <w:tcW w:w="5738" w:type="dxa"/>
          </w:tcPr>
          <w:p>
            <w:pPr>
              <w:pStyle w:val="yTableNAm"/>
              <w:ind w:left="585" w:hanging="585"/>
            </w:pPr>
            <w:r>
              <w:rPr>
                <w:i/>
              </w:rPr>
              <w:tab/>
            </w:r>
            <w:r>
              <w:rPr>
                <w:rStyle w:val="CharDefText"/>
              </w:rPr>
              <w:t>other</w:t>
            </w:r>
            <w:r>
              <w:t xml:space="preserve"> means treatment by any other method and includes the use of external splintage.</w:t>
            </w:r>
          </w:p>
        </w:tc>
        <w:tc>
          <w:tcPr>
            <w:tcW w:w="1200" w:type="dxa"/>
            <w:vAlign w:val="center"/>
          </w:tcPr>
          <w:p>
            <w:pPr>
              <w:pStyle w:val="yTableNAm"/>
              <w:jc w:val="right"/>
            </w:pPr>
          </w:p>
        </w:tc>
      </w:tr>
      <w:tr>
        <w:trPr>
          <w:cantSplit/>
        </w:trPr>
        <w:tc>
          <w:tcPr>
            <w:tcW w:w="5738" w:type="dxa"/>
          </w:tcPr>
          <w:p>
            <w:pPr>
              <w:pStyle w:val="yTableNAm"/>
            </w:pPr>
            <w:r>
              <w:t>[Where injuries are associated with a compound (open) wound, an additional fee of 50% of the fee listed is to apply.]</w:t>
            </w:r>
          </w:p>
        </w:tc>
        <w:tc>
          <w:tcPr>
            <w:tcW w:w="1200" w:type="dxa"/>
            <w:vAlign w:val="center"/>
          </w:tcPr>
          <w:p>
            <w:pPr>
              <w:pStyle w:val="yTableNAm"/>
              <w:jc w:val="right"/>
            </w:pPr>
          </w:p>
        </w:tc>
      </w:tr>
      <w:tr>
        <w:trPr>
          <w:cantSplit/>
        </w:trPr>
        <w:tc>
          <w:tcPr>
            <w:tcW w:w="5738" w:type="dxa"/>
          </w:tcPr>
          <w:p>
            <w:pPr>
              <w:pStyle w:val="yTableNAm"/>
            </w:pPr>
            <w:r>
              <w:t>Elbow, by closed reduction</w:t>
            </w:r>
          </w:p>
        </w:tc>
        <w:tc>
          <w:tcPr>
            <w:tcW w:w="1200" w:type="dxa"/>
            <w:vAlign w:val="bottom"/>
          </w:tcPr>
          <w:p>
            <w:pPr>
              <w:pStyle w:val="yTableNAm"/>
              <w:jc w:val="right"/>
            </w:pPr>
            <w:r>
              <w:t>$302.90</w:t>
            </w:r>
          </w:p>
        </w:tc>
      </w:tr>
      <w:tr>
        <w:trPr>
          <w:cantSplit/>
        </w:trPr>
        <w:tc>
          <w:tcPr>
            <w:tcW w:w="5738" w:type="dxa"/>
          </w:tcPr>
          <w:p>
            <w:pPr>
              <w:pStyle w:val="yTableNAm"/>
            </w:pPr>
            <w:r>
              <w:t>Elbow, by open reduction</w:t>
            </w:r>
          </w:p>
        </w:tc>
        <w:tc>
          <w:tcPr>
            <w:tcW w:w="1200" w:type="dxa"/>
            <w:vAlign w:val="bottom"/>
          </w:tcPr>
          <w:p>
            <w:pPr>
              <w:pStyle w:val="yTableNAm"/>
              <w:jc w:val="right"/>
            </w:pPr>
            <w:r>
              <w:t>$401.70</w:t>
            </w:r>
          </w:p>
        </w:tc>
      </w:tr>
      <w:tr>
        <w:trPr>
          <w:cantSplit/>
        </w:trPr>
        <w:tc>
          <w:tcPr>
            <w:tcW w:w="5738" w:type="dxa"/>
          </w:tcPr>
          <w:p>
            <w:pPr>
              <w:pStyle w:val="yTableNAm"/>
            </w:pPr>
            <w:r>
              <w:t>Interphalangeal joint, by closed reduction</w:t>
            </w:r>
          </w:p>
        </w:tc>
        <w:tc>
          <w:tcPr>
            <w:tcW w:w="1200" w:type="dxa"/>
            <w:vAlign w:val="bottom"/>
          </w:tcPr>
          <w:p>
            <w:pPr>
              <w:pStyle w:val="yTableNAm"/>
              <w:jc w:val="right"/>
            </w:pPr>
            <w:r>
              <w:t>$129.85</w:t>
            </w:r>
          </w:p>
        </w:tc>
      </w:tr>
      <w:tr>
        <w:trPr>
          <w:cantSplit/>
        </w:trPr>
        <w:tc>
          <w:tcPr>
            <w:tcW w:w="5738" w:type="dxa"/>
          </w:tcPr>
          <w:p>
            <w:pPr>
              <w:pStyle w:val="yTableNAm"/>
            </w:pPr>
            <w:r>
              <w:t>Interphalangeal joint, by open reduction</w:t>
            </w:r>
          </w:p>
        </w:tc>
        <w:tc>
          <w:tcPr>
            <w:tcW w:w="1200" w:type="dxa"/>
            <w:vAlign w:val="bottom"/>
          </w:tcPr>
          <w:p>
            <w:pPr>
              <w:pStyle w:val="yTableNAm"/>
              <w:jc w:val="right"/>
            </w:pPr>
            <w:r>
              <w:t>$173.10</w:t>
            </w:r>
          </w:p>
        </w:tc>
      </w:tr>
      <w:tr>
        <w:trPr>
          <w:cantSplit/>
        </w:trPr>
        <w:tc>
          <w:tcPr>
            <w:tcW w:w="5738" w:type="dxa"/>
          </w:tcPr>
          <w:p>
            <w:pPr>
              <w:pStyle w:val="yTableNAm"/>
            </w:pPr>
            <w:r>
              <w:t>Mandible, by closed reduction</w:t>
            </w:r>
          </w:p>
        </w:tc>
        <w:tc>
          <w:tcPr>
            <w:tcW w:w="1200" w:type="dxa"/>
            <w:vAlign w:val="bottom"/>
          </w:tcPr>
          <w:p>
            <w:pPr>
              <w:pStyle w:val="yTableNAm"/>
              <w:jc w:val="right"/>
            </w:pPr>
            <w:r>
              <w:t>$108.25</w:t>
            </w:r>
          </w:p>
        </w:tc>
      </w:tr>
      <w:tr>
        <w:trPr>
          <w:cantSplit/>
        </w:trPr>
        <w:tc>
          <w:tcPr>
            <w:tcW w:w="5738" w:type="dxa"/>
          </w:tcPr>
          <w:p>
            <w:pPr>
              <w:pStyle w:val="yTableNAm"/>
            </w:pPr>
            <w:r>
              <w:t>Clavicle, by closed reduction</w:t>
            </w:r>
          </w:p>
        </w:tc>
        <w:tc>
          <w:tcPr>
            <w:tcW w:w="1200" w:type="dxa"/>
            <w:vAlign w:val="bottom"/>
          </w:tcPr>
          <w:p>
            <w:pPr>
              <w:pStyle w:val="yTableNAm"/>
              <w:jc w:val="right"/>
            </w:pPr>
            <w:r>
              <w:t>$128.40</w:t>
            </w:r>
          </w:p>
        </w:tc>
      </w:tr>
      <w:tr>
        <w:trPr>
          <w:cantSplit/>
        </w:trPr>
        <w:tc>
          <w:tcPr>
            <w:tcW w:w="5738" w:type="dxa"/>
          </w:tcPr>
          <w:p>
            <w:pPr>
              <w:pStyle w:val="yTableNAm"/>
            </w:pPr>
            <w:r>
              <w:t>Clavicle, by open reduction</w:t>
            </w:r>
          </w:p>
        </w:tc>
        <w:tc>
          <w:tcPr>
            <w:tcW w:w="1200" w:type="dxa"/>
            <w:vAlign w:val="bottom"/>
          </w:tcPr>
          <w:p>
            <w:pPr>
              <w:pStyle w:val="yTableNAm"/>
              <w:jc w:val="right"/>
            </w:pPr>
            <w:r>
              <w:t>$259.60</w:t>
            </w:r>
          </w:p>
        </w:tc>
      </w:tr>
      <w:tr>
        <w:trPr>
          <w:cantSplit/>
        </w:trPr>
        <w:tc>
          <w:tcPr>
            <w:tcW w:w="5738" w:type="dxa"/>
          </w:tcPr>
          <w:p>
            <w:pPr>
              <w:pStyle w:val="yTableNAm"/>
            </w:pPr>
            <w:r>
              <w:t>Shoulder, not requiring general anaesthetic</w:t>
            </w:r>
          </w:p>
        </w:tc>
        <w:tc>
          <w:tcPr>
            <w:tcW w:w="1200" w:type="dxa"/>
            <w:vAlign w:val="bottom"/>
          </w:tcPr>
          <w:p>
            <w:pPr>
              <w:pStyle w:val="yTableNAm"/>
              <w:jc w:val="right"/>
            </w:pPr>
            <w:r>
              <w:t>$144.40</w:t>
            </w:r>
          </w:p>
        </w:tc>
      </w:tr>
      <w:tr>
        <w:trPr>
          <w:cantSplit/>
        </w:trPr>
        <w:tc>
          <w:tcPr>
            <w:tcW w:w="5738" w:type="dxa"/>
          </w:tcPr>
          <w:p>
            <w:pPr>
              <w:pStyle w:val="yTableNAm"/>
            </w:pPr>
            <w:r>
              <w:t>Shoulder, by open reduction, with general anaesthetic</w:t>
            </w:r>
          </w:p>
        </w:tc>
        <w:tc>
          <w:tcPr>
            <w:tcW w:w="1200" w:type="dxa"/>
            <w:vAlign w:val="bottom"/>
          </w:tcPr>
          <w:p>
            <w:pPr>
              <w:pStyle w:val="yTableNAm"/>
              <w:jc w:val="right"/>
            </w:pPr>
            <w:r>
              <w:t>$517.80</w:t>
            </w:r>
          </w:p>
        </w:tc>
      </w:tr>
      <w:tr>
        <w:trPr>
          <w:cantSplit/>
        </w:trPr>
        <w:tc>
          <w:tcPr>
            <w:tcW w:w="5738" w:type="dxa"/>
          </w:tcPr>
          <w:p>
            <w:pPr>
              <w:pStyle w:val="yTableNAm"/>
            </w:pPr>
            <w:r>
              <w:t>Shoulder, other, with general anaesthetic</w:t>
            </w:r>
          </w:p>
        </w:tc>
        <w:tc>
          <w:tcPr>
            <w:tcW w:w="1200" w:type="dxa"/>
            <w:vAlign w:val="bottom"/>
          </w:tcPr>
          <w:p>
            <w:pPr>
              <w:pStyle w:val="yTableNAm"/>
              <w:jc w:val="right"/>
            </w:pPr>
            <w:r>
              <w:t>$256.45</w:t>
            </w:r>
          </w:p>
        </w:tc>
      </w:tr>
      <w:tr>
        <w:trPr>
          <w:cantSplit/>
        </w:trPr>
        <w:tc>
          <w:tcPr>
            <w:tcW w:w="5738" w:type="dxa"/>
          </w:tcPr>
          <w:p>
            <w:pPr>
              <w:pStyle w:val="yTableNAm"/>
            </w:pPr>
            <w:r>
              <w:t>Metacarpophalangeal joint, by closed reduction</w:t>
            </w:r>
          </w:p>
        </w:tc>
        <w:tc>
          <w:tcPr>
            <w:tcW w:w="1200" w:type="dxa"/>
            <w:vAlign w:val="bottom"/>
          </w:tcPr>
          <w:p>
            <w:pPr>
              <w:pStyle w:val="yTableNAm"/>
              <w:jc w:val="right"/>
            </w:pPr>
            <w:r>
              <w:t>$173.10</w:t>
            </w:r>
          </w:p>
        </w:tc>
      </w:tr>
      <w:tr>
        <w:trPr>
          <w:cantSplit/>
        </w:trPr>
        <w:tc>
          <w:tcPr>
            <w:tcW w:w="5738" w:type="dxa"/>
          </w:tcPr>
          <w:p>
            <w:pPr>
              <w:pStyle w:val="yTableNAm"/>
            </w:pPr>
            <w:r>
              <w:t>Metacarpophalangeal joint, by open reduction</w:t>
            </w:r>
          </w:p>
        </w:tc>
        <w:tc>
          <w:tcPr>
            <w:tcW w:w="1200" w:type="dxa"/>
            <w:vAlign w:val="bottom"/>
          </w:tcPr>
          <w:p>
            <w:pPr>
              <w:pStyle w:val="yTableNAm"/>
              <w:jc w:val="right"/>
            </w:pPr>
            <w:r>
              <w:t>$231.85</w:t>
            </w:r>
          </w:p>
        </w:tc>
      </w:tr>
      <w:tr>
        <w:trPr>
          <w:cantSplit/>
        </w:trPr>
        <w:tc>
          <w:tcPr>
            <w:tcW w:w="5738" w:type="dxa"/>
          </w:tcPr>
          <w:p>
            <w:pPr>
              <w:pStyle w:val="yTableNAm"/>
            </w:pPr>
            <w:r>
              <w:t>Patella, by closed reduction</w:t>
            </w:r>
          </w:p>
        </w:tc>
        <w:tc>
          <w:tcPr>
            <w:tcW w:w="1200" w:type="dxa"/>
            <w:vAlign w:val="bottom"/>
          </w:tcPr>
          <w:p>
            <w:pPr>
              <w:pStyle w:val="yTableNAm"/>
              <w:jc w:val="right"/>
            </w:pPr>
            <w:r>
              <w:t>$194.60</w:t>
            </w:r>
          </w:p>
        </w:tc>
      </w:tr>
      <w:tr>
        <w:trPr>
          <w:cantSplit/>
        </w:trPr>
        <w:tc>
          <w:tcPr>
            <w:tcW w:w="5738" w:type="dxa"/>
          </w:tcPr>
          <w:p>
            <w:pPr>
              <w:pStyle w:val="yTableNAm"/>
            </w:pPr>
            <w:r>
              <w:t>Patella, by open reduction</w:t>
            </w:r>
          </w:p>
        </w:tc>
        <w:tc>
          <w:tcPr>
            <w:tcW w:w="1200" w:type="dxa"/>
            <w:vAlign w:val="bottom"/>
          </w:tcPr>
          <w:p>
            <w:pPr>
              <w:pStyle w:val="yTableNAm"/>
              <w:jc w:val="right"/>
            </w:pPr>
            <w:r>
              <w:t>$259.60</w:t>
            </w:r>
          </w:p>
        </w:tc>
      </w:tr>
      <w:tr>
        <w:trPr>
          <w:cantSplit/>
        </w:trPr>
        <w:tc>
          <w:tcPr>
            <w:tcW w:w="5738" w:type="dxa"/>
          </w:tcPr>
          <w:p>
            <w:pPr>
              <w:pStyle w:val="yTableNAm"/>
            </w:pPr>
            <w:r>
              <w:t>Radioulnar joint, by closed reduction</w:t>
            </w:r>
          </w:p>
        </w:tc>
        <w:tc>
          <w:tcPr>
            <w:tcW w:w="1200" w:type="dxa"/>
            <w:vAlign w:val="bottom"/>
          </w:tcPr>
          <w:p>
            <w:pPr>
              <w:pStyle w:val="yTableNAm"/>
              <w:jc w:val="right"/>
            </w:pPr>
            <w:r>
              <w:t>$302.90</w:t>
            </w:r>
          </w:p>
        </w:tc>
      </w:tr>
      <w:tr>
        <w:trPr>
          <w:cantSplit/>
        </w:trPr>
        <w:tc>
          <w:tcPr>
            <w:tcW w:w="5738" w:type="dxa"/>
          </w:tcPr>
          <w:p>
            <w:pPr>
              <w:pStyle w:val="yTableNAm"/>
            </w:pPr>
            <w:r>
              <w:t>Radioulnar joint, by open reduction</w:t>
            </w:r>
          </w:p>
        </w:tc>
        <w:tc>
          <w:tcPr>
            <w:tcW w:w="1200" w:type="dxa"/>
            <w:vAlign w:val="bottom"/>
          </w:tcPr>
          <w:p>
            <w:pPr>
              <w:pStyle w:val="yTableNAm"/>
              <w:jc w:val="right"/>
            </w:pPr>
            <w:r>
              <w:t>$401.70</w:t>
            </w:r>
          </w:p>
        </w:tc>
      </w:tr>
      <w:tr>
        <w:trPr>
          <w:cantSplit/>
        </w:trPr>
        <w:tc>
          <w:tcPr>
            <w:tcW w:w="5738" w:type="dxa"/>
          </w:tcPr>
          <w:p>
            <w:pPr>
              <w:pStyle w:val="yTableNAm"/>
            </w:pPr>
            <w:r>
              <w:t>Toe, by closed reduction</w:t>
            </w:r>
          </w:p>
        </w:tc>
        <w:tc>
          <w:tcPr>
            <w:tcW w:w="1200" w:type="dxa"/>
            <w:vAlign w:val="bottom"/>
          </w:tcPr>
          <w:p>
            <w:pPr>
              <w:pStyle w:val="yTableNAm"/>
              <w:jc w:val="right"/>
            </w:pPr>
            <w:r>
              <w:t>$108.25</w:t>
            </w:r>
          </w:p>
        </w:tc>
      </w:tr>
      <w:tr>
        <w:trPr>
          <w:cantSplit/>
        </w:trPr>
        <w:tc>
          <w:tcPr>
            <w:tcW w:w="5738" w:type="dxa"/>
          </w:tcPr>
          <w:p>
            <w:pPr>
              <w:pStyle w:val="yTableNAm"/>
            </w:pPr>
            <w:r>
              <w:t>Toe, by open reduction</w:t>
            </w:r>
          </w:p>
        </w:tc>
        <w:tc>
          <w:tcPr>
            <w:tcW w:w="1200" w:type="dxa"/>
            <w:vAlign w:val="bottom"/>
          </w:tcPr>
          <w:p>
            <w:pPr>
              <w:pStyle w:val="yTableNAm"/>
              <w:jc w:val="right"/>
            </w:pPr>
            <w:r>
              <w:t>$143.75</w:t>
            </w:r>
          </w:p>
        </w:tc>
      </w:tr>
      <w:tr>
        <w:trPr>
          <w:cantSplit/>
        </w:trPr>
        <w:tc>
          <w:tcPr>
            <w:tcW w:w="5738" w:type="dxa"/>
          </w:tcPr>
          <w:p>
            <w:pPr>
              <w:pStyle w:val="yTableNAm"/>
            </w:pPr>
            <w:r>
              <w:t>REMOVAL OF FOREIGN BODIES</w:t>
            </w:r>
          </w:p>
        </w:tc>
        <w:tc>
          <w:tcPr>
            <w:tcW w:w="1200" w:type="dxa"/>
            <w:vAlign w:val="center"/>
          </w:tcPr>
          <w:p>
            <w:pPr>
              <w:pStyle w:val="yTableNAm"/>
              <w:jc w:val="right"/>
            </w:pPr>
          </w:p>
        </w:tc>
      </w:tr>
      <w:tr>
        <w:trPr>
          <w:cantSplit/>
        </w:trPr>
        <w:tc>
          <w:tcPr>
            <w:tcW w:w="5738" w:type="dxa"/>
          </w:tcPr>
          <w:p>
            <w:pPr>
              <w:pStyle w:val="yTableNAm"/>
            </w:pPr>
            <w:r>
              <w:tab/>
              <w:t>as independent procedure</w:t>
            </w:r>
          </w:p>
        </w:tc>
        <w:tc>
          <w:tcPr>
            <w:tcW w:w="1200" w:type="dxa"/>
            <w:vAlign w:val="bottom"/>
          </w:tcPr>
          <w:p>
            <w:pPr>
              <w:pStyle w:val="yTableNAm"/>
              <w:jc w:val="right"/>
            </w:pPr>
            <w:r>
              <w:t>$47.10</w:t>
            </w:r>
          </w:p>
        </w:tc>
      </w:tr>
      <w:tr>
        <w:trPr>
          <w:cantSplit/>
        </w:trPr>
        <w:tc>
          <w:tcPr>
            <w:tcW w:w="5738" w:type="dxa"/>
          </w:tcPr>
          <w:p>
            <w:pPr>
              <w:pStyle w:val="yTableNAm"/>
            </w:pPr>
            <w:r>
              <w:tab/>
              <w:t>superficial</w:t>
            </w:r>
          </w:p>
        </w:tc>
        <w:tc>
          <w:tcPr>
            <w:tcW w:w="1200" w:type="dxa"/>
            <w:vAlign w:val="bottom"/>
          </w:tcPr>
          <w:p>
            <w:pPr>
              <w:pStyle w:val="yTableNAm"/>
              <w:jc w:val="right"/>
            </w:pPr>
            <w:r>
              <w:t>$210.15</w:t>
            </w:r>
          </w:p>
        </w:tc>
      </w:tr>
      <w:tr>
        <w:trPr>
          <w:cantSplit/>
        </w:trPr>
        <w:tc>
          <w:tcPr>
            <w:tcW w:w="5738" w:type="dxa"/>
          </w:tcPr>
          <w:p>
            <w:pPr>
              <w:pStyle w:val="yTableNAm"/>
            </w:pPr>
            <w:r>
              <w:tab/>
              <w:t>deep tissue or muscle</w:t>
            </w:r>
          </w:p>
        </w:tc>
        <w:tc>
          <w:tcPr>
            <w:tcW w:w="1200" w:type="dxa"/>
            <w:vAlign w:val="bottom"/>
          </w:tcPr>
          <w:p>
            <w:pPr>
              <w:pStyle w:val="yTableNAm"/>
              <w:jc w:val="right"/>
            </w:pPr>
            <w:r>
              <w:t>$587.25</w:t>
            </w:r>
          </w:p>
        </w:tc>
      </w:tr>
      <w:tr>
        <w:trPr>
          <w:cantSplit/>
        </w:trPr>
        <w:tc>
          <w:tcPr>
            <w:tcW w:w="5738" w:type="dxa"/>
          </w:tcPr>
          <w:p>
            <w:pPr>
              <w:pStyle w:val="yTableNAm"/>
            </w:pPr>
            <w:r>
              <w:tab/>
              <w:t>ear, other than by syringing</w:t>
            </w:r>
          </w:p>
        </w:tc>
        <w:tc>
          <w:tcPr>
            <w:tcW w:w="1200" w:type="dxa"/>
            <w:vAlign w:val="bottom"/>
          </w:tcPr>
          <w:p>
            <w:pPr>
              <w:pStyle w:val="yTableNAm"/>
              <w:jc w:val="right"/>
            </w:pPr>
            <w:r>
              <w:t>$151.35</w:t>
            </w:r>
          </w:p>
        </w:tc>
      </w:tr>
      <w:tr>
        <w:trPr>
          <w:cantSplit/>
        </w:trPr>
        <w:tc>
          <w:tcPr>
            <w:tcW w:w="5738" w:type="dxa"/>
          </w:tcPr>
          <w:p>
            <w:pPr>
              <w:pStyle w:val="yTableNAm"/>
            </w:pPr>
            <w:r>
              <w:tab/>
              <w:t>nose, other than by simple probing</w:t>
            </w:r>
          </w:p>
        </w:tc>
        <w:tc>
          <w:tcPr>
            <w:tcW w:w="1200" w:type="dxa"/>
            <w:vAlign w:val="bottom"/>
          </w:tcPr>
          <w:p>
            <w:pPr>
              <w:pStyle w:val="yTableNAm"/>
              <w:jc w:val="right"/>
            </w:pPr>
            <w:r>
              <w:t>$151.35</w:t>
            </w:r>
          </w:p>
        </w:tc>
      </w:tr>
      <w:tr>
        <w:trPr>
          <w:cantSplit/>
        </w:trPr>
        <w:tc>
          <w:tcPr>
            <w:tcW w:w="5738" w:type="dxa"/>
          </w:tcPr>
          <w:p>
            <w:pPr>
              <w:pStyle w:val="yTableNAm"/>
            </w:pPr>
            <w:r>
              <w:tab/>
              <w:t>cornea or sclera, embedded</w:t>
            </w:r>
          </w:p>
        </w:tc>
        <w:tc>
          <w:tcPr>
            <w:tcW w:w="1200" w:type="dxa"/>
            <w:vAlign w:val="bottom"/>
          </w:tcPr>
          <w:p>
            <w:pPr>
              <w:pStyle w:val="yTableNAm"/>
              <w:jc w:val="right"/>
            </w:pPr>
            <w:r>
              <w:t>$154.55</w:t>
            </w:r>
          </w:p>
        </w:tc>
      </w:tr>
      <w:tr>
        <w:trPr>
          <w:cantSplit/>
        </w:trPr>
        <w:tc>
          <w:tcPr>
            <w:tcW w:w="5738" w:type="dxa"/>
          </w:tcPr>
          <w:p>
            <w:pPr>
              <w:pStyle w:val="yTableNAm"/>
            </w:pPr>
            <w:r>
              <w:t>FRACTURES</w:t>
            </w:r>
          </w:p>
        </w:tc>
        <w:tc>
          <w:tcPr>
            <w:tcW w:w="1200" w:type="dxa"/>
            <w:vAlign w:val="center"/>
          </w:tcPr>
          <w:p>
            <w:pPr>
              <w:pStyle w:val="yTableNAm"/>
              <w:jc w:val="right"/>
            </w:pPr>
          </w:p>
        </w:tc>
      </w:tr>
      <w:tr>
        <w:trPr>
          <w:cantSplit/>
        </w:trPr>
        <w:tc>
          <w:tcPr>
            <w:tcW w:w="5738" w:type="dxa"/>
          </w:tcPr>
          <w:p>
            <w:pPr>
              <w:pStyle w:val="yTableNAm"/>
              <w:ind w:left="585" w:hanging="585"/>
            </w:pPr>
            <w:r>
              <w:rPr>
                <w:i/>
              </w:rPr>
              <w:tab/>
            </w:r>
            <w:r>
              <w:rPr>
                <w:b/>
                <w:i/>
              </w:rPr>
              <w:t>closed reduction</w:t>
            </w:r>
            <w:r>
              <w:t xml:space="preserve"> means non</w:t>
            </w:r>
            <w:r>
              <w:noBreakHyphen/>
              <w:t>operative reduction of the fracture, and included percutaneous fixation and/or external splintage by cast or splint.</w:t>
            </w:r>
          </w:p>
        </w:tc>
        <w:tc>
          <w:tcPr>
            <w:tcW w:w="1200" w:type="dxa"/>
            <w:vAlign w:val="center"/>
          </w:tcPr>
          <w:p>
            <w:pPr>
              <w:pStyle w:val="yTableNAm"/>
              <w:jc w:val="right"/>
            </w:pPr>
          </w:p>
        </w:tc>
      </w:tr>
      <w:tr>
        <w:trPr>
          <w:cantSplit/>
        </w:trPr>
        <w:tc>
          <w:tcPr>
            <w:tcW w:w="5738" w:type="dxa"/>
          </w:tcPr>
          <w:p>
            <w:pPr>
              <w:pStyle w:val="yTableNAm"/>
              <w:ind w:left="585" w:hanging="585"/>
            </w:pPr>
            <w:r>
              <w:rPr>
                <w:i/>
              </w:rPr>
              <w:tab/>
            </w:r>
            <w:r>
              <w:rPr>
                <w:b/>
                <w:i/>
              </w:rPr>
              <w:t>open reduction</w:t>
            </w:r>
            <w:r>
              <w:t xml:space="preserve"> means treatment by either closed reduction and intra</w:t>
            </w:r>
            <w:r>
              <w:noBreakHyphen/>
              <w:t>medullary fixation or treatment by operative exposure of the fracture including internal or external fixation.</w:t>
            </w:r>
          </w:p>
        </w:tc>
        <w:tc>
          <w:tcPr>
            <w:tcW w:w="1200" w:type="dxa"/>
            <w:vAlign w:val="center"/>
          </w:tcPr>
          <w:p>
            <w:pPr>
              <w:pStyle w:val="yTableNAm"/>
              <w:jc w:val="right"/>
            </w:pPr>
          </w:p>
        </w:tc>
      </w:tr>
      <w:tr>
        <w:trPr>
          <w:cantSplit/>
        </w:trPr>
        <w:tc>
          <w:tcPr>
            <w:tcW w:w="5738" w:type="dxa"/>
          </w:tcPr>
          <w:p>
            <w:pPr>
              <w:pStyle w:val="yTableNAm"/>
              <w:ind w:left="585" w:hanging="585"/>
            </w:pPr>
            <w:r>
              <w:rPr>
                <w:i/>
              </w:rPr>
              <w:tab/>
            </w:r>
            <w:r>
              <w:rPr>
                <w:b/>
                <w:i/>
              </w:rPr>
              <w:t xml:space="preserve">other </w:t>
            </w:r>
            <w:r>
              <w:t>means treatment by any other method and includes the use of external splintage.</w:t>
            </w:r>
          </w:p>
        </w:tc>
        <w:tc>
          <w:tcPr>
            <w:tcW w:w="1200" w:type="dxa"/>
            <w:vAlign w:val="center"/>
          </w:tcPr>
          <w:p>
            <w:pPr>
              <w:pStyle w:val="yTableNAm"/>
              <w:jc w:val="right"/>
            </w:pPr>
          </w:p>
        </w:tc>
      </w:tr>
      <w:tr>
        <w:trPr>
          <w:cantSplit/>
        </w:trPr>
        <w:tc>
          <w:tcPr>
            <w:tcW w:w="5738" w:type="dxa"/>
          </w:tcPr>
          <w:p>
            <w:pPr>
              <w:pStyle w:val="yTableNAm"/>
            </w:pPr>
            <w:r>
              <w:t>[Where injuries are associated with a compound (open) wound, an additional fee of 50% of the fee listed is to apply.]</w:t>
            </w:r>
          </w:p>
        </w:tc>
        <w:tc>
          <w:tcPr>
            <w:tcW w:w="1200" w:type="dxa"/>
            <w:vAlign w:val="center"/>
          </w:tcPr>
          <w:p>
            <w:pPr>
              <w:pStyle w:val="yTableNAm"/>
              <w:jc w:val="right"/>
            </w:pPr>
          </w:p>
        </w:tc>
      </w:tr>
      <w:tr>
        <w:trPr>
          <w:cantSplit/>
        </w:trPr>
        <w:tc>
          <w:tcPr>
            <w:tcW w:w="5738" w:type="dxa"/>
          </w:tcPr>
          <w:p>
            <w:pPr>
              <w:pStyle w:val="yTableNAm"/>
            </w:pPr>
            <w:r>
              <w:t>Distal phalanx of finger or thumb</w:t>
            </w:r>
          </w:p>
        </w:tc>
        <w:tc>
          <w:tcPr>
            <w:tcW w:w="1200" w:type="dxa"/>
            <w:vAlign w:val="center"/>
          </w:tcPr>
          <w:p>
            <w:pPr>
              <w:pStyle w:val="yTableNAm"/>
              <w:jc w:val="right"/>
            </w:pPr>
          </w:p>
        </w:tc>
      </w:tr>
      <w:tr>
        <w:trPr>
          <w:cantSplit/>
        </w:trPr>
        <w:tc>
          <w:tcPr>
            <w:tcW w:w="5738" w:type="dxa"/>
          </w:tcPr>
          <w:p>
            <w:pPr>
              <w:pStyle w:val="yTableNAm"/>
            </w:pPr>
            <w:r>
              <w:tab/>
              <w:t>fracture, by closed reduction</w:t>
            </w:r>
          </w:p>
        </w:tc>
        <w:tc>
          <w:tcPr>
            <w:tcW w:w="1200" w:type="dxa"/>
            <w:vAlign w:val="bottom"/>
          </w:tcPr>
          <w:p>
            <w:pPr>
              <w:pStyle w:val="yTableNAm"/>
              <w:jc w:val="right"/>
            </w:pPr>
            <w:r>
              <w:t>$194.60</w:t>
            </w:r>
          </w:p>
        </w:tc>
      </w:tr>
      <w:tr>
        <w:trPr>
          <w:cantSplit/>
        </w:trPr>
        <w:tc>
          <w:tcPr>
            <w:tcW w:w="5738" w:type="dxa"/>
          </w:tcPr>
          <w:p>
            <w:pPr>
              <w:pStyle w:val="yTableNAm"/>
            </w:pPr>
            <w:r>
              <w:tab/>
              <w:t>fracture, intra</w:t>
            </w:r>
            <w:r>
              <w:noBreakHyphen/>
              <w:t>articular, by closed reduction</w:t>
            </w:r>
          </w:p>
        </w:tc>
        <w:tc>
          <w:tcPr>
            <w:tcW w:w="1200" w:type="dxa"/>
            <w:vAlign w:val="bottom"/>
          </w:tcPr>
          <w:p>
            <w:pPr>
              <w:pStyle w:val="yTableNAm"/>
              <w:jc w:val="right"/>
            </w:pPr>
            <w:r>
              <w:t>$225.65</w:t>
            </w:r>
          </w:p>
        </w:tc>
      </w:tr>
      <w:tr>
        <w:trPr>
          <w:cantSplit/>
        </w:trPr>
        <w:tc>
          <w:tcPr>
            <w:tcW w:w="5738" w:type="dxa"/>
          </w:tcPr>
          <w:p>
            <w:pPr>
              <w:pStyle w:val="yTableNAm"/>
            </w:pPr>
            <w:r>
              <w:tab/>
              <w:t>fracture, by open reduction</w:t>
            </w:r>
          </w:p>
        </w:tc>
        <w:tc>
          <w:tcPr>
            <w:tcW w:w="1200" w:type="dxa"/>
            <w:vAlign w:val="bottom"/>
          </w:tcPr>
          <w:p>
            <w:pPr>
              <w:pStyle w:val="yTableNAm"/>
              <w:jc w:val="right"/>
            </w:pPr>
            <w:r>
              <w:t>$259.60</w:t>
            </w:r>
          </w:p>
        </w:tc>
      </w:tr>
      <w:tr>
        <w:trPr>
          <w:cantSplit/>
        </w:trPr>
        <w:tc>
          <w:tcPr>
            <w:tcW w:w="5738" w:type="dxa"/>
          </w:tcPr>
          <w:p>
            <w:pPr>
              <w:pStyle w:val="yTableNAm"/>
            </w:pPr>
            <w:r>
              <w:tab/>
              <w:t>fracture, intra</w:t>
            </w:r>
            <w:r>
              <w:noBreakHyphen/>
              <w:t>articular, by open reduction</w:t>
            </w:r>
          </w:p>
        </w:tc>
        <w:tc>
          <w:tcPr>
            <w:tcW w:w="1200" w:type="dxa"/>
            <w:vAlign w:val="bottom"/>
          </w:tcPr>
          <w:p>
            <w:pPr>
              <w:pStyle w:val="yTableNAm"/>
              <w:jc w:val="right"/>
            </w:pPr>
            <w:r>
              <w:t>$324.45</w:t>
            </w:r>
          </w:p>
        </w:tc>
      </w:tr>
      <w:tr>
        <w:trPr>
          <w:cantSplit/>
        </w:trPr>
        <w:tc>
          <w:tcPr>
            <w:tcW w:w="5738" w:type="dxa"/>
          </w:tcPr>
          <w:p>
            <w:pPr>
              <w:pStyle w:val="yTableNAm"/>
            </w:pPr>
            <w:r>
              <w:t>Middle phalanx of finger</w:t>
            </w:r>
          </w:p>
        </w:tc>
        <w:tc>
          <w:tcPr>
            <w:tcW w:w="1200" w:type="dxa"/>
            <w:vAlign w:val="center"/>
          </w:tcPr>
          <w:p>
            <w:pPr>
              <w:pStyle w:val="yTableNAm"/>
              <w:jc w:val="right"/>
            </w:pPr>
          </w:p>
        </w:tc>
      </w:tr>
      <w:tr>
        <w:trPr>
          <w:cantSplit/>
        </w:trPr>
        <w:tc>
          <w:tcPr>
            <w:tcW w:w="5738" w:type="dxa"/>
          </w:tcPr>
          <w:p>
            <w:pPr>
              <w:pStyle w:val="yTableNAm"/>
            </w:pPr>
            <w:r>
              <w:tab/>
              <w:t>fracture, by closed reduction</w:t>
            </w:r>
          </w:p>
        </w:tc>
        <w:tc>
          <w:tcPr>
            <w:tcW w:w="1200" w:type="dxa"/>
            <w:vAlign w:val="bottom"/>
          </w:tcPr>
          <w:p>
            <w:pPr>
              <w:pStyle w:val="yTableNAm"/>
              <w:jc w:val="right"/>
            </w:pPr>
            <w:r>
              <w:t>$293.60</w:t>
            </w:r>
          </w:p>
        </w:tc>
      </w:tr>
      <w:tr>
        <w:trPr>
          <w:cantSplit/>
        </w:trPr>
        <w:tc>
          <w:tcPr>
            <w:tcW w:w="5738" w:type="dxa"/>
          </w:tcPr>
          <w:p>
            <w:pPr>
              <w:pStyle w:val="yTableNAm"/>
            </w:pPr>
            <w:r>
              <w:tab/>
              <w:t>fracture, intra</w:t>
            </w:r>
            <w:r>
              <w:noBreakHyphen/>
              <w:t>articular, by closed reduction</w:t>
            </w:r>
          </w:p>
        </w:tc>
        <w:tc>
          <w:tcPr>
            <w:tcW w:w="1200" w:type="dxa"/>
            <w:vAlign w:val="bottom"/>
          </w:tcPr>
          <w:p>
            <w:pPr>
              <w:pStyle w:val="yTableNAm"/>
              <w:jc w:val="right"/>
            </w:pPr>
            <w:r>
              <w:t>$332.15</w:t>
            </w:r>
          </w:p>
        </w:tc>
      </w:tr>
      <w:tr>
        <w:trPr>
          <w:cantSplit/>
        </w:trPr>
        <w:tc>
          <w:tcPr>
            <w:tcW w:w="5738" w:type="dxa"/>
          </w:tcPr>
          <w:p>
            <w:pPr>
              <w:pStyle w:val="yTableNAm"/>
            </w:pPr>
            <w:r>
              <w:tab/>
              <w:t>fracture, by open reduction</w:t>
            </w:r>
          </w:p>
        </w:tc>
        <w:tc>
          <w:tcPr>
            <w:tcW w:w="1200" w:type="dxa"/>
            <w:vAlign w:val="bottom"/>
          </w:tcPr>
          <w:p>
            <w:pPr>
              <w:pStyle w:val="yTableNAm"/>
              <w:jc w:val="right"/>
            </w:pPr>
            <w:r>
              <w:t>$386.25</w:t>
            </w:r>
          </w:p>
        </w:tc>
      </w:tr>
      <w:tr>
        <w:trPr>
          <w:cantSplit/>
        </w:trPr>
        <w:tc>
          <w:tcPr>
            <w:tcW w:w="5738" w:type="dxa"/>
          </w:tcPr>
          <w:p>
            <w:pPr>
              <w:pStyle w:val="yTableNAm"/>
            </w:pPr>
            <w:r>
              <w:tab/>
              <w:t>fracture, intra</w:t>
            </w:r>
            <w:r>
              <w:noBreakHyphen/>
              <w:t>articular, by open reduction</w:t>
            </w:r>
          </w:p>
        </w:tc>
        <w:tc>
          <w:tcPr>
            <w:tcW w:w="1200" w:type="dxa"/>
            <w:vAlign w:val="bottom"/>
          </w:tcPr>
          <w:p>
            <w:pPr>
              <w:pStyle w:val="yTableNAm"/>
              <w:jc w:val="right"/>
            </w:pPr>
            <w:r>
              <w:t>$486.70</w:t>
            </w:r>
          </w:p>
        </w:tc>
      </w:tr>
      <w:tr>
        <w:trPr>
          <w:cantSplit/>
        </w:trPr>
        <w:tc>
          <w:tcPr>
            <w:tcW w:w="5738" w:type="dxa"/>
          </w:tcPr>
          <w:p>
            <w:pPr>
              <w:pStyle w:val="yTableNAm"/>
            </w:pPr>
            <w:r>
              <w:t>Proximal phalanx of finger or thumb</w:t>
            </w:r>
          </w:p>
        </w:tc>
        <w:tc>
          <w:tcPr>
            <w:tcW w:w="1200" w:type="dxa"/>
            <w:vAlign w:val="center"/>
          </w:tcPr>
          <w:p>
            <w:pPr>
              <w:pStyle w:val="yTableNAm"/>
              <w:jc w:val="right"/>
            </w:pPr>
          </w:p>
        </w:tc>
      </w:tr>
      <w:tr>
        <w:trPr>
          <w:cantSplit/>
        </w:trPr>
        <w:tc>
          <w:tcPr>
            <w:tcW w:w="5738" w:type="dxa"/>
          </w:tcPr>
          <w:p>
            <w:pPr>
              <w:pStyle w:val="yTableNAm"/>
            </w:pPr>
            <w:r>
              <w:tab/>
              <w:t>fracture, by closed reduction</w:t>
            </w:r>
          </w:p>
        </w:tc>
        <w:tc>
          <w:tcPr>
            <w:tcW w:w="1200" w:type="dxa"/>
            <w:vAlign w:val="bottom"/>
          </w:tcPr>
          <w:p>
            <w:pPr>
              <w:pStyle w:val="yTableNAm"/>
              <w:jc w:val="right"/>
            </w:pPr>
            <w:r>
              <w:t>$386.25</w:t>
            </w:r>
          </w:p>
        </w:tc>
      </w:tr>
      <w:tr>
        <w:trPr>
          <w:cantSplit/>
        </w:trPr>
        <w:tc>
          <w:tcPr>
            <w:tcW w:w="5738" w:type="dxa"/>
          </w:tcPr>
          <w:p>
            <w:pPr>
              <w:pStyle w:val="yTableNAm"/>
            </w:pPr>
            <w:r>
              <w:tab/>
              <w:t>fracture, intra</w:t>
            </w:r>
            <w:r>
              <w:noBreakHyphen/>
              <w:t>articular, by closed reduction</w:t>
            </w:r>
          </w:p>
        </w:tc>
        <w:tc>
          <w:tcPr>
            <w:tcW w:w="1200" w:type="dxa"/>
            <w:vAlign w:val="bottom"/>
          </w:tcPr>
          <w:p>
            <w:pPr>
              <w:pStyle w:val="yTableNAm"/>
              <w:jc w:val="right"/>
            </w:pPr>
            <w:r>
              <w:t>$455.75</w:t>
            </w:r>
          </w:p>
        </w:tc>
      </w:tr>
      <w:tr>
        <w:trPr>
          <w:cantSplit/>
        </w:trPr>
        <w:tc>
          <w:tcPr>
            <w:tcW w:w="5738" w:type="dxa"/>
          </w:tcPr>
          <w:p>
            <w:pPr>
              <w:pStyle w:val="yTableNAm"/>
            </w:pPr>
            <w:r>
              <w:tab/>
              <w:t>fracture, by open reduction</w:t>
            </w:r>
          </w:p>
        </w:tc>
        <w:tc>
          <w:tcPr>
            <w:tcW w:w="1200" w:type="dxa"/>
            <w:vAlign w:val="bottom"/>
          </w:tcPr>
          <w:p>
            <w:pPr>
              <w:pStyle w:val="yTableNAm"/>
              <w:jc w:val="right"/>
            </w:pPr>
            <w:r>
              <w:t>$517.80</w:t>
            </w:r>
          </w:p>
        </w:tc>
      </w:tr>
      <w:tr>
        <w:trPr>
          <w:cantSplit/>
        </w:trPr>
        <w:tc>
          <w:tcPr>
            <w:tcW w:w="5738" w:type="dxa"/>
          </w:tcPr>
          <w:p>
            <w:pPr>
              <w:pStyle w:val="yTableNAm"/>
            </w:pPr>
            <w:r>
              <w:tab/>
              <w:t>fracture, intra</w:t>
            </w:r>
            <w:r>
              <w:noBreakHyphen/>
              <w:t>articular, by open reduction</w:t>
            </w:r>
          </w:p>
        </w:tc>
        <w:tc>
          <w:tcPr>
            <w:tcW w:w="1200" w:type="dxa"/>
            <w:vAlign w:val="bottom"/>
          </w:tcPr>
          <w:p>
            <w:pPr>
              <w:pStyle w:val="yTableNAm"/>
              <w:jc w:val="right"/>
            </w:pPr>
            <w:r>
              <w:t>$649.00</w:t>
            </w:r>
          </w:p>
        </w:tc>
      </w:tr>
      <w:tr>
        <w:trPr>
          <w:cantSplit/>
        </w:trPr>
        <w:tc>
          <w:tcPr>
            <w:tcW w:w="5738" w:type="dxa"/>
          </w:tcPr>
          <w:p>
            <w:pPr>
              <w:pStyle w:val="yTableNAm"/>
            </w:pPr>
            <w:r>
              <w:t>Metacarpal</w:t>
            </w:r>
          </w:p>
        </w:tc>
        <w:tc>
          <w:tcPr>
            <w:tcW w:w="1200" w:type="dxa"/>
            <w:vAlign w:val="center"/>
          </w:tcPr>
          <w:p>
            <w:pPr>
              <w:pStyle w:val="yTableNAm"/>
              <w:jc w:val="right"/>
            </w:pPr>
          </w:p>
        </w:tc>
      </w:tr>
      <w:tr>
        <w:trPr>
          <w:cantSplit/>
        </w:trPr>
        <w:tc>
          <w:tcPr>
            <w:tcW w:w="5738" w:type="dxa"/>
          </w:tcPr>
          <w:p>
            <w:pPr>
              <w:pStyle w:val="yTableNAm"/>
            </w:pPr>
            <w:r>
              <w:tab/>
              <w:t>fracture, by closed reduction</w:t>
            </w:r>
          </w:p>
        </w:tc>
        <w:tc>
          <w:tcPr>
            <w:tcW w:w="1200" w:type="dxa"/>
            <w:vAlign w:val="bottom"/>
          </w:tcPr>
          <w:p>
            <w:pPr>
              <w:pStyle w:val="yTableNAm"/>
              <w:jc w:val="right"/>
            </w:pPr>
            <w:r>
              <w:t>$386.25</w:t>
            </w:r>
          </w:p>
        </w:tc>
      </w:tr>
      <w:tr>
        <w:trPr>
          <w:cantSplit/>
        </w:trPr>
        <w:tc>
          <w:tcPr>
            <w:tcW w:w="5738" w:type="dxa"/>
          </w:tcPr>
          <w:p>
            <w:pPr>
              <w:pStyle w:val="yTableNAm"/>
            </w:pPr>
            <w:r>
              <w:tab/>
              <w:t>fracture, intra</w:t>
            </w:r>
            <w:r>
              <w:noBreakHyphen/>
              <w:t>articular, by closed reduction</w:t>
            </w:r>
          </w:p>
        </w:tc>
        <w:tc>
          <w:tcPr>
            <w:tcW w:w="1200" w:type="dxa"/>
            <w:vAlign w:val="bottom"/>
          </w:tcPr>
          <w:p>
            <w:pPr>
              <w:pStyle w:val="yTableNAm"/>
              <w:jc w:val="right"/>
            </w:pPr>
            <w:r>
              <w:t>$455.75</w:t>
            </w:r>
          </w:p>
        </w:tc>
      </w:tr>
      <w:tr>
        <w:trPr>
          <w:cantSplit/>
        </w:trPr>
        <w:tc>
          <w:tcPr>
            <w:tcW w:w="5738" w:type="dxa"/>
          </w:tcPr>
          <w:p>
            <w:pPr>
              <w:pStyle w:val="yTableNAm"/>
            </w:pPr>
            <w:r>
              <w:tab/>
              <w:t>fracture, by open reduction</w:t>
            </w:r>
          </w:p>
        </w:tc>
        <w:tc>
          <w:tcPr>
            <w:tcW w:w="1200" w:type="dxa"/>
            <w:vAlign w:val="bottom"/>
          </w:tcPr>
          <w:p>
            <w:pPr>
              <w:pStyle w:val="yTableNAm"/>
              <w:jc w:val="right"/>
            </w:pPr>
            <w:r>
              <w:t>$517.80</w:t>
            </w:r>
          </w:p>
        </w:tc>
      </w:tr>
      <w:tr>
        <w:trPr>
          <w:cantSplit/>
        </w:trPr>
        <w:tc>
          <w:tcPr>
            <w:tcW w:w="5738" w:type="dxa"/>
          </w:tcPr>
          <w:p>
            <w:pPr>
              <w:pStyle w:val="yTableNAm"/>
            </w:pPr>
            <w:r>
              <w:tab/>
              <w:t>fracture, intra</w:t>
            </w:r>
            <w:r>
              <w:noBreakHyphen/>
              <w:t>articular, by open reduction</w:t>
            </w:r>
          </w:p>
        </w:tc>
        <w:tc>
          <w:tcPr>
            <w:tcW w:w="1200" w:type="dxa"/>
            <w:vAlign w:val="bottom"/>
          </w:tcPr>
          <w:p>
            <w:pPr>
              <w:pStyle w:val="yTableNAm"/>
              <w:jc w:val="right"/>
            </w:pPr>
            <w:r>
              <w:t>$649.00</w:t>
            </w:r>
          </w:p>
        </w:tc>
      </w:tr>
      <w:tr>
        <w:trPr>
          <w:cantSplit/>
        </w:trPr>
        <w:tc>
          <w:tcPr>
            <w:tcW w:w="5738" w:type="dxa"/>
          </w:tcPr>
          <w:p>
            <w:pPr>
              <w:pStyle w:val="yTableNAm"/>
            </w:pPr>
            <w:r>
              <w:t>Carpal Scaphoid, by open reduction</w:t>
            </w:r>
          </w:p>
        </w:tc>
        <w:tc>
          <w:tcPr>
            <w:tcW w:w="1200" w:type="dxa"/>
            <w:vAlign w:val="bottom"/>
          </w:tcPr>
          <w:p>
            <w:pPr>
              <w:pStyle w:val="yTableNAm"/>
              <w:jc w:val="right"/>
            </w:pPr>
            <w:r>
              <w:t>$865.30</w:t>
            </w:r>
          </w:p>
        </w:tc>
      </w:tr>
      <w:tr>
        <w:trPr>
          <w:cantSplit/>
        </w:trPr>
        <w:tc>
          <w:tcPr>
            <w:tcW w:w="5738" w:type="dxa"/>
          </w:tcPr>
          <w:p>
            <w:pPr>
              <w:pStyle w:val="yTableNAm"/>
            </w:pPr>
            <w:r>
              <w:t>Carpal Scaphoid, other</w:t>
            </w:r>
          </w:p>
        </w:tc>
        <w:tc>
          <w:tcPr>
            <w:tcW w:w="1200" w:type="dxa"/>
            <w:vAlign w:val="bottom"/>
          </w:tcPr>
          <w:p>
            <w:pPr>
              <w:pStyle w:val="yTableNAm"/>
              <w:jc w:val="right"/>
            </w:pPr>
            <w:r>
              <w:t>$386.25</w:t>
            </w:r>
          </w:p>
        </w:tc>
      </w:tr>
      <w:tr>
        <w:trPr>
          <w:cantSplit/>
        </w:trPr>
        <w:tc>
          <w:tcPr>
            <w:tcW w:w="5738" w:type="dxa"/>
          </w:tcPr>
          <w:p>
            <w:pPr>
              <w:pStyle w:val="yTableNAm"/>
            </w:pPr>
            <w:r>
              <w:t>Carpus (excluding Scaphoid), by open reduction</w:t>
            </w:r>
          </w:p>
        </w:tc>
        <w:tc>
          <w:tcPr>
            <w:tcW w:w="1200" w:type="dxa"/>
            <w:vAlign w:val="bottom"/>
          </w:tcPr>
          <w:p>
            <w:pPr>
              <w:pStyle w:val="yTableNAm"/>
              <w:jc w:val="right"/>
            </w:pPr>
            <w:r>
              <w:t>$540.75</w:t>
            </w:r>
          </w:p>
        </w:tc>
      </w:tr>
      <w:tr>
        <w:trPr>
          <w:cantSplit/>
        </w:trPr>
        <w:tc>
          <w:tcPr>
            <w:tcW w:w="5738" w:type="dxa"/>
          </w:tcPr>
          <w:p>
            <w:pPr>
              <w:pStyle w:val="yTableNAm"/>
            </w:pPr>
            <w:r>
              <w:t>Carpus (excluding Scaphoid), other</w:t>
            </w:r>
          </w:p>
        </w:tc>
        <w:tc>
          <w:tcPr>
            <w:tcW w:w="1200" w:type="dxa"/>
            <w:vAlign w:val="bottom"/>
          </w:tcPr>
          <w:p>
            <w:pPr>
              <w:pStyle w:val="yTableNAm"/>
              <w:jc w:val="right"/>
            </w:pPr>
            <w:r>
              <w:t>$216.35</w:t>
            </w:r>
          </w:p>
        </w:tc>
      </w:tr>
      <w:tr>
        <w:trPr>
          <w:cantSplit/>
        </w:trPr>
        <w:tc>
          <w:tcPr>
            <w:tcW w:w="5738" w:type="dxa"/>
          </w:tcPr>
          <w:p>
            <w:pPr>
              <w:pStyle w:val="yTableNAm"/>
            </w:pPr>
            <w:r>
              <w:t>Radius</w:t>
            </w:r>
          </w:p>
        </w:tc>
        <w:tc>
          <w:tcPr>
            <w:tcW w:w="1200" w:type="dxa"/>
            <w:vAlign w:val="center"/>
          </w:tcPr>
          <w:p>
            <w:pPr>
              <w:pStyle w:val="yTableNAm"/>
              <w:jc w:val="right"/>
            </w:pPr>
          </w:p>
        </w:tc>
      </w:tr>
      <w:tr>
        <w:trPr>
          <w:cantSplit/>
        </w:trPr>
        <w:tc>
          <w:tcPr>
            <w:tcW w:w="5738" w:type="dxa"/>
          </w:tcPr>
          <w:p>
            <w:pPr>
              <w:pStyle w:val="yTableNAm"/>
            </w:pPr>
            <w:r>
              <w:tab/>
              <w:t>by closed management</w:t>
            </w:r>
          </w:p>
        </w:tc>
        <w:tc>
          <w:tcPr>
            <w:tcW w:w="1200" w:type="dxa"/>
            <w:vAlign w:val="bottom"/>
          </w:tcPr>
          <w:p>
            <w:pPr>
              <w:pStyle w:val="yTableNAm"/>
              <w:jc w:val="right"/>
            </w:pPr>
            <w:r>
              <w:t>$432.55</w:t>
            </w:r>
          </w:p>
        </w:tc>
      </w:tr>
      <w:tr>
        <w:trPr>
          <w:cantSplit/>
        </w:trPr>
        <w:tc>
          <w:tcPr>
            <w:tcW w:w="5738" w:type="dxa"/>
          </w:tcPr>
          <w:p>
            <w:pPr>
              <w:pStyle w:val="yTableNAm"/>
            </w:pPr>
            <w:r>
              <w:tab/>
              <w:t>by open management</w:t>
            </w:r>
          </w:p>
        </w:tc>
        <w:tc>
          <w:tcPr>
            <w:tcW w:w="1200" w:type="dxa"/>
            <w:vAlign w:val="bottom"/>
          </w:tcPr>
          <w:p>
            <w:pPr>
              <w:pStyle w:val="yTableNAm"/>
              <w:jc w:val="right"/>
            </w:pPr>
            <w:r>
              <w:t>$865.30</w:t>
            </w:r>
          </w:p>
        </w:tc>
      </w:tr>
      <w:tr>
        <w:trPr>
          <w:cantSplit/>
        </w:trPr>
        <w:tc>
          <w:tcPr>
            <w:tcW w:w="5738" w:type="dxa"/>
          </w:tcPr>
          <w:p>
            <w:pPr>
              <w:pStyle w:val="yTableNAm"/>
            </w:pPr>
            <w:r>
              <w:t>Radius or Ulnar, distal end, (Colies’, Smith’s or Barton’s)</w:t>
            </w:r>
          </w:p>
        </w:tc>
        <w:tc>
          <w:tcPr>
            <w:tcW w:w="1200" w:type="dxa"/>
            <w:vAlign w:val="center"/>
          </w:tcPr>
          <w:p>
            <w:pPr>
              <w:pStyle w:val="yTableNAm"/>
              <w:jc w:val="right"/>
            </w:pPr>
          </w:p>
        </w:tc>
      </w:tr>
      <w:tr>
        <w:trPr>
          <w:cantSplit/>
        </w:trPr>
        <w:tc>
          <w:tcPr>
            <w:tcW w:w="5738" w:type="dxa"/>
          </w:tcPr>
          <w:p>
            <w:pPr>
              <w:pStyle w:val="yTableNAm"/>
            </w:pPr>
            <w:r>
              <w:tab/>
              <w:t>by closed reduction</w:t>
            </w:r>
          </w:p>
        </w:tc>
        <w:tc>
          <w:tcPr>
            <w:tcW w:w="1200" w:type="dxa"/>
            <w:vAlign w:val="bottom"/>
          </w:tcPr>
          <w:p>
            <w:pPr>
              <w:pStyle w:val="yTableNAm"/>
              <w:jc w:val="right"/>
            </w:pPr>
            <w:r>
              <w:t>$649.00</w:t>
            </w:r>
          </w:p>
        </w:tc>
      </w:tr>
      <w:tr>
        <w:trPr>
          <w:cantSplit/>
        </w:trPr>
        <w:tc>
          <w:tcPr>
            <w:tcW w:w="5738" w:type="dxa"/>
          </w:tcPr>
          <w:p>
            <w:pPr>
              <w:pStyle w:val="yTableNAm"/>
            </w:pPr>
            <w:r>
              <w:tab/>
              <w:t>by open reduction</w:t>
            </w:r>
          </w:p>
        </w:tc>
        <w:tc>
          <w:tcPr>
            <w:tcW w:w="1200" w:type="dxa"/>
            <w:vAlign w:val="bottom"/>
          </w:tcPr>
          <w:p>
            <w:pPr>
              <w:pStyle w:val="yTableNAm"/>
              <w:jc w:val="right"/>
            </w:pPr>
            <w:r>
              <w:t>$865.30</w:t>
            </w:r>
          </w:p>
        </w:tc>
      </w:tr>
      <w:tr>
        <w:trPr>
          <w:cantSplit/>
        </w:trPr>
        <w:tc>
          <w:tcPr>
            <w:tcW w:w="5738" w:type="dxa"/>
          </w:tcPr>
          <w:p>
            <w:pPr>
              <w:pStyle w:val="yTableNAm"/>
            </w:pPr>
            <w:r>
              <w:t>Ribs (1 or more), each attendance</w:t>
            </w:r>
          </w:p>
        </w:tc>
        <w:tc>
          <w:tcPr>
            <w:tcW w:w="1200" w:type="dxa"/>
            <w:vAlign w:val="bottom"/>
          </w:tcPr>
          <w:p>
            <w:pPr>
              <w:pStyle w:val="yTableNAm"/>
              <w:jc w:val="right"/>
            </w:pPr>
            <w:r>
              <w:t>$99.00</w:t>
            </w:r>
          </w:p>
        </w:tc>
      </w:tr>
      <w:tr>
        <w:trPr>
          <w:cantSplit/>
        </w:trPr>
        <w:tc>
          <w:tcPr>
            <w:tcW w:w="5738" w:type="dxa"/>
          </w:tcPr>
          <w:p>
            <w:pPr>
              <w:pStyle w:val="yTableNAm"/>
            </w:pPr>
            <w:r>
              <w:t>Tibia, plateau of, medial or lateral</w:t>
            </w:r>
          </w:p>
        </w:tc>
        <w:tc>
          <w:tcPr>
            <w:tcW w:w="1200" w:type="dxa"/>
            <w:vAlign w:val="center"/>
          </w:tcPr>
          <w:p>
            <w:pPr>
              <w:pStyle w:val="yTableNAm"/>
              <w:jc w:val="right"/>
            </w:pPr>
          </w:p>
        </w:tc>
      </w:tr>
      <w:tr>
        <w:trPr>
          <w:cantSplit/>
        </w:trPr>
        <w:tc>
          <w:tcPr>
            <w:tcW w:w="5738" w:type="dxa"/>
          </w:tcPr>
          <w:p>
            <w:pPr>
              <w:pStyle w:val="yTableNAm"/>
            </w:pPr>
            <w:r>
              <w:tab/>
              <w:t>by closed reduction</w:t>
            </w:r>
          </w:p>
        </w:tc>
        <w:tc>
          <w:tcPr>
            <w:tcW w:w="1200" w:type="dxa"/>
            <w:vAlign w:val="bottom"/>
          </w:tcPr>
          <w:p>
            <w:pPr>
              <w:pStyle w:val="yTableNAm"/>
              <w:jc w:val="right"/>
            </w:pPr>
            <w:r>
              <w:t>$780.35</w:t>
            </w:r>
          </w:p>
        </w:tc>
      </w:tr>
      <w:tr>
        <w:trPr>
          <w:cantSplit/>
        </w:trPr>
        <w:tc>
          <w:tcPr>
            <w:tcW w:w="5738" w:type="dxa"/>
          </w:tcPr>
          <w:p>
            <w:pPr>
              <w:pStyle w:val="yTableNAm"/>
            </w:pPr>
            <w:r>
              <w:tab/>
              <w:t>by open reduction</w:t>
            </w:r>
          </w:p>
        </w:tc>
        <w:tc>
          <w:tcPr>
            <w:tcW w:w="1200" w:type="dxa"/>
            <w:vAlign w:val="bottom"/>
          </w:tcPr>
          <w:p>
            <w:pPr>
              <w:pStyle w:val="yTableNAm"/>
              <w:jc w:val="right"/>
            </w:pPr>
            <w:r>
              <w:t>$1 035.20</w:t>
            </w:r>
          </w:p>
        </w:tc>
      </w:tr>
      <w:tr>
        <w:trPr>
          <w:cantSplit/>
        </w:trPr>
        <w:tc>
          <w:tcPr>
            <w:tcW w:w="5738" w:type="dxa"/>
          </w:tcPr>
          <w:p>
            <w:pPr>
              <w:pStyle w:val="yTableNAm"/>
            </w:pPr>
            <w:r>
              <w:t>Tibia, plateau of, medial and lateral</w:t>
            </w:r>
          </w:p>
        </w:tc>
        <w:tc>
          <w:tcPr>
            <w:tcW w:w="1200" w:type="dxa"/>
            <w:vAlign w:val="center"/>
          </w:tcPr>
          <w:p>
            <w:pPr>
              <w:pStyle w:val="yTableNAm"/>
              <w:jc w:val="right"/>
            </w:pPr>
          </w:p>
        </w:tc>
      </w:tr>
      <w:tr>
        <w:trPr>
          <w:cantSplit/>
        </w:trPr>
        <w:tc>
          <w:tcPr>
            <w:tcW w:w="5738" w:type="dxa"/>
          </w:tcPr>
          <w:p>
            <w:pPr>
              <w:pStyle w:val="yTableNAm"/>
            </w:pPr>
            <w:r>
              <w:tab/>
              <w:t>by closed reduction</w:t>
            </w:r>
          </w:p>
        </w:tc>
        <w:tc>
          <w:tcPr>
            <w:tcW w:w="1200" w:type="dxa"/>
            <w:vAlign w:val="bottom"/>
          </w:tcPr>
          <w:p>
            <w:pPr>
              <w:pStyle w:val="yTableNAm"/>
              <w:jc w:val="right"/>
            </w:pPr>
            <w:r>
              <w:t>$1 297.90</w:t>
            </w:r>
          </w:p>
        </w:tc>
      </w:tr>
      <w:tr>
        <w:trPr>
          <w:cantSplit/>
        </w:trPr>
        <w:tc>
          <w:tcPr>
            <w:tcW w:w="5738" w:type="dxa"/>
          </w:tcPr>
          <w:p>
            <w:pPr>
              <w:pStyle w:val="yTableNAm"/>
            </w:pPr>
            <w:r>
              <w:tab/>
              <w:t>by open reduction</w:t>
            </w:r>
          </w:p>
        </w:tc>
        <w:tc>
          <w:tcPr>
            <w:tcW w:w="1200" w:type="dxa"/>
            <w:vAlign w:val="bottom"/>
          </w:tcPr>
          <w:p>
            <w:pPr>
              <w:pStyle w:val="yTableNAm"/>
              <w:jc w:val="right"/>
            </w:pPr>
            <w:r>
              <w:t>$1 738.30</w:t>
            </w:r>
          </w:p>
        </w:tc>
      </w:tr>
      <w:tr>
        <w:trPr>
          <w:cantSplit/>
        </w:trPr>
        <w:tc>
          <w:tcPr>
            <w:tcW w:w="5738" w:type="dxa"/>
          </w:tcPr>
          <w:p>
            <w:pPr>
              <w:pStyle w:val="yTableNAm"/>
            </w:pPr>
            <w:r>
              <w:t>SUTURES</w:t>
            </w:r>
          </w:p>
        </w:tc>
        <w:tc>
          <w:tcPr>
            <w:tcW w:w="1200" w:type="dxa"/>
            <w:vAlign w:val="center"/>
          </w:tcPr>
          <w:p>
            <w:pPr>
              <w:pStyle w:val="yTableNAm"/>
              <w:jc w:val="right"/>
            </w:pPr>
          </w:p>
        </w:tc>
      </w:tr>
      <w:tr>
        <w:trPr>
          <w:cantSplit/>
        </w:trPr>
        <w:tc>
          <w:tcPr>
            <w:tcW w:w="5738" w:type="dxa"/>
          </w:tcPr>
          <w:p>
            <w:pPr>
              <w:pStyle w:val="yTableNAm"/>
            </w:pPr>
            <w:r>
              <w:t>face or neck, less than 7 cm, superficial</w:t>
            </w:r>
          </w:p>
        </w:tc>
        <w:tc>
          <w:tcPr>
            <w:tcW w:w="1200" w:type="dxa"/>
            <w:vAlign w:val="bottom"/>
          </w:tcPr>
          <w:p>
            <w:pPr>
              <w:pStyle w:val="yTableNAm"/>
              <w:jc w:val="right"/>
            </w:pPr>
            <w:r>
              <w:t>$154.55</w:t>
            </w:r>
          </w:p>
        </w:tc>
      </w:tr>
      <w:tr>
        <w:trPr>
          <w:cantSplit/>
        </w:trPr>
        <w:tc>
          <w:tcPr>
            <w:tcW w:w="5738" w:type="dxa"/>
          </w:tcPr>
          <w:p>
            <w:pPr>
              <w:pStyle w:val="yTableNAm"/>
            </w:pPr>
            <w:r>
              <w:t>face or neck, less than 7 cm, deep</w:t>
            </w:r>
          </w:p>
        </w:tc>
        <w:tc>
          <w:tcPr>
            <w:tcW w:w="1200" w:type="dxa"/>
            <w:vAlign w:val="bottom"/>
          </w:tcPr>
          <w:p>
            <w:pPr>
              <w:pStyle w:val="yTableNAm"/>
              <w:jc w:val="right"/>
            </w:pPr>
            <w:r>
              <w:t>$234.85</w:t>
            </w:r>
          </w:p>
        </w:tc>
      </w:tr>
      <w:tr>
        <w:trPr>
          <w:cantSplit/>
        </w:trPr>
        <w:tc>
          <w:tcPr>
            <w:tcW w:w="5738" w:type="dxa"/>
          </w:tcPr>
          <w:p>
            <w:pPr>
              <w:pStyle w:val="yTableNAm"/>
            </w:pPr>
            <w:r>
              <w:t>face or neck, more than 7 cm, superficial</w:t>
            </w:r>
          </w:p>
        </w:tc>
        <w:tc>
          <w:tcPr>
            <w:tcW w:w="1200" w:type="dxa"/>
            <w:vAlign w:val="bottom"/>
          </w:tcPr>
          <w:p>
            <w:pPr>
              <w:pStyle w:val="yTableNAm"/>
              <w:jc w:val="right"/>
            </w:pPr>
            <w:r>
              <w:t>$234.85</w:t>
            </w:r>
          </w:p>
        </w:tc>
      </w:tr>
      <w:tr>
        <w:trPr>
          <w:cantSplit/>
        </w:trPr>
        <w:tc>
          <w:tcPr>
            <w:tcW w:w="5738" w:type="dxa"/>
          </w:tcPr>
          <w:p>
            <w:pPr>
              <w:pStyle w:val="yTableNAm"/>
            </w:pPr>
            <w:r>
              <w:t>face or neck, more than 7 cm, deep</w:t>
            </w:r>
          </w:p>
        </w:tc>
        <w:tc>
          <w:tcPr>
            <w:tcW w:w="1200" w:type="dxa"/>
            <w:vAlign w:val="bottom"/>
          </w:tcPr>
          <w:p>
            <w:pPr>
              <w:pStyle w:val="yTableNAm"/>
              <w:jc w:val="right"/>
            </w:pPr>
            <w:r>
              <w:t>$401.70</w:t>
            </w:r>
          </w:p>
        </w:tc>
      </w:tr>
      <w:tr>
        <w:trPr>
          <w:cantSplit/>
        </w:trPr>
        <w:tc>
          <w:tcPr>
            <w:tcW w:w="5738" w:type="dxa"/>
          </w:tcPr>
          <w:p>
            <w:pPr>
              <w:pStyle w:val="yTableNAm"/>
            </w:pPr>
            <w:r>
              <w:t>except face or neck, less than 7 cm, superficial</w:t>
            </w:r>
          </w:p>
        </w:tc>
        <w:tc>
          <w:tcPr>
            <w:tcW w:w="1200" w:type="dxa"/>
            <w:vAlign w:val="bottom"/>
          </w:tcPr>
          <w:p>
            <w:pPr>
              <w:pStyle w:val="yTableNAm"/>
              <w:jc w:val="right"/>
            </w:pPr>
            <w:r>
              <w:t>$117.40</w:t>
            </w:r>
          </w:p>
        </w:tc>
      </w:tr>
      <w:tr>
        <w:trPr>
          <w:cantSplit/>
        </w:trPr>
        <w:tc>
          <w:tcPr>
            <w:tcW w:w="5738" w:type="dxa"/>
          </w:tcPr>
          <w:p>
            <w:pPr>
              <w:pStyle w:val="yTableNAm"/>
            </w:pPr>
            <w:r>
              <w:t>except face or neck, less than 7 cm, deep</w:t>
            </w:r>
          </w:p>
        </w:tc>
        <w:tc>
          <w:tcPr>
            <w:tcW w:w="1200" w:type="dxa"/>
            <w:vAlign w:val="bottom"/>
          </w:tcPr>
          <w:p>
            <w:pPr>
              <w:pStyle w:val="yTableNAm"/>
              <w:jc w:val="right"/>
            </w:pPr>
            <w:r>
              <w:t>$176.15</w:t>
            </w:r>
          </w:p>
        </w:tc>
      </w:tr>
      <w:tr>
        <w:trPr>
          <w:cantSplit/>
        </w:trPr>
        <w:tc>
          <w:tcPr>
            <w:tcW w:w="5738" w:type="dxa"/>
          </w:tcPr>
          <w:p>
            <w:pPr>
              <w:pStyle w:val="yTableNAm"/>
            </w:pPr>
            <w:r>
              <w:t>except face or neck, more than 7 cm, superficial</w:t>
            </w:r>
          </w:p>
        </w:tc>
        <w:tc>
          <w:tcPr>
            <w:tcW w:w="1200" w:type="dxa"/>
            <w:vAlign w:val="bottom"/>
          </w:tcPr>
          <w:p>
            <w:pPr>
              <w:pStyle w:val="yTableNAm"/>
              <w:jc w:val="right"/>
            </w:pPr>
            <w:r>
              <w:t>$176.15</w:t>
            </w:r>
          </w:p>
        </w:tc>
      </w:tr>
      <w:tr>
        <w:trPr>
          <w:cantSplit/>
        </w:trPr>
        <w:tc>
          <w:tcPr>
            <w:tcW w:w="5738" w:type="dxa"/>
          </w:tcPr>
          <w:p>
            <w:pPr>
              <w:pStyle w:val="yTableNAm"/>
            </w:pPr>
            <w:r>
              <w:t>except face or neck, more than 7 cm, deep</w:t>
            </w:r>
          </w:p>
        </w:tc>
        <w:tc>
          <w:tcPr>
            <w:tcW w:w="1200" w:type="dxa"/>
            <w:vAlign w:val="bottom"/>
          </w:tcPr>
          <w:p>
            <w:pPr>
              <w:pStyle w:val="yTableNAm"/>
              <w:jc w:val="right"/>
            </w:pPr>
            <w:r>
              <w:t>$386.25</w:t>
            </w:r>
          </w:p>
        </w:tc>
      </w:tr>
      <w:tr>
        <w:trPr>
          <w:cantSplit/>
        </w:trPr>
        <w:tc>
          <w:tcPr>
            <w:tcW w:w="5738" w:type="dxa"/>
          </w:tcPr>
          <w:p>
            <w:pPr>
              <w:pStyle w:val="yTableNAm"/>
            </w:pPr>
            <w:r>
              <w:t>AMPUTATIONS</w:t>
            </w:r>
          </w:p>
        </w:tc>
        <w:tc>
          <w:tcPr>
            <w:tcW w:w="1200" w:type="dxa"/>
            <w:vAlign w:val="center"/>
          </w:tcPr>
          <w:p>
            <w:pPr>
              <w:pStyle w:val="yTableNAm"/>
              <w:jc w:val="right"/>
            </w:pPr>
          </w:p>
        </w:tc>
      </w:tr>
      <w:tr>
        <w:trPr>
          <w:cantSplit/>
        </w:trPr>
        <w:tc>
          <w:tcPr>
            <w:tcW w:w="5738" w:type="dxa"/>
          </w:tcPr>
          <w:p>
            <w:pPr>
              <w:pStyle w:val="yTableNAm"/>
            </w:pPr>
            <w:r>
              <w:t>Hand, midcarpal or transmetacarpal</w:t>
            </w:r>
          </w:p>
        </w:tc>
        <w:tc>
          <w:tcPr>
            <w:tcW w:w="1200" w:type="dxa"/>
            <w:vAlign w:val="bottom"/>
          </w:tcPr>
          <w:p>
            <w:pPr>
              <w:pStyle w:val="yTableNAm"/>
              <w:jc w:val="right"/>
            </w:pPr>
            <w:r>
              <w:t>$587.25</w:t>
            </w:r>
          </w:p>
        </w:tc>
      </w:tr>
      <w:tr>
        <w:trPr>
          <w:cantSplit/>
        </w:trPr>
        <w:tc>
          <w:tcPr>
            <w:tcW w:w="5738" w:type="dxa"/>
          </w:tcPr>
          <w:p>
            <w:pPr>
              <w:pStyle w:val="yTableNAm"/>
            </w:pPr>
            <w:r>
              <w:t>Hand, forearm or through arm</w:t>
            </w:r>
          </w:p>
        </w:tc>
        <w:tc>
          <w:tcPr>
            <w:tcW w:w="1200" w:type="dxa"/>
            <w:vAlign w:val="bottom"/>
          </w:tcPr>
          <w:p>
            <w:pPr>
              <w:pStyle w:val="yTableNAm"/>
              <w:jc w:val="right"/>
            </w:pPr>
            <w:r>
              <w:t>$679.90</w:t>
            </w:r>
          </w:p>
        </w:tc>
      </w:tr>
      <w:tr>
        <w:trPr>
          <w:cantSplit/>
        </w:trPr>
        <w:tc>
          <w:tcPr>
            <w:tcW w:w="5738" w:type="dxa"/>
          </w:tcPr>
          <w:p>
            <w:pPr>
              <w:pStyle w:val="yTableNAm"/>
            </w:pPr>
            <w:r>
              <w:t>At shoulder</w:t>
            </w:r>
          </w:p>
        </w:tc>
        <w:tc>
          <w:tcPr>
            <w:tcW w:w="1200" w:type="dxa"/>
            <w:vAlign w:val="bottom"/>
          </w:tcPr>
          <w:p>
            <w:pPr>
              <w:pStyle w:val="yTableNAm"/>
              <w:jc w:val="right"/>
            </w:pPr>
            <w:r>
              <w:t>$1 151.00</w:t>
            </w:r>
          </w:p>
        </w:tc>
      </w:tr>
      <w:tr>
        <w:trPr>
          <w:cantSplit/>
        </w:trPr>
        <w:tc>
          <w:tcPr>
            <w:tcW w:w="5738" w:type="dxa"/>
          </w:tcPr>
          <w:p>
            <w:pPr>
              <w:pStyle w:val="yTableNAm"/>
            </w:pPr>
            <w:r>
              <w:t>Interscapulothoracic</w:t>
            </w:r>
          </w:p>
        </w:tc>
        <w:tc>
          <w:tcPr>
            <w:tcW w:w="1200" w:type="dxa"/>
            <w:vAlign w:val="bottom"/>
          </w:tcPr>
          <w:p>
            <w:pPr>
              <w:pStyle w:val="yTableNAm"/>
              <w:jc w:val="right"/>
            </w:pPr>
            <w:r>
              <w:t>$2 286.75</w:t>
            </w:r>
          </w:p>
        </w:tc>
      </w:tr>
      <w:tr>
        <w:trPr>
          <w:cantSplit/>
        </w:trPr>
        <w:tc>
          <w:tcPr>
            <w:tcW w:w="5738" w:type="dxa"/>
          </w:tcPr>
          <w:p>
            <w:pPr>
              <w:pStyle w:val="yTableNAm"/>
            </w:pPr>
            <w:r>
              <w:t>One digit of foot</w:t>
            </w:r>
          </w:p>
        </w:tc>
        <w:tc>
          <w:tcPr>
            <w:tcW w:w="1200" w:type="dxa"/>
            <w:vAlign w:val="bottom"/>
          </w:tcPr>
          <w:p>
            <w:pPr>
              <w:pStyle w:val="yTableNAm"/>
              <w:jc w:val="right"/>
            </w:pPr>
            <w:r>
              <w:t>$308.95</w:t>
            </w:r>
          </w:p>
        </w:tc>
      </w:tr>
      <w:tr>
        <w:trPr>
          <w:cantSplit/>
        </w:trPr>
        <w:tc>
          <w:tcPr>
            <w:tcW w:w="5738" w:type="dxa"/>
          </w:tcPr>
          <w:p>
            <w:pPr>
              <w:pStyle w:val="yTableNAm"/>
            </w:pPr>
            <w:r>
              <w:t>Two digits of one foot</w:t>
            </w:r>
          </w:p>
        </w:tc>
        <w:tc>
          <w:tcPr>
            <w:tcW w:w="1200" w:type="dxa"/>
            <w:vAlign w:val="bottom"/>
          </w:tcPr>
          <w:p>
            <w:pPr>
              <w:pStyle w:val="yTableNAm"/>
              <w:jc w:val="right"/>
            </w:pPr>
            <w:r>
              <w:t>$463.60</w:t>
            </w:r>
          </w:p>
        </w:tc>
      </w:tr>
      <w:tr>
        <w:trPr>
          <w:cantSplit/>
        </w:trPr>
        <w:tc>
          <w:tcPr>
            <w:tcW w:w="5738" w:type="dxa"/>
          </w:tcPr>
          <w:p>
            <w:pPr>
              <w:pStyle w:val="yTableNAm"/>
            </w:pPr>
            <w:r>
              <w:t>Three digits of one foot</w:t>
            </w:r>
          </w:p>
        </w:tc>
        <w:tc>
          <w:tcPr>
            <w:tcW w:w="1200" w:type="dxa"/>
            <w:vAlign w:val="bottom"/>
          </w:tcPr>
          <w:p>
            <w:pPr>
              <w:pStyle w:val="yTableNAm"/>
              <w:jc w:val="right"/>
            </w:pPr>
            <w:r>
              <w:t>$625.75</w:t>
            </w:r>
          </w:p>
        </w:tc>
      </w:tr>
      <w:tr>
        <w:trPr>
          <w:cantSplit/>
        </w:trPr>
        <w:tc>
          <w:tcPr>
            <w:tcW w:w="5738" w:type="dxa"/>
          </w:tcPr>
          <w:p>
            <w:pPr>
              <w:pStyle w:val="yTableNAm"/>
            </w:pPr>
            <w:r>
              <w:t>Four digits of one foot</w:t>
            </w:r>
          </w:p>
        </w:tc>
        <w:tc>
          <w:tcPr>
            <w:tcW w:w="1200" w:type="dxa"/>
            <w:vAlign w:val="bottom"/>
          </w:tcPr>
          <w:p>
            <w:pPr>
              <w:pStyle w:val="yTableNAm"/>
              <w:jc w:val="right"/>
            </w:pPr>
            <w:r>
              <w:t>$780.35</w:t>
            </w:r>
          </w:p>
        </w:tc>
      </w:tr>
      <w:tr>
        <w:trPr>
          <w:cantSplit/>
        </w:trPr>
        <w:tc>
          <w:tcPr>
            <w:tcW w:w="5738" w:type="dxa"/>
          </w:tcPr>
          <w:p>
            <w:pPr>
              <w:pStyle w:val="yTableNAm"/>
            </w:pPr>
            <w:r>
              <w:t>Five digits of one foot</w:t>
            </w:r>
          </w:p>
        </w:tc>
        <w:tc>
          <w:tcPr>
            <w:tcW w:w="1200" w:type="dxa"/>
            <w:vAlign w:val="bottom"/>
          </w:tcPr>
          <w:p>
            <w:pPr>
              <w:pStyle w:val="yTableNAm"/>
              <w:jc w:val="right"/>
            </w:pPr>
            <w:r>
              <w:t>$934.80</w:t>
            </w:r>
          </w:p>
        </w:tc>
      </w:tr>
      <w:tr>
        <w:trPr>
          <w:cantSplit/>
        </w:trPr>
        <w:tc>
          <w:tcPr>
            <w:tcW w:w="5738" w:type="dxa"/>
          </w:tcPr>
          <w:p>
            <w:pPr>
              <w:pStyle w:val="yTableNAm"/>
            </w:pPr>
            <w:r>
              <w:t>Toe including metatarsal or part of metatarsal — each toe</w:t>
            </w:r>
          </w:p>
        </w:tc>
        <w:tc>
          <w:tcPr>
            <w:tcW w:w="1200" w:type="dxa"/>
            <w:vAlign w:val="bottom"/>
          </w:tcPr>
          <w:p>
            <w:pPr>
              <w:pStyle w:val="yTableNAm"/>
              <w:jc w:val="right"/>
            </w:pPr>
            <w:r>
              <w:t>$364.80</w:t>
            </w:r>
          </w:p>
        </w:tc>
      </w:tr>
      <w:tr>
        <w:trPr>
          <w:cantSplit/>
        </w:trPr>
        <w:tc>
          <w:tcPr>
            <w:tcW w:w="5738" w:type="dxa"/>
          </w:tcPr>
          <w:p>
            <w:pPr>
              <w:pStyle w:val="yTableNAm"/>
            </w:pPr>
            <w:r>
              <w:t>Foot, at ankle</w:t>
            </w:r>
          </w:p>
        </w:tc>
        <w:tc>
          <w:tcPr>
            <w:tcW w:w="1200" w:type="dxa"/>
            <w:vAlign w:val="bottom"/>
          </w:tcPr>
          <w:p>
            <w:pPr>
              <w:pStyle w:val="yTableNAm"/>
              <w:jc w:val="right"/>
            </w:pPr>
            <w:r>
              <w:t>$679.90</w:t>
            </w:r>
          </w:p>
        </w:tc>
      </w:tr>
      <w:tr>
        <w:trPr>
          <w:cantSplit/>
        </w:trPr>
        <w:tc>
          <w:tcPr>
            <w:tcW w:w="5738" w:type="dxa"/>
          </w:tcPr>
          <w:p>
            <w:pPr>
              <w:pStyle w:val="yTableNAm"/>
            </w:pPr>
            <w:r>
              <w:t>Foot, midtarsal or transmetatarsal</w:t>
            </w:r>
          </w:p>
        </w:tc>
        <w:tc>
          <w:tcPr>
            <w:tcW w:w="1200" w:type="dxa"/>
            <w:vAlign w:val="bottom"/>
          </w:tcPr>
          <w:p>
            <w:pPr>
              <w:pStyle w:val="yTableNAm"/>
              <w:jc w:val="right"/>
            </w:pPr>
            <w:r>
              <w:t>$587.25</w:t>
            </w:r>
          </w:p>
        </w:tc>
      </w:tr>
      <w:tr>
        <w:trPr>
          <w:cantSplit/>
        </w:trPr>
        <w:tc>
          <w:tcPr>
            <w:tcW w:w="5738" w:type="dxa"/>
          </w:tcPr>
          <w:p>
            <w:pPr>
              <w:pStyle w:val="yTableNAm"/>
            </w:pPr>
            <w:r>
              <w:t>Through thigh, at knee or below knee</w:t>
            </w:r>
          </w:p>
        </w:tc>
        <w:tc>
          <w:tcPr>
            <w:tcW w:w="1200" w:type="dxa"/>
            <w:vAlign w:val="bottom"/>
          </w:tcPr>
          <w:p>
            <w:pPr>
              <w:pStyle w:val="yTableNAm"/>
              <w:jc w:val="right"/>
            </w:pPr>
            <w:r>
              <w:t>$1 004.45</w:t>
            </w:r>
          </w:p>
        </w:tc>
      </w:tr>
      <w:tr>
        <w:trPr>
          <w:cantSplit/>
        </w:trPr>
        <w:tc>
          <w:tcPr>
            <w:tcW w:w="5738" w:type="dxa"/>
          </w:tcPr>
          <w:p>
            <w:pPr>
              <w:pStyle w:val="yTableNAm"/>
            </w:pPr>
            <w:r>
              <w:t>At hip</w:t>
            </w:r>
          </w:p>
        </w:tc>
        <w:tc>
          <w:tcPr>
            <w:tcW w:w="1200" w:type="dxa"/>
            <w:vAlign w:val="bottom"/>
          </w:tcPr>
          <w:p>
            <w:pPr>
              <w:pStyle w:val="yTableNAm"/>
              <w:jc w:val="right"/>
            </w:pPr>
            <w:r>
              <w:t>$1 413.70</w:t>
            </w:r>
          </w:p>
        </w:tc>
      </w:tr>
      <w:tr>
        <w:trPr>
          <w:cantSplit/>
        </w:trPr>
        <w:tc>
          <w:tcPr>
            <w:tcW w:w="5738" w:type="dxa"/>
          </w:tcPr>
          <w:p>
            <w:pPr>
              <w:pStyle w:val="yTableNAm"/>
            </w:pPr>
            <w:r>
              <w:t>ASSISTANCE AT OPERATIONS</w:t>
            </w:r>
          </w:p>
          <w:p>
            <w:pPr>
              <w:pStyle w:val="yTableNAm"/>
            </w:pPr>
            <w:r>
              <w:t>The fee for assistance at any operation (or series or combination of operations) is to be related to the fee listed for the operation (or series or combination of operations) itself.</w:t>
            </w:r>
          </w:p>
        </w:tc>
        <w:tc>
          <w:tcPr>
            <w:tcW w:w="1200" w:type="dxa"/>
            <w:vAlign w:val="center"/>
          </w:tcPr>
          <w:p>
            <w:pPr>
              <w:pStyle w:val="yTableNAm"/>
              <w:jc w:val="right"/>
            </w:pPr>
          </w:p>
        </w:tc>
      </w:tr>
      <w:tr>
        <w:trPr>
          <w:cantSplit/>
        </w:trPr>
        <w:tc>
          <w:tcPr>
            <w:tcW w:w="5738" w:type="dxa"/>
          </w:tcPr>
          <w:p>
            <w:pPr>
              <w:pStyle w:val="yTableNAm"/>
            </w:pPr>
            <w:r>
              <w:t xml:space="preserve">The fee is 20% of the total fee or the minimum sum of </w:t>
            </w:r>
            <w:r>
              <w:rPr>
                <w:b/>
              </w:rPr>
              <w:t>$194.60</w:t>
            </w:r>
            <w:r>
              <w:t>, whichever is greater.</w:t>
            </w:r>
          </w:p>
        </w:tc>
        <w:tc>
          <w:tcPr>
            <w:tcW w:w="1200" w:type="dxa"/>
            <w:vAlign w:val="center"/>
          </w:tcPr>
          <w:p>
            <w:pPr>
              <w:pStyle w:val="yTableNAm"/>
              <w:jc w:val="right"/>
            </w:pPr>
          </w:p>
        </w:tc>
      </w:tr>
      <w:tr>
        <w:trPr>
          <w:cantSplit/>
        </w:trPr>
        <w:tc>
          <w:tcPr>
            <w:tcW w:w="5738" w:type="dxa"/>
          </w:tcPr>
          <w:p>
            <w:pPr>
              <w:pStyle w:val="yTableNAm"/>
            </w:pPr>
            <w:r>
              <w:t>USE OF PRIVATE THEATRES</w:t>
            </w:r>
          </w:p>
          <w:p>
            <w:pPr>
              <w:pStyle w:val="yTableNAm"/>
            </w:pPr>
            <w:r>
              <w:t xml:space="preserve">A theatre fee of </w:t>
            </w:r>
            <w:r>
              <w:rPr>
                <w:b/>
              </w:rPr>
              <w:t>$117.40</w:t>
            </w:r>
            <w:r>
              <w:t xml:space="preserve"> will be paid to practitioners for the use of their private theatre, but this fee may only be charged if the patient would otherwise have been sent to hospital.</w:t>
            </w:r>
          </w:p>
        </w:tc>
        <w:tc>
          <w:tcPr>
            <w:tcW w:w="1200" w:type="dxa"/>
          </w:tcPr>
          <w:p>
            <w:pPr>
              <w:pStyle w:val="yTableNAm"/>
              <w:jc w:val="right"/>
            </w:pPr>
          </w:p>
        </w:tc>
      </w:tr>
    </w:tbl>
    <w:p>
      <w:pPr>
        <w:pStyle w:val="yFootnotesection"/>
        <w:rPr>
          <w:b/>
          <w:sz w:val="24"/>
        </w:rPr>
      </w:pPr>
      <w:r>
        <w:tab/>
        <w:t>[Part 2 inserted in Gazette 25 Sep 2012 p. 4457-62.]</w:t>
      </w:r>
    </w:p>
    <w:p>
      <w:pPr>
        <w:pStyle w:val="yHeading3"/>
      </w:pPr>
      <w:bookmarkStart w:id="41" w:name="_Toc339360093"/>
      <w:bookmarkStart w:id="42" w:name="_Toc339360497"/>
      <w:bookmarkStart w:id="43" w:name="_Toc306961499"/>
      <w:bookmarkStart w:id="44" w:name="_Toc306967191"/>
      <w:bookmarkStart w:id="45" w:name="_Toc306977071"/>
      <w:bookmarkStart w:id="46" w:name="_Toc336245210"/>
      <w:bookmarkStart w:id="47" w:name="_Toc276382373"/>
      <w:bookmarkStart w:id="48" w:name="_Toc305149067"/>
      <w:bookmarkStart w:id="49" w:name="_Toc306890329"/>
      <w:bookmarkEnd w:id="34"/>
      <w:bookmarkEnd w:id="35"/>
      <w:bookmarkEnd w:id="36"/>
      <w:bookmarkEnd w:id="37"/>
      <w:bookmarkEnd w:id="38"/>
      <w:bookmarkEnd w:id="39"/>
      <w:bookmarkEnd w:id="40"/>
      <w:r>
        <w:rPr>
          <w:rStyle w:val="CharSDivNo"/>
        </w:rPr>
        <w:t>Part 3</w:t>
      </w:r>
      <w:r>
        <w:t> — </w:t>
      </w:r>
      <w:r>
        <w:rPr>
          <w:rStyle w:val="CharSDivText"/>
        </w:rPr>
        <w:t>Diagnostic Imaging Services</w:t>
      </w:r>
      <w:bookmarkEnd w:id="41"/>
      <w:bookmarkEnd w:id="42"/>
    </w:p>
    <w:p>
      <w:pPr>
        <w:pStyle w:val="yFootnoteheading"/>
        <w:spacing w:after="120"/>
      </w:pPr>
      <w:r>
        <w:tab/>
        <w:t>[Heading inserted in Gazette 25 Sep 2012 p. 4462.]</w:t>
      </w:r>
    </w:p>
    <w:p>
      <w:pPr>
        <w:pStyle w:val="yMiscellaneousHeading"/>
        <w:tabs>
          <w:tab w:val="left" w:pos="560"/>
        </w:tabs>
        <w:spacing w:after="120"/>
        <w:jc w:val="left"/>
      </w:pPr>
      <w:r>
        <w:tab/>
        <w:t>ULTRASOUND</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bCs/>
                <w:szCs w:val="22"/>
              </w:rPr>
              <w:t>MBS item number</w:t>
            </w:r>
            <w:r>
              <w:rPr>
                <w:szCs w:val="22"/>
              </w:rPr>
              <w:br/>
              <w:t>(1 November 2009)</w:t>
            </w:r>
          </w:p>
        </w:tc>
        <w:tc>
          <w:tcPr>
            <w:tcW w:w="1276" w:type="dxa"/>
            <w:tcBorders>
              <w:top w:val="single" w:sz="4" w:space="0" w:color="auto"/>
              <w:bottom w:val="single" w:sz="4" w:space="0" w:color="auto"/>
            </w:tcBorders>
          </w:tcPr>
          <w:p>
            <w:pPr>
              <w:pStyle w:val="yTableNAm"/>
              <w:jc w:val="right"/>
            </w:pPr>
            <w:r>
              <w:rPr>
                <w:b/>
                <w:bCs/>
                <w:szCs w:val="22"/>
              </w:rPr>
              <w:t>Fee</w:t>
            </w:r>
          </w:p>
        </w:tc>
      </w:tr>
      <w:tr>
        <w:tblPrEx>
          <w:tblCellMar>
            <w:left w:w="108" w:type="dxa"/>
            <w:right w:w="108" w:type="dxa"/>
          </w:tblCellMar>
        </w:tblPrEx>
        <w:tc>
          <w:tcPr>
            <w:tcW w:w="4820" w:type="dxa"/>
          </w:tcPr>
          <w:p>
            <w:pPr>
              <w:pStyle w:val="yTableNAm"/>
            </w:pPr>
            <w:r>
              <w:rPr>
                <w:szCs w:val="22"/>
              </w:rPr>
              <w:t>55028</w:t>
            </w:r>
          </w:p>
        </w:tc>
        <w:tc>
          <w:tcPr>
            <w:tcW w:w="1276" w:type="dxa"/>
            <w:vAlign w:val="bottom"/>
          </w:tcPr>
          <w:p>
            <w:pPr>
              <w:pStyle w:val="yTableNAm"/>
              <w:jc w:val="right"/>
            </w:pPr>
            <w:r>
              <w:rPr>
                <w:szCs w:val="22"/>
              </w:rPr>
              <w:t>$189.25</w:t>
            </w:r>
          </w:p>
        </w:tc>
      </w:tr>
      <w:tr>
        <w:tblPrEx>
          <w:tblCellMar>
            <w:left w:w="108" w:type="dxa"/>
            <w:right w:w="108" w:type="dxa"/>
          </w:tblCellMar>
        </w:tblPrEx>
        <w:tc>
          <w:tcPr>
            <w:tcW w:w="4820" w:type="dxa"/>
          </w:tcPr>
          <w:p>
            <w:pPr>
              <w:pStyle w:val="yTableNAm"/>
            </w:pPr>
            <w:r>
              <w:rPr>
                <w:szCs w:val="22"/>
              </w:rPr>
              <w:t>55029</w:t>
            </w:r>
          </w:p>
        </w:tc>
        <w:tc>
          <w:tcPr>
            <w:tcW w:w="1276" w:type="dxa"/>
            <w:vAlign w:val="bottom"/>
          </w:tcPr>
          <w:p>
            <w:pPr>
              <w:pStyle w:val="yTableNAm"/>
              <w:jc w:val="right"/>
            </w:pPr>
            <w:r>
              <w:rPr>
                <w:szCs w:val="22"/>
              </w:rPr>
              <w:t>$65.65</w:t>
            </w:r>
          </w:p>
        </w:tc>
      </w:tr>
      <w:tr>
        <w:tblPrEx>
          <w:tblCellMar>
            <w:left w:w="108" w:type="dxa"/>
            <w:right w:w="108" w:type="dxa"/>
          </w:tblCellMar>
        </w:tblPrEx>
        <w:tc>
          <w:tcPr>
            <w:tcW w:w="4820" w:type="dxa"/>
          </w:tcPr>
          <w:p>
            <w:pPr>
              <w:pStyle w:val="yTableNAm"/>
            </w:pPr>
            <w:r>
              <w:rPr>
                <w:szCs w:val="22"/>
              </w:rPr>
              <w:t>55030</w:t>
            </w:r>
          </w:p>
        </w:tc>
        <w:tc>
          <w:tcPr>
            <w:tcW w:w="1276" w:type="dxa"/>
            <w:vAlign w:val="bottom"/>
          </w:tcPr>
          <w:p>
            <w:pPr>
              <w:pStyle w:val="yTableNAm"/>
              <w:jc w:val="right"/>
            </w:pPr>
            <w:r>
              <w:rPr>
                <w:szCs w:val="22"/>
              </w:rPr>
              <w:t>$189.25</w:t>
            </w:r>
          </w:p>
        </w:tc>
      </w:tr>
      <w:tr>
        <w:tblPrEx>
          <w:tblCellMar>
            <w:left w:w="108" w:type="dxa"/>
            <w:right w:w="108" w:type="dxa"/>
          </w:tblCellMar>
        </w:tblPrEx>
        <w:tc>
          <w:tcPr>
            <w:tcW w:w="4820" w:type="dxa"/>
          </w:tcPr>
          <w:p>
            <w:pPr>
              <w:pStyle w:val="yTableNAm"/>
            </w:pPr>
            <w:r>
              <w:rPr>
                <w:szCs w:val="22"/>
              </w:rPr>
              <w:t>55031</w:t>
            </w:r>
          </w:p>
        </w:tc>
        <w:tc>
          <w:tcPr>
            <w:tcW w:w="1276" w:type="dxa"/>
            <w:vAlign w:val="bottom"/>
          </w:tcPr>
          <w:p>
            <w:pPr>
              <w:pStyle w:val="yTableNAm"/>
              <w:jc w:val="right"/>
            </w:pPr>
            <w:r>
              <w:rPr>
                <w:szCs w:val="22"/>
              </w:rPr>
              <w:t>$65.65</w:t>
            </w:r>
          </w:p>
        </w:tc>
      </w:tr>
      <w:tr>
        <w:tblPrEx>
          <w:tblCellMar>
            <w:left w:w="108" w:type="dxa"/>
            <w:right w:w="108" w:type="dxa"/>
          </w:tblCellMar>
        </w:tblPrEx>
        <w:tc>
          <w:tcPr>
            <w:tcW w:w="4820" w:type="dxa"/>
          </w:tcPr>
          <w:p>
            <w:pPr>
              <w:pStyle w:val="yTableNAm"/>
            </w:pPr>
            <w:r>
              <w:rPr>
                <w:szCs w:val="22"/>
              </w:rPr>
              <w:t>55032</w:t>
            </w:r>
          </w:p>
        </w:tc>
        <w:tc>
          <w:tcPr>
            <w:tcW w:w="1276" w:type="dxa"/>
            <w:vAlign w:val="bottom"/>
          </w:tcPr>
          <w:p>
            <w:pPr>
              <w:pStyle w:val="yTableNAm"/>
              <w:jc w:val="right"/>
            </w:pPr>
            <w:r>
              <w:rPr>
                <w:szCs w:val="22"/>
              </w:rPr>
              <w:t>$189.25</w:t>
            </w:r>
          </w:p>
        </w:tc>
      </w:tr>
      <w:tr>
        <w:tblPrEx>
          <w:tblCellMar>
            <w:left w:w="108" w:type="dxa"/>
            <w:right w:w="108" w:type="dxa"/>
          </w:tblCellMar>
        </w:tblPrEx>
        <w:tc>
          <w:tcPr>
            <w:tcW w:w="4820" w:type="dxa"/>
          </w:tcPr>
          <w:p>
            <w:pPr>
              <w:pStyle w:val="yTableNAm"/>
            </w:pPr>
            <w:r>
              <w:rPr>
                <w:szCs w:val="22"/>
              </w:rPr>
              <w:t>55033</w:t>
            </w:r>
          </w:p>
        </w:tc>
        <w:tc>
          <w:tcPr>
            <w:tcW w:w="1276" w:type="dxa"/>
            <w:vAlign w:val="bottom"/>
          </w:tcPr>
          <w:p>
            <w:pPr>
              <w:pStyle w:val="yTableNAm"/>
              <w:jc w:val="right"/>
            </w:pPr>
            <w:r>
              <w:rPr>
                <w:szCs w:val="22"/>
              </w:rPr>
              <w:t>$65.65</w:t>
            </w:r>
          </w:p>
        </w:tc>
      </w:tr>
      <w:tr>
        <w:tblPrEx>
          <w:tblCellMar>
            <w:left w:w="108" w:type="dxa"/>
            <w:right w:w="108" w:type="dxa"/>
          </w:tblCellMar>
        </w:tblPrEx>
        <w:tc>
          <w:tcPr>
            <w:tcW w:w="4820" w:type="dxa"/>
          </w:tcPr>
          <w:p>
            <w:pPr>
              <w:pStyle w:val="yTableNAm"/>
            </w:pPr>
            <w:r>
              <w:rPr>
                <w:szCs w:val="22"/>
              </w:rPr>
              <w:t>55036</w:t>
            </w:r>
          </w:p>
        </w:tc>
        <w:tc>
          <w:tcPr>
            <w:tcW w:w="1276" w:type="dxa"/>
            <w:vAlign w:val="bottom"/>
          </w:tcPr>
          <w:p>
            <w:pPr>
              <w:pStyle w:val="yTableNAm"/>
              <w:jc w:val="right"/>
            </w:pPr>
            <w:r>
              <w:rPr>
                <w:szCs w:val="22"/>
              </w:rPr>
              <w:t>$193.00</w:t>
            </w:r>
          </w:p>
        </w:tc>
      </w:tr>
      <w:tr>
        <w:tblPrEx>
          <w:tblCellMar>
            <w:left w:w="108" w:type="dxa"/>
            <w:right w:w="108" w:type="dxa"/>
          </w:tblCellMar>
        </w:tblPrEx>
        <w:tc>
          <w:tcPr>
            <w:tcW w:w="4820" w:type="dxa"/>
          </w:tcPr>
          <w:p>
            <w:pPr>
              <w:pStyle w:val="yTableNAm"/>
            </w:pPr>
            <w:r>
              <w:rPr>
                <w:szCs w:val="22"/>
              </w:rPr>
              <w:t>55037</w:t>
            </w:r>
          </w:p>
        </w:tc>
        <w:tc>
          <w:tcPr>
            <w:tcW w:w="1276" w:type="dxa"/>
            <w:vAlign w:val="bottom"/>
          </w:tcPr>
          <w:p>
            <w:pPr>
              <w:pStyle w:val="yTableNAm"/>
              <w:jc w:val="right"/>
            </w:pPr>
            <w:r>
              <w:rPr>
                <w:szCs w:val="22"/>
              </w:rPr>
              <w:t>$65.65</w:t>
            </w:r>
          </w:p>
        </w:tc>
      </w:tr>
      <w:tr>
        <w:tblPrEx>
          <w:tblCellMar>
            <w:left w:w="108" w:type="dxa"/>
            <w:right w:w="108" w:type="dxa"/>
          </w:tblCellMar>
        </w:tblPrEx>
        <w:tc>
          <w:tcPr>
            <w:tcW w:w="4820" w:type="dxa"/>
          </w:tcPr>
          <w:p>
            <w:pPr>
              <w:pStyle w:val="yTableNAm"/>
            </w:pPr>
            <w:r>
              <w:rPr>
                <w:szCs w:val="22"/>
              </w:rPr>
              <w:t>55038</w:t>
            </w:r>
          </w:p>
        </w:tc>
        <w:tc>
          <w:tcPr>
            <w:tcW w:w="1276" w:type="dxa"/>
            <w:vAlign w:val="bottom"/>
          </w:tcPr>
          <w:p>
            <w:pPr>
              <w:pStyle w:val="yTableNAm"/>
              <w:jc w:val="right"/>
            </w:pPr>
            <w:r>
              <w:rPr>
                <w:szCs w:val="22"/>
              </w:rPr>
              <w:t>$189.25</w:t>
            </w:r>
          </w:p>
        </w:tc>
      </w:tr>
      <w:tr>
        <w:tblPrEx>
          <w:tblCellMar>
            <w:left w:w="108" w:type="dxa"/>
            <w:right w:w="108" w:type="dxa"/>
          </w:tblCellMar>
        </w:tblPrEx>
        <w:tc>
          <w:tcPr>
            <w:tcW w:w="4820" w:type="dxa"/>
          </w:tcPr>
          <w:p>
            <w:pPr>
              <w:pStyle w:val="yTableNAm"/>
            </w:pPr>
            <w:r>
              <w:rPr>
                <w:szCs w:val="22"/>
              </w:rPr>
              <w:t>55039</w:t>
            </w:r>
          </w:p>
        </w:tc>
        <w:tc>
          <w:tcPr>
            <w:tcW w:w="1276" w:type="dxa"/>
            <w:vAlign w:val="bottom"/>
          </w:tcPr>
          <w:p>
            <w:pPr>
              <w:pStyle w:val="yTableNAm"/>
              <w:jc w:val="right"/>
            </w:pPr>
            <w:r>
              <w:rPr>
                <w:szCs w:val="22"/>
              </w:rPr>
              <w:t>$65.65</w:t>
            </w:r>
          </w:p>
        </w:tc>
      </w:tr>
      <w:tr>
        <w:tblPrEx>
          <w:tblCellMar>
            <w:left w:w="108" w:type="dxa"/>
            <w:right w:w="108" w:type="dxa"/>
          </w:tblCellMar>
        </w:tblPrEx>
        <w:tc>
          <w:tcPr>
            <w:tcW w:w="4820" w:type="dxa"/>
          </w:tcPr>
          <w:p>
            <w:pPr>
              <w:pStyle w:val="yTableNAm"/>
            </w:pPr>
            <w:r>
              <w:rPr>
                <w:szCs w:val="22"/>
              </w:rPr>
              <w:t>55044</w:t>
            </w:r>
          </w:p>
        </w:tc>
        <w:tc>
          <w:tcPr>
            <w:tcW w:w="1276" w:type="dxa"/>
            <w:vAlign w:val="bottom"/>
          </w:tcPr>
          <w:p>
            <w:pPr>
              <w:pStyle w:val="yTableNAm"/>
              <w:jc w:val="right"/>
            </w:pPr>
            <w:r>
              <w:rPr>
                <w:szCs w:val="22"/>
              </w:rPr>
              <w:t>$193.00</w:t>
            </w:r>
          </w:p>
        </w:tc>
      </w:tr>
      <w:tr>
        <w:tblPrEx>
          <w:tblCellMar>
            <w:left w:w="108" w:type="dxa"/>
            <w:right w:w="108" w:type="dxa"/>
          </w:tblCellMar>
        </w:tblPrEx>
        <w:tc>
          <w:tcPr>
            <w:tcW w:w="4820" w:type="dxa"/>
          </w:tcPr>
          <w:p>
            <w:pPr>
              <w:pStyle w:val="yTableNAm"/>
            </w:pPr>
            <w:r>
              <w:rPr>
                <w:szCs w:val="22"/>
              </w:rPr>
              <w:t>55045</w:t>
            </w:r>
          </w:p>
        </w:tc>
        <w:tc>
          <w:tcPr>
            <w:tcW w:w="1276" w:type="dxa"/>
            <w:vAlign w:val="bottom"/>
          </w:tcPr>
          <w:p>
            <w:pPr>
              <w:pStyle w:val="yTableNAm"/>
              <w:jc w:val="right"/>
            </w:pPr>
            <w:r>
              <w:rPr>
                <w:szCs w:val="22"/>
              </w:rPr>
              <w:t>$65.65</w:t>
            </w:r>
          </w:p>
        </w:tc>
      </w:tr>
      <w:tr>
        <w:tblPrEx>
          <w:tblCellMar>
            <w:left w:w="108" w:type="dxa"/>
            <w:right w:w="108" w:type="dxa"/>
          </w:tblCellMar>
        </w:tblPrEx>
        <w:tc>
          <w:tcPr>
            <w:tcW w:w="4820" w:type="dxa"/>
          </w:tcPr>
          <w:p>
            <w:pPr>
              <w:pStyle w:val="yTableNAm"/>
            </w:pPr>
            <w:r>
              <w:rPr>
                <w:szCs w:val="22"/>
              </w:rPr>
              <w:t>55048</w:t>
            </w:r>
          </w:p>
        </w:tc>
        <w:tc>
          <w:tcPr>
            <w:tcW w:w="1276" w:type="dxa"/>
            <w:vAlign w:val="bottom"/>
          </w:tcPr>
          <w:p>
            <w:pPr>
              <w:pStyle w:val="yTableNAm"/>
              <w:jc w:val="right"/>
            </w:pPr>
            <w:r>
              <w:rPr>
                <w:szCs w:val="22"/>
              </w:rPr>
              <w:t>$189.25</w:t>
            </w:r>
          </w:p>
        </w:tc>
      </w:tr>
      <w:tr>
        <w:tblPrEx>
          <w:tblCellMar>
            <w:left w:w="108" w:type="dxa"/>
            <w:right w:w="108" w:type="dxa"/>
          </w:tblCellMar>
        </w:tblPrEx>
        <w:tc>
          <w:tcPr>
            <w:tcW w:w="4820" w:type="dxa"/>
          </w:tcPr>
          <w:p>
            <w:pPr>
              <w:pStyle w:val="yTableNAm"/>
            </w:pPr>
            <w:r>
              <w:rPr>
                <w:szCs w:val="22"/>
              </w:rPr>
              <w:t>55049</w:t>
            </w:r>
          </w:p>
        </w:tc>
        <w:tc>
          <w:tcPr>
            <w:tcW w:w="1276" w:type="dxa"/>
            <w:vAlign w:val="bottom"/>
          </w:tcPr>
          <w:p>
            <w:pPr>
              <w:pStyle w:val="yTableNAm"/>
              <w:jc w:val="right"/>
            </w:pPr>
            <w:r>
              <w:rPr>
                <w:szCs w:val="22"/>
              </w:rPr>
              <w:t>$65.65</w:t>
            </w:r>
          </w:p>
        </w:tc>
      </w:tr>
      <w:tr>
        <w:tblPrEx>
          <w:tblCellMar>
            <w:left w:w="108" w:type="dxa"/>
            <w:right w:w="108" w:type="dxa"/>
          </w:tblCellMar>
        </w:tblPrEx>
        <w:tc>
          <w:tcPr>
            <w:tcW w:w="4820" w:type="dxa"/>
          </w:tcPr>
          <w:p>
            <w:pPr>
              <w:pStyle w:val="yTableNAm"/>
            </w:pPr>
            <w:r>
              <w:rPr>
                <w:szCs w:val="22"/>
              </w:rPr>
              <w:t>55054</w:t>
            </w:r>
          </w:p>
        </w:tc>
        <w:tc>
          <w:tcPr>
            <w:tcW w:w="1276" w:type="dxa"/>
            <w:vAlign w:val="bottom"/>
          </w:tcPr>
          <w:p>
            <w:pPr>
              <w:pStyle w:val="yTableNAm"/>
              <w:jc w:val="right"/>
            </w:pPr>
            <w:r>
              <w:rPr>
                <w:szCs w:val="22"/>
              </w:rPr>
              <w:t>$189.25</w:t>
            </w:r>
          </w:p>
        </w:tc>
      </w:tr>
      <w:tr>
        <w:tblPrEx>
          <w:tblCellMar>
            <w:left w:w="108" w:type="dxa"/>
            <w:right w:w="108" w:type="dxa"/>
          </w:tblCellMar>
        </w:tblPrEx>
        <w:tc>
          <w:tcPr>
            <w:tcW w:w="4820" w:type="dxa"/>
          </w:tcPr>
          <w:p>
            <w:pPr>
              <w:pStyle w:val="yTableNAm"/>
            </w:pPr>
            <w:r>
              <w:rPr>
                <w:szCs w:val="22"/>
              </w:rPr>
              <w:t>55070</w:t>
            </w:r>
          </w:p>
        </w:tc>
        <w:tc>
          <w:tcPr>
            <w:tcW w:w="1276" w:type="dxa"/>
            <w:vAlign w:val="bottom"/>
          </w:tcPr>
          <w:p>
            <w:pPr>
              <w:pStyle w:val="yTableNAm"/>
              <w:jc w:val="right"/>
            </w:pPr>
            <w:r>
              <w:rPr>
                <w:szCs w:val="22"/>
              </w:rPr>
              <w:t>$170.40</w:t>
            </w:r>
          </w:p>
        </w:tc>
      </w:tr>
      <w:tr>
        <w:tblPrEx>
          <w:tblCellMar>
            <w:left w:w="108" w:type="dxa"/>
            <w:right w:w="108" w:type="dxa"/>
          </w:tblCellMar>
        </w:tblPrEx>
        <w:tc>
          <w:tcPr>
            <w:tcW w:w="4820" w:type="dxa"/>
          </w:tcPr>
          <w:p>
            <w:pPr>
              <w:pStyle w:val="yTableNAm"/>
            </w:pPr>
            <w:r>
              <w:rPr>
                <w:szCs w:val="22"/>
              </w:rPr>
              <w:t>55073</w:t>
            </w:r>
          </w:p>
        </w:tc>
        <w:tc>
          <w:tcPr>
            <w:tcW w:w="1276" w:type="dxa"/>
            <w:vAlign w:val="bottom"/>
          </w:tcPr>
          <w:p>
            <w:pPr>
              <w:pStyle w:val="yTableNAm"/>
              <w:jc w:val="right"/>
            </w:pPr>
            <w:r>
              <w:rPr>
                <w:szCs w:val="22"/>
              </w:rPr>
              <w:t>$59.00</w:t>
            </w:r>
          </w:p>
        </w:tc>
      </w:tr>
      <w:tr>
        <w:tblPrEx>
          <w:tblCellMar>
            <w:left w:w="108" w:type="dxa"/>
            <w:right w:w="108" w:type="dxa"/>
          </w:tblCellMar>
        </w:tblPrEx>
        <w:tc>
          <w:tcPr>
            <w:tcW w:w="4820" w:type="dxa"/>
          </w:tcPr>
          <w:p>
            <w:pPr>
              <w:pStyle w:val="yTableNAm"/>
            </w:pPr>
            <w:r>
              <w:rPr>
                <w:szCs w:val="22"/>
              </w:rPr>
              <w:t>55076</w:t>
            </w:r>
          </w:p>
        </w:tc>
        <w:tc>
          <w:tcPr>
            <w:tcW w:w="1276" w:type="dxa"/>
            <w:vAlign w:val="bottom"/>
          </w:tcPr>
          <w:p>
            <w:pPr>
              <w:pStyle w:val="yTableNAm"/>
              <w:jc w:val="right"/>
            </w:pPr>
            <w:r>
              <w:rPr>
                <w:szCs w:val="22"/>
              </w:rPr>
              <w:t>$189.25</w:t>
            </w:r>
          </w:p>
        </w:tc>
      </w:tr>
      <w:tr>
        <w:tblPrEx>
          <w:tblCellMar>
            <w:left w:w="108" w:type="dxa"/>
            <w:right w:w="108" w:type="dxa"/>
          </w:tblCellMar>
        </w:tblPrEx>
        <w:tc>
          <w:tcPr>
            <w:tcW w:w="4820" w:type="dxa"/>
          </w:tcPr>
          <w:p>
            <w:pPr>
              <w:pStyle w:val="yTableNAm"/>
            </w:pPr>
            <w:r>
              <w:rPr>
                <w:szCs w:val="22"/>
              </w:rPr>
              <w:t>55079</w:t>
            </w:r>
          </w:p>
        </w:tc>
        <w:tc>
          <w:tcPr>
            <w:tcW w:w="1276" w:type="dxa"/>
            <w:vAlign w:val="bottom"/>
          </w:tcPr>
          <w:p>
            <w:pPr>
              <w:pStyle w:val="yTableNAm"/>
              <w:jc w:val="right"/>
            </w:pPr>
            <w:r>
              <w:rPr>
                <w:szCs w:val="22"/>
              </w:rPr>
              <w:t>$65.65</w:t>
            </w:r>
          </w:p>
        </w:tc>
      </w:tr>
      <w:tr>
        <w:tblPrEx>
          <w:tblCellMar>
            <w:left w:w="108" w:type="dxa"/>
            <w:right w:w="108" w:type="dxa"/>
          </w:tblCellMar>
        </w:tblPrEx>
        <w:tc>
          <w:tcPr>
            <w:tcW w:w="4820" w:type="dxa"/>
          </w:tcPr>
          <w:p>
            <w:pPr>
              <w:pStyle w:val="yTableNAm"/>
            </w:pPr>
            <w:r>
              <w:rPr>
                <w:szCs w:val="22"/>
              </w:rPr>
              <w:t>55084</w:t>
            </w:r>
          </w:p>
        </w:tc>
        <w:tc>
          <w:tcPr>
            <w:tcW w:w="1276" w:type="dxa"/>
            <w:vAlign w:val="bottom"/>
          </w:tcPr>
          <w:p>
            <w:pPr>
              <w:pStyle w:val="yTableNAm"/>
              <w:jc w:val="right"/>
            </w:pPr>
            <w:r>
              <w:rPr>
                <w:szCs w:val="22"/>
              </w:rPr>
              <w:t>$170.40</w:t>
            </w:r>
          </w:p>
        </w:tc>
      </w:tr>
      <w:tr>
        <w:tblPrEx>
          <w:tblCellMar>
            <w:left w:w="108" w:type="dxa"/>
            <w:right w:w="108" w:type="dxa"/>
          </w:tblCellMar>
        </w:tblPrEx>
        <w:tc>
          <w:tcPr>
            <w:tcW w:w="4820" w:type="dxa"/>
          </w:tcPr>
          <w:p>
            <w:pPr>
              <w:pStyle w:val="yTableNAm"/>
            </w:pPr>
            <w:r>
              <w:rPr>
                <w:szCs w:val="22"/>
              </w:rPr>
              <w:t>55085</w:t>
            </w:r>
          </w:p>
        </w:tc>
        <w:tc>
          <w:tcPr>
            <w:tcW w:w="1276" w:type="dxa"/>
            <w:vAlign w:val="bottom"/>
          </w:tcPr>
          <w:p>
            <w:pPr>
              <w:pStyle w:val="yTableNAm"/>
              <w:jc w:val="right"/>
            </w:pPr>
            <w:r>
              <w:rPr>
                <w:szCs w:val="22"/>
              </w:rPr>
              <w:t>$59.00</w:t>
            </w:r>
          </w:p>
        </w:tc>
      </w:tr>
      <w:tr>
        <w:tblPrEx>
          <w:tblCellMar>
            <w:left w:w="108" w:type="dxa"/>
            <w:right w:w="108" w:type="dxa"/>
          </w:tblCellMar>
        </w:tblPrEx>
        <w:tc>
          <w:tcPr>
            <w:tcW w:w="4820" w:type="dxa"/>
          </w:tcPr>
          <w:p>
            <w:pPr>
              <w:pStyle w:val="yTableNAm"/>
            </w:pPr>
            <w:r>
              <w:rPr>
                <w:szCs w:val="22"/>
              </w:rPr>
              <w:t>55113</w:t>
            </w:r>
          </w:p>
        </w:tc>
        <w:tc>
          <w:tcPr>
            <w:tcW w:w="1276" w:type="dxa"/>
            <w:vAlign w:val="bottom"/>
          </w:tcPr>
          <w:p>
            <w:pPr>
              <w:pStyle w:val="yTableNAm"/>
              <w:jc w:val="right"/>
            </w:pPr>
            <w:r>
              <w:rPr>
                <w:szCs w:val="22"/>
              </w:rPr>
              <w:t>$400.10</w:t>
            </w:r>
          </w:p>
        </w:tc>
      </w:tr>
      <w:tr>
        <w:tblPrEx>
          <w:tblCellMar>
            <w:left w:w="108" w:type="dxa"/>
            <w:right w:w="108" w:type="dxa"/>
          </w:tblCellMar>
        </w:tblPrEx>
        <w:tc>
          <w:tcPr>
            <w:tcW w:w="4820" w:type="dxa"/>
          </w:tcPr>
          <w:p>
            <w:pPr>
              <w:pStyle w:val="yTableNAm"/>
            </w:pPr>
            <w:r>
              <w:rPr>
                <w:szCs w:val="22"/>
              </w:rPr>
              <w:t>55114</w:t>
            </w:r>
          </w:p>
        </w:tc>
        <w:tc>
          <w:tcPr>
            <w:tcW w:w="1276" w:type="dxa"/>
            <w:vAlign w:val="bottom"/>
          </w:tcPr>
          <w:p>
            <w:pPr>
              <w:pStyle w:val="yTableNAm"/>
              <w:jc w:val="right"/>
            </w:pPr>
            <w:r>
              <w:rPr>
                <w:szCs w:val="22"/>
              </w:rPr>
              <w:t>$400.10</w:t>
            </w:r>
          </w:p>
        </w:tc>
      </w:tr>
      <w:tr>
        <w:tblPrEx>
          <w:tblCellMar>
            <w:left w:w="108" w:type="dxa"/>
            <w:right w:w="108" w:type="dxa"/>
          </w:tblCellMar>
        </w:tblPrEx>
        <w:tc>
          <w:tcPr>
            <w:tcW w:w="4820" w:type="dxa"/>
          </w:tcPr>
          <w:p>
            <w:pPr>
              <w:pStyle w:val="yTableNAm"/>
            </w:pPr>
            <w:r>
              <w:rPr>
                <w:szCs w:val="22"/>
              </w:rPr>
              <w:t>55115</w:t>
            </w:r>
          </w:p>
        </w:tc>
        <w:tc>
          <w:tcPr>
            <w:tcW w:w="1276" w:type="dxa"/>
            <w:vAlign w:val="bottom"/>
          </w:tcPr>
          <w:p>
            <w:pPr>
              <w:pStyle w:val="yTableNAm"/>
              <w:jc w:val="right"/>
            </w:pPr>
            <w:r>
              <w:rPr>
                <w:szCs w:val="22"/>
              </w:rPr>
              <w:t>$400.10</w:t>
            </w:r>
          </w:p>
        </w:tc>
      </w:tr>
      <w:tr>
        <w:tblPrEx>
          <w:tblCellMar>
            <w:left w:w="108" w:type="dxa"/>
            <w:right w:w="108" w:type="dxa"/>
          </w:tblCellMar>
        </w:tblPrEx>
        <w:tc>
          <w:tcPr>
            <w:tcW w:w="4820" w:type="dxa"/>
          </w:tcPr>
          <w:p>
            <w:pPr>
              <w:pStyle w:val="yTableNAm"/>
            </w:pPr>
            <w:r>
              <w:rPr>
                <w:szCs w:val="22"/>
              </w:rPr>
              <w:t>55116</w:t>
            </w:r>
          </w:p>
        </w:tc>
        <w:tc>
          <w:tcPr>
            <w:tcW w:w="1276" w:type="dxa"/>
            <w:vAlign w:val="bottom"/>
          </w:tcPr>
          <w:p>
            <w:pPr>
              <w:pStyle w:val="yTableNAm"/>
              <w:jc w:val="right"/>
            </w:pPr>
            <w:r>
              <w:rPr>
                <w:szCs w:val="22"/>
              </w:rPr>
              <w:t>$444.90</w:t>
            </w:r>
          </w:p>
        </w:tc>
      </w:tr>
      <w:tr>
        <w:tblPrEx>
          <w:tblCellMar>
            <w:left w:w="108" w:type="dxa"/>
            <w:right w:w="108" w:type="dxa"/>
          </w:tblCellMar>
        </w:tblPrEx>
        <w:tc>
          <w:tcPr>
            <w:tcW w:w="4820" w:type="dxa"/>
          </w:tcPr>
          <w:p>
            <w:pPr>
              <w:pStyle w:val="yTableNAm"/>
            </w:pPr>
            <w:r>
              <w:rPr>
                <w:szCs w:val="22"/>
              </w:rPr>
              <w:t>55117</w:t>
            </w:r>
          </w:p>
        </w:tc>
        <w:tc>
          <w:tcPr>
            <w:tcW w:w="1276" w:type="dxa"/>
            <w:vAlign w:val="bottom"/>
          </w:tcPr>
          <w:p>
            <w:pPr>
              <w:pStyle w:val="yTableNAm"/>
              <w:jc w:val="right"/>
            </w:pPr>
            <w:r>
              <w:rPr>
                <w:szCs w:val="22"/>
              </w:rPr>
              <w:t>$444.90</w:t>
            </w:r>
          </w:p>
        </w:tc>
      </w:tr>
      <w:tr>
        <w:tblPrEx>
          <w:tblCellMar>
            <w:left w:w="108" w:type="dxa"/>
            <w:right w:w="108" w:type="dxa"/>
          </w:tblCellMar>
        </w:tblPrEx>
        <w:tc>
          <w:tcPr>
            <w:tcW w:w="4820" w:type="dxa"/>
          </w:tcPr>
          <w:p>
            <w:pPr>
              <w:pStyle w:val="yTableNAm"/>
            </w:pPr>
            <w:r>
              <w:rPr>
                <w:szCs w:val="22"/>
              </w:rPr>
              <w:t>55118</w:t>
            </w:r>
          </w:p>
        </w:tc>
        <w:tc>
          <w:tcPr>
            <w:tcW w:w="1276" w:type="dxa"/>
            <w:vAlign w:val="bottom"/>
          </w:tcPr>
          <w:p>
            <w:pPr>
              <w:pStyle w:val="yTableNAm"/>
              <w:jc w:val="right"/>
            </w:pPr>
            <w:r>
              <w:rPr>
                <w:szCs w:val="22"/>
              </w:rPr>
              <w:t>$477.80</w:t>
            </w:r>
          </w:p>
        </w:tc>
      </w:tr>
      <w:tr>
        <w:tblPrEx>
          <w:tblCellMar>
            <w:left w:w="108" w:type="dxa"/>
            <w:right w:w="108" w:type="dxa"/>
          </w:tblCellMar>
        </w:tblPrEx>
        <w:tc>
          <w:tcPr>
            <w:tcW w:w="4820" w:type="dxa"/>
          </w:tcPr>
          <w:p>
            <w:pPr>
              <w:pStyle w:val="yTableNAm"/>
            </w:pPr>
            <w:r>
              <w:rPr>
                <w:szCs w:val="22"/>
              </w:rPr>
              <w:t>55130</w:t>
            </w:r>
          </w:p>
        </w:tc>
        <w:tc>
          <w:tcPr>
            <w:tcW w:w="1276" w:type="dxa"/>
            <w:vAlign w:val="bottom"/>
          </w:tcPr>
          <w:p>
            <w:pPr>
              <w:pStyle w:val="yTableNAm"/>
              <w:jc w:val="right"/>
            </w:pPr>
            <w:r>
              <w:rPr>
                <w:szCs w:val="22"/>
              </w:rPr>
              <w:t>$294.95</w:t>
            </w:r>
          </w:p>
        </w:tc>
      </w:tr>
      <w:tr>
        <w:tblPrEx>
          <w:tblCellMar>
            <w:left w:w="108" w:type="dxa"/>
            <w:right w:w="108" w:type="dxa"/>
          </w:tblCellMar>
        </w:tblPrEx>
        <w:tc>
          <w:tcPr>
            <w:tcW w:w="4820" w:type="dxa"/>
          </w:tcPr>
          <w:p>
            <w:pPr>
              <w:pStyle w:val="yTableNAm"/>
            </w:pPr>
            <w:r>
              <w:rPr>
                <w:szCs w:val="22"/>
              </w:rPr>
              <w:t>55135</w:t>
            </w:r>
          </w:p>
        </w:tc>
        <w:tc>
          <w:tcPr>
            <w:tcW w:w="1276" w:type="dxa"/>
            <w:vAlign w:val="bottom"/>
          </w:tcPr>
          <w:p>
            <w:pPr>
              <w:pStyle w:val="yTableNAm"/>
              <w:jc w:val="right"/>
            </w:pPr>
            <w:r>
              <w:rPr>
                <w:szCs w:val="22"/>
              </w:rPr>
              <w:t>$613.35</w:t>
            </w:r>
          </w:p>
        </w:tc>
      </w:tr>
      <w:tr>
        <w:tblPrEx>
          <w:tblCellMar>
            <w:left w:w="108" w:type="dxa"/>
            <w:right w:w="108" w:type="dxa"/>
          </w:tblCellMar>
        </w:tblPrEx>
        <w:tc>
          <w:tcPr>
            <w:tcW w:w="4820" w:type="dxa"/>
          </w:tcPr>
          <w:p>
            <w:pPr>
              <w:pStyle w:val="yTableNAm"/>
            </w:pPr>
            <w:r>
              <w:rPr>
                <w:szCs w:val="22"/>
              </w:rPr>
              <w:t>55238</w:t>
            </w:r>
          </w:p>
        </w:tc>
        <w:tc>
          <w:tcPr>
            <w:tcW w:w="1276" w:type="dxa"/>
            <w:vAlign w:val="bottom"/>
          </w:tcPr>
          <w:p>
            <w:pPr>
              <w:pStyle w:val="yTableNAm"/>
              <w:jc w:val="right"/>
            </w:pPr>
            <w:r>
              <w:rPr>
                <w:szCs w:val="22"/>
              </w:rPr>
              <w:t>$293.95</w:t>
            </w:r>
          </w:p>
        </w:tc>
      </w:tr>
      <w:tr>
        <w:tblPrEx>
          <w:tblCellMar>
            <w:left w:w="108" w:type="dxa"/>
            <w:right w:w="108" w:type="dxa"/>
          </w:tblCellMar>
        </w:tblPrEx>
        <w:tc>
          <w:tcPr>
            <w:tcW w:w="4820" w:type="dxa"/>
          </w:tcPr>
          <w:p>
            <w:pPr>
              <w:pStyle w:val="yTableNAm"/>
            </w:pPr>
            <w:r>
              <w:rPr>
                <w:szCs w:val="22"/>
              </w:rPr>
              <w:t>55244</w:t>
            </w:r>
          </w:p>
        </w:tc>
        <w:tc>
          <w:tcPr>
            <w:tcW w:w="1276" w:type="dxa"/>
            <w:vAlign w:val="bottom"/>
          </w:tcPr>
          <w:p>
            <w:pPr>
              <w:pStyle w:val="yTableNAm"/>
              <w:jc w:val="right"/>
            </w:pPr>
            <w:r>
              <w:rPr>
                <w:szCs w:val="22"/>
              </w:rPr>
              <w:t>$293.95</w:t>
            </w:r>
          </w:p>
        </w:tc>
      </w:tr>
      <w:tr>
        <w:tblPrEx>
          <w:tblCellMar>
            <w:left w:w="108" w:type="dxa"/>
            <w:right w:w="108" w:type="dxa"/>
          </w:tblCellMar>
        </w:tblPrEx>
        <w:tc>
          <w:tcPr>
            <w:tcW w:w="4820" w:type="dxa"/>
          </w:tcPr>
          <w:p>
            <w:pPr>
              <w:pStyle w:val="yTableNAm"/>
            </w:pPr>
            <w:r>
              <w:rPr>
                <w:szCs w:val="22"/>
              </w:rPr>
              <w:t>55246</w:t>
            </w:r>
          </w:p>
        </w:tc>
        <w:tc>
          <w:tcPr>
            <w:tcW w:w="1276" w:type="dxa"/>
            <w:vAlign w:val="bottom"/>
          </w:tcPr>
          <w:p>
            <w:pPr>
              <w:pStyle w:val="yTableNAm"/>
              <w:jc w:val="right"/>
            </w:pPr>
            <w:r>
              <w:rPr>
                <w:szCs w:val="22"/>
              </w:rPr>
              <w:t>$293.95</w:t>
            </w:r>
          </w:p>
        </w:tc>
      </w:tr>
      <w:tr>
        <w:tblPrEx>
          <w:tblCellMar>
            <w:left w:w="108" w:type="dxa"/>
            <w:right w:w="108" w:type="dxa"/>
          </w:tblCellMar>
        </w:tblPrEx>
        <w:tc>
          <w:tcPr>
            <w:tcW w:w="4820" w:type="dxa"/>
          </w:tcPr>
          <w:p>
            <w:pPr>
              <w:pStyle w:val="yTableNAm"/>
            </w:pPr>
            <w:r>
              <w:rPr>
                <w:szCs w:val="22"/>
              </w:rPr>
              <w:t>55248</w:t>
            </w:r>
          </w:p>
        </w:tc>
        <w:tc>
          <w:tcPr>
            <w:tcW w:w="1276" w:type="dxa"/>
            <w:vAlign w:val="bottom"/>
          </w:tcPr>
          <w:p>
            <w:pPr>
              <w:pStyle w:val="yTableNAm"/>
              <w:jc w:val="right"/>
            </w:pPr>
            <w:r>
              <w:rPr>
                <w:szCs w:val="22"/>
              </w:rPr>
              <w:t>$293.95</w:t>
            </w:r>
          </w:p>
        </w:tc>
      </w:tr>
      <w:tr>
        <w:tblPrEx>
          <w:tblCellMar>
            <w:left w:w="108" w:type="dxa"/>
            <w:right w:w="108" w:type="dxa"/>
          </w:tblCellMar>
        </w:tblPrEx>
        <w:tc>
          <w:tcPr>
            <w:tcW w:w="4820" w:type="dxa"/>
          </w:tcPr>
          <w:p>
            <w:pPr>
              <w:pStyle w:val="yTableNAm"/>
            </w:pPr>
            <w:r>
              <w:rPr>
                <w:szCs w:val="22"/>
              </w:rPr>
              <w:t>55252</w:t>
            </w:r>
          </w:p>
        </w:tc>
        <w:tc>
          <w:tcPr>
            <w:tcW w:w="1276" w:type="dxa"/>
            <w:vAlign w:val="bottom"/>
          </w:tcPr>
          <w:p>
            <w:pPr>
              <w:pStyle w:val="yTableNAm"/>
              <w:jc w:val="right"/>
            </w:pPr>
            <w:r>
              <w:rPr>
                <w:szCs w:val="22"/>
              </w:rPr>
              <w:t>$293.95</w:t>
            </w:r>
          </w:p>
        </w:tc>
      </w:tr>
      <w:tr>
        <w:tblPrEx>
          <w:tblCellMar>
            <w:left w:w="108" w:type="dxa"/>
            <w:right w:w="108" w:type="dxa"/>
          </w:tblCellMar>
        </w:tblPrEx>
        <w:tc>
          <w:tcPr>
            <w:tcW w:w="4820" w:type="dxa"/>
          </w:tcPr>
          <w:p>
            <w:pPr>
              <w:pStyle w:val="yTableNAm"/>
            </w:pPr>
            <w:r>
              <w:rPr>
                <w:szCs w:val="22"/>
              </w:rPr>
              <w:t>55274</w:t>
            </w:r>
          </w:p>
        </w:tc>
        <w:tc>
          <w:tcPr>
            <w:tcW w:w="1276" w:type="dxa"/>
            <w:vAlign w:val="bottom"/>
          </w:tcPr>
          <w:p>
            <w:pPr>
              <w:pStyle w:val="yTableNAm"/>
              <w:jc w:val="right"/>
            </w:pPr>
            <w:r>
              <w:rPr>
                <w:szCs w:val="22"/>
              </w:rPr>
              <w:t>$293.95</w:t>
            </w:r>
          </w:p>
        </w:tc>
      </w:tr>
      <w:tr>
        <w:tblPrEx>
          <w:tblCellMar>
            <w:left w:w="108" w:type="dxa"/>
            <w:right w:w="108" w:type="dxa"/>
          </w:tblCellMar>
        </w:tblPrEx>
        <w:tc>
          <w:tcPr>
            <w:tcW w:w="4820" w:type="dxa"/>
          </w:tcPr>
          <w:p>
            <w:pPr>
              <w:pStyle w:val="yTableNAm"/>
            </w:pPr>
            <w:r>
              <w:rPr>
                <w:szCs w:val="22"/>
              </w:rPr>
              <w:t>55276</w:t>
            </w:r>
          </w:p>
        </w:tc>
        <w:tc>
          <w:tcPr>
            <w:tcW w:w="1276" w:type="dxa"/>
            <w:vAlign w:val="bottom"/>
          </w:tcPr>
          <w:p>
            <w:pPr>
              <w:pStyle w:val="yTableNAm"/>
              <w:jc w:val="right"/>
            </w:pPr>
            <w:r>
              <w:rPr>
                <w:szCs w:val="22"/>
              </w:rPr>
              <w:t>$293.95</w:t>
            </w:r>
          </w:p>
        </w:tc>
      </w:tr>
      <w:tr>
        <w:tblPrEx>
          <w:tblCellMar>
            <w:left w:w="108" w:type="dxa"/>
            <w:right w:w="108" w:type="dxa"/>
          </w:tblCellMar>
        </w:tblPrEx>
        <w:tc>
          <w:tcPr>
            <w:tcW w:w="4820" w:type="dxa"/>
          </w:tcPr>
          <w:p>
            <w:pPr>
              <w:pStyle w:val="yTableNAm"/>
            </w:pPr>
            <w:r>
              <w:rPr>
                <w:szCs w:val="22"/>
              </w:rPr>
              <w:t>55278</w:t>
            </w:r>
          </w:p>
        </w:tc>
        <w:tc>
          <w:tcPr>
            <w:tcW w:w="1276" w:type="dxa"/>
            <w:vAlign w:val="bottom"/>
          </w:tcPr>
          <w:p>
            <w:pPr>
              <w:pStyle w:val="yTableNAm"/>
              <w:jc w:val="right"/>
            </w:pPr>
            <w:r>
              <w:rPr>
                <w:szCs w:val="22"/>
              </w:rPr>
              <w:t>$293.95</w:t>
            </w:r>
          </w:p>
        </w:tc>
      </w:tr>
      <w:tr>
        <w:tblPrEx>
          <w:tblCellMar>
            <w:left w:w="108" w:type="dxa"/>
            <w:right w:w="108" w:type="dxa"/>
          </w:tblCellMar>
        </w:tblPrEx>
        <w:tc>
          <w:tcPr>
            <w:tcW w:w="4820" w:type="dxa"/>
          </w:tcPr>
          <w:p>
            <w:pPr>
              <w:pStyle w:val="yTableNAm"/>
            </w:pPr>
            <w:r>
              <w:rPr>
                <w:szCs w:val="22"/>
              </w:rPr>
              <w:t>55280</w:t>
            </w:r>
          </w:p>
        </w:tc>
        <w:tc>
          <w:tcPr>
            <w:tcW w:w="1276" w:type="dxa"/>
            <w:vAlign w:val="bottom"/>
          </w:tcPr>
          <w:p>
            <w:pPr>
              <w:pStyle w:val="yTableNAm"/>
              <w:jc w:val="right"/>
            </w:pPr>
            <w:r>
              <w:rPr>
                <w:szCs w:val="22"/>
              </w:rPr>
              <w:t>$293.95</w:t>
            </w:r>
          </w:p>
        </w:tc>
      </w:tr>
      <w:tr>
        <w:tblPrEx>
          <w:tblCellMar>
            <w:left w:w="108" w:type="dxa"/>
            <w:right w:w="108" w:type="dxa"/>
          </w:tblCellMar>
        </w:tblPrEx>
        <w:tc>
          <w:tcPr>
            <w:tcW w:w="4820" w:type="dxa"/>
          </w:tcPr>
          <w:p>
            <w:pPr>
              <w:pStyle w:val="yTableNAm"/>
            </w:pPr>
            <w:r>
              <w:rPr>
                <w:szCs w:val="22"/>
              </w:rPr>
              <w:t>55282</w:t>
            </w:r>
          </w:p>
        </w:tc>
        <w:tc>
          <w:tcPr>
            <w:tcW w:w="1276" w:type="dxa"/>
            <w:vAlign w:val="bottom"/>
          </w:tcPr>
          <w:p>
            <w:pPr>
              <w:pStyle w:val="yTableNAm"/>
              <w:jc w:val="right"/>
            </w:pPr>
            <w:r>
              <w:rPr>
                <w:szCs w:val="22"/>
              </w:rPr>
              <w:t>$293.95</w:t>
            </w:r>
          </w:p>
        </w:tc>
      </w:tr>
      <w:tr>
        <w:tblPrEx>
          <w:tblCellMar>
            <w:left w:w="108" w:type="dxa"/>
            <w:right w:w="108" w:type="dxa"/>
          </w:tblCellMar>
        </w:tblPrEx>
        <w:tc>
          <w:tcPr>
            <w:tcW w:w="4820" w:type="dxa"/>
          </w:tcPr>
          <w:p>
            <w:pPr>
              <w:pStyle w:val="yTableNAm"/>
            </w:pPr>
            <w:r>
              <w:rPr>
                <w:szCs w:val="22"/>
              </w:rPr>
              <w:t>55284</w:t>
            </w:r>
          </w:p>
        </w:tc>
        <w:tc>
          <w:tcPr>
            <w:tcW w:w="1276" w:type="dxa"/>
            <w:vAlign w:val="bottom"/>
          </w:tcPr>
          <w:p>
            <w:pPr>
              <w:pStyle w:val="yTableNAm"/>
              <w:jc w:val="right"/>
            </w:pPr>
            <w:r>
              <w:rPr>
                <w:szCs w:val="22"/>
              </w:rPr>
              <w:t>$293.95</w:t>
            </w:r>
          </w:p>
        </w:tc>
      </w:tr>
      <w:tr>
        <w:tblPrEx>
          <w:tblCellMar>
            <w:left w:w="108" w:type="dxa"/>
            <w:right w:w="108" w:type="dxa"/>
          </w:tblCellMar>
        </w:tblPrEx>
        <w:tc>
          <w:tcPr>
            <w:tcW w:w="4820" w:type="dxa"/>
          </w:tcPr>
          <w:p>
            <w:pPr>
              <w:pStyle w:val="yTableNAm"/>
            </w:pPr>
            <w:r>
              <w:rPr>
                <w:szCs w:val="22"/>
              </w:rPr>
              <w:t>55292</w:t>
            </w:r>
          </w:p>
        </w:tc>
        <w:tc>
          <w:tcPr>
            <w:tcW w:w="1276" w:type="dxa"/>
            <w:vAlign w:val="bottom"/>
          </w:tcPr>
          <w:p>
            <w:pPr>
              <w:pStyle w:val="yTableNAm"/>
              <w:jc w:val="right"/>
            </w:pPr>
            <w:r>
              <w:rPr>
                <w:szCs w:val="22"/>
              </w:rPr>
              <w:t>$293.95</w:t>
            </w:r>
          </w:p>
        </w:tc>
      </w:tr>
      <w:tr>
        <w:tblPrEx>
          <w:tblCellMar>
            <w:left w:w="108" w:type="dxa"/>
            <w:right w:w="108" w:type="dxa"/>
          </w:tblCellMar>
        </w:tblPrEx>
        <w:tc>
          <w:tcPr>
            <w:tcW w:w="4820" w:type="dxa"/>
          </w:tcPr>
          <w:p>
            <w:pPr>
              <w:pStyle w:val="yTableNAm"/>
            </w:pPr>
            <w:r>
              <w:rPr>
                <w:szCs w:val="22"/>
              </w:rPr>
              <w:t>55294</w:t>
            </w:r>
          </w:p>
        </w:tc>
        <w:tc>
          <w:tcPr>
            <w:tcW w:w="1276" w:type="dxa"/>
            <w:vAlign w:val="bottom"/>
          </w:tcPr>
          <w:p>
            <w:pPr>
              <w:pStyle w:val="yTableNAm"/>
              <w:jc w:val="right"/>
            </w:pPr>
            <w:r>
              <w:rPr>
                <w:szCs w:val="22"/>
              </w:rPr>
              <w:t>$293.95</w:t>
            </w:r>
          </w:p>
        </w:tc>
      </w:tr>
      <w:tr>
        <w:tblPrEx>
          <w:tblCellMar>
            <w:left w:w="108" w:type="dxa"/>
            <w:right w:w="108" w:type="dxa"/>
          </w:tblCellMar>
        </w:tblPrEx>
        <w:tc>
          <w:tcPr>
            <w:tcW w:w="4820" w:type="dxa"/>
          </w:tcPr>
          <w:p>
            <w:pPr>
              <w:pStyle w:val="yTableNAm"/>
            </w:pPr>
            <w:r>
              <w:rPr>
                <w:szCs w:val="22"/>
              </w:rPr>
              <w:t>55296</w:t>
            </w:r>
          </w:p>
        </w:tc>
        <w:tc>
          <w:tcPr>
            <w:tcW w:w="1276" w:type="dxa"/>
            <w:vAlign w:val="bottom"/>
          </w:tcPr>
          <w:p>
            <w:pPr>
              <w:pStyle w:val="yTableNAm"/>
              <w:jc w:val="right"/>
            </w:pPr>
            <w:r>
              <w:rPr>
                <w:szCs w:val="22"/>
              </w:rPr>
              <w:t>$192.70</w:t>
            </w:r>
          </w:p>
        </w:tc>
      </w:tr>
      <w:tr>
        <w:tblPrEx>
          <w:tblCellMar>
            <w:left w:w="108" w:type="dxa"/>
            <w:right w:w="108" w:type="dxa"/>
          </w:tblCellMar>
        </w:tblPrEx>
        <w:tc>
          <w:tcPr>
            <w:tcW w:w="4820" w:type="dxa"/>
          </w:tcPr>
          <w:p>
            <w:pPr>
              <w:pStyle w:val="yTableNAm"/>
            </w:pPr>
            <w:r>
              <w:rPr>
                <w:szCs w:val="22"/>
              </w:rPr>
              <w:t>55600</w:t>
            </w:r>
          </w:p>
        </w:tc>
        <w:tc>
          <w:tcPr>
            <w:tcW w:w="1276" w:type="dxa"/>
            <w:vAlign w:val="bottom"/>
          </w:tcPr>
          <w:p>
            <w:pPr>
              <w:pStyle w:val="yTableNAm"/>
              <w:jc w:val="right"/>
            </w:pPr>
            <w:r>
              <w:rPr>
                <w:szCs w:val="22"/>
              </w:rPr>
              <w:t>$189.25</w:t>
            </w:r>
          </w:p>
        </w:tc>
      </w:tr>
      <w:tr>
        <w:tblPrEx>
          <w:tblCellMar>
            <w:left w:w="108" w:type="dxa"/>
            <w:right w:w="108" w:type="dxa"/>
          </w:tblCellMar>
        </w:tblPrEx>
        <w:tc>
          <w:tcPr>
            <w:tcW w:w="4820" w:type="dxa"/>
          </w:tcPr>
          <w:p>
            <w:pPr>
              <w:pStyle w:val="yTableNAm"/>
            </w:pPr>
            <w:r>
              <w:rPr>
                <w:szCs w:val="22"/>
              </w:rPr>
              <w:t>55603</w:t>
            </w:r>
          </w:p>
        </w:tc>
        <w:tc>
          <w:tcPr>
            <w:tcW w:w="1276" w:type="dxa"/>
            <w:vAlign w:val="bottom"/>
          </w:tcPr>
          <w:p>
            <w:pPr>
              <w:pStyle w:val="yTableNAm"/>
              <w:jc w:val="right"/>
            </w:pPr>
            <w:r>
              <w:rPr>
                <w:szCs w:val="22"/>
              </w:rPr>
              <w:t>$189.25</w:t>
            </w:r>
          </w:p>
        </w:tc>
      </w:tr>
      <w:tr>
        <w:tblPrEx>
          <w:tblCellMar>
            <w:left w:w="108" w:type="dxa"/>
            <w:right w:w="108" w:type="dxa"/>
          </w:tblCellMar>
        </w:tblPrEx>
        <w:tc>
          <w:tcPr>
            <w:tcW w:w="4820" w:type="dxa"/>
          </w:tcPr>
          <w:p>
            <w:pPr>
              <w:pStyle w:val="yTableNAm"/>
            </w:pPr>
            <w:r>
              <w:rPr>
                <w:szCs w:val="22"/>
              </w:rPr>
              <w:t>55700</w:t>
            </w:r>
          </w:p>
        </w:tc>
        <w:tc>
          <w:tcPr>
            <w:tcW w:w="1276" w:type="dxa"/>
            <w:vAlign w:val="bottom"/>
          </w:tcPr>
          <w:p>
            <w:pPr>
              <w:pStyle w:val="yTableNAm"/>
              <w:jc w:val="right"/>
            </w:pPr>
            <w:r>
              <w:rPr>
                <w:szCs w:val="22"/>
              </w:rPr>
              <w:t>$104.00</w:t>
            </w:r>
          </w:p>
        </w:tc>
      </w:tr>
      <w:tr>
        <w:tblPrEx>
          <w:tblCellMar>
            <w:left w:w="108" w:type="dxa"/>
            <w:right w:w="108" w:type="dxa"/>
          </w:tblCellMar>
        </w:tblPrEx>
        <w:tc>
          <w:tcPr>
            <w:tcW w:w="4820" w:type="dxa"/>
          </w:tcPr>
          <w:p>
            <w:pPr>
              <w:pStyle w:val="yTableNAm"/>
            </w:pPr>
            <w:r>
              <w:rPr>
                <w:szCs w:val="22"/>
              </w:rPr>
              <w:t>55703</w:t>
            </w:r>
          </w:p>
        </w:tc>
        <w:tc>
          <w:tcPr>
            <w:tcW w:w="1276" w:type="dxa"/>
            <w:vAlign w:val="bottom"/>
          </w:tcPr>
          <w:p>
            <w:pPr>
              <w:pStyle w:val="yTableNAm"/>
              <w:jc w:val="right"/>
            </w:pPr>
            <w:r>
              <w:rPr>
                <w:szCs w:val="22"/>
              </w:rPr>
              <w:t>$60.70</w:t>
            </w:r>
          </w:p>
        </w:tc>
      </w:tr>
      <w:tr>
        <w:tblPrEx>
          <w:tblCellMar>
            <w:left w:w="108" w:type="dxa"/>
            <w:right w:w="108" w:type="dxa"/>
          </w:tblCellMar>
        </w:tblPrEx>
        <w:tc>
          <w:tcPr>
            <w:tcW w:w="4820" w:type="dxa"/>
          </w:tcPr>
          <w:p>
            <w:pPr>
              <w:pStyle w:val="yTableNAm"/>
            </w:pPr>
            <w:r>
              <w:rPr>
                <w:szCs w:val="22"/>
              </w:rPr>
              <w:t>55704</w:t>
            </w:r>
          </w:p>
        </w:tc>
        <w:tc>
          <w:tcPr>
            <w:tcW w:w="1276" w:type="dxa"/>
            <w:vAlign w:val="bottom"/>
          </w:tcPr>
          <w:p>
            <w:pPr>
              <w:pStyle w:val="yTableNAm"/>
              <w:jc w:val="right"/>
            </w:pPr>
            <w:r>
              <w:rPr>
                <w:szCs w:val="22"/>
              </w:rPr>
              <w:t>$121.45</w:t>
            </w:r>
          </w:p>
        </w:tc>
      </w:tr>
      <w:tr>
        <w:tblPrEx>
          <w:tblCellMar>
            <w:left w:w="108" w:type="dxa"/>
            <w:right w:w="108" w:type="dxa"/>
          </w:tblCellMar>
        </w:tblPrEx>
        <w:tc>
          <w:tcPr>
            <w:tcW w:w="4820" w:type="dxa"/>
          </w:tcPr>
          <w:p>
            <w:pPr>
              <w:pStyle w:val="yTableNAm"/>
            </w:pPr>
            <w:r>
              <w:rPr>
                <w:szCs w:val="22"/>
              </w:rPr>
              <w:t>55705</w:t>
            </w:r>
          </w:p>
        </w:tc>
        <w:tc>
          <w:tcPr>
            <w:tcW w:w="1276" w:type="dxa"/>
            <w:vAlign w:val="bottom"/>
          </w:tcPr>
          <w:p>
            <w:pPr>
              <w:pStyle w:val="yTableNAm"/>
              <w:jc w:val="right"/>
            </w:pPr>
            <w:r>
              <w:rPr>
                <w:szCs w:val="22"/>
              </w:rPr>
              <w:t>$60.70</w:t>
            </w:r>
          </w:p>
        </w:tc>
      </w:tr>
      <w:tr>
        <w:tblPrEx>
          <w:tblCellMar>
            <w:left w:w="108" w:type="dxa"/>
            <w:right w:w="108" w:type="dxa"/>
          </w:tblCellMar>
        </w:tblPrEx>
        <w:tc>
          <w:tcPr>
            <w:tcW w:w="4820" w:type="dxa"/>
          </w:tcPr>
          <w:p>
            <w:pPr>
              <w:pStyle w:val="yTableNAm"/>
            </w:pPr>
            <w:r>
              <w:rPr>
                <w:szCs w:val="22"/>
              </w:rPr>
              <w:t>55706</w:t>
            </w:r>
          </w:p>
        </w:tc>
        <w:tc>
          <w:tcPr>
            <w:tcW w:w="1276" w:type="dxa"/>
            <w:vAlign w:val="bottom"/>
          </w:tcPr>
          <w:p>
            <w:pPr>
              <w:pStyle w:val="yTableNAm"/>
              <w:jc w:val="right"/>
            </w:pPr>
            <w:r>
              <w:rPr>
                <w:szCs w:val="22"/>
              </w:rPr>
              <w:t>$173.45</w:t>
            </w:r>
          </w:p>
        </w:tc>
      </w:tr>
      <w:tr>
        <w:tblPrEx>
          <w:tblCellMar>
            <w:left w:w="108" w:type="dxa"/>
            <w:right w:w="108" w:type="dxa"/>
          </w:tblCellMar>
        </w:tblPrEx>
        <w:tc>
          <w:tcPr>
            <w:tcW w:w="4820" w:type="dxa"/>
          </w:tcPr>
          <w:p>
            <w:pPr>
              <w:pStyle w:val="yTableNAm"/>
            </w:pPr>
            <w:r>
              <w:rPr>
                <w:szCs w:val="22"/>
              </w:rPr>
              <w:t>55707</w:t>
            </w:r>
          </w:p>
        </w:tc>
        <w:tc>
          <w:tcPr>
            <w:tcW w:w="1276" w:type="dxa"/>
            <w:vAlign w:val="bottom"/>
          </w:tcPr>
          <w:p>
            <w:pPr>
              <w:pStyle w:val="yTableNAm"/>
              <w:jc w:val="right"/>
            </w:pPr>
            <w:r>
              <w:rPr>
                <w:szCs w:val="22"/>
              </w:rPr>
              <w:t>$121.45</w:t>
            </w:r>
          </w:p>
        </w:tc>
      </w:tr>
      <w:tr>
        <w:tblPrEx>
          <w:tblCellMar>
            <w:left w:w="108" w:type="dxa"/>
            <w:right w:w="108" w:type="dxa"/>
          </w:tblCellMar>
        </w:tblPrEx>
        <w:tc>
          <w:tcPr>
            <w:tcW w:w="4820" w:type="dxa"/>
          </w:tcPr>
          <w:p>
            <w:pPr>
              <w:pStyle w:val="yTableNAm"/>
            </w:pPr>
            <w:r>
              <w:rPr>
                <w:szCs w:val="22"/>
              </w:rPr>
              <w:t>55708</w:t>
            </w:r>
          </w:p>
        </w:tc>
        <w:tc>
          <w:tcPr>
            <w:tcW w:w="1276" w:type="dxa"/>
            <w:vAlign w:val="bottom"/>
          </w:tcPr>
          <w:p>
            <w:pPr>
              <w:pStyle w:val="yTableNAm"/>
              <w:jc w:val="right"/>
            </w:pPr>
            <w:r>
              <w:rPr>
                <w:szCs w:val="22"/>
              </w:rPr>
              <w:t>$60.70</w:t>
            </w:r>
          </w:p>
        </w:tc>
      </w:tr>
      <w:tr>
        <w:tblPrEx>
          <w:tblCellMar>
            <w:left w:w="108" w:type="dxa"/>
            <w:right w:w="108" w:type="dxa"/>
          </w:tblCellMar>
        </w:tblPrEx>
        <w:tc>
          <w:tcPr>
            <w:tcW w:w="4820" w:type="dxa"/>
          </w:tcPr>
          <w:p>
            <w:pPr>
              <w:pStyle w:val="yTableNAm"/>
            </w:pPr>
            <w:r>
              <w:rPr>
                <w:szCs w:val="22"/>
              </w:rPr>
              <w:t>55709</w:t>
            </w:r>
          </w:p>
        </w:tc>
        <w:tc>
          <w:tcPr>
            <w:tcW w:w="1276" w:type="dxa"/>
            <w:vAlign w:val="bottom"/>
          </w:tcPr>
          <w:p>
            <w:pPr>
              <w:pStyle w:val="yTableNAm"/>
              <w:jc w:val="right"/>
            </w:pPr>
            <w:r>
              <w:rPr>
                <w:szCs w:val="22"/>
              </w:rPr>
              <w:t>$65.90</w:t>
            </w:r>
          </w:p>
        </w:tc>
      </w:tr>
      <w:tr>
        <w:tblPrEx>
          <w:tblCellMar>
            <w:left w:w="108" w:type="dxa"/>
            <w:right w:w="108" w:type="dxa"/>
          </w:tblCellMar>
        </w:tblPrEx>
        <w:tc>
          <w:tcPr>
            <w:tcW w:w="4820" w:type="dxa"/>
          </w:tcPr>
          <w:p>
            <w:pPr>
              <w:pStyle w:val="yTableNAm"/>
            </w:pPr>
            <w:r>
              <w:rPr>
                <w:szCs w:val="22"/>
              </w:rPr>
              <w:t>55712</w:t>
            </w:r>
          </w:p>
        </w:tc>
        <w:tc>
          <w:tcPr>
            <w:tcW w:w="1276" w:type="dxa"/>
            <w:vAlign w:val="bottom"/>
          </w:tcPr>
          <w:p>
            <w:pPr>
              <w:pStyle w:val="yTableNAm"/>
              <w:jc w:val="right"/>
            </w:pPr>
            <w:r>
              <w:rPr>
                <w:szCs w:val="22"/>
              </w:rPr>
              <w:t>$199.50</w:t>
            </w:r>
          </w:p>
        </w:tc>
      </w:tr>
      <w:tr>
        <w:tblPrEx>
          <w:tblCellMar>
            <w:left w:w="108" w:type="dxa"/>
            <w:right w:w="108" w:type="dxa"/>
          </w:tblCellMar>
        </w:tblPrEx>
        <w:tc>
          <w:tcPr>
            <w:tcW w:w="4820" w:type="dxa"/>
          </w:tcPr>
          <w:p>
            <w:pPr>
              <w:pStyle w:val="yTableNAm"/>
            </w:pPr>
            <w:r>
              <w:rPr>
                <w:szCs w:val="22"/>
              </w:rPr>
              <w:t>55715</w:t>
            </w:r>
          </w:p>
        </w:tc>
        <w:tc>
          <w:tcPr>
            <w:tcW w:w="1276" w:type="dxa"/>
            <w:vAlign w:val="bottom"/>
          </w:tcPr>
          <w:p>
            <w:pPr>
              <w:pStyle w:val="yTableNAm"/>
              <w:jc w:val="right"/>
            </w:pPr>
            <w:r>
              <w:rPr>
                <w:szCs w:val="22"/>
              </w:rPr>
              <w:t>$69.35</w:t>
            </w:r>
          </w:p>
        </w:tc>
      </w:tr>
      <w:tr>
        <w:tblPrEx>
          <w:tblCellMar>
            <w:left w:w="108" w:type="dxa"/>
            <w:right w:w="108" w:type="dxa"/>
          </w:tblCellMar>
        </w:tblPrEx>
        <w:tc>
          <w:tcPr>
            <w:tcW w:w="4820" w:type="dxa"/>
          </w:tcPr>
          <w:p>
            <w:pPr>
              <w:pStyle w:val="yTableNAm"/>
            </w:pPr>
            <w:r>
              <w:rPr>
                <w:szCs w:val="22"/>
              </w:rPr>
              <w:t>55718</w:t>
            </w:r>
          </w:p>
        </w:tc>
        <w:tc>
          <w:tcPr>
            <w:tcW w:w="1276" w:type="dxa"/>
            <w:vAlign w:val="bottom"/>
          </w:tcPr>
          <w:p>
            <w:pPr>
              <w:pStyle w:val="yTableNAm"/>
              <w:jc w:val="right"/>
            </w:pPr>
            <w:r>
              <w:rPr>
                <w:szCs w:val="22"/>
              </w:rPr>
              <w:t>$173.45</w:t>
            </w:r>
          </w:p>
        </w:tc>
      </w:tr>
      <w:tr>
        <w:tblPrEx>
          <w:tblCellMar>
            <w:left w:w="108" w:type="dxa"/>
            <w:right w:w="108" w:type="dxa"/>
          </w:tblCellMar>
        </w:tblPrEx>
        <w:tc>
          <w:tcPr>
            <w:tcW w:w="4820" w:type="dxa"/>
          </w:tcPr>
          <w:p>
            <w:pPr>
              <w:pStyle w:val="yTableNAm"/>
            </w:pPr>
            <w:r>
              <w:rPr>
                <w:szCs w:val="22"/>
              </w:rPr>
              <w:t>55721</w:t>
            </w:r>
          </w:p>
        </w:tc>
        <w:tc>
          <w:tcPr>
            <w:tcW w:w="1276" w:type="dxa"/>
            <w:vAlign w:val="bottom"/>
          </w:tcPr>
          <w:p>
            <w:pPr>
              <w:pStyle w:val="yTableNAm"/>
              <w:jc w:val="right"/>
            </w:pPr>
            <w:r>
              <w:rPr>
                <w:szCs w:val="22"/>
              </w:rPr>
              <w:t>$199.50</w:t>
            </w:r>
          </w:p>
        </w:tc>
      </w:tr>
      <w:tr>
        <w:tblPrEx>
          <w:tblCellMar>
            <w:left w:w="108" w:type="dxa"/>
            <w:right w:w="108" w:type="dxa"/>
          </w:tblCellMar>
        </w:tblPrEx>
        <w:tc>
          <w:tcPr>
            <w:tcW w:w="4820" w:type="dxa"/>
          </w:tcPr>
          <w:p>
            <w:pPr>
              <w:pStyle w:val="yTableNAm"/>
            </w:pPr>
            <w:r>
              <w:rPr>
                <w:szCs w:val="22"/>
              </w:rPr>
              <w:t>55723</w:t>
            </w:r>
          </w:p>
        </w:tc>
        <w:tc>
          <w:tcPr>
            <w:tcW w:w="1276" w:type="dxa"/>
            <w:vAlign w:val="bottom"/>
          </w:tcPr>
          <w:p>
            <w:pPr>
              <w:pStyle w:val="yTableNAm"/>
              <w:jc w:val="right"/>
            </w:pPr>
            <w:r>
              <w:rPr>
                <w:szCs w:val="22"/>
              </w:rPr>
              <w:t>$65.90</w:t>
            </w:r>
          </w:p>
        </w:tc>
      </w:tr>
      <w:tr>
        <w:tblPrEx>
          <w:tblCellMar>
            <w:left w:w="108" w:type="dxa"/>
            <w:right w:w="108" w:type="dxa"/>
          </w:tblCellMar>
        </w:tblPrEx>
        <w:tc>
          <w:tcPr>
            <w:tcW w:w="4820" w:type="dxa"/>
          </w:tcPr>
          <w:p>
            <w:pPr>
              <w:pStyle w:val="yTableNAm"/>
            </w:pPr>
            <w:r>
              <w:rPr>
                <w:szCs w:val="22"/>
              </w:rPr>
              <w:t>55725</w:t>
            </w:r>
          </w:p>
        </w:tc>
        <w:tc>
          <w:tcPr>
            <w:tcW w:w="1276" w:type="dxa"/>
            <w:vAlign w:val="bottom"/>
          </w:tcPr>
          <w:p>
            <w:pPr>
              <w:pStyle w:val="yTableNAm"/>
              <w:jc w:val="right"/>
            </w:pPr>
            <w:r>
              <w:rPr>
                <w:szCs w:val="22"/>
              </w:rPr>
              <w:t>$69.35</w:t>
            </w:r>
          </w:p>
        </w:tc>
      </w:tr>
      <w:tr>
        <w:tblPrEx>
          <w:tblCellMar>
            <w:left w:w="108" w:type="dxa"/>
            <w:right w:w="108" w:type="dxa"/>
          </w:tblCellMar>
        </w:tblPrEx>
        <w:tc>
          <w:tcPr>
            <w:tcW w:w="4820" w:type="dxa"/>
          </w:tcPr>
          <w:p>
            <w:pPr>
              <w:pStyle w:val="yTableNAm"/>
            </w:pPr>
            <w:r>
              <w:rPr>
                <w:szCs w:val="22"/>
              </w:rPr>
              <w:t>55729</w:t>
            </w:r>
          </w:p>
        </w:tc>
        <w:tc>
          <w:tcPr>
            <w:tcW w:w="1276" w:type="dxa"/>
            <w:vAlign w:val="bottom"/>
          </w:tcPr>
          <w:p>
            <w:pPr>
              <w:pStyle w:val="yTableNAm"/>
              <w:jc w:val="right"/>
            </w:pPr>
            <w:r>
              <w:rPr>
                <w:szCs w:val="22"/>
              </w:rPr>
              <w:t>$47.25</w:t>
            </w:r>
          </w:p>
        </w:tc>
      </w:tr>
      <w:tr>
        <w:tblPrEx>
          <w:tblCellMar>
            <w:left w:w="108" w:type="dxa"/>
            <w:right w:w="108" w:type="dxa"/>
          </w:tblCellMar>
        </w:tblPrEx>
        <w:tc>
          <w:tcPr>
            <w:tcW w:w="4820" w:type="dxa"/>
          </w:tcPr>
          <w:p>
            <w:pPr>
              <w:pStyle w:val="yTableNAm"/>
            </w:pPr>
            <w:r>
              <w:rPr>
                <w:szCs w:val="22"/>
              </w:rPr>
              <w:t>55731</w:t>
            </w:r>
          </w:p>
        </w:tc>
        <w:tc>
          <w:tcPr>
            <w:tcW w:w="1276" w:type="dxa"/>
            <w:vAlign w:val="bottom"/>
          </w:tcPr>
          <w:p>
            <w:pPr>
              <w:pStyle w:val="yTableNAm"/>
              <w:jc w:val="right"/>
            </w:pPr>
            <w:r>
              <w:rPr>
                <w:szCs w:val="22"/>
              </w:rPr>
              <w:t>$170.10</w:t>
            </w:r>
          </w:p>
        </w:tc>
      </w:tr>
      <w:tr>
        <w:tblPrEx>
          <w:tblCellMar>
            <w:left w:w="108" w:type="dxa"/>
            <w:right w:w="108" w:type="dxa"/>
          </w:tblCellMar>
        </w:tblPrEx>
        <w:tc>
          <w:tcPr>
            <w:tcW w:w="4820" w:type="dxa"/>
          </w:tcPr>
          <w:p>
            <w:pPr>
              <w:pStyle w:val="yTableNAm"/>
            </w:pPr>
            <w:r>
              <w:rPr>
                <w:szCs w:val="22"/>
              </w:rPr>
              <w:t>55733</w:t>
            </w:r>
          </w:p>
        </w:tc>
        <w:tc>
          <w:tcPr>
            <w:tcW w:w="1276" w:type="dxa"/>
            <w:vAlign w:val="bottom"/>
          </w:tcPr>
          <w:p>
            <w:pPr>
              <w:pStyle w:val="yTableNAm"/>
              <w:jc w:val="right"/>
            </w:pPr>
            <w:r>
              <w:rPr>
                <w:szCs w:val="22"/>
              </w:rPr>
              <w:t>$60.70</w:t>
            </w:r>
          </w:p>
        </w:tc>
      </w:tr>
      <w:tr>
        <w:tblPrEx>
          <w:tblCellMar>
            <w:left w:w="108" w:type="dxa"/>
            <w:right w:w="108" w:type="dxa"/>
          </w:tblCellMar>
        </w:tblPrEx>
        <w:tc>
          <w:tcPr>
            <w:tcW w:w="4820" w:type="dxa"/>
          </w:tcPr>
          <w:p>
            <w:pPr>
              <w:pStyle w:val="yTableNAm"/>
            </w:pPr>
            <w:r>
              <w:rPr>
                <w:szCs w:val="22"/>
              </w:rPr>
              <w:t>55736</w:t>
            </w:r>
          </w:p>
        </w:tc>
        <w:tc>
          <w:tcPr>
            <w:tcW w:w="1276" w:type="dxa"/>
            <w:vAlign w:val="bottom"/>
          </w:tcPr>
          <w:p>
            <w:pPr>
              <w:pStyle w:val="yTableNAm"/>
              <w:jc w:val="right"/>
            </w:pPr>
            <w:r>
              <w:rPr>
                <w:szCs w:val="22"/>
              </w:rPr>
              <w:t>$220.25</w:t>
            </w:r>
          </w:p>
        </w:tc>
      </w:tr>
      <w:tr>
        <w:tblPrEx>
          <w:tblCellMar>
            <w:left w:w="108" w:type="dxa"/>
            <w:right w:w="108" w:type="dxa"/>
          </w:tblCellMar>
        </w:tblPrEx>
        <w:tc>
          <w:tcPr>
            <w:tcW w:w="4820" w:type="dxa"/>
          </w:tcPr>
          <w:p>
            <w:pPr>
              <w:pStyle w:val="yTableNAm"/>
            </w:pPr>
            <w:r>
              <w:rPr>
                <w:szCs w:val="22"/>
              </w:rPr>
              <w:t>55739</w:t>
            </w:r>
          </w:p>
        </w:tc>
        <w:tc>
          <w:tcPr>
            <w:tcW w:w="1276" w:type="dxa"/>
            <w:vAlign w:val="bottom"/>
          </w:tcPr>
          <w:p>
            <w:pPr>
              <w:pStyle w:val="yTableNAm"/>
              <w:jc w:val="right"/>
            </w:pPr>
            <w:r>
              <w:rPr>
                <w:szCs w:val="22"/>
              </w:rPr>
              <w:t>$98.80</w:t>
            </w:r>
          </w:p>
        </w:tc>
      </w:tr>
      <w:tr>
        <w:tblPrEx>
          <w:tblCellMar>
            <w:left w:w="108" w:type="dxa"/>
            <w:right w:w="108" w:type="dxa"/>
          </w:tblCellMar>
        </w:tblPrEx>
        <w:tc>
          <w:tcPr>
            <w:tcW w:w="4820" w:type="dxa"/>
          </w:tcPr>
          <w:p>
            <w:pPr>
              <w:pStyle w:val="yTableNAm"/>
            </w:pPr>
            <w:r>
              <w:rPr>
                <w:szCs w:val="22"/>
              </w:rPr>
              <w:t>55759</w:t>
            </w:r>
          </w:p>
        </w:tc>
        <w:tc>
          <w:tcPr>
            <w:tcW w:w="1276" w:type="dxa"/>
            <w:vAlign w:val="bottom"/>
          </w:tcPr>
          <w:p>
            <w:pPr>
              <w:pStyle w:val="yTableNAm"/>
              <w:jc w:val="right"/>
            </w:pPr>
            <w:r>
              <w:rPr>
                <w:szCs w:val="22"/>
              </w:rPr>
              <w:t>$260.20</w:t>
            </w:r>
          </w:p>
        </w:tc>
      </w:tr>
      <w:tr>
        <w:tblPrEx>
          <w:tblCellMar>
            <w:left w:w="108" w:type="dxa"/>
            <w:right w:w="108" w:type="dxa"/>
          </w:tblCellMar>
        </w:tblPrEx>
        <w:tc>
          <w:tcPr>
            <w:tcW w:w="4820" w:type="dxa"/>
          </w:tcPr>
          <w:p>
            <w:pPr>
              <w:pStyle w:val="yTableNAm"/>
            </w:pPr>
            <w:r>
              <w:rPr>
                <w:szCs w:val="22"/>
              </w:rPr>
              <w:t>55762</w:t>
            </w:r>
          </w:p>
        </w:tc>
        <w:tc>
          <w:tcPr>
            <w:tcW w:w="1276" w:type="dxa"/>
            <w:vAlign w:val="bottom"/>
          </w:tcPr>
          <w:p>
            <w:pPr>
              <w:pStyle w:val="yTableNAm"/>
              <w:jc w:val="right"/>
            </w:pPr>
            <w:r>
              <w:rPr>
                <w:szCs w:val="22"/>
              </w:rPr>
              <w:t>$104.00</w:t>
            </w:r>
          </w:p>
        </w:tc>
      </w:tr>
      <w:tr>
        <w:tblPrEx>
          <w:tblCellMar>
            <w:left w:w="108" w:type="dxa"/>
            <w:right w:w="108" w:type="dxa"/>
          </w:tblCellMar>
        </w:tblPrEx>
        <w:tc>
          <w:tcPr>
            <w:tcW w:w="4820" w:type="dxa"/>
          </w:tcPr>
          <w:p>
            <w:pPr>
              <w:pStyle w:val="yTableNAm"/>
            </w:pPr>
            <w:r>
              <w:rPr>
                <w:szCs w:val="22"/>
              </w:rPr>
              <w:t>55764</w:t>
            </w:r>
          </w:p>
        </w:tc>
        <w:tc>
          <w:tcPr>
            <w:tcW w:w="1276" w:type="dxa"/>
            <w:vAlign w:val="bottom"/>
          </w:tcPr>
          <w:p>
            <w:pPr>
              <w:pStyle w:val="yTableNAm"/>
              <w:jc w:val="right"/>
            </w:pPr>
            <w:r>
              <w:rPr>
                <w:szCs w:val="22"/>
              </w:rPr>
              <w:t>$277.50</w:t>
            </w:r>
          </w:p>
        </w:tc>
      </w:tr>
      <w:tr>
        <w:tblPrEx>
          <w:tblCellMar>
            <w:left w:w="108" w:type="dxa"/>
            <w:right w:w="108" w:type="dxa"/>
          </w:tblCellMar>
        </w:tblPrEx>
        <w:tc>
          <w:tcPr>
            <w:tcW w:w="4820" w:type="dxa"/>
          </w:tcPr>
          <w:p>
            <w:pPr>
              <w:pStyle w:val="yTableNAm"/>
            </w:pPr>
            <w:r>
              <w:rPr>
                <w:szCs w:val="22"/>
              </w:rPr>
              <w:t>55766</w:t>
            </w:r>
          </w:p>
        </w:tc>
        <w:tc>
          <w:tcPr>
            <w:tcW w:w="1276" w:type="dxa"/>
            <w:vAlign w:val="bottom"/>
          </w:tcPr>
          <w:p>
            <w:pPr>
              <w:pStyle w:val="yTableNAm"/>
              <w:jc w:val="right"/>
            </w:pPr>
            <w:r>
              <w:rPr>
                <w:szCs w:val="22"/>
              </w:rPr>
              <w:t>$112.65</w:t>
            </w:r>
          </w:p>
        </w:tc>
      </w:tr>
      <w:tr>
        <w:tblPrEx>
          <w:tblCellMar>
            <w:left w:w="108" w:type="dxa"/>
            <w:right w:w="108" w:type="dxa"/>
          </w:tblCellMar>
        </w:tblPrEx>
        <w:tc>
          <w:tcPr>
            <w:tcW w:w="4820" w:type="dxa"/>
          </w:tcPr>
          <w:p>
            <w:pPr>
              <w:pStyle w:val="yTableNAm"/>
            </w:pPr>
            <w:r>
              <w:rPr>
                <w:szCs w:val="22"/>
              </w:rPr>
              <w:t>55768</w:t>
            </w:r>
          </w:p>
        </w:tc>
        <w:tc>
          <w:tcPr>
            <w:tcW w:w="1276" w:type="dxa"/>
            <w:vAlign w:val="bottom"/>
          </w:tcPr>
          <w:p>
            <w:pPr>
              <w:pStyle w:val="yTableNAm"/>
              <w:jc w:val="right"/>
            </w:pPr>
            <w:r>
              <w:rPr>
                <w:szCs w:val="22"/>
              </w:rPr>
              <w:t>$260.20</w:t>
            </w:r>
          </w:p>
        </w:tc>
      </w:tr>
      <w:tr>
        <w:tblPrEx>
          <w:tblCellMar>
            <w:left w:w="108" w:type="dxa"/>
            <w:right w:w="108" w:type="dxa"/>
          </w:tblCellMar>
        </w:tblPrEx>
        <w:tc>
          <w:tcPr>
            <w:tcW w:w="4820" w:type="dxa"/>
          </w:tcPr>
          <w:p>
            <w:pPr>
              <w:pStyle w:val="yTableNAm"/>
            </w:pPr>
            <w:r>
              <w:rPr>
                <w:szCs w:val="22"/>
              </w:rPr>
              <w:t>55770</w:t>
            </w:r>
          </w:p>
        </w:tc>
        <w:tc>
          <w:tcPr>
            <w:tcW w:w="1276" w:type="dxa"/>
            <w:vAlign w:val="bottom"/>
          </w:tcPr>
          <w:p>
            <w:pPr>
              <w:pStyle w:val="yTableNAm"/>
              <w:jc w:val="right"/>
            </w:pPr>
            <w:r>
              <w:rPr>
                <w:szCs w:val="22"/>
              </w:rPr>
              <w:t>$104.00</w:t>
            </w:r>
          </w:p>
        </w:tc>
      </w:tr>
      <w:tr>
        <w:tblPrEx>
          <w:tblCellMar>
            <w:left w:w="108" w:type="dxa"/>
            <w:right w:w="108" w:type="dxa"/>
          </w:tblCellMar>
        </w:tblPrEx>
        <w:tc>
          <w:tcPr>
            <w:tcW w:w="4820" w:type="dxa"/>
          </w:tcPr>
          <w:p>
            <w:pPr>
              <w:pStyle w:val="yTableNAm"/>
            </w:pPr>
            <w:r>
              <w:rPr>
                <w:szCs w:val="22"/>
              </w:rPr>
              <w:t>55772</w:t>
            </w:r>
          </w:p>
        </w:tc>
        <w:tc>
          <w:tcPr>
            <w:tcW w:w="1276" w:type="dxa"/>
            <w:vAlign w:val="bottom"/>
          </w:tcPr>
          <w:p>
            <w:pPr>
              <w:pStyle w:val="yTableNAm"/>
              <w:jc w:val="right"/>
            </w:pPr>
            <w:r>
              <w:rPr>
                <w:szCs w:val="22"/>
              </w:rPr>
              <w:t>$277.50</w:t>
            </w:r>
          </w:p>
        </w:tc>
      </w:tr>
      <w:tr>
        <w:tblPrEx>
          <w:tblCellMar>
            <w:left w:w="108" w:type="dxa"/>
            <w:right w:w="108" w:type="dxa"/>
          </w:tblCellMar>
        </w:tblPrEx>
        <w:tc>
          <w:tcPr>
            <w:tcW w:w="4820" w:type="dxa"/>
          </w:tcPr>
          <w:p>
            <w:pPr>
              <w:pStyle w:val="yTableNAm"/>
            </w:pPr>
            <w:r>
              <w:rPr>
                <w:szCs w:val="22"/>
              </w:rPr>
              <w:t>55774</w:t>
            </w:r>
          </w:p>
        </w:tc>
        <w:tc>
          <w:tcPr>
            <w:tcW w:w="1276" w:type="dxa"/>
            <w:vAlign w:val="bottom"/>
          </w:tcPr>
          <w:p>
            <w:pPr>
              <w:pStyle w:val="yTableNAm"/>
              <w:jc w:val="right"/>
            </w:pPr>
            <w:r>
              <w:rPr>
                <w:szCs w:val="22"/>
              </w:rPr>
              <w:t>$112.65</w:t>
            </w:r>
          </w:p>
        </w:tc>
      </w:tr>
      <w:tr>
        <w:tblPrEx>
          <w:tblCellMar>
            <w:left w:w="108" w:type="dxa"/>
            <w:right w:w="108" w:type="dxa"/>
          </w:tblCellMar>
        </w:tblPrEx>
        <w:tc>
          <w:tcPr>
            <w:tcW w:w="4820" w:type="dxa"/>
          </w:tcPr>
          <w:p>
            <w:pPr>
              <w:pStyle w:val="yTableNAm"/>
            </w:pPr>
            <w:r>
              <w:rPr>
                <w:szCs w:val="22"/>
              </w:rPr>
              <w:t>55800</w:t>
            </w:r>
          </w:p>
        </w:tc>
        <w:tc>
          <w:tcPr>
            <w:tcW w:w="1276" w:type="dxa"/>
            <w:vAlign w:val="bottom"/>
          </w:tcPr>
          <w:p>
            <w:pPr>
              <w:pStyle w:val="yTableNAm"/>
              <w:jc w:val="right"/>
            </w:pPr>
            <w:r>
              <w:rPr>
                <w:szCs w:val="22"/>
              </w:rPr>
              <w:t>$189.25</w:t>
            </w:r>
          </w:p>
        </w:tc>
      </w:tr>
      <w:tr>
        <w:tblPrEx>
          <w:tblCellMar>
            <w:left w:w="108" w:type="dxa"/>
            <w:right w:w="108" w:type="dxa"/>
          </w:tblCellMar>
        </w:tblPrEx>
        <w:tc>
          <w:tcPr>
            <w:tcW w:w="4820" w:type="dxa"/>
          </w:tcPr>
          <w:p>
            <w:pPr>
              <w:pStyle w:val="yTableNAm"/>
            </w:pPr>
            <w:r>
              <w:rPr>
                <w:szCs w:val="22"/>
              </w:rPr>
              <w:t>55802</w:t>
            </w:r>
          </w:p>
        </w:tc>
        <w:tc>
          <w:tcPr>
            <w:tcW w:w="1276" w:type="dxa"/>
            <w:vAlign w:val="bottom"/>
          </w:tcPr>
          <w:p>
            <w:pPr>
              <w:pStyle w:val="yTableNAm"/>
              <w:jc w:val="right"/>
            </w:pPr>
            <w:r>
              <w:rPr>
                <w:szCs w:val="22"/>
              </w:rPr>
              <w:t>$65.65</w:t>
            </w:r>
          </w:p>
        </w:tc>
      </w:tr>
      <w:tr>
        <w:tblPrEx>
          <w:tblCellMar>
            <w:left w:w="108" w:type="dxa"/>
            <w:right w:w="108" w:type="dxa"/>
          </w:tblCellMar>
        </w:tblPrEx>
        <w:tc>
          <w:tcPr>
            <w:tcW w:w="4820" w:type="dxa"/>
          </w:tcPr>
          <w:p>
            <w:pPr>
              <w:pStyle w:val="yTableNAm"/>
            </w:pPr>
            <w:r>
              <w:rPr>
                <w:szCs w:val="22"/>
              </w:rPr>
              <w:t>55804</w:t>
            </w:r>
          </w:p>
        </w:tc>
        <w:tc>
          <w:tcPr>
            <w:tcW w:w="1276" w:type="dxa"/>
            <w:vAlign w:val="bottom"/>
          </w:tcPr>
          <w:p>
            <w:pPr>
              <w:pStyle w:val="yTableNAm"/>
              <w:jc w:val="right"/>
            </w:pPr>
            <w:r>
              <w:rPr>
                <w:szCs w:val="22"/>
              </w:rPr>
              <w:t>$189.25</w:t>
            </w:r>
          </w:p>
        </w:tc>
      </w:tr>
      <w:tr>
        <w:tblPrEx>
          <w:tblCellMar>
            <w:left w:w="108" w:type="dxa"/>
            <w:right w:w="108" w:type="dxa"/>
          </w:tblCellMar>
        </w:tblPrEx>
        <w:tc>
          <w:tcPr>
            <w:tcW w:w="4820" w:type="dxa"/>
          </w:tcPr>
          <w:p>
            <w:pPr>
              <w:pStyle w:val="yTableNAm"/>
            </w:pPr>
            <w:r>
              <w:rPr>
                <w:szCs w:val="22"/>
              </w:rPr>
              <w:t>55806</w:t>
            </w:r>
          </w:p>
        </w:tc>
        <w:tc>
          <w:tcPr>
            <w:tcW w:w="1276" w:type="dxa"/>
            <w:vAlign w:val="bottom"/>
          </w:tcPr>
          <w:p>
            <w:pPr>
              <w:pStyle w:val="yTableNAm"/>
              <w:jc w:val="right"/>
            </w:pPr>
            <w:r>
              <w:rPr>
                <w:szCs w:val="22"/>
              </w:rPr>
              <w:t>$65.65</w:t>
            </w:r>
          </w:p>
        </w:tc>
      </w:tr>
      <w:tr>
        <w:tblPrEx>
          <w:tblCellMar>
            <w:left w:w="108" w:type="dxa"/>
            <w:right w:w="108" w:type="dxa"/>
          </w:tblCellMar>
        </w:tblPrEx>
        <w:tc>
          <w:tcPr>
            <w:tcW w:w="4820" w:type="dxa"/>
          </w:tcPr>
          <w:p>
            <w:pPr>
              <w:pStyle w:val="yTableNAm"/>
            </w:pPr>
            <w:r>
              <w:rPr>
                <w:szCs w:val="22"/>
              </w:rPr>
              <w:t>55808</w:t>
            </w:r>
          </w:p>
        </w:tc>
        <w:tc>
          <w:tcPr>
            <w:tcW w:w="1276" w:type="dxa"/>
            <w:vAlign w:val="bottom"/>
          </w:tcPr>
          <w:p>
            <w:pPr>
              <w:pStyle w:val="yTableNAm"/>
              <w:jc w:val="right"/>
            </w:pPr>
            <w:r>
              <w:rPr>
                <w:szCs w:val="22"/>
              </w:rPr>
              <w:t>$189.25</w:t>
            </w:r>
          </w:p>
        </w:tc>
      </w:tr>
      <w:tr>
        <w:tblPrEx>
          <w:tblCellMar>
            <w:left w:w="108" w:type="dxa"/>
            <w:right w:w="108" w:type="dxa"/>
          </w:tblCellMar>
        </w:tblPrEx>
        <w:tc>
          <w:tcPr>
            <w:tcW w:w="4820" w:type="dxa"/>
          </w:tcPr>
          <w:p>
            <w:pPr>
              <w:pStyle w:val="yTableNAm"/>
            </w:pPr>
            <w:r>
              <w:rPr>
                <w:szCs w:val="22"/>
              </w:rPr>
              <w:t>55810</w:t>
            </w:r>
          </w:p>
        </w:tc>
        <w:tc>
          <w:tcPr>
            <w:tcW w:w="1276" w:type="dxa"/>
            <w:vAlign w:val="bottom"/>
          </w:tcPr>
          <w:p>
            <w:pPr>
              <w:pStyle w:val="yTableNAm"/>
              <w:jc w:val="right"/>
            </w:pPr>
            <w:r>
              <w:rPr>
                <w:szCs w:val="22"/>
              </w:rPr>
              <w:t>$65.65</w:t>
            </w:r>
          </w:p>
        </w:tc>
      </w:tr>
      <w:tr>
        <w:tblPrEx>
          <w:tblCellMar>
            <w:left w:w="108" w:type="dxa"/>
            <w:right w:w="108" w:type="dxa"/>
          </w:tblCellMar>
        </w:tblPrEx>
        <w:tc>
          <w:tcPr>
            <w:tcW w:w="4820" w:type="dxa"/>
          </w:tcPr>
          <w:p>
            <w:pPr>
              <w:pStyle w:val="yTableNAm"/>
            </w:pPr>
            <w:r>
              <w:rPr>
                <w:szCs w:val="22"/>
              </w:rPr>
              <w:t>55812</w:t>
            </w:r>
          </w:p>
        </w:tc>
        <w:tc>
          <w:tcPr>
            <w:tcW w:w="1276" w:type="dxa"/>
            <w:vAlign w:val="bottom"/>
          </w:tcPr>
          <w:p>
            <w:pPr>
              <w:pStyle w:val="yTableNAm"/>
              <w:jc w:val="right"/>
            </w:pPr>
            <w:r>
              <w:rPr>
                <w:szCs w:val="22"/>
              </w:rPr>
              <w:t>$189.25</w:t>
            </w:r>
          </w:p>
        </w:tc>
      </w:tr>
      <w:tr>
        <w:tblPrEx>
          <w:tblCellMar>
            <w:left w:w="108" w:type="dxa"/>
            <w:right w:w="108" w:type="dxa"/>
          </w:tblCellMar>
        </w:tblPrEx>
        <w:tc>
          <w:tcPr>
            <w:tcW w:w="4820" w:type="dxa"/>
          </w:tcPr>
          <w:p>
            <w:pPr>
              <w:pStyle w:val="yTableNAm"/>
            </w:pPr>
            <w:r>
              <w:rPr>
                <w:szCs w:val="22"/>
              </w:rPr>
              <w:t>55814</w:t>
            </w:r>
          </w:p>
        </w:tc>
        <w:tc>
          <w:tcPr>
            <w:tcW w:w="1276" w:type="dxa"/>
            <w:vAlign w:val="bottom"/>
          </w:tcPr>
          <w:p>
            <w:pPr>
              <w:pStyle w:val="yTableNAm"/>
              <w:jc w:val="right"/>
            </w:pPr>
            <w:r>
              <w:rPr>
                <w:szCs w:val="22"/>
              </w:rPr>
              <w:t>$65.65</w:t>
            </w:r>
          </w:p>
        </w:tc>
      </w:tr>
      <w:tr>
        <w:tblPrEx>
          <w:tblCellMar>
            <w:left w:w="108" w:type="dxa"/>
            <w:right w:w="108" w:type="dxa"/>
          </w:tblCellMar>
        </w:tblPrEx>
        <w:tc>
          <w:tcPr>
            <w:tcW w:w="4820" w:type="dxa"/>
          </w:tcPr>
          <w:p>
            <w:pPr>
              <w:pStyle w:val="yTableNAm"/>
            </w:pPr>
            <w:r>
              <w:rPr>
                <w:szCs w:val="22"/>
              </w:rPr>
              <w:t>55816</w:t>
            </w:r>
          </w:p>
        </w:tc>
        <w:tc>
          <w:tcPr>
            <w:tcW w:w="1276" w:type="dxa"/>
            <w:vAlign w:val="bottom"/>
          </w:tcPr>
          <w:p>
            <w:pPr>
              <w:pStyle w:val="yTableNAm"/>
              <w:jc w:val="right"/>
            </w:pPr>
            <w:r>
              <w:rPr>
                <w:szCs w:val="22"/>
              </w:rPr>
              <w:t>$189.25</w:t>
            </w:r>
          </w:p>
        </w:tc>
      </w:tr>
      <w:tr>
        <w:tblPrEx>
          <w:tblCellMar>
            <w:left w:w="108" w:type="dxa"/>
            <w:right w:w="108" w:type="dxa"/>
          </w:tblCellMar>
        </w:tblPrEx>
        <w:tc>
          <w:tcPr>
            <w:tcW w:w="4820" w:type="dxa"/>
          </w:tcPr>
          <w:p>
            <w:pPr>
              <w:pStyle w:val="yTableNAm"/>
            </w:pPr>
            <w:r>
              <w:rPr>
                <w:szCs w:val="22"/>
              </w:rPr>
              <w:t>55818</w:t>
            </w:r>
          </w:p>
        </w:tc>
        <w:tc>
          <w:tcPr>
            <w:tcW w:w="1276" w:type="dxa"/>
            <w:vAlign w:val="bottom"/>
          </w:tcPr>
          <w:p>
            <w:pPr>
              <w:pStyle w:val="yTableNAm"/>
              <w:jc w:val="right"/>
            </w:pPr>
            <w:r>
              <w:rPr>
                <w:szCs w:val="22"/>
              </w:rPr>
              <w:t>$65.65</w:t>
            </w:r>
          </w:p>
        </w:tc>
      </w:tr>
      <w:tr>
        <w:tblPrEx>
          <w:tblCellMar>
            <w:left w:w="108" w:type="dxa"/>
            <w:right w:w="108" w:type="dxa"/>
          </w:tblCellMar>
        </w:tblPrEx>
        <w:tc>
          <w:tcPr>
            <w:tcW w:w="4820" w:type="dxa"/>
          </w:tcPr>
          <w:p>
            <w:pPr>
              <w:pStyle w:val="yTableNAm"/>
            </w:pPr>
            <w:r>
              <w:rPr>
                <w:szCs w:val="22"/>
              </w:rPr>
              <w:t>55820</w:t>
            </w:r>
          </w:p>
        </w:tc>
        <w:tc>
          <w:tcPr>
            <w:tcW w:w="1276" w:type="dxa"/>
            <w:vAlign w:val="bottom"/>
          </w:tcPr>
          <w:p>
            <w:pPr>
              <w:pStyle w:val="yTableNAm"/>
              <w:jc w:val="right"/>
            </w:pPr>
            <w:r>
              <w:rPr>
                <w:szCs w:val="22"/>
              </w:rPr>
              <w:t>$189.25</w:t>
            </w:r>
          </w:p>
        </w:tc>
      </w:tr>
      <w:tr>
        <w:tblPrEx>
          <w:tblCellMar>
            <w:left w:w="108" w:type="dxa"/>
            <w:right w:w="108" w:type="dxa"/>
          </w:tblCellMar>
        </w:tblPrEx>
        <w:tc>
          <w:tcPr>
            <w:tcW w:w="4820" w:type="dxa"/>
          </w:tcPr>
          <w:p>
            <w:pPr>
              <w:pStyle w:val="yTableNAm"/>
            </w:pPr>
            <w:r>
              <w:rPr>
                <w:szCs w:val="22"/>
              </w:rPr>
              <w:t>55822</w:t>
            </w:r>
          </w:p>
        </w:tc>
        <w:tc>
          <w:tcPr>
            <w:tcW w:w="1276" w:type="dxa"/>
            <w:vAlign w:val="bottom"/>
          </w:tcPr>
          <w:p>
            <w:pPr>
              <w:pStyle w:val="yTableNAm"/>
              <w:jc w:val="right"/>
            </w:pPr>
            <w:r>
              <w:rPr>
                <w:szCs w:val="22"/>
              </w:rPr>
              <w:t>$65.65</w:t>
            </w:r>
          </w:p>
        </w:tc>
      </w:tr>
      <w:tr>
        <w:tblPrEx>
          <w:tblCellMar>
            <w:left w:w="108" w:type="dxa"/>
            <w:right w:w="108" w:type="dxa"/>
          </w:tblCellMar>
        </w:tblPrEx>
        <w:tc>
          <w:tcPr>
            <w:tcW w:w="4820" w:type="dxa"/>
          </w:tcPr>
          <w:p>
            <w:pPr>
              <w:pStyle w:val="yTableNAm"/>
            </w:pPr>
            <w:r>
              <w:rPr>
                <w:szCs w:val="22"/>
              </w:rPr>
              <w:t>55824</w:t>
            </w:r>
          </w:p>
        </w:tc>
        <w:tc>
          <w:tcPr>
            <w:tcW w:w="1276" w:type="dxa"/>
            <w:vAlign w:val="bottom"/>
          </w:tcPr>
          <w:p>
            <w:pPr>
              <w:pStyle w:val="yTableNAm"/>
              <w:jc w:val="right"/>
            </w:pPr>
            <w:r>
              <w:rPr>
                <w:szCs w:val="22"/>
              </w:rPr>
              <w:t>$189.25</w:t>
            </w:r>
          </w:p>
        </w:tc>
      </w:tr>
      <w:tr>
        <w:tblPrEx>
          <w:tblCellMar>
            <w:left w:w="108" w:type="dxa"/>
            <w:right w:w="108" w:type="dxa"/>
          </w:tblCellMar>
        </w:tblPrEx>
        <w:tc>
          <w:tcPr>
            <w:tcW w:w="4820" w:type="dxa"/>
          </w:tcPr>
          <w:p>
            <w:pPr>
              <w:pStyle w:val="yTableNAm"/>
            </w:pPr>
            <w:r>
              <w:rPr>
                <w:szCs w:val="22"/>
              </w:rPr>
              <w:t>55826</w:t>
            </w:r>
          </w:p>
        </w:tc>
        <w:tc>
          <w:tcPr>
            <w:tcW w:w="1276" w:type="dxa"/>
            <w:vAlign w:val="bottom"/>
          </w:tcPr>
          <w:p>
            <w:pPr>
              <w:pStyle w:val="yTableNAm"/>
              <w:jc w:val="right"/>
            </w:pPr>
            <w:r>
              <w:rPr>
                <w:szCs w:val="22"/>
              </w:rPr>
              <w:t>$65.65</w:t>
            </w:r>
          </w:p>
        </w:tc>
      </w:tr>
      <w:tr>
        <w:tblPrEx>
          <w:tblCellMar>
            <w:left w:w="108" w:type="dxa"/>
            <w:right w:w="108" w:type="dxa"/>
          </w:tblCellMar>
        </w:tblPrEx>
        <w:tc>
          <w:tcPr>
            <w:tcW w:w="4820" w:type="dxa"/>
          </w:tcPr>
          <w:p>
            <w:pPr>
              <w:pStyle w:val="yTableNAm"/>
            </w:pPr>
            <w:r>
              <w:rPr>
                <w:szCs w:val="22"/>
              </w:rPr>
              <w:t>55828</w:t>
            </w:r>
          </w:p>
        </w:tc>
        <w:tc>
          <w:tcPr>
            <w:tcW w:w="1276" w:type="dxa"/>
            <w:vAlign w:val="bottom"/>
          </w:tcPr>
          <w:p>
            <w:pPr>
              <w:pStyle w:val="yTableNAm"/>
              <w:jc w:val="right"/>
            </w:pPr>
            <w:r>
              <w:rPr>
                <w:szCs w:val="22"/>
              </w:rPr>
              <w:t>$189.25</w:t>
            </w:r>
          </w:p>
        </w:tc>
      </w:tr>
      <w:tr>
        <w:tblPrEx>
          <w:tblCellMar>
            <w:left w:w="108" w:type="dxa"/>
            <w:right w:w="108" w:type="dxa"/>
          </w:tblCellMar>
        </w:tblPrEx>
        <w:tc>
          <w:tcPr>
            <w:tcW w:w="4820" w:type="dxa"/>
          </w:tcPr>
          <w:p>
            <w:pPr>
              <w:pStyle w:val="yTableNAm"/>
            </w:pPr>
            <w:r>
              <w:rPr>
                <w:szCs w:val="22"/>
              </w:rPr>
              <w:t>55830</w:t>
            </w:r>
          </w:p>
        </w:tc>
        <w:tc>
          <w:tcPr>
            <w:tcW w:w="1276" w:type="dxa"/>
            <w:vAlign w:val="bottom"/>
          </w:tcPr>
          <w:p>
            <w:pPr>
              <w:pStyle w:val="yTableNAm"/>
              <w:jc w:val="right"/>
            </w:pPr>
            <w:r>
              <w:rPr>
                <w:szCs w:val="22"/>
              </w:rPr>
              <w:t>$65.65</w:t>
            </w:r>
          </w:p>
        </w:tc>
      </w:tr>
      <w:tr>
        <w:tblPrEx>
          <w:tblCellMar>
            <w:left w:w="108" w:type="dxa"/>
            <w:right w:w="108" w:type="dxa"/>
          </w:tblCellMar>
        </w:tblPrEx>
        <w:tc>
          <w:tcPr>
            <w:tcW w:w="4820" w:type="dxa"/>
          </w:tcPr>
          <w:p>
            <w:pPr>
              <w:pStyle w:val="yTableNAm"/>
            </w:pPr>
            <w:r>
              <w:rPr>
                <w:szCs w:val="22"/>
              </w:rPr>
              <w:t>55832</w:t>
            </w:r>
          </w:p>
        </w:tc>
        <w:tc>
          <w:tcPr>
            <w:tcW w:w="1276" w:type="dxa"/>
            <w:vAlign w:val="bottom"/>
          </w:tcPr>
          <w:p>
            <w:pPr>
              <w:pStyle w:val="yTableNAm"/>
              <w:jc w:val="right"/>
            </w:pPr>
            <w:r>
              <w:rPr>
                <w:szCs w:val="22"/>
              </w:rPr>
              <w:t>$189.25</w:t>
            </w:r>
          </w:p>
        </w:tc>
      </w:tr>
      <w:tr>
        <w:tblPrEx>
          <w:tblCellMar>
            <w:left w:w="108" w:type="dxa"/>
            <w:right w:w="108" w:type="dxa"/>
          </w:tblCellMar>
        </w:tblPrEx>
        <w:tc>
          <w:tcPr>
            <w:tcW w:w="4820" w:type="dxa"/>
          </w:tcPr>
          <w:p>
            <w:pPr>
              <w:pStyle w:val="yTableNAm"/>
            </w:pPr>
            <w:r>
              <w:rPr>
                <w:szCs w:val="22"/>
              </w:rPr>
              <w:t>55834</w:t>
            </w:r>
          </w:p>
        </w:tc>
        <w:tc>
          <w:tcPr>
            <w:tcW w:w="1276" w:type="dxa"/>
            <w:vAlign w:val="bottom"/>
          </w:tcPr>
          <w:p>
            <w:pPr>
              <w:pStyle w:val="yTableNAm"/>
              <w:jc w:val="right"/>
            </w:pPr>
            <w:r>
              <w:rPr>
                <w:szCs w:val="22"/>
              </w:rPr>
              <w:t>$65.65</w:t>
            </w:r>
          </w:p>
        </w:tc>
      </w:tr>
      <w:tr>
        <w:tblPrEx>
          <w:tblCellMar>
            <w:left w:w="108" w:type="dxa"/>
            <w:right w:w="108" w:type="dxa"/>
          </w:tblCellMar>
        </w:tblPrEx>
        <w:tc>
          <w:tcPr>
            <w:tcW w:w="4820" w:type="dxa"/>
          </w:tcPr>
          <w:p>
            <w:pPr>
              <w:pStyle w:val="yTableNAm"/>
            </w:pPr>
            <w:r>
              <w:rPr>
                <w:szCs w:val="22"/>
              </w:rPr>
              <w:t>55836</w:t>
            </w:r>
          </w:p>
        </w:tc>
        <w:tc>
          <w:tcPr>
            <w:tcW w:w="1276" w:type="dxa"/>
            <w:vAlign w:val="bottom"/>
          </w:tcPr>
          <w:p>
            <w:pPr>
              <w:pStyle w:val="yTableNAm"/>
              <w:jc w:val="right"/>
            </w:pPr>
            <w:r>
              <w:rPr>
                <w:szCs w:val="22"/>
              </w:rPr>
              <w:t>$189.25</w:t>
            </w:r>
          </w:p>
        </w:tc>
      </w:tr>
      <w:tr>
        <w:tblPrEx>
          <w:tblCellMar>
            <w:left w:w="108" w:type="dxa"/>
            <w:right w:w="108" w:type="dxa"/>
          </w:tblCellMar>
        </w:tblPrEx>
        <w:tc>
          <w:tcPr>
            <w:tcW w:w="4820" w:type="dxa"/>
          </w:tcPr>
          <w:p>
            <w:pPr>
              <w:pStyle w:val="yTableNAm"/>
            </w:pPr>
            <w:r>
              <w:rPr>
                <w:szCs w:val="22"/>
              </w:rPr>
              <w:t>55838</w:t>
            </w:r>
          </w:p>
        </w:tc>
        <w:tc>
          <w:tcPr>
            <w:tcW w:w="1276" w:type="dxa"/>
            <w:vAlign w:val="bottom"/>
          </w:tcPr>
          <w:p>
            <w:pPr>
              <w:pStyle w:val="yTableNAm"/>
              <w:jc w:val="right"/>
            </w:pPr>
            <w:r>
              <w:rPr>
                <w:szCs w:val="22"/>
              </w:rPr>
              <w:t>$65.65</w:t>
            </w:r>
          </w:p>
        </w:tc>
      </w:tr>
      <w:tr>
        <w:tblPrEx>
          <w:tblCellMar>
            <w:left w:w="108" w:type="dxa"/>
            <w:right w:w="108" w:type="dxa"/>
          </w:tblCellMar>
        </w:tblPrEx>
        <w:tc>
          <w:tcPr>
            <w:tcW w:w="4820" w:type="dxa"/>
          </w:tcPr>
          <w:p>
            <w:pPr>
              <w:pStyle w:val="yTableNAm"/>
            </w:pPr>
            <w:r>
              <w:rPr>
                <w:szCs w:val="22"/>
              </w:rPr>
              <w:t>55840</w:t>
            </w:r>
          </w:p>
        </w:tc>
        <w:tc>
          <w:tcPr>
            <w:tcW w:w="1276" w:type="dxa"/>
            <w:vAlign w:val="bottom"/>
          </w:tcPr>
          <w:p>
            <w:pPr>
              <w:pStyle w:val="yTableNAm"/>
              <w:jc w:val="right"/>
            </w:pPr>
            <w:r>
              <w:rPr>
                <w:szCs w:val="22"/>
              </w:rPr>
              <w:t>$189.25</w:t>
            </w:r>
          </w:p>
        </w:tc>
      </w:tr>
      <w:tr>
        <w:tblPrEx>
          <w:tblCellMar>
            <w:left w:w="108" w:type="dxa"/>
            <w:right w:w="108" w:type="dxa"/>
          </w:tblCellMar>
        </w:tblPrEx>
        <w:tc>
          <w:tcPr>
            <w:tcW w:w="4820" w:type="dxa"/>
          </w:tcPr>
          <w:p>
            <w:pPr>
              <w:pStyle w:val="yTableNAm"/>
            </w:pPr>
            <w:r>
              <w:rPr>
                <w:szCs w:val="22"/>
              </w:rPr>
              <w:t>55842</w:t>
            </w:r>
          </w:p>
        </w:tc>
        <w:tc>
          <w:tcPr>
            <w:tcW w:w="1276" w:type="dxa"/>
            <w:vAlign w:val="bottom"/>
          </w:tcPr>
          <w:p>
            <w:pPr>
              <w:pStyle w:val="yTableNAm"/>
              <w:jc w:val="right"/>
            </w:pPr>
            <w:r>
              <w:rPr>
                <w:szCs w:val="22"/>
              </w:rPr>
              <w:t>$65.65</w:t>
            </w:r>
          </w:p>
        </w:tc>
      </w:tr>
      <w:tr>
        <w:tblPrEx>
          <w:tblCellMar>
            <w:left w:w="108" w:type="dxa"/>
            <w:right w:w="108" w:type="dxa"/>
          </w:tblCellMar>
        </w:tblPrEx>
        <w:tc>
          <w:tcPr>
            <w:tcW w:w="4820" w:type="dxa"/>
          </w:tcPr>
          <w:p>
            <w:pPr>
              <w:pStyle w:val="yTableNAm"/>
            </w:pPr>
            <w:r>
              <w:rPr>
                <w:szCs w:val="22"/>
              </w:rPr>
              <w:t>55844</w:t>
            </w:r>
          </w:p>
        </w:tc>
        <w:tc>
          <w:tcPr>
            <w:tcW w:w="1276" w:type="dxa"/>
            <w:vAlign w:val="bottom"/>
          </w:tcPr>
          <w:p>
            <w:pPr>
              <w:pStyle w:val="yTableNAm"/>
              <w:jc w:val="right"/>
            </w:pPr>
            <w:r>
              <w:rPr>
                <w:szCs w:val="22"/>
              </w:rPr>
              <w:t>$151.50</w:t>
            </w:r>
          </w:p>
        </w:tc>
      </w:tr>
      <w:tr>
        <w:tblPrEx>
          <w:tblCellMar>
            <w:left w:w="108" w:type="dxa"/>
            <w:right w:w="108" w:type="dxa"/>
          </w:tblCellMar>
        </w:tblPrEx>
        <w:tc>
          <w:tcPr>
            <w:tcW w:w="4820" w:type="dxa"/>
          </w:tcPr>
          <w:p>
            <w:pPr>
              <w:pStyle w:val="yTableNAm"/>
            </w:pPr>
            <w:r>
              <w:rPr>
                <w:szCs w:val="22"/>
              </w:rPr>
              <w:t>55846</w:t>
            </w:r>
          </w:p>
        </w:tc>
        <w:tc>
          <w:tcPr>
            <w:tcW w:w="1276" w:type="dxa"/>
            <w:vAlign w:val="bottom"/>
          </w:tcPr>
          <w:p>
            <w:pPr>
              <w:pStyle w:val="yTableNAm"/>
              <w:jc w:val="right"/>
            </w:pPr>
            <w:r>
              <w:rPr>
                <w:szCs w:val="22"/>
              </w:rPr>
              <w:t>$65.65</w:t>
            </w:r>
          </w:p>
        </w:tc>
      </w:tr>
      <w:tr>
        <w:tblPrEx>
          <w:tblCellMar>
            <w:left w:w="108" w:type="dxa"/>
            <w:right w:w="108" w:type="dxa"/>
          </w:tblCellMar>
        </w:tblPrEx>
        <w:tc>
          <w:tcPr>
            <w:tcW w:w="4820" w:type="dxa"/>
          </w:tcPr>
          <w:p>
            <w:pPr>
              <w:pStyle w:val="yTableNAm"/>
            </w:pPr>
            <w:r>
              <w:rPr>
                <w:szCs w:val="22"/>
              </w:rPr>
              <w:t>55848</w:t>
            </w:r>
          </w:p>
        </w:tc>
        <w:tc>
          <w:tcPr>
            <w:tcW w:w="1276" w:type="dxa"/>
            <w:vAlign w:val="bottom"/>
          </w:tcPr>
          <w:p>
            <w:pPr>
              <w:pStyle w:val="yTableNAm"/>
              <w:jc w:val="right"/>
            </w:pPr>
            <w:r>
              <w:rPr>
                <w:szCs w:val="22"/>
              </w:rPr>
              <w:t>$189.25</w:t>
            </w:r>
          </w:p>
        </w:tc>
      </w:tr>
      <w:tr>
        <w:tblPrEx>
          <w:tblCellMar>
            <w:left w:w="108" w:type="dxa"/>
            <w:right w:w="108" w:type="dxa"/>
          </w:tblCellMar>
        </w:tblPrEx>
        <w:tc>
          <w:tcPr>
            <w:tcW w:w="4820" w:type="dxa"/>
          </w:tcPr>
          <w:p>
            <w:pPr>
              <w:pStyle w:val="yTableNAm"/>
            </w:pPr>
            <w:r>
              <w:rPr>
                <w:szCs w:val="22"/>
              </w:rPr>
              <w:t>55850</w:t>
            </w:r>
          </w:p>
        </w:tc>
        <w:tc>
          <w:tcPr>
            <w:tcW w:w="1276" w:type="dxa"/>
            <w:vAlign w:val="bottom"/>
          </w:tcPr>
          <w:p>
            <w:pPr>
              <w:pStyle w:val="yTableNAm"/>
              <w:jc w:val="right"/>
            </w:pPr>
            <w:r>
              <w:rPr>
                <w:szCs w:val="22"/>
              </w:rPr>
              <w:t>$265.15</w:t>
            </w:r>
          </w:p>
        </w:tc>
      </w:tr>
      <w:tr>
        <w:tblPrEx>
          <w:tblCellMar>
            <w:left w:w="108" w:type="dxa"/>
            <w:right w:w="108" w:type="dxa"/>
          </w:tblCellMar>
        </w:tblPrEx>
        <w:tc>
          <w:tcPr>
            <w:tcW w:w="4820" w:type="dxa"/>
          </w:tcPr>
          <w:p>
            <w:pPr>
              <w:pStyle w:val="yTableNAm"/>
            </w:pPr>
            <w:r>
              <w:rPr>
                <w:szCs w:val="22"/>
              </w:rPr>
              <w:t>55852</w:t>
            </w:r>
          </w:p>
        </w:tc>
        <w:tc>
          <w:tcPr>
            <w:tcW w:w="1276" w:type="dxa"/>
            <w:vAlign w:val="bottom"/>
          </w:tcPr>
          <w:p>
            <w:pPr>
              <w:pStyle w:val="yTableNAm"/>
              <w:jc w:val="right"/>
            </w:pPr>
            <w:r>
              <w:rPr>
                <w:szCs w:val="22"/>
              </w:rPr>
              <w:t>$189.25</w:t>
            </w:r>
          </w:p>
        </w:tc>
      </w:tr>
      <w:tr>
        <w:tblPrEx>
          <w:tblCellMar>
            <w:left w:w="108" w:type="dxa"/>
            <w:right w:w="108" w:type="dxa"/>
          </w:tblCellMar>
        </w:tblPrEx>
        <w:tc>
          <w:tcPr>
            <w:tcW w:w="4820" w:type="dxa"/>
            <w:tcBorders>
              <w:bottom w:val="single" w:sz="4" w:space="0" w:color="auto"/>
            </w:tcBorders>
          </w:tcPr>
          <w:p>
            <w:pPr>
              <w:pStyle w:val="yTableNAm"/>
            </w:pPr>
            <w:r>
              <w:rPr>
                <w:szCs w:val="22"/>
              </w:rPr>
              <w:t>55854</w:t>
            </w:r>
          </w:p>
        </w:tc>
        <w:tc>
          <w:tcPr>
            <w:tcW w:w="1276" w:type="dxa"/>
            <w:tcBorders>
              <w:bottom w:val="single" w:sz="4" w:space="0" w:color="auto"/>
            </w:tcBorders>
            <w:vAlign w:val="bottom"/>
          </w:tcPr>
          <w:p>
            <w:pPr>
              <w:pStyle w:val="yTableNAm"/>
              <w:jc w:val="right"/>
            </w:pPr>
            <w:r>
              <w:rPr>
                <w:szCs w:val="22"/>
              </w:rPr>
              <w:t>$65.65</w:t>
            </w:r>
          </w:p>
        </w:tc>
      </w:tr>
    </w:tbl>
    <w:p>
      <w:pPr>
        <w:pStyle w:val="zyMiscellaneousHeading"/>
        <w:jc w:val="left"/>
      </w:pPr>
      <w:r>
        <w:t>COMPUTED TOMOGRAPHY — </w:t>
      </w:r>
      <w:r>
        <w:br/>
        <w:t>EXAMINATION AND REPORT</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bCs/>
                <w:szCs w:val="22"/>
              </w:rPr>
              <w:t>MBS item number</w:t>
            </w:r>
            <w:r>
              <w:rPr>
                <w:b/>
                <w:bCs/>
                <w:szCs w:val="22"/>
              </w:rPr>
              <w:br/>
            </w:r>
            <w:r>
              <w:rPr>
                <w:szCs w:val="22"/>
              </w:rPr>
              <w:t>(1 November 2009)</w:t>
            </w:r>
          </w:p>
        </w:tc>
        <w:tc>
          <w:tcPr>
            <w:tcW w:w="1276" w:type="dxa"/>
            <w:tcBorders>
              <w:top w:val="single" w:sz="4" w:space="0" w:color="auto"/>
              <w:bottom w:val="single" w:sz="4" w:space="0" w:color="auto"/>
            </w:tcBorders>
          </w:tcPr>
          <w:p>
            <w:pPr>
              <w:pStyle w:val="yTableNAm"/>
              <w:jc w:val="right"/>
            </w:pPr>
            <w:r>
              <w:rPr>
                <w:b/>
                <w:bCs/>
                <w:szCs w:val="22"/>
              </w:rPr>
              <w:t>Fee</w:t>
            </w:r>
          </w:p>
        </w:tc>
      </w:tr>
      <w:tr>
        <w:tblPrEx>
          <w:tblCellMar>
            <w:left w:w="108" w:type="dxa"/>
            <w:right w:w="108" w:type="dxa"/>
          </w:tblCellMar>
        </w:tblPrEx>
        <w:tc>
          <w:tcPr>
            <w:tcW w:w="4820" w:type="dxa"/>
          </w:tcPr>
          <w:p>
            <w:pPr>
              <w:pStyle w:val="yTableNAm"/>
            </w:pPr>
            <w:r>
              <w:rPr>
                <w:szCs w:val="22"/>
              </w:rPr>
              <w:t>56001</w:t>
            </w:r>
          </w:p>
        </w:tc>
        <w:tc>
          <w:tcPr>
            <w:tcW w:w="1276" w:type="dxa"/>
            <w:tcBorders>
              <w:top w:val="single" w:sz="4" w:space="0" w:color="auto"/>
            </w:tcBorders>
            <w:vAlign w:val="bottom"/>
          </w:tcPr>
          <w:p>
            <w:pPr>
              <w:pStyle w:val="yTableNAm"/>
              <w:jc w:val="right"/>
            </w:pPr>
            <w:r>
              <w:rPr>
                <w:szCs w:val="22"/>
              </w:rPr>
              <w:t>$310.65</w:t>
            </w:r>
          </w:p>
        </w:tc>
      </w:tr>
      <w:tr>
        <w:tblPrEx>
          <w:tblCellMar>
            <w:left w:w="108" w:type="dxa"/>
            <w:right w:w="108" w:type="dxa"/>
          </w:tblCellMar>
        </w:tblPrEx>
        <w:tc>
          <w:tcPr>
            <w:tcW w:w="4820" w:type="dxa"/>
          </w:tcPr>
          <w:p>
            <w:pPr>
              <w:pStyle w:val="yTableNAm"/>
            </w:pPr>
            <w:r>
              <w:rPr>
                <w:szCs w:val="22"/>
              </w:rPr>
              <w:t>56007</w:t>
            </w:r>
          </w:p>
        </w:tc>
        <w:tc>
          <w:tcPr>
            <w:tcW w:w="1276" w:type="dxa"/>
            <w:vAlign w:val="bottom"/>
          </w:tcPr>
          <w:p>
            <w:pPr>
              <w:pStyle w:val="yTableNAm"/>
              <w:jc w:val="right"/>
            </w:pPr>
            <w:r>
              <w:rPr>
                <w:szCs w:val="22"/>
              </w:rPr>
              <w:t>$398.30</w:t>
            </w:r>
          </w:p>
        </w:tc>
      </w:tr>
      <w:tr>
        <w:tblPrEx>
          <w:tblCellMar>
            <w:left w:w="108" w:type="dxa"/>
            <w:right w:w="108" w:type="dxa"/>
          </w:tblCellMar>
        </w:tblPrEx>
        <w:tc>
          <w:tcPr>
            <w:tcW w:w="4820" w:type="dxa"/>
          </w:tcPr>
          <w:p>
            <w:pPr>
              <w:pStyle w:val="yTableNAm"/>
            </w:pPr>
            <w:r>
              <w:rPr>
                <w:szCs w:val="22"/>
              </w:rPr>
              <w:t>56010</w:t>
            </w:r>
          </w:p>
        </w:tc>
        <w:tc>
          <w:tcPr>
            <w:tcW w:w="1276" w:type="dxa"/>
            <w:vAlign w:val="bottom"/>
          </w:tcPr>
          <w:p>
            <w:pPr>
              <w:pStyle w:val="yTableNAm"/>
              <w:jc w:val="right"/>
            </w:pPr>
            <w:r>
              <w:rPr>
                <w:szCs w:val="22"/>
              </w:rPr>
              <w:t>$401.55</w:t>
            </w:r>
          </w:p>
        </w:tc>
      </w:tr>
      <w:tr>
        <w:tblPrEx>
          <w:tblCellMar>
            <w:left w:w="108" w:type="dxa"/>
            <w:right w:w="108" w:type="dxa"/>
          </w:tblCellMar>
        </w:tblPrEx>
        <w:tc>
          <w:tcPr>
            <w:tcW w:w="4820" w:type="dxa"/>
          </w:tcPr>
          <w:p>
            <w:pPr>
              <w:pStyle w:val="yTableNAm"/>
            </w:pPr>
            <w:r>
              <w:rPr>
                <w:szCs w:val="22"/>
              </w:rPr>
              <w:t>56013</w:t>
            </w:r>
          </w:p>
        </w:tc>
        <w:tc>
          <w:tcPr>
            <w:tcW w:w="1276" w:type="dxa"/>
            <w:vAlign w:val="bottom"/>
          </w:tcPr>
          <w:p>
            <w:pPr>
              <w:pStyle w:val="yTableNAm"/>
              <w:jc w:val="right"/>
            </w:pPr>
            <w:r>
              <w:rPr>
                <w:szCs w:val="22"/>
              </w:rPr>
              <w:t>$398.30</w:t>
            </w:r>
          </w:p>
        </w:tc>
      </w:tr>
      <w:tr>
        <w:tblPrEx>
          <w:tblCellMar>
            <w:left w:w="108" w:type="dxa"/>
            <w:right w:w="108" w:type="dxa"/>
          </w:tblCellMar>
        </w:tblPrEx>
        <w:tc>
          <w:tcPr>
            <w:tcW w:w="4820" w:type="dxa"/>
          </w:tcPr>
          <w:p>
            <w:pPr>
              <w:pStyle w:val="yTableNAm"/>
            </w:pPr>
            <w:r>
              <w:rPr>
                <w:szCs w:val="22"/>
              </w:rPr>
              <w:t>56016</w:t>
            </w:r>
          </w:p>
        </w:tc>
        <w:tc>
          <w:tcPr>
            <w:tcW w:w="1276" w:type="dxa"/>
            <w:vAlign w:val="bottom"/>
          </w:tcPr>
          <w:p>
            <w:pPr>
              <w:pStyle w:val="yTableNAm"/>
              <w:jc w:val="right"/>
            </w:pPr>
            <w:r>
              <w:rPr>
                <w:szCs w:val="22"/>
              </w:rPr>
              <w:t>$462.00</w:t>
            </w:r>
          </w:p>
        </w:tc>
      </w:tr>
      <w:tr>
        <w:tblPrEx>
          <w:tblCellMar>
            <w:left w:w="108" w:type="dxa"/>
            <w:right w:w="108" w:type="dxa"/>
          </w:tblCellMar>
        </w:tblPrEx>
        <w:tc>
          <w:tcPr>
            <w:tcW w:w="4820" w:type="dxa"/>
          </w:tcPr>
          <w:p>
            <w:pPr>
              <w:pStyle w:val="yTableNAm"/>
            </w:pPr>
            <w:r>
              <w:rPr>
                <w:szCs w:val="22"/>
              </w:rPr>
              <w:t>56022</w:t>
            </w:r>
          </w:p>
        </w:tc>
        <w:tc>
          <w:tcPr>
            <w:tcW w:w="1276" w:type="dxa"/>
            <w:vAlign w:val="bottom"/>
          </w:tcPr>
          <w:p>
            <w:pPr>
              <w:pStyle w:val="yTableNAm"/>
              <w:jc w:val="right"/>
            </w:pPr>
            <w:r>
              <w:rPr>
                <w:szCs w:val="22"/>
              </w:rPr>
              <w:t>$358.40</w:t>
            </w:r>
          </w:p>
        </w:tc>
      </w:tr>
      <w:tr>
        <w:tblPrEx>
          <w:tblCellMar>
            <w:left w:w="108" w:type="dxa"/>
            <w:right w:w="108" w:type="dxa"/>
          </w:tblCellMar>
        </w:tblPrEx>
        <w:tc>
          <w:tcPr>
            <w:tcW w:w="4820" w:type="dxa"/>
          </w:tcPr>
          <w:p>
            <w:pPr>
              <w:pStyle w:val="yTableNAm"/>
            </w:pPr>
            <w:r>
              <w:rPr>
                <w:szCs w:val="22"/>
              </w:rPr>
              <w:t>56028</w:t>
            </w:r>
          </w:p>
        </w:tc>
        <w:tc>
          <w:tcPr>
            <w:tcW w:w="1276" w:type="dxa"/>
            <w:vAlign w:val="bottom"/>
          </w:tcPr>
          <w:p>
            <w:pPr>
              <w:pStyle w:val="yTableNAm"/>
              <w:jc w:val="right"/>
            </w:pPr>
            <w:r>
              <w:rPr>
                <w:szCs w:val="22"/>
              </w:rPr>
              <w:t>$536.55</w:t>
            </w:r>
          </w:p>
        </w:tc>
      </w:tr>
      <w:tr>
        <w:tblPrEx>
          <w:tblCellMar>
            <w:left w:w="108" w:type="dxa"/>
            <w:right w:w="108" w:type="dxa"/>
          </w:tblCellMar>
        </w:tblPrEx>
        <w:tc>
          <w:tcPr>
            <w:tcW w:w="4820" w:type="dxa"/>
          </w:tcPr>
          <w:p>
            <w:pPr>
              <w:pStyle w:val="yTableNAm"/>
            </w:pPr>
            <w:r>
              <w:rPr>
                <w:szCs w:val="22"/>
              </w:rPr>
              <w:t>56030</w:t>
            </w:r>
          </w:p>
        </w:tc>
        <w:tc>
          <w:tcPr>
            <w:tcW w:w="1276" w:type="dxa"/>
            <w:vAlign w:val="bottom"/>
          </w:tcPr>
          <w:p>
            <w:pPr>
              <w:pStyle w:val="yTableNAm"/>
              <w:jc w:val="right"/>
            </w:pPr>
            <w:r>
              <w:rPr>
                <w:szCs w:val="22"/>
              </w:rPr>
              <w:t>$358.40</w:t>
            </w:r>
          </w:p>
        </w:tc>
      </w:tr>
      <w:tr>
        <w:tblPrEx>
          <w:tblCellMar>
            <w:left w:w="108" w:type="dxa"/>
            <w:right w:w="108" w:type="dxa"/>
          </w:tblCellMar>
        </w:tblPrEx>
        <w:tc>
          <w:tcPr>
            <w:tcW w:w="4820" w:type="dxa"/>
          </w:tcPr>
          <w:p>
            <w:pPr>
              <w:pStyle w:val="yTableNAm"/>
            </w:pPr>
            <w:r>
              <w:rPr>
                <w:szCs w:val="22"/>
              </w:rPr>
              <w:t>56036</w:t>
            </w:r>
          </w:p>
        </w:tc>
        <w:tc>
          <w:tcPr>
            <w:tcW w:w="1276" w:type="dxa"/>
            <w:vAlign w:val="bottom"/>
          </w:tcPr>
          <w:p>
            <w:pPr>
              <w:pStyle w:val="yTableNAm"/>
              <w:jc w:val="right"/>
            </w:pPr>
            <w:r>
              <w:rPr>
                <w:szCs w:val="22"/>
              </w:rPr>
              <w:t>$536.55</w:t>
            </w:r>
          </w:p>
        </w:tc>
      </w:tr>
      <w:tr>
        <w:tblPrEx>
          <w:tblCellMar>
            <w:left w:w="108" w:type="dxa"/>
            <w:right w:w="108" w:type="dxa"/>
          </w:tblCellMar>
        </w:tblPrEx>
        <w:tc>
          <w:tcPr>
            <w:tcW w:w="4820" w:type="dxa"/>
          </w:tcPr>
          <w:p>
            <w:pPr>
              <w:pStyle w:val="yTableNAm"/>
            </w:pPr>
            <w:r>
              <w:rPr>
                <w:szCs w:val="22"/>
              </w:rPr>
              <w:t>56041</w:t>
            </w:r>
          </w:p>
        </w:tc>
        <w:tc>
          <w:tcPr>
            <w:tcW w:w="1276" w:type="dxa"/>
            <w:vAlign w:val="bottom"/>
          </w:tcPr>
          <w:p>
            <w:pPr>
              <w:pStyle w:val="yTableNAm"/>
              <w:jc w:val="right"/>
            </w:pPr>
            <w:r>
              <w:rPr>
                <w:szCs w:val="22"/>
              </w:rPr>
              <w:t>$157.40</w:t>
            </w:r>
          </w:p>
        </w:tc>
      </w:tr>
      <w:tr>
        <w:tblPrEx>
          <w:tblCellMar>
            <w:left w:w="108" w:type="dxa"/>
            <w:right w:w="108" w:type="dxa"/>
          </w:tblCellMar>
        </w:tblPrEx>
        <w:tc>
          <w:tcPr>
            <w:tcW w:w="4820" w:type="dxa"/>
          </w:tcPr>
          <w:p>
            <w:pPr>
              <w:pStyle w:val="yTableNAm"/>
            </w:pPr>
            <w:r>
              <w:rPr>
                <w:szCs w:val="22"/>
              </w:rPr>
              <w:t>56047</w:t>
            </w:r>
          </w:p>
        </w:tc>
        <w:tc>
          <w:tcPr>
            <w:tcW w:w="1276" w:type="dxa"/>
            <w:vAlign w:val="bottom"/>
          </w:tcPr>
          <w:p>
            <w:pPr>
              <w:pStyle w:val="yTableNAm"/>
              <w:jc w:val="right"/>
            </w:pPr>
            <w:r>
              <w:rPr>
                <w:szCs w:val="22"/>
              </w:rPr>
              <w:t>$200.95</w:t>
            </w:r>
          </w:p>
        </w:tc>
      </w:tr>
      <w:tr>
        <w:tblPrEx>
          <w:tblCellMar>
            <w:left w:w="108" w:type="dxa"/>
            <w:right w:w="108" w:type="dxa"/>
          </w:tblCellMar>
        </w:tblPrEx>
        <w:tc>
          <w:tcPr>
            <w:tcW w:w="4820" w:type="dxa"/>
          </w:tcPr>
          <w:p>
            <w:pPr>
              <w:pStyle w:val="yTableNAm"/>
            </w:pPr>
            <w:r>
              <w:rPr>
                <w:szCs w:val="22"/>
              </w:rPr>
              <w:t>56050</w:t>
            </w:r>
          </w:p>
        </w:tc>
        <w:tc>
          <w:tcPr>
            <w:tcW w:w="1276" w:type="dxa"/>
            <w:vAlign w:val="bottom"/>
          </w:tcPr>
          <w:p>
            <w:pPr>
              <w:pStyle w:val="yTableNAm"/>
              <w:jc w:val="right"/>
            </w:pPr>
            <w:r>
              <w:rPr>
                <w:szCs w:val="22"/>
              </w:rPr>
              <w:t>$204.25</w:t>
            </w:r>
          </w:p>
        </w:tc>
      </w:tr>
      <w:tr>
        <w:tblPrEx>
          <w:tblCellMar>
            <w:left w:w="108" w:type="dxa"/>
            <w:right w:w="108" w:type="dxa"/>
          </w:tblCellMar>
        </w:tblPrEx>
        <w:tc>
          <w:tcPr>
            <w:tcW w:w="4820" w:type="dxa"/>
          </w:tcPr>
          <w:p>
            <w:pPr>
              <w:pStyle w:val="yTableNAm"/>
            </w:pPr>
            <w:r>
              <w:rPr>
                <w:szCs w:val="22"/>
              </w:rPr>
              <w:t>56053</w:t>
            </w:r>
          </w:p>
        </w:tc>
        <w:tc>
          <w:tcPr>
            <w:tcW w:w="1276" w:type="dxa"/>
            <w:vAlign w:val="bottom"/>
          </w:tcPr>
          <w:p>
            <w:pPr>
              <w:pStyle w:val="yTableNAm"/>
              <w:jc w:val="right"/>
            </w:pPr>
            <w:r>
              <w:rPr>
                <w:szCs w:val="22"/>
              </w:rPr>
              <w:t>$204.25</w:t>
            </w:r>
          </w:p>
        </w:tc>
      </w:tr>
      <w:tr>
        <w:tblPrEx>
          <w:tblCellMar>
            <w:left w:w="108" w:type="dxa"/>
            <w:right w:w="108" w:type="dxa"/>
          </w:tblCellMar>
        </w:tblPrEx>
        <w:tc>
          <w:tcPr>
            <w:tcW w:w="4820" w:type="dxa"/>
          </w:tcPr>
          <w:p>
            <w:pPr>
              <w:pStyle w:val="yTableNAm"/>
            </w:pPr>
            <w:r>
              <w:rPr>
                <w:szCs w:val="22"/>
              </w:rPr>
              <w:t>56056</w:t>
            </w:r>
          </w:p>
        </w:tc>
        <w:tc>
          <w:tcPr>
            <w:tcW w:w="1276" w:type="dxa"/>
            <w:vAlign w:val="bottom"/>
          </w:tcPr>
          <w:p>
            <w:pPr>
              <w:pStyle w:val="yTableNAm"/>
              <w:jc w:val="right"/>
            </w:pPr>
            <w:r>
              <w:rPr>
                <w:szCs w:val="22"/>
              </w:rPr>
              <w:t>$247.50</w:t>
            </w:r>
          </w:p>
        </w:tc>
      </w:tr>
      <w:tr>
        <w:tblPrEx>
          <w:tblCellMar>
            <w:left w:w="108" w:type="dxa"/>
            <w:right w:w="108" w:type="dxa"/>
          </w:tblCellMar>
        </w:tblPrEx>
        <w:tc>
          <w:tcPr>
            <w:tcW w:w="4820" w:type="dxa"/>
          </w:tcPr>
          <w:p>
            <w:pPr>
              <w:pStyle w:val="yTableNAm"/>
            </w:pPr>
            <w:r>
              <w:rPr>
                <w:szCs w:val="22"/>
              </w:rPr>
              <w:t>56062</w:t>
            </w:r>
          </w:p>
        </w:tc>
        <w:tc>
          <w:tcPr>
            <w:tcW w:w="1276" w:type="dxa"/>
            <w:vAlign w:val="bottom"/>
          </w:tcPr>
          <w:p>
            <w:pPr>
              <w:pStyle w:val="yTableNAm"/>
              <w:jc w:val="right"/>
            </w:pPr>
            <w:r>
              <w:rPr>
                <w:szCs w:val="22"/>
              </w:rPr>
              <w:t>$180.20</w:t>
            </w:r>
          </w:p>
        </w:tc>
      </w:tr>
      <w:tr>
        <w:tblPrEx>
          <w:tblCellMar>
            <w:left w:w="108" w:type="dxa"/>
            <w:right w:w="108" w:type="dxa"/>
          </w:tblCellMar>
        </w:tblPrEx>
        <w:tc>
          <w:tcPr>
            <w:tcW w:w="4820" w:type="dxa"/>
          </w:tcPr>
          <w:p>
            <w:pPr>
              <w:pStyle w:val="yTableNAm"/>
            </w:pPr>
            <w:r>
              <w:rPr>
                <w:szCs w:val="22"/>
              </w:rPr>
              <w:t>56068</w:t>
            </w:r>
          </w:p>
        </w:tc>
        <w:tc>
          <w:tcPr>
            <w:tcW w:w="1276" w:type="dxa"/>
            <w:vAlign w:val="bottom"/>
          </w:tcPr>
          <w:p>
            <w:pPr>
              <w:pStyle w:val="yTableNAm"/>
              <w:jc w:val="right"/>
            </w:pPr>
            <w:r>
              <w:rPr>
                <w:szCs w:val="22"/>
              </w:rPr>
              <w:t>$268.30</w:t>
            </w:r>
          </w:p>
        </w:tc>
      </w:tr>
      <w:tr>
        <w:tblPrEx>
          <w:tblCellMar>
            <w:left w:w="108" w:type="dxa"/>
            <w:right w:w="108" w:type="dxa"/>
          </w:tblCellMar>
        </w:tblPrEx>
        <w:tc>
          <w:tcPr>
            <w:tcW w:w="4820" w:type="dxa"/>
          </w:tcPr>
          <w:p>
            <w:pPr>
              <w:pStyle w:val="yTableNAm"/>
            </w:pPr>
            <w:r>
              <w:rPr>
                <w:szCs w:val="22"/>
              </w:rPr>
              <w:t>56070</w:t>
            </w:r>
          </w:p>
        </w:tc>
        <w:tc>
          <w:tcPr>
            <w:tcW w:w="1276" w:type="dxa"/>
            <w:vAlign w:val="bottom"/>
          </w:tcPr>
          <w:p>
            <w:pPr>
              <w:pStyle w:val="yTableNAm"/>
              <w:jc w:val="right"/>
            </w:pPr>
            <w:r>
              <w:rPr>
                <w:szCs w:val="22"/>
              </w:rPr>
              <w:t>$180.20</w:t>
            </w:r>
          </w:p>
        </w:tc>
      </w:tr>
      <w:tr>
        <w:tblPrEx>
          <w:tblCellMar>
            <w:left w:w="108" w:type="dxa"/>
            <w:right w:w="108" w:type="dxa"/>
          </w:tblCellMar>
        </w:tblPrEx>
        <w:tc>
          <w:tcPr>
            <w:tcW w:w="4820" w:type="dxa"/>
          </w:tcPr>
          <w:p>
            <w:pPr>
              <w:pStyle w:val="yTableNAm"/>
            </w:pPr>
            <w:r>
              <w:rPr>
                <w:szCs w:val="22"/>
              </w:rPr>
              <w:t>56076</w:t>
            </w:r>
          </w:p>
        </w:tc>
        <w:tc>
          <w:tcPr>
            <w:tcW w:w="1276" w:type="dxa"/>
            <w:vAlign w:val="bottom"/>
          </w:tcPr>
          <w:p>
            <w:pPr>
              <w:pStyle w:val="yTableNAm"/>
              <w:jc w:val="right"/>
            </w:pPr>
            <w:r>
              <w:rPr>
                <w:szCs w:val="22"/>
              </w:rPr>
              <w:t>$268.30</w:t>
            </w:r>
          </w:p>
        </w:tc>
      </w:tr>
      <w:tr>
        <w:tblPrEx>
          <w:tblCellMar>
            <w:left w:w="108" w:type="dxa"/>
            <w:right w:w="108" w:type="dxa"/>
          </w:tblCellMar>
        </w:tblPrEx>
        <w:tc>
          <w:tcPr>
            <w:tcW w:w="4820" w:type="dxa"/>
          </w:tcPr>
          <w:p>
            <w:pPr>
              <w:pStyle w:val="yTableNAm"/>
            </w:pPr>
            <w:r>
              <w:rPr>
                <w:szCs w:val="22"/>
              </w:rPr>
              <w:t>56101</w:t>
            </w:r>
          </w:p>
        </w:tc>
        <w:tc>
          <w:tcPr>
            <w:tcW w:w="1276" w:type="dxa"/>
            <w:vAlign w:val="bottom"/>
          </w:tcPr>
          <w:p>
            <w:pPr>
              <w:pStyle w:val="yTableNAm"/>
              <w:jc w:val="right"/>
            </w:pPr>
            <w:r>
              <w:rPr>
                <w:szCs w:val="22"/>
              </w:rPr>
              <w:t>$366.50</w:t>
            </w:r>
          </w:p>
        </w:tc>
      </w:tr>
      <w:tr>
        <w:tblPrEx>
          <w:tblCellMar>
            <w:left w:w="108" w:type="dxa"/>
            <w:right w:w="108" w:type="dxa"/>
          </w:tblCellMar>
        </w:tblPrEx>
        <w:tc>
          <w:tcPr>
            <w:tcW w:w="4820" w:type="dxa"/>
          </w:tcPr>
          <w:p>
            <w:pPr>
              <w:pStyle w:val="yTableNAm"/>
            </w:pPr>
            <w:r>
              <w:rPr>
                <w:szCs w:val="22"/>
              </w:rPr>
              <w:t>56107</w:t>
            </w:r>
          </w:p>
        </w:tc>
        <w:tc>
          <w:tcPr>
            <w:tcW w:w="1276" w:type="dxa"/>
            <w:vAlign w:val="bottom"/>
          </w:tcPr>
          <w:p>
            <w:pPr>
              <w:pStyle w:val="yTableNAm"/>
              <w:jc w:val="right"/>
            </w:pPr>
            <w:r>
              <w:rPr>
                <w:szCs w:val="22"/>
              </w:rPr>
              <w:t>$541.75</w:t>
            </w:r>
          </w:p>
        </w:tc>
      </w:tr>
      <w:tr>
        <w:tblPrEx>
          <w:tblCellMar>
            <w:left w:w="108" w:type="dxa"/>
            <w:right w:w="108" w:type="dxa"/>
          </w:tblCellMar>
        </w:tblPrEx>
        <w:tc>
          <w:tcPr>
            <w:tcW w:w="4820" w:type="dxa"/>
          </w:tcPr>
          <w:p>
            <w:pPr>
              <w:pStyle w:val="yTableNAm"/>
            </w:pPr>
            <w:r>
              <w:rPr>
                <w:szCs w:val="22"/>
              </w:rPr>
              <w:t>56141</w:t>
            </w:r>
          </w:p>
        </w:tc>
        <w:tc>
          <w:tcPr>
            <w:tcW w:w="1276" w:type="dxa"/>
            <w:vAlign w:val="bottom"/>
          </w:tcPr>
          <w:p>
            <w:pPr>
              <w:pStyle w:val="yTableNAm"/>
              <w:jc w:val="right"/>
            </w:pPr>
            <w:r>
              <w:rPr>
                <w:szCs w:val="22"/>
              </w:rPr>
              <w:t>$185.45</w:t>
            </w:r>
          </w:p>
        </w:tc>
      </w:tr>
      <w:tr>
        <w:tblPrEx>
          <w:tblCellMar>
            <w:left w:w="108" w:type="dxa"/>
            <w:right w:w="108" w:type="dxa"/>
          </w:tblCellMar>
        </w:tblPrEx>
        <w:tc>
          <w:tcPr>
            <w:tcW w:w="4820" w:type="dxa"/>
          </w:tcPr>
          <w:p>
            <w:pPr>
              <w:pStyle w:val="yTableNAm"/>
            </w:pPr>
            <w:r>
              <w:rPr>
                <w:szCs w:val="22"/>
              </w:rPr>
              <w:t>56147</w:t>
            </w:r>
          </w:p>
        </w:tc>
        <w:tc>
          <w:tcPr>
            <w:tcW w:w="1276" w:type="dxa"/>
            <w:vAlign w:val="bottom"/>
          </w:tcPr>
          <w:p>
            <w:pPr>
              <w:pStyle w:val="yTableNAm"/>
              <w:jc w:val="right"/>
            </w:pPr>
            <w:r>
              <w:rPr>
                <w:szCs w:val="22"/>
              </w:rPr>
              <w:t>$273.40</w:t>
            </w:r>
          </w:p>
        </w:tc>
      </w:tr>
      <w:tr>
        <w:tblPrEx>
          <w:tblCellMar>
            <w:left w:w="108" w:type="dxa"/>
            <w:right w:w="108" w:type="dxa"/>
          </w:tblCellMar>
        </w:tblPrEx>
        <w:tc>
          <w:tcPr>
            <w:tcW w:w="4820" w:type="dxa"/>
          </w:tcPr>
          <w:p>
            <w:pPr>
              <w:pStyle w:val="yTableNAm"/>
            </w:pPr>
            <w:r>
              <w:rPr>
                <w:szCs w:val="22"/>
              </w:rPr>
              <w:t>56219</w:t>
            </w:r>
          </w:p>
        </w:tc>
        <w:tc>
          <w:tcPr>
            <w:tcW w:w="1276" w:type="dxa"/>
            <w:vAlign w:val="bottom"/>
          </w:tcPr>
          <w:p>
            <w:pPr>
              <w:pStyle w:val="yTableNAm"/>
              <w:jc w:val="right"/>
            </w:pPr>
            <w:r>
              <w:rPr>
                <w:szCs w:val="22"/>
              </w:rPr>
              <w:t>$519.65</w:t>
            </w:r>
          </w:p>
        </w:tc>
      </w:tr>
      <w:tr>
        <w:tblPrEx>
          <w:tblCellMar>
            <w:left w:w="108" w:type="dxa"/>
            <w:right w:w="108" w:type="dxa"/>
          </w:tblCellMar>
        </w:tblPrEx>
        <w:tc>
          <w:tcPr>
            <w:tcW w:w="4820" w:type="dxa"/>
          </w:tcPr>
          <w:p>
            <w:pPr>
              <w:pStyle w:val="yTableNAm"/>
            </w:pPr>
            <w:r>
              <w:rPr>
                <w:szCs w:val="22"/>
              </w:rPr>
              <w:t>56220</w:t>
            </w:r>
          </w:p>
        </w:tc>
        <w:tc>
          <w:tcPr>
            <w:tcW w:w="1276" w:type="dxa"/>
            <w:vAlign w:val="bottom"/>
          </w:tcPr>
          <w:p>
            <w:pPr>
              <w:pStyle w:val="yTableNAm"/>
              <w:jc w:val="right"/>
            </w:pPr>
            <w:r>
              <w:rPr>
                <w:szCs w:val="22"/>
              </w:rPr>
              <w:t>$382.35</w:t>
            </w:r>
          </w:p>
        </w:tc>
      </w:tr>
      <w:tr>
        <w:tblPrEx>
          <w:tblCellMar>
            <w:left w:w="108" w:type="dxa"/>
            <w:right w:w="108" w:type="dxa"/>
          </w:tblCellMar>
        </w:tblPrEx>
        <w:tc>
          <w:tcPr>
            <w:tcW w:w="4820" w:type="dxa"/>
          </w:tcPr>
          <w:p>
            <w:pPr>
              <w:pStyle w:val="yTableNAm"/>
            </w:pPr>
            <w:r>
              <w:rPr>
                <w:szCs w:val="22"/>
              </w:rPr>
              <w:t>56221</w:t>
            </w:r>
          </w:p>
        </w:tc>
        <w:tc>
          <w:tcPr>
            <w:tcW w:w="1276" w:type="dxa"/>
            <w:vAlign w:val="bottom"/>
          </w:tcPr>
          <w:p>
            <w:pPr>
              <w:pStyle w:val="yTableNAm"/>
              <w:jc w:val="right"/>
            </w:pPr>
            <w:r>
              <w:rPr>
                <w:szCs w:val="22"/>
              </w:rPr>
              <w:t>$382.35</w:t>
            </w:r>
          </w:p>
        </w:tc>
      </w:tr>
      <w:tr>
        <w:tblPrEx>
          <w:tblCellMar>
            <w:left w:w="108" w:type="dxa"/>
            <w:right w:w="108" w:type="dxa"/>
          </w:tblCellMar>
        </w:tblPrEx>
        <w:tc>
          <w:tcPr>
            <w:tcW w:w="4820" w:type="dxa"/>
          </w:tcPr>
          <w:p>
            <w:pPr>
              <w:pStyle w:val="yTableNAm"/>
            </w:pPr>
            <w:r>
              <w:rPr>
                <w:szCs w:val="22"/>
              </w:rPr>
              <w:t>56223</w:t>
            </w:r>
          </w:p>
        </w:tc>
        <w:tc>
          <w:tcPr>
            <w:tcW w:w="1276" w:type="dxa"/>
            <w:vAlign w:val="bottom"/>
          </w:tcPr>
          <w:p>
            <w:pPr>
              <w:pStyle w:val="yTableNAm"/>
              <w:jc w:val="right"/>
            </w:pPr>
            <w:r>
              <w:rPr>
                <w:szCs w:val="22"/>
              </w:rPr>
              <w:t>$382.35</w:t>
            </w:r>
          </w:p>
        </w:tc>
      </w:tr>
      <w:tr>
        <w:tblPrEx>
          <w:tblCellMar>
            <w:left w:w="108" w:type="dxa"/>
            <w:right w:w="108" w:type="dxa"/>
          </w:tblCellMar>
        </w:tblPrEx>
        <w:tc>
          <w:tcPr>
            <w:tcW w:w="4820" w:type="dxa"/>
          </w:tcPr>
          <w:p>
            <w:pPr>
              <w:pStyle w:val="yTableNAm"/>
            </w:pPr>
            <w:r>
              <w:rPr>
                <w:szCs w:val="22"/>
              </w:rPr>
              <w:t>56224</w:t>
            </w:r>
          </w:p>
        </w:tc>
        <w:tc>
          <w:tcPr>
            <w:tcW w:w="1276" w:type="dxa"/>
            <w:vAlign w:val="bottom"/>
          </w:tcPr>
          <w:p>
            <w:pPr>
              <w:pStyle w:val="yTableNAm"/>
              <w:jc w:val="right"/>
            </w:pPr>
            <w:r>
              <w:rPr>
                <w:szCs w:val="22"/>
              </w:rPr>
              <w:t>$559.80</w:t>
            </w:r>
          </w:p>
        </w:tc>
      </w:tr>
      <w:tr>
        <w:tblPrEx>
          <w:tblCellMar>
            <w:left w:w="108" w:type="dxa"/>
            <w:right w:w="108" w:type="dxa"/>
          </w:tblCellMar>
        </w:tblPrEx>
        <w:tc>
          <w:tcPr>
            <w:tcW w:w="4820" w:type="dxa"/>
          </w:tcPr>
          <w:p>
            <w:pPr>
              <w:pStyle w:val="yTableNAm"/>
            </w:pPr>
            <w:r>
              <w:rPr>
                <w:szCs w:val="22"/>
              </w:rPr>
              <w:t>56225</w:t>
            </w:r>
          </w:p>
        </w:tc>
        <w:tc>
          <w:tcPr>
            <w:tcW w:w="1276" w:type="dxa"/>
            <w:vAlign w:val="bottom"/>
          </w:tcPr>
          <w:p>
            <w:pPr>
              <w:pStyle w:val="yTableNAm"/>
              <w:jc w:val="right"/>
            </w:pPr>
            <w:r>
              <w:rPr>
                <w:szCs w:val="22"/>
              </w:rPr>
              <w:t>$559.80</w:t>
            </w:r>
          </w:p>
        </w:tc>
      </w:tr>
      <w:tr>
        <w:tblPrEx>
          <w:tblCellMar>
            <w:left w:w="108" w:type="dxa"/>
            <w:right w:w="108" w:type="dxa"/>
          </w:tblCellMar>
        </w:tblPrEx>
        <w:tc>
          <w:tcPr>
            <w:tcW w:w="4820" w:type="dxa"/>
          </w:tcPr>
          <w:p>
            <w:pPr>
              <w:pStyle w:val="yTableNAm"/>
            </w:pPr>
            <w:r>
              <w:rPr>
                <w:szCs w:val="22"/>
              </w:rPr>
              <w:t>56226</w:t>
            </w:r>
          </w:p>
        </w:tc>
        <w:tc>
          <w:tcPr>
            <w:tcW w:w="1276" w:type="dxa"/>
            <w:vAlign w:val="bottom"/>
          </w:tcPr>
          <w:p>
            <w:pPr>
              <w:pStyle w:val="yTableNAm"/>
              <w:jc w:val="right"/>
            </w:pPr>
            <w:r>
              <w:rPr>
                <w:szCs w:val="22"/>
              </w:rPr>
              <w:t>$559.80</w:t>
            </w:r>
          </w:p>
        </w:tc>
      </w:tr>
      <w:tr>
        <w:tblPrEx>
          <w:tblCellMar>
            <w:left w:w="108" w:type="dxa"/>
            <w:right w:w="108" w:type="dxa"/>
          </w:tblCellMar>
        </w:tblPrEx>
        <w:tc>
          <w:tcPr>
            <w:tcW w:w="4820" w:type="dxa"/>
          </w:tcPr>
          <w:p>
            <w:pPr>
              <w:pStyle w:val="yTableNAm"/>
            </w:pPr>
            <w:r>
              <w:rPr>
                <w:szCs w:val="22"/>
              </w:rPr>
              <w:t>56227</w:t>
            </w:r>
          </w:p>
        </w:tc>
        <w:tc>
          <w:tcPr>
            <w:tcW w:w="1276" w:type="dxa"/>
            <w:vAlign w:val="bottom"/>
          </w:tcPr>
          <w:p>
            <w:pPr>
              <w:pStyle w:val="yTableNAm"/>
              <w:jc w:val="right"/>
            </w:pPr>
            <w:r>
              <w:rPr>
                <w:szCs w:val="22"/>
              </w:rPr>
              <w:t>$195.15</w:t>
            </w:r>
          </w:p>
        </w:tc>
      </w:tr>
      <w:tr>
        <w:tblPrEx>
          <w:tblCellMar>
            <w:left w:w="108" w:type="dxa"/>
            <w:right w:w="108" w:type="dxa"/>
          </w:tblCellMar>
        </w:tblPrEx>
        <w:tc>
          <w:tcPr>
            <w:tcW w:w="4820" w:type="dxa"/>
          </w:tcPr>
          <w:p>
            <w:pPr>
              <w:pStyle w:val="yTableNAm"/>
            </w:pPr>
            <w:r>
              <w:rPr>
                <w:szCs w:val="22"/>
              </w:rPr>
              <w:t>56228</w:t>
            </w:r>
          </w:p>
        </w:tc>
        <w:tc>
          <w:tcPr>
            <w:tcW w:w="1276" w:type="dxa"/>
            <w:vAlign w:val="bottom"/>
          </w:tcPr>
          <w:p>
            <w:pPr>
              <w:pStyle w:val="yTableNAm"/>
              <w:jc w:val="right"/>
            </w:pPr>
            <w:r>
              <w:rPr>
                <w:szCs w:val="22"/>
              </w:rPr>
              <w:t>$195.15</w:t>
            </w:r>
          </w:p>
        </w:tc>
      </w:tr>
      <w:tr>
        <w:tblPrEx>
          <w:tblCellMar>
            <w:left w:w="108" w:type="dxa"/>
            <w:right w:w="108" w:type="dxa"/>
          </w:tblCellMar>
        </w:tblPrEx>
        <w:tc>
          <w:tcPr>
            <w:tcW w:w="4820" w:type="dxa"/>
          </w:tcPr>
          <w:p>
            <w:pPr>
              <w:pStyle w:val="yTableNAm"/>
            </w:pPr>
            <w:r>
              <w:rPr>
                <w:szCs w:val="22"/>
              </w:rPr>
              <w:t>56229</w:t>
            </w:r>
          </w:p>
        </w:tc>
        <w:tc>
          <w:tcPr>
            <w:tcW w:w="1276" w:type="dxa"/>
            <w:vAlign w:val="bottom"/>
          </w:tcPr>
          <w:p>
            <w:pPr>
              <w:pStyle w:val="yTableNAm"/>
              <w:jc w:val="right"/>
            </w:pPr>
            <w:r>
              <w:rPr>
                <w:szCs w:val="22"/>
              </w:rPr>
              <w:t>$195.15</w:t>
            </w:r>
          </w:p>
        </w:tc>
      </w:tr>
      <w:tr>
        <w:tblPrEx>
          <w:tblCellMar>
            <w:left w:w="108" w:type="dxa"/>
            <w:right w:w="108" w:type="dxa"/>
          </w:tblCellMar>
        </w:tblPrEx>
        <w:tc>
          <w:tcPr>
            <w:tcW w:w="4820" w:type="dxa"/>
          </w:tcPr>
          <w:p>
            <w:pPr>
              <w:pStyle w:val="yTableNAm"/>
            </w:pPr>
            <w:r>
              <w:rPr>
                <w:szCs w:val="22"/>
              </w:rPr>
              <w:t>56230</w:t>
            </w:r>
          </w:p>
        </w:tc>
        <w:tc>
          <w:tcPr>
            <w:tcW w:w="1276" w:type="dxa"/>
            <w:vAlign w:val="bottom"/>
          </w:tcPr>
          <w:p>
            <w:pPr>
              <w:pStyle w:val="yTableNAm"/>
              <w:jc w:val="right"/>
            </w:pPr>
            <w:r>
              <w:rPr>
                <w:szCs w:val="22"/>
              </w:rPr>
              <w:t>$282.65</w:t>
            </w:r>
          </w:p>
        </w:tc>
      </w:tr>
      <w:tr>
        <w:tblPrEx>
          <w:tblCellMar>
            <w:left w:w="108" w:type="dxa"/>
            <w:right w:w="108" w:type="dxa"/>
          </w:tblCellMar>
        </w:tblPrEx>
        <w:tc>
          <w:tcPr>
            <w:tcW w:w="4820" w:type="dxa"/>
          </w:tcPr>
          <w:p>
            <w:pPr>
              <w:pStyle w:val="yTableNAm"/>
            </w:pPr>
            <w:r>
              <w:rPr>
                <w:szCs w:val="22"/>
              </w:rPr>
              <w:t>56231</w:t>
            </w:r>
          </w:p>
        </w:tc>
        <w:tc>
          <w:tcPr>
            <w:tcW w:w="1276" w:type="dxa"/>
            <w:vAlign w:val="bottom"/>
          </w:tcPr>
          <w:p>
            <w:pPr>
              <w:pStyle w:val="yTableNAm"/>
              <w:jc w:val="right"/>
            </w:pPr>
            <w:r>
              <w:rPr>
                <w:szCs w:val="22"/>
              </w:rPr>
              <w:t>$282.65</w:t>
            </w:r>
          </w:p>
        </w:tc>
      </w:tr>
      <w:tr>
        <w:tblPrEx>
          <w:tblCellMar>
            <w:left w:w="108" w:type="dxa"/>
            <w:right w:w="108" w:type="dxa"/>
          </w:tblCellMar>
        </w:tblPrEx>
        <w:tc>
          <w:tcPr>
            <w:tcW w:w="4820" w:type="dxa"/>
          </w:tcPr>
          <w:p>
            <w:pPr>
              <w:pStyle w:val="yTableNAm"/>
            </w:pPr>
            <w:r>
              <w:rPr>
                <w:szCs w:val="22"/>
              </w:rPr>
              <w:t>56232</w:t>
            </w:r>
          </w:p>
        </w:tc>
        <w:tc>
          <w:tcPr>
            <w:tcW w:w="1276" w:type="dxa"/>
            <w:vAlign w:val="bottom"/>
          </w:tcPr>
          <w:p>
            <w:pPr>
              <w:pStyle w:val="yTableNAm"/>
              <w:jc w:val="right"/>
            </w:pPr>
            <w:r>
              <w:rPr>
                <w:szCs w:val="22"/>
              </w:rPr>
              <w:t>$282.65</w:t>
            </w:r>
          </w:p>
        </w:tc>
      </w:tr>
      <w:tr>
        <w:tblPrEx>
          <w:tblCellMar>
            <w:left w:w="108" w:type="dxa"/>
            <w:right w:w="108" w:type="dxa"/>
          </w:tblCellMar>
        </w:tblPrEx>
        <w:tc>
          <w:tcPr>
            <w:tcW w:w="4820" w:type="dxa"/>
          </w:tcPr>
          <w:p>
            <w:pPr>
              <w:pStyle w:val="yTableNAm"/>
            </w:pPr>
            <w:r>
              <w:rPr>
                <w:szCs w:val="22"/>
              </w:rPr>
              <w:t>56233</w:t>
            </w:r>
          </w:p>
        </w:tc>
        <w:tc>
          <w:tcPr>
            <w:tcW w:w="1276" w:type="dxa"/>
            <w:vAlign w:val="bottom"/>
          </w:tcPr>
          <w:p>
            <w:pPr>
              <w:pStyle w:val="yTableNAm"/>
              <w:jc w:val="right"/>
            </w:pPr>
            <w:r>
              <w:rPr>
                <w:szCs w:val="22"/>
              </w:rPr>
              <w:t>$382.35</w:t>
            </w:r>
          </w:p>
        </w:tc>
      </w:tr>
      <w:tr>
        <w:tblPrEx>
          <w:tblCellMar>
            <w:left w:w="108" w:type="dxa"/>
            <w:right w:w="108" w:type="dxa"/>
          </w:tblCellMar>
        </w:tblPrEx>
        <w:tc>
          <w:tcPr>
            <w:tcW w:w="4820" w:type="dxa"/>
          </w:tcPr>
          <w:p>
            <w:pPr>
              <w:pStyle w:val="yTableNAm"/>
            </w:pPr>
            <w:r>
              <w:rPr>
                <w:szCs w:val="22"/>
              </w:rPr>
              <w:t>56234</w:t>
            </w:r>
          </w:p>
        </w:tc>
        <w:tc>
          <w:tcPr>
            <w:tcW w:w="1276" w:type="dxa"/>
            <w:vAlign w:val="bottom"/>
          </w:tcPr>
          <w:p>
            <w:pPr>
              <w:pStyle w:val="yTableNAm"/>
              <w:jc w:val="right"/>
            </w:pPr>
            <w:r>
              <w:rPr>
                <w:szCs w:val="22"/>
              </w:rPr>
              <w:t>$559.80</w:t>
            </w:r>
          </w:p>
        </w:tc>
      </w:tr>
      <w:tr>
        <w:tblPrEx>
          <w:tblCellMar>
            <w:left w:w="108" w:type="dxa"/>
            <w:right w:w="108" w:type="dxa"/>
          </w:tblCellMar>
        </w:tblPrEx>
        <w:tc>
          <w:tcPr>
            <w:tcW w:w="4820" w:type="dxa"/>
          </w:tcPr>
          <w:p>
            <w:pPr>
              <w:pStyle w:val="yTableNAm"/>
            </w:pPr>
            <w:r>
              <w:rPr>
                <w:szCs w:val="22"/>
              </w:rPr>
              <w:t>56235</w:t>
            </w:r>
          </w:p>
        </w:tc>
        <w:tc>
          <w:tcPr>
            <w:tcW w:w="1276" w:type="dxa"/>
            <w:vAlign w:val="bottom"/>
          </w:tcPr>
          <w:p>
            <w:pPr>
              <w:pStyle w:val="yTableNAm"/>
              <w:jc w:val="right"/>
            </w:pPr>
            <w:r>
              <w:rPr>
                <w:szCs w:val="22"/>
              </w:rPr>
              <w:t>$195.10</w:t>
            </w:r>
          </w:p>
        </w:tc>
      </w:tr>
      <w:tr>
        <w:tblPrEx>
          <w:tblCellMar>
            <w:left w:w="108" w:type="dxa"/>
            <w:right w:w="108" w:type="dxa"/>
          </w:tblCellMar>
        </w:tblPrEx>
        <w:tc>
          <w:tcPr>
            <w:tcW w:w="4820" w:type="dxa"/>
          </w:tcPr>
          <w:p>
            <w:pPr>
              <w:pStyle w:val="yTableNAm"/>
            </w:pPr>
            <w:r>
              <w:rPr>
                <w:szCs w:val="22"/>
              </w:rPr>
              <w:t>56236</w:t>
            </w:r>
          </w:p>
        </w:tc>
        <w:tc>
          <w:tcPr>
            <w:tcW w:w="1276" w:type="dxa"/>
            <w:vAlign w:val="bottom"/>
          </w:tcPr>
          <w:p>
            <w:pPr>
              <w:pStyle w:val="yTableNAm"/>
              <w:jc w:val="right"/>
            </w:pPr>
            <w:r>
              <w:rPr>
                <w:szCs w:val="22"/>
              </w:rPr>
              <w:t>$282.65</w:t>
            </w:r>
          </w:p>
        </w:tc>
      </w:tr>
      <w:tr>
        <w:tblPrEx>
          <w:tblCellMar>
            <w:left w:w="108" w:type="dxa"/>
            <w:right w:w="108" w:type="dxa"/>
          </w:tblCellMar>
        </w:tblPrEx>
        <w:tc>
          <w:tcPr>
            <w:tcW w:w="4820" w:type="dxa"/>
          </w:tcPr>
          <w:p>
            <w:pPr>
              <w:pStyle w:val="yTableNAm"/>
            </w:pPr>
            <w:r>
              <w:rPr>
                <w:szCs w:val="22"/>
              </w:rPr>
              <w:t>56237</w:t>
            </w:r>
          </w:p>
        </w:tc>
        <w:tc>
          <w:tcPr>
            <w:tcW w:w="1276" w:type="dxa"/>
            <w:vAlign w:val="bottom"/>
          </w:tcPr>
          <w:p>
            <w:pPr>
              <w:pStyle w:val="yTableNAm"/>
              <w:jc w:val="right"/>
            </w:pPr>
            <w:r>
              <w:rPr>
                <w:szCs w:val="22"/>
              </w:rPr>
              <w:t>$382.35</w:t>
            </w:r>
          </w:p>
        </w:tc>
      </w:tr>
      <w:tr>
        <w:tblPrEx>
          <w:tblCellMar>
            <w:left w:w="108" w:type="dxa"/>
            <w:right w:w="108" w:type="dxa"/>
          </w:tblCellMar>
        </w:tblPrEx>
        <w:tc>
          <w:tcPr>
            <w:tcW w:w="4820" w:type="dxa"/>
          </w:tcPr>
          <w:p>
            <w:pPr>
              <w:pStyle w:val="yTableNAm"/>
            </w:pPr>
            <w:r>
              <w:rPr>
                <w:szCs w:val="22"/>
              </w:rPr>
              <w:t>56238</w:t>
            </w:r>
          </w:p>
        </w:tc>
        <w:tc>
          <w:tcPr>
            <w:tcW w:w="1276" w:type="dxa"/>
            <w:vAlign w:val="bottom"/>
          </w:tcPr>
          <w:p>
            <w:pPr>
              <w:pStyle w:val="yTableNAm"/>
              <w:jc w:val="right"/>
            </w:pPr>
            <w:r>
              <w:rPr>
                <w:szCs w:val="22"/>
              </w:rPr>
              <w:t>$559.80</w:t>
            </w:r>
          </w:p>
        </w:tc>
      </w:tr>
      <w:tr>
        <w:tblPrEx>
          <w:tblCellMar>
            <w:left w:w="108" w:type="dxa"/>
            <w:right w:w="108" w:type="dxa"/>
          </w:tblCellMar>
        </w:tblPrEx>
        <w:tc>
          <w:tcPr>
            <w:tcW w:w="4820" w:type="dxa"/>
          </w:tcPr>
          <w:p>
            <w:pPr>
              <w:pStyle w:val="yTableNAm"/>
            </w:pPr>
            <w:r>
              <w:rPr>
                <w:szCs w:val="22"/>
              </w:rPr>
              <w:t>56239</w:t>
            </w:r>
          </w:p>
        </w:tc>
        <w:tc>
          <w:tcPr>
            <w:tcW w:w="1276" w:type="dxa"/>
            <w:vAlign w:val="bottom"/>
          </w:tcPr>
          <w:p>
            <w:pPr>
              <w:pStyle w:val="yTableNAm"/>
              <w:jc w:val="right"/>
            </w:pPr>
            <w:r>
              <w:rPr>
                <w:szCs w:val="22"/>
              </w:rPr>
              <w:t>$195.10</w:t>
            </w:r>
          </w:p>
        </w:tc>
      </w:tr>
      <w:tr>
        <w:tblPrEx>
          <w:tblCellMar>
            <w:left w:w="108" w:type="dxa"/>
            <w:right w:w="108" w:type="dxa"/>
          </w:tblCellMar>
        </w:tblPrEx>
        <w:tc>
          <w:tcPr>
            <w:tcW w:w="4820" w:type="dxa"/>
          </w:tcPr>
          <w:p>
            <w:pPr>
              <w:pStyle w:val="yTableNAm"/>
            </w:pPr>
            <w:r>
              <w:rPr>
                <w:szCs w:val="22"/>
              </w:rPr>
              <w:t>56240</w:t>
            </w:r>
          </w:p>
        </w:tc>
        <w:tc>
          <w:tcPr>
            <w:tcW w:w="1276" w:type="dxa"/>
            <w:vAlign w:val="bottom"/>
          </w:tcPr>
          <w:p>
            <w:pPr>
              <w:pStyle w:val="yTableNAm"/>
              <w:jc w:val="right"/>
            </w:pPr>
            <w:r>
              <w:rPr>
                <w:szCs w:val="22"/>
              </w:rPr>
              <w:t>$282.65</w:t>
            </w:r>
          </w:p>
        </w:tc>
      </w:tr>
      <w:tr>
        <w:tblPrEx>
          <w:tblCellMar>
            <w:left w:w="108" w:type="dxa"/>
            <w:right w:w="108" w:type="dxa"/>
          </w:tblCellMar>
        </w:tblPrEx>
        <w:tc>
          <w:tcPr>
            <w:tcW w:w="4820" w:type="dxa"/>
          </w:tcPr>
          <w:p>
            <w:pPr>
              <w:pStyle w:val="yTableNAm"/>
            </w:pPr>
            <w:r>
              <w:rPr>
                <w:szCs w:val="22"/>
              </w:rPr>
              <w:t>56259</w:t>
            </w:r>
          </w:p>
        </w:tc>
        <w:tc>
          <w:tcPr>
            <w:tcW w:w="1276" w:type="dxa"/>
            <w:vAlign w:val="bottom"/>
          </w:tcPr>
          <w:p>
            <w:pPr>
              <w:pStyle w:val="yTableNAm"/>
              <w:jc w:val="right"/>
            </w:pPr>
            <w:r>
              <w:rPr>
                <w:szCs w:val="22"/>
              </w:rPr>
              <w:t>$262.50</w:t>
            </w:r>
          </w:p>
        </w:tc>
      </w:tr>
      <w:tr>
        <w:tblPrEx>
          <w:tblCellMar>
            <w:left w:w="108" w:type="dxa"/>
            <w:right w:w="108" w:type="dxa"/>
          </w:tblCellMar>
        </w:tblPrEx>
        <w:tc>
          <w:tcPr>
            <w:tcW w:w="4820" w:type="dxa"/>
          </w:tcPr>
          <w:p>
            <w:pPr>
              <w:pStyle w:val="yTableNAm"/>
            </w:pPr>
            <w:r>
              <w:rPr>
                <w:szCs w:val="22"/>
              </w:rPr>
              <w:t>56301</w:t>
            </w:r>
          </w:p>
        </w:tc>
        <w:tc>
          <w:tcPr>
            <w:tcW w:w="1276" w:type="dxa"/>
            <w:vAlign w:val="bottom"/>
          </w:tcPr>
          <w:p>
            <w:pPr>
              <w:pStyle w:val="yTableNAm"/>
              <w:jc w:val="right"/>
            </w:pPr>
            <w:r>
              <w:rPr>
                <w:szCs w:val="22"/>
              </w:rPr>
              <w:t>$470.00</w:t>
            </w:r>
          </w:p>
        </w:tc>
      </w:tr>
      <w:tr>
        <w:tblPrEx>
          <w:tblCellMar>
            <w:left w:w="108" w:type="dxa"/>
            <w:right w:w="108" w:type="dxa"/>
          </w:tblCellMar>
        </w:tblPrEx>
        <w:tc>
          <w:tcPr>
            <w:tcW w:w="4820" w:type="dxa"/>
          </w:tcPr>
          <w:p>
            <w:pPr>
              <w:pStyle w:val="yTableNAm"/>
            </w:pPr>
            <w:r>
              <w:rPr>
                <w:szCs w:val="22"/>
              </w:rPr>
              <w:t>56307</w:t>
            </w:r>
          </w:p>
        </w:tc>
        <w:tc>
          <w:tcPr>
            <w:tcW w:w="1276" w:type="dxa"/>
            <w:vAlign w:val="bottom"/>
          </w:tcPr>
          <w:p>
            <w:pPr>
              <w:pStyle w:val="yTableNAm"/>
              <w:jc w:val="right"/>
            </w:pPr>
            <w:r>
              <w:rPr>
                <w:szCs w:val="22"/>
              </w:rPr>
              <w:t>$637.10</w:t>
            </w:r>
          </w:p>
        </w:tc>
      </w:tr>
      <w:tr>
        <w:tblPrEx>
          <w:tblCellMar>
            <w:left w:w="108" w:type="dxa"/>
            <w:right w:w="108" w:type="dxa"/>
          </w:tblCellMar>
        </w:tblPrEx>
        <w:tc>
          <w:tcPr>
            <w:tcW w:w="4820" w:type="dxa"/>
          </w:tcPr>
          <w:p>
            <w:pPr>
              <w:pStyle w:val="yTableNAm"/>
            </w:pPr>
            <w:r>
              <w:rPr>
                <w:szCs w:val="22"/>
              </w:rPr>
              <w:t>56341</w:t>
            </w:r>
          </w:p>
        </w:tc>
        <w:tc>
          <w:tcPr>
            <w:tcW w:w="1276" w:type="dxa"/>
            <w:vAlign w:val="bottom"/>
          </w:tcPr>
          <w:p>
            <w:pPr>
              <w:pStyle w:val="yTableNAm"/>
              <w:jc w:val="right"/>
            </w:pPr>
            <w:r>
              <w:rPr>
                <w:szCs w:val="22"/>
              </w:rPr>
              <w:t>$238.10</w:t>
            </w:r>
          </w:p>
        </w:tc>
      </w:tr>
      <w:tr>
        <w:tblPrEx>
          <w:tblCellMar>
            <w:left w:w="108" w:type="dxa"/>
            <w:right w:w="108" w:type="dxa"/>
          </w:tblCellMar>
        </w:tblPrEx>
        <w:tc>
          <w:tcPr>
            <w:tcW w:w="4820" w:type="dxa"/>
          </w:tcPr>
          <w:p>
            <w:pPr>
              <w:pStyle w:val="yTableNAm"/>
            </w:pPr>
            <w:r>
              <w:rPr>
                <w:szCs w:val="22"/>
              </w:rPr>
              <w:t>56347</w:t>
            </w:r>
          </w:p>
        </w:tc>
        <w:tc>
          <w:tcPr>
            <w:tcW w:w="1276" w:type="dxa"/>
            <w:vAlign w:val="bottom"/>
          </w:tcPr>
          <w:p>
            <w:pPr>
              <w:pStyle w:val="yTableNAm"/>
              <w:jc w:val="right"/>
            </w:pPr>
            <w:r>
              <w:rPr>
                <w:szCs w:val="22"/>
              </w:rPr>
              <w:t>$321.75</w:t>
            </w:r>
          </w:p>
        </w:tc>
      </w:tr>
      <w:tr>
        <w:tblPrEx>
          <w:tblCellMar>
            <w:left w:w="108" w:type="dxa"/>
            <w:right w:w="108" w:type="dxa"/>
          </w:tblCellMar>
        </w:tblPrEx>
        <w:tc>
          <w:tcPr>
            <w:tcW w:w="4820" w:type="dxa"/>
          </w:tcPr>
          <w:p>
            <w:pPr>
              <w:pStyle w:val="yTableNAm"/>
            </w:pPr>
            <w:r>
              <w:rPr>
                <w:szCs w:val="22"/>
              </w:rPr>
              <w:t>56401</w:t>
            </w:r>
          </w:p>
        </w:tc>
        <w:tc>
          <w:tcPr>
            <w:tcW w:w="1276" w:type="dxa"/>
            <w:vAlign w:val="bottom"/>
          </w:tcPr>
          <w:p>
            <w:pPr>
              <w:pStyle w:val="yTableNAm"/>
              <w:jc w:val="right"/>
            </w:pPr>
            <w:r>
              <w:rPr>
                <w:szCs w:val="22"/>
              </w:rPr>
              <w:t>$398.30</w:t>
            </w:r>
          </w:p>
        </w:tc>
      </w:tr>
      <w:tr>
        <w:tblPrEx>
          <w:tblCellMar>
            <w:left w:w="108" w:type="dxa"/>
            <w:right w:w="108" w:type="dxa"/>
          </w:tblCellMar>
        </w:tblPrEx>
        <w:tc>
          <w:tcPr>
            <w:tcW w:w="4820" w:type="dxa"/>
          </w:tcPr>
          <w:p>
            <w:pPr>
              <w:pStyle w:val="yTableNAm"/>
            </w:pPr>
            <w:r>
              <w:rPr>
                <w:szCs w:val="22"/>
              </w:rPr>
              <w:t>56407</w:t>
            </w:r>
          </w:p>
        </w:tc>
        <w:tc>
          <w:tcPr>
            <w:tcW w:w="1276" w:type="dxa"/>
            <w:vAlign w:val="bottom"/>
          </w:tcPr>
          <w:p>
            <w:pPr>
              <w:pStyle w:val="yTableNAm"/>
              <w:jc w:val="right"/>
            </w:pPr>
            <w:r>
              <w:rPr>
                <w:szCs w:val="22"/>
              </w:rPr>
              <w:t>$573.45</w:t>
            </w:r>
          </w:p>
        </w:tc>
      </w:tr>
      <w:tr>
        <w:tblPrEx>
          <w:tblCellMar>
            <w:left w:w="108" w:type="dxa"/>
            <w:right w:w="108" w:type="dxa"/>
          </w:tblCellMar>
        </w:tblPrEx>
        <w:tc>
          <w:tcPr>
            <w:tcW w:w="4820" w:type="dxa"/>
          </w:tcPr>
          <w:p>
            <w:pPr>
              <w:pStyle w:val="yTableNAm"/>
            </w:pPr>
            <w:r>
              <w:rPr>
                <w:szCs w:val="22"/>
              </w:rPr>
              <w:t>56409</w:t>
            </w:r>
          </w:p>
        </w:tc>
        <w:tc>
          <w:tcPr>
            <w:tcW w:w="1276" w:type="dxa"/>
            <w:vAlign w:val="bottom"/>
          </w:tcPr>
          <w:p>
            <w:pPr>
              <w:pStyle w:val="yTableNAm"/>
              <w:jc w:val="right"/>
            </w:pPr>
            <w:r>
              <w:rPr>
                <w:szCs w:val="22"/>
              </w:rPr>
              <w:t>$398.30</w:t>
            </w:r>
          </w:p>
        </w:tc>
      </w:tr>
      <w:tr>
        <w:tblPrEx>
          <w:tblCellMar>
            <w:left w:w="108" w:type="dxa"/>
            <w:right w:w="108" w:type="dxa"/>
          </w:tblCellMar>
        </w:tblPrEx>
        <w:tc>
          <w:tcPr>
            <w:tcW w:w="4820" w:type="dxa"/>
          </w:tcPr>
          <w:p>
            <w:pPr>
              <w:pStyle w:val="yTableNAm"/>
            </w:pPr>
            <w:r>
              <w:rPr>
                <w:szCs w:val="22"/>
              </w:rPr>
              <w:t>56412</w:t>
            </w:r>
          </w:p>
        </w:tc>
        <w:tc>
          <w:tcPr>
            <w:tcW w:w="1276" w:type="dxa"/>
            <w:vAlign w:val="bottom"/>
          </w:tcPr>
          <w:p>
            <w:pPr>
              <w:pStyle w:val="yTableNAm"/>
              <w:jc w:val="right"/>
            </w:pPr>
            <w:r>
              <w:rPr>
                <w:szCs w:val="22"/>
              </w:rPr>
              <w:t>$573.45</w:t>
            </w:r>
          </w:p>
        </w:tc>
      </w:tr>
      <w:tr>
        <w:tblPrEx>
          <w:tblCellMar>
            <w:left w:w="108" w:type="dxa"/>
            <w:right w:w="108" w:type="dxa"/>
          </w:tblCellMar>
        </w:tblPrEx>
        <w:tc>
          <w:tcPr>
            <w:tcW w:w="4820" w:type="dxa"/>
          </w:tcPr>
          <w:p>
            <w:pPr>
              <w:pStyle w:val="yTableNAm"/>
            </w:pPr>
            <w:r>
              <w:rPr>
                <w:szCs w:val="22"/>
              </w:rPr>
              <w:t>56441</w:t>
            </w:r>
          </w:p>
        </w:tc>
        <w:tc>
          <w:tcPr>
            <w:tcW w:w="1276" w:type="dxa"/>
            <w:vAlign w:val="bottom"/>
          </w:tcPr>
          <w:p>
            <w:pPr>
              <w:pStyle w:val="yTableNAm"/>
              <w:jc w:val="right"/>
            </w:pPr>
            <w:r>
              <w:rPr>
                <w:szCs w:val="22"/>
              </w:rPr>
              <w:t>$201.95</w:t>
            </w:r>
          </w:p>
        </w:tc>
      </w:tr>
      <w:tr>
        <w:tblPrEx>
          <w:tblCellMar>
            <w:left w:w="108" w:type="dxa"/>
            <w:right w:w="108" w:type="dxa"/>
          </w:tblCellMar>
        </w:tblPrEx>
        <w:tc>
          <w:tcPr>
            <w:tcW w:w="4820" w:type="dxa"/>
          </w:tcPr>
          <w:p>
            <w:pPr>
              <w:pStyle w:val="yTableNAm"/>
            </w:pPr>
            <w:r>
              <w:rPr>
                <w:szCs w:val="22"/>
              </w:rPr>
              <w:t>56447</w:t>
            </w:r>
          </w:p>
        </w:tc>
        <w:tc>
          <w:tcPr>
            <w:tcW w:w="1276" w:type="dxa"/>
            <w:vAlign w:val="bottom"/>
          </w:tcPr>
          <w:p>
            <w:pPr>
              <w:pStyle w:val="yTableNAm"/>
              <w:jc w:val="right"/>
            </w:pPr>
            <w:r>
              <w:rPr>
                <w:szCs w:val="22"/>
              </w:rPr>
              <w:t>$289.10</w:t>
            </w:r>
          </w:p>
        </w:tc>
      </w:tr>
      <w:tr>
        <w:tblPrEx>
          <w:tblCellMar>
            <w:left w:w="108" w:type="dxa"/>
            <w:right w:w="108" w:type="dxa"/>
          </w:tblCellMar>
        </w:tblPrEx>
        <w:tc>
          <w:tcPr>
            <w:tcW w:w="4820" w:type="dxa"/>
          </w:tcPr>
          <w:p>
            <w:pPr>
              <w:pStyle w:val="yTableNAm"/>
            </w:pPr>
            <w:r>
              <w:rPr>
                <w:szCs w:val="22"/>
              </w:rPr>
              <w:t>56449</w:t>
            </w:r>
          </w:p>
        </w:tc>
        <w:tc>
          <w:tcPr>
            <w:tcW w:w="1276" w:type="dxa"/>
            <w:vAlign w:val="bottom"/>
          </w:tcPr>
          <w:p>
            <w:pPr>
              <w:pStyle w:val="yTableNAm"/>
              <w:jc w:val="right"/>
            </w:pPr>
            <w:r>
              <w:rPr>
                <w:szCs w:val="22"/>
              </w:rPr>
              <w:t>$201.95</w:t>
            </w:r>
          </w:p>
        </w:tc>
      </w:tr>
      <w:tr>
        <w:tblPrEx>
          <w:tblCellMar>
            <w:left w:w="108" w:type="dxa"/>
            <w:right w:w="108" w:type="dxa"/>
          </w:tblCellMar>
        </w:tblPrEx>
        <w:tc>
          <w:tcPr>
            <w:tcW w:w="4820" w:type="dxa"/>
          </w:tcPr>
          <w:p>
            <w:pPr>
              <w:pStyle w:val="yTableNAm"/>
            </w:pPr>
            <w:r>
              <w:rPr>
                <w:szCs w:val="22"/>
              </w:rPr>
              <w:t>56452</w:t>
            </w:r>
          </w:p>
        </w:tc>
        <w:tc>
          <w:tcPr>
            <w:tcW w:w="1276" w:type="dxa"/>
            <w:vAlign w:val="bottom"/>
          </w:tcPr>
          <w:p>
            <w:pPr>
              <w:pStyle w:val="yTableNAm"/>
              <w:jc w:val="right"/>
            </w:pPr>
            <w:r>
              <w:rPr>
                <w:szCs w:val="22"/>
              </w:rPr>
              <w:t>$289.10</w:t>
            </w:r>
          </w:p>
        </w:tc>
      </w:tr>
      <w:tr>
        <w:tblPrEx>
          <w:tblCellMar>
            <w:left w:w="108" w:type="dxa"/>
            <w:right w:w="108" w:type="dxa"/>
          </w:tblCellMar>
        </w:tblPrEx>
        <w:tc>
          <w:tcPr>
            <w:tcW w:w="4820" w:type="dxa"/>
          </w:tcPr>
          <w:p>
            <w:pPr>
              <w:pStyle w:val="yTableNAm"/>
            </w:pPr>
            <w:r>
              <w:rPr>
                <w:szCs w:val="22"/>
              </w:rPr>
              <w:t>56501</w:t>
            </w:r>
          </w:p>
        </w:tc>
        <w:tc>
          <w:tcPr>
            <w:tcW w:w="1276" w:type="dxa"/>
            <w:vAlign w:val="bottom"/>
          </w:tcPr>
          <w:p>
            <w:pPr>
              <w:pStyle w:val="yTableNAm"/>
              <w:jc w:val="right"/>
            </w:pPr>
            <w:r>
              <w:rPr>
                <w:szCs w:val="22"/>
              </w:rPr>
              <w:t>$613.35</w:t>
            </w:r>
          </w:p>
        </w:tc>
      </w:tr>
      <w:tr>
        <w:tblPrEx>
          <w:tblCellMar>
            <w:left w:w="108" w:type="dxa"/>
            <w:right w:w="108" w:type="dxa"/>
          </w:tblCellMar>
        </w:tblPrEx>
        <w:tc>
          <w:tcPr>
            <w:tcW w:w="4820" w:type="dxa"/>
          </w:tcPr>
          <w:p>
            <w:pPr>
              <w:pStyle w:val="yTableNAm"/>
            </w:pPr>
            <w:r>
              <w:rPr>
                <w:szCs w:val="22"/>
              </w:rPr>
              <w:t>56507</w:t>
            </w:r>
          </w:p>
        </w:tc>
        <w:tc>
          <w:tcPr>
            <w:tcW w:w="1276" w:type="dxa"/>
            <w:vAlign w:val="bottom"/>
          </w:tcPr>
          <w:p>
            <w:pPr>
              <w:pStyle w:val="yTableNAm"/>
              <w:jc w:val="right"/>
            </w:pPr>
            <w:r>
              <w:rPr>
                <w:szCs w:val="22"/>
              </w:rPr>
              <w:t>$764.65</w:t>
            </w:r>
          </w:p>
        </w:tc>
      </w:tr>
      <w:tr>
        <w:tblPrEx>
          <w:tblCellMar>
            <w:left w:w="108" w:type="dxa"/>
            <w:right w:w="108" w:type="dxa"/>
          </w:tblCellMar>
        </w:tblPrEx>
        <w:tc>
          <w:tcPr>
            <w:tcW w:w="4820" w:type="dxa"/>
          </w:tcPr>
          <w:p>
            <w:pPr>
              <w:pStyle w:val="yTableNAm"/>
            </w:pPr>
            <w:r>
              <w:rPr>
                <w:szCs w:val="22"/>
              </w:rPr>
              <w:t>56541</w:t>
            </w:r>
          </w:p>
        </w:tc>
        <w:tc>
          <w:tcPr>
            <w:tcW w:w="1276" w:type="dxa"/>
            <w:vAlign w:val="bottom"/>
          </w:tcPr>
          <w:p>
            <w:pPr>
              <w:pStyle w:val="yTableNAm"/>
              <w:jc w:val="right"/>
            </w:pPr>
            <w:r>
              <w:rPr>
                <w:szCs w:val="22"/>
              </w:rPr>
              <w:t>$307.70</w:t>
            </w:r>
          </w:p>
        </w:tc>
      </w:tr>
      <w:tr>
        <w:tblPrEx>
          <w:tblCellMar>
            <w:left w:w="108" w:type="dxa"/>
            <w:right w:w="108" w:type="dxa"/>
          </w:tblCellMar>
        </w:tblPrEx>
        <w:tc>
          <w:tcPr>
            <w:tcW w:w="4820" w:type="dxa"/>
          </w:tcPr>
          <w:p>
            <w:pPr>
              <w:pStyle w:val="yTableNAm"/>
            </w:pPr>
            <w:r>
              <w:rPr>
                <w:szCs w:val="22"/>
              </w:rPr>
              <w:t>56547</w:t>
            </w:r>
          </w:p>
        </w:tc>
        <w:tc>
          <w:tcPr>
            <w:tcW w:w="1276" w:type="dxa"/>
            <w:vAlign w:val="bottom"/>
          </w:tcPr>
          <w:p>
            <w:pPr>
              <w:pStyle w:val="yTableNAm"/>
              <w:jc w:val="right"/>
            </w:pPr>
            <w:r>
              <w:rPr>
                <w:szCs w:val="22"/>
              </w:rPr>
              <w:t>$388.30</w:t>
            </w:r>
          </w:p>
        </w:tc>
      </w:tr>
      <w:tr>
        <w:tblPrEx>
          <w:tblCellMar>
            <w:left w:w="108" w:type="dxa"/>
            <w:right w:w="108" w:type="dxa"/>
          </w:tblCellMar>
        </w:tblPrEx>
        <w:tc>
          <w:tcPr>
            <w:tcW w:w="4820" w:type="dxa"/>
          </w:tcPr>
          <w:p>
            <w:pPr>
              <w:pStyle w:val="yTableNAm"/>
            </w:pPr>
            <w:r>
              <w:rPr>
                <w:szCs w:val="22"/>
              </w:rPr>
              <w:t>56549</w:t>
            </w:r>
          </w:p>
        </w:tc>
        <w:tc>
          <w:tcPr>
            <w:tcW w:w="1276" w:type="dxa"/>
            <w:vAlign w:val="bottom"/>
          </w:tcPr>
          <w:p>
            <w:pPr>
              <w:pStyle w:val="yTableNAm"/>
              <w:jc w:val="right"/>
            </w:pPr>
            <w:r>
              <w:rPr>
                <w:szCs w:val="22"/>
              </w:rPr>
              <w:t>$613.35</w:t>
            </w:r>
          </w:p>
        </w:tc>
      </w:tr>
      <w:tr>
        <w:tblPrEx>
          <w:tblCellMar>
            <w:left w:w="108" w:type="dxa"/>
            <w:right w:w="108" w:type="dxa"/>
          </w:tblCellMar>
        </w:tblPrEx>
        <w:tc>
          <w:tcPr>
            <w:tcW w:w="4820" w:type="dxa"/>
          </w:tcPr>
          <w:p>
            <w:pPr>
              <w:pStyle w:val="yTableNAm"/>
            </w:pPr>
            <w:r>
              <w:rPr>
                <w:szCs w:val="22"/>
              </w:rPr>
              <w:t>56551</w:t>
            </w:r>
          </w:p>
        </w:tc>
        <w:tc>
          <w:tcPr>
            <w:tcW w:w="1276" w:type="dxa"/>
            <w:vAlign w:val="bottom"/>
          </w:tcPr>
          <w:p>
            <w:pPr>
              <w:pStyle w:val="yTableNAm"/>
              <w:jc w:val="right"/>
            </w:pPr>
            <w:r>
              <w:rPr>
                <w:szCs w:val="22"/>
              </w:rPr>
              <w:t>$613.35</w:t>
            </w:r>
          </w:p>
        </w:tc>
      </w:tr>
      <w:tr>
        <w:tblPrEx>
          <w:tblCellMar>
            <w:left w:w="108" w:type="dxa"/>
            <w:right w:w="108" w:type="dxa"/>
          </w:tblCellMar>
        </w:tblPrEx>
        <w:tc>
          <w:tcPr>
            <w:tcW w:w="4820" w:type="dxa"/>
          </w:tcPr>
          <w:p>
            <w:pPr>
              <w:pStyle w:val="yTableNAm"/>
            </w:pPr>
            <w:r>
              <w:rPr>
                <w:szCs w:val="22"/>
              </w:rPr>
              <w:t>56619</w:t>
            </w:r>
          </w:p>
        </w:tc>
        <w:tc>
          <w:tcPr>
            <w:tcW w:w="1276" w:type="dxa"/>
            <w:vAlign w:val="bottom"/>
          </w:tcPr>
          <w:p>
            <w:pPr>
              <w:pStyle w:val="yTableNAm"/>
              <w:jc w:val="right"/>
            </w:pPr>
            <w:r>
              <w:rPr>
                <w:szCs w:val="22"/>
              </w:rPr>
              <w:t>$350.50</w:t>
            </w:r>
          </w:p>
        </w:tc>
      </w:tr>
      <w:tr>
        <w:tblPrEx>
          <w:tblCellMar>
            <w:left w:w="108" w:type="dxa"/>
            <w:right w:w="108" w:type="dxa"/>
          </w:tblCellMar>
        </w:tblPrEx>
        <w:tc>
          <w:tcPr>
            <w:tcW w:w="4820" w:type="dxa"/>
          </w:tcPr>
          <w:p>
            <w:pPr>
              <w:pStyle w:val="yTableNAm"/>
            </w:pPr>
            <w:r>
              <w:rPr>
                <w:szCs w:val="22"/>
              </w:rPr>
              <w:t>56625</w:t>
            </w:r>
          </w:p>
        </w:tc>
        <w:tc>
          <w:tcPr>
            <w:tcW w:w="1276" w:type="dxa"/>
            <w:vAlign w:val="bottom"/>
          </w:tcPr>
          <w:p>
            <w:pPr>
              <w:pStyle w:val="yTableNAm"/>
              <w:jc w:val="right"/>
            </w:pPr>
            <w:r>
              <w:rPr>
                <w:szCs w:val="22"/>
              </w:rPr>
              <w:t>$533.10</w:t>
            </w:r>
          </w:p>
        </w:tc>
      </w:tr>
      <w:tr>
        <w:tblPrEx>
          <w:tblCellMar>
            <w:left w:w="108" w:type="dxa"/>
            <w:right w:w="108" w:type="dxa"/>
          </w:tblCellMar>
        </w:tblPrEx>
        <w:tc>
          <w:tcPr>
            <w:tcW w:w="4820" w:type="dxa"/>
          </w:tcPr>
          <w:p>
            <w:pPr>
              <w:pStyle w:val="yTableNAm"/>
            </w:pPr>
            <w:r>
              <w:rPr>
                <w:szCs w:val="22"/>
              </w:rPr>
              <w:t>56659</w:t>
            </w:r>
          </w:p>
        </w:tc>
        <w:tc>
          <w:tcPr>
            <w:tcW w:w="1276" w:type="dxa"/>
            <w:vAlign w:val="bottom"/>
          </w:tcPr>
          <w:p>
            <w:pPr>
              <w:pStyle w:val="yTableNAm"/>
              <w:jc w:val="right"/>
            </w:pPr>
            <w:r>
              <w:rPr>
                <w:szCs w:val="22"/>
              </w:rPr>
              <w:t>$178.55</w:t>
            </w:r>
          </w:p>
        </w:tc>
      </w:tr>
      <w:tr>
        <w:tblPrEx>
          <w:tblCellMar>
            <w:left w:w="108" w:type="dxa"/>
            <w:right w:w="108" w:type="dxa"/>
          </w:tblCellMar>
        </w:tblPrEx>
        <w:tc>
          <w:tcPr>
            <w:tcW w:w="4820" w:type="dxa"/>
          </w:tcPr>
          <w:p>
            <w:pPr>
              <w:pStyle w:val="yTableNAm"/>
            </w:pPr>
            <w:r>
              <w:rPr>
                <w:szCs w:val="22"/>
              </w:rPr>
              <w:t>56665</w:t>
            </w:r>
          </w:p>
        </w:tc>
        <w:tc>
          <w:tcPr>
            <w:tcW w:w="1276" w:type="dxa"/>
            <w:vAlign w:val="bottom"/>
          </w:tcPr>
          <w:p>
            <w:pPr>
              <w:pStyle w:val="yTableNAm"/>
              <w:jc w:val="right"/>
            </w:pPr>
            <w:r>
              <w:rPr>
                <w:szCs w:val="22"/>
              </w:rPr>
              <w:t>$266.75</w:t>
            </w:r>
          </w:p>
        </w:tc>
      </w:tr>
      <w:tr>
        <w:tblPrEx>
          <w:tblCellMar>
            <w:left w:w="108" w:type="dxa"/>
            <w:right w:w="108" w:type="dxa"/>
          </w:tblCellMar>
        </w:tblPrEx>
        <w:tc>
          <w:tcPr>
            <w:tcW w:w="4820" w:type="dxa"/>
          </w:tcPr>
          <w:p>
            <w:pPr>
              <w:pStyle w:val="yTableNAm"/>
            </w:pPr>
            <w:r>
              <w:rPr>
                <w:szCs w:val="22"/>
              </w:rPr>
              <w:t>56801</w:t>
            </w:r>
          </w:p>
        </w:tc>
        <w:tc>
          <w:tcPr>
            <w:tcW w:w="1276" w:type="dxa"/>
            <w:vAlign w:val="bottom"/>
          </w:tcPr>
          <w:p>
            <w:pPr>
              <w:pStyle w:val="yTableNAm"/>
              <w:jc w:val="right"/>
            </w:pPr>
            <w:r>
              <w:rPr>
                <w:szCs w:val="22"/>
              </w:rPr>
              <w:t>$743.25</w:t>
            </w:r>
          </w:p>
        </w:tc>
      </w:tr>
      <w:tr>
        <w:tblPrEx>
          <w:tblCellMar>
            <w:left w:w="108" w:type="dxa"/>
            <w:right w:w="108" w:type="dxa"/>
          </w:tblCellMar>
        </w:tblPrEx>
        <w:tc>
          <w:tcPr>
            <w:tcW w:w="4820" w:type="dxa"/>
          </w:tcPr>
          <w:p>
            <w:pPr>
              <w:pStyle w:val="yTableNAm"/>
            </w:pPr>
            <w:r>
              <w:rPr>
                <w:szCs w:val="22"/>
              </w:rPr>
              <w:t>56807</w:t>
            </w:r>
          </w:p>
        </w:tc>
        <w:tc>
          <w:tcPr>
            <w:tcW w:w="1276" w:type="dxa"/>
            <w:vAlign w:val="bottom"/>
          </w:tcPr>
          <w:p>
            <w:pPr>
              <w:pStyle w:val="yTableNAm"/>
              <w:jc w:val="right"/>
            </w:pPr>
            <w:r>
              <w:rPr>
                <w:szCs w:val="22"/>
              </w:rPr>
              <w:t>$892.20</w:t>
            </w:r>
          </w:p>
        </w:tc>
      </w:tr>
      <w:tr>
        <w:tblPrEx>
          <w:tblCellMar>
            <w:left w:w="108" w:type="dxa"/>
            <w:right w:w="108" w:type="dxa"/>
          </w:tblCellMar>
        </w:tblPrEx>
        <w:tc>
          <w:tcPr>
            <w:tcW w:w="4820" w:type="dxa"/>
          </w:tcPr>
          <w:p>
            <w:pPr>
              <w:pStyle w:val="yTableNAm"/>
            </w:pPr>
            <w:r>
              <w:rPr>
                <w:szCs w:val="22"/>
              </w:rPr>
              <w:t>56841</w:t>
            </w:r>
          </w:p>
        </w:tc>
        <w:tc>
          <w:tcPr>
            <w:tcW w:w="1276" w:type="dxa"/>
            <w:vAlign w:val="bottom"/>
          </w:tcPr>
          <w:p>
            <w:pPr>
              <w:pStyle w:val="yTableNAm"/>
              <w:jc w:val="right"/>
            </w:pPr>
            <w:r>
              <w:rPr>
                <w:szCs w:val="22"/>
              </w:rPr>
              <w:t>$371.70</w:t>
            </w:r>
          </w:p>
        </w:tc>
      </w:tr>
      <w:tr>
        <w:tblPrEx>
          <w:tblCellMar>
            <w:left w:w="108" w:type="dxa"/>
            <w:right w:w="108" w:type="dxa"/>
          </w:tblCellMar>
        </w:tblPrEx>
        <w:tc>
          <w:tcPr>
            <w:tcW w:w="4820" w:type="dxa"/>
          </w:tcPr>
          <w:p>
            <w:pPr>
              <w:pStyle w:val="yTableNAm"/>
            </w:pPr>
            <w:r>
              <w:rPr>
                <w:szCs w:val="22"/>
              </w:rPr>
              <w:t>56847</w:t>
            </w:r>
          </w:p>
        </w:tc>
        <w:tc>
          <w:tcPr>
            <w:tcW w:w="1276" w:type="dxa"/>
            <w:vAlign w:val="bottom"/>
          </w:tcPr>
          <w:p>
            <w:pPr>
              <w:pStyle w:val="yTableNAm"/>
              <w:jc w:val="right"/>
            </w:pPr>
            <w:r>
              <w:rPr>
                <w:szCs w:val="22"/>
              </w:rPr>
              <w:t>$452.25</w:t>
            </w:r>
          </w:p>
        </w:tc>
      </w:tr>
      <w:tr>
        <w:tblPrEx>
          <w:tblCellMar>
            <w:left w:w="108" w:type="dxa"/>
            <w:right w:w="108" w:type="dxa"/>
          </w:tblCellMar>
        </w:tblPrEx>
        <w:tc>
          <w:tcPr>
            <w:tcW w:w="4820" w:type="dxa"/>
          </w:tcPr>
          <w:p>
            <w:pPr>
              <w:pStyle w:val="yTableNAm"/>
            </w:pPr>
            <w:r>
              <w:rPr>
                <w:szCs w:val="22"/>
              </w:rPr>
              <w:t>57001</w:t>
            </w:r>
          </w:p>
        </w:tc>
        <w:tc>
          <w:tcPr>
            <w:tcW w:w="1276" w:type="dxa"/>
            <w:vAlign w:val="bottom"/>
          </w:tcPr>
          <w:p>
            <w:pPr>
              <w:pStyle w:val="yTableNAm"/>
              <w:jc w:val="right"/>
            </w:pPr>
            <w:r>
              <w:rPr>
                <w:szCs w:val="22"/>
              </w:rPr>
              <w:t>$743.40</w:t>
            </w:r>
          </w:p>
        </w:tc>
      </w:tr>
      <w:tr>
        <w:tblPrEx>
          <w:tblCellMar>
            <w:left w:w="108" w:type="dxa"/>
            <w:right w:w="108" w:type="dxa"/>
          </w:tblCellMar>
        </w:tblPrEx>
        <w:tc>
          <w:tcPr>
            <w:tcW w:w="4820" w:type="dxa"/>
          </w:tcPr>
          <w:p>
            <w:pPr>
              <w:pStyle w:val="yTableNAm"/>
            </w:pPr>
            <w:r>
              <w:rPr>
                <w:szCs w:val="22"/>
              </w:rPr>
              <w:t>57007</w:t>
            </w:r>
          </w:p>
        </w:tc>
        <w:tc>
          <w:tcPr>
            <w:tcW w:w="1276" w:type="dxa"/>
            <w:vAlign w:val="bottom"/>
          </w:tcPr>
          <w:p>
            <w:pPr>
              <w:pStyle w:val="yTableNAm"/>
              <w:jc w:val="right"/>
            </w:pPr>
            <w:r>
              <w:rPr>
                <w:szCs w:val="22"/>
              </w:rPr>
              <w:t>$904.45</w:t>
            </w:r>
          </w:p>
        </w:tc>
      </w:tr>
      <w:tr>
        <w:tblPrEx>
          <w:tblCellMar>
            <w:left w:w="108" w:type="dxa"/>
            <w:right w:w="108" w:type="dxa"/>
          </w:tblCellMar>
        </w:tblPrEx>
        <w:tc>
          <w:tcPr>
            <w:tcW w:w="4820" w:type="dxa"/>
          </w:tcPr>
          <w:p>
            <w:pPr>
              <w:pStyle w:val="yTableNAm"/>
            </w:pPr>
            <w:r>
              <w:rPr>
                <w:szCs w:val="22"/>
              </w:rPr>
              <w:t>57041</w:t>
            </w:r>
          </w:p>
        </w:tc>
        <w:tc>
          <w:tcPr>
            <w:tcW w:w="1276" w:type="dxa"/>
            <w:vAlign w:val="bottom"/>
          </w:tcPr>
          <w:p>
            <w:pPr>
              <w:pStyle w:val="yTableNAm"/>
              <w:jc w:val="right"/>
            </w:pPr>
            <w:r>
              <w:rPr>
                <w:szCs w:val="22"/>
              </w:rPr>
              <w:t>$371.80</w:t>
            </w:r>
          </w:p>
        </w:tc>
      </w:tr>
      <w:tr>
        <w:tblPrEx>
          <w:tblCellMar>
            <w:left w:w="108" w:type="dxa"/>
            <w:right w:w="108" w:type="dxa"/>
          </w:tblCellMar>
        </w:tblPrEx>
        <w:tc>
          <w:tcPr>
            <w:tcW w:w="4820" w:type="dxa"/>
          </w:tcPr>
          <w:p>
            <w:pPr>
              <w:pStyle w:val="yTableNAm"/>
            </w:pPr>
            <w:r>
              <w:rPr>
                <w:szCs w:val="22"/>
              </w:rPr>
              <w:t>57047</w:t>
            </w:r>
          </w:p>
        </w:tc>
        <w:tc>
          <w:tcPr>
            <w:tcW w:w="1276" w:type="dxa"/>
            <w:vAlign w:val="bottom"/>
          </w:tcPr>
          <w:p>
            <w:pPr>
              <w:pStyle w:val="yTableNAm"/>
              <w:jc w:val="right"/>
            </w:pPr>
            <w:r>
              <w:rPr>
                <w:szCs w:val="22"/>
              </w:rPr>
              <w:t>$452.30</w:t>
            </w:r>
          </w:p>
        </w:tc>
      </w:tr>
      <w:tr>
        <w:tblPrEx>
          <w:tblCellMar>
            <w:left w:w="108" w:type="dxa"/>
            <w:right w:w="108" w:type="dxa"/>
          </w:tblCellMar>
        </w:tblPrEx>
        <w:tc>
          <w:tcPr>
            <w:tcW w:w="4820" w:type="dxa"/>
          </w:tcPr>
          <w:p>
            <w:pPr>
              <w:pStyle w:val="yTableNAm"/>
            </w:pPr>
            <w:r>
              <w:rPr>
                <w:szCs w:val="22"/>
              </w:rPr>
              <w:t>57201</w:t>
            </w:r>
          </w:p>
        </w:tc>
        <w:tc>
          <w:tcPr>
            <w:tcW w:w="1276" w:type="dxa"/>
            <w:vAlign w:val="bottom"/>
          </w:tcPr>
          <w:p>
            <w:pPr>
              <w:pStyle w:val="yTableNAm"/>
              <w:jc w:val="right"/>
            </w:pPr>
            <w:r>
              <w:rPr>
                <w:szCs w:val="22"/>
              </w:rPr>
              <w:t>$247.20</w:t>
            </w:r>
          </w:p>
        </w:tc>
      </w:tr>
      <w:tr>
        <w:tblPrEx>
          <w:tblCellMar>
            <w:left w:w="108" w:type="dxa"/>
            <w:right w:w="108" w:type="dxa"/>
          </w:tblCellMar>
        </w:tblPrEx>
        <w:tc>
          <w:tcPr>
            <w:tcW w:w="4820" w:type="dxa"/>
          </w:tcPr>
          <w:p>
            <w:pPr>
              <w:pStyle w:val="yTableNAm"/>
            </w:pPr>
            <w:r>
              <w:rPr>
                <w:szCs w:val="22"/>
              </w:rPr>
              <w:t>57247</w:t>
            </w:r>
          </w:p>
        </w:tc>
        <w:tc>
          <w:tcPr>
            <w:tcW w:w="1276" w:type="dxa"/>
            <w:vAlign w:val="bottom"/>
          </w:tcPr>
          <w:p>
            <w:pPr>
              <w:pStyle w:val="yTableNAm"/>
              <w:jc w:val="right"/>
            </w:pPr>
            <w:r>
              <w:rPr>
                <w:szCs w:val="22"/>
              </w:rPr>
              <w:t>$123.45</w:t>
            </w:r>
          </w:p>
        </w:tc>
      </w:tr>
      <w:tr>
        <w:tblPrEx>
          <w:tblCellMar>
            <w:left w:w="108" w:type="dxa"/>
            <w:right w:w="108" w:type="dxa"/>
          </w:tblCellMar>
        </w:tblPrEx>
        <w:tc>
          <w:tcPr>
            <w:tcW w:w="4820" w:type="dxa"/>
          </w:tcPr>
          <w:p>
            <w:pPr>
              <w:pStyle w:val="yTableNAm"/>
            </w:pPr>
            <w:r>
              <w:rPr>
                <w:szCs w:val="22"/>
              </w:rPr>
              <w:t>57341</w:t>
            </w:r>
          </w:p>
        </w:tc>
        <w:tc>
          <w:tcPr>
            <w:tcW w:w="1276" w:type="dxa"/>
            <w:vAlign w:val="bottom"/>
          </w:tcPr>
          <w:p>
            <w:pPr>
              <w:pStyle w:val="yTableNAm"/>
              <w:jc w:val="right"/>
            </w:pPr>
            <w:r>
              <w:rPr>
                <w:szCs w:val="22"/>
              </w:rPr>
              <w:t>$748.75</w:t>
            </w:r>
          </w:p>
        </w:tc>
      </w:tr>
      <w:tr>
        <w:tblPrEx>
          <w:tblCellMar>
            <w:left w:w="108" w:type="dxa"/>
            <w:right w:w="108" w:type="dxa"/>
          </w:tblCellMar>
        </w:tblPrEx>
        <w:tc>
          <w:tcPr>
            <w:tcW w:w="4820" w:type="dxa"/>
          </w:tcPr>
          <w:p>
            <w:pPr>
              <w:pStyle w:val="yTableNAm"/>
            </w:pPr>
            <w:r>
              <w:rPr>
                <w:szCs w:val="22"/>
              </w:rPr>
              <w:t>57345</w:t>
            </w:r>
          </w:p>
        </w:tc>
        <w:tc>
          <w:tcPr>
            <w:tcW w:w="1276" w:type="dxa"/>
            <w:vAlign w:val="bottom"/>
          </w:tcPr>
          <w:p>
            <w:pPr>
              <w:pStyle w:val="yTableNAm"/>
              <w:jc w:val="right"/>
            </w:pPr>
            <w:r>
              <w:rPr>
                <w:szCs w:val="22"/>
              </w:rPr>
              <w:t>$384.90</w:t>
            </w:r>
          </w:p>
        </w:tc>
      </w:tr>
      <w:tr>
        <w:tblPrEx>
          <w:tblCellMar>
            <w:left w:w="108" w:type="dxa"/>
            <w:right w:w="108" w:type="dxa"/>
          </w:tblCellMar>
        </w:tblPrEx>
        <w:tc>
          <w:tcPr>
            <w:tcW w:w="4820" w:type="dxa"/>
          </w:tcPr>
          <w:p>
            <w:pPr>
              <w:pStyle w:val="yTableNAm"/>
            </w:pPr>
            <w:r>
              <w:rPr>
                <w:szCs w:val="22"/>
              </w:rPr>
              <w:t>57350</w:t>
            </w:r>
          </w:p>
        </w:tc>
        <w:tc>
          <w:tcPr>
            <w:tcW w:w="1276" w:type="dxa"/>
            <w:vAlign w:val="bottom"/>
          </w:tcPr>
          <w:p>
            <w:pPr>
              <w:pStyle w:val="yTableNAm"/>
              <w:jc w:val="right"/>
            </w:pPr>
            <w:r>
              <w:rPr>
                <w:szCs w:val="22"/>
              </w:rPr>
              <w:t>$812.45</w:t>
            </w:r>
          </w:p>
        </w:tc>
      </w:tr>
      <w:tr>
        <w:tblPrEx>
          <w:tblCellMar>
            <w:left w:w="108" w:type="dxa"/>
            <w:right w:w="108" w:type="dxa"/>
          </w:tblCellMar>
        </w:tblPrEx>
        <w:tc>
          <w:tcPr>
            <w:tcW w:w="4820" w:type="dxa"/>
          </w:tcPr>
          <w:p>
            <w:pPr>
              <w:pStyle w:val="yTableNAm"/>
            </w:pPr>
            <w:r>
              <w:rPr>
                <w:szCs w:val="22"/>
              </w:rPr>
              <w:t>57351</w:t>
            </w:r>
          </w:p>
        </w:tc>
        <w:tc>
          <w:tcPr>
            <w:tcW w:w="1276" w:type="dxa"/>
            <w:vAlign w:val="bottom"/>
          </w:tcPr>
          <w:p>
            <w:pPr>
              <w:pStyle w:val="yTableNAm"/>
              <w:jc w:val="right"/>
            </w:pPr>
            <w:r>
              <w:rPr>
                <w:szCs w:val="22"/>
              </w:rPr>
              <w:t>$812.45</w:t>
            </w:r>
          </w:p>
        </w:tc>
      </w:tr>
      <w:tr>
        <w:tblPrEx>
          <w:tblCellMar>
            <w:left w:w="108" w:type="dxa"/>
            <w:right w:w="108" w:type="dxa"/>
          </w:tblCellMar>
        </w:tblPrEx>
        <w:tc>
          <w:tcPr>
            <w:tcW w:w="4820" w:type="dxa"/>
          </w:tcPr>
          <w:p>
            <w:pPr>
              <w:pStyle w:val="yTableNAm"/>
            </w:pPr>
            <w:r>
              <w:rPr>
                <w:szCs w:val="22"/>
              </w:rPr>
              <w:t>57355</w:t>
            </w:r>
          </w:p>
        </w:tc>
        <w:tc>
          <w:tcPr>
            <w:tcW w:w="1276" w:type="dxa"/>
            <w:vAlign w:val="bottom"/>
          </w:tcPr>
          <w:p>
            <w:pPr>
              <w:pStyle w:val="yTableNAm"/>
              <w:jc w:val="right"/>
            </w:pPr>
            <w:r>
              <w:rPr>
                <w:szCs w:val="22"/>
              </w:rPr>
              <w:t>$420.80</w:t>
            </w:r>
          </w:p>
        </w:tc>
      </w:tr>
      <w:tr>
        <w:tblPrEx>
          <w:tblCellMar>
            <w:left w:w="108" w:type="dxa"/>
            <w:right w:w="108" w:type="dxa"/>
          </w:tblCellMar>
        </w:tblPrEx>
        <w:tc>
          <w:tcPr>
            <w:tcW w:w="4820" w:type="dxa"/>
            <w:tcBorders>
              <w:bottom w:val="single" w:sz="4" w:space="0" w:color="auto"/>
            </w:tcBorders>
          </w:tcPr>
          <w:p>
            <w:pPr>
              <w:pStyle w:val="yTableNAm"/>
            </w:pPr>
            <w:r>
              <w:rPr>
                <w:szCs w:val="22"/>
              </w:rPr>
              <w:t>57356</w:t>
            </w:r>
          </w:p>
        </w:tc>
        <w:tc>
          <w:tcPr>
            <w:tcW w:w="1276" w:type="dxa"/>
            <w:tcBorders>
              <w:bottom w:val="single" w:sz="4" w:space="0" w:color="auto"/>
            </w:tcBorders>
            <w:vAlign w:val="bottom"/>
          </w:tcPr>
          <w:p>
            <w:pPr>
              <w:pStyle w:val="yTableNAm"/>
              <w:jc w:val="right"/>
            </w:pPr>
            <w:r>
              <w:rPr>
                <w:szCs w:val="22"/>
              </w:rPr>
              <w:t>$420.80</w:t>
            </w:r>
          </w:p>
        </w:tc>
      </w:tr>
    </w:tbl>
    <w:p>
      <w:pPr>
        <w:pStyle w:val="zyMiscellaneousHeading"/>
        <w:jc w:val="left"/>
      </w:pPr>
      <w:r>
        <w:t>DIAGNOSTIC RADIOLOGY</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szCs w:val="22"/>
              </w:rPr>
              <w:t>MBS item number</w:t>
            </w:r>
            <w:r>
              <w:rPr>
                <w:b/>
                <w:szCs w:val="22"/>
              </w:rPr>
              <w:br/>
            </w:r>
            <w:r>
              <w:rPr>
                <w:szCs w:val="22"/>
              </w:rPr>
              <w:t>(1 November 2009)</w:t>
            </w:r>
          </w:p>
        </w:tc>
        <w:tc>
          <w:tcPr>
            <w:tcW w:w="1276" w:type="dxa"/>
            <w:tcBorders>
              <w:top w:val="single" w:sz="4" w:space="0" w:color="auto"/>
              <w:bottom w:val="single" w:sz="4" w:space="0" w:color="auto"/>
            </w:tcBorders>
          </w:tcPr>
          <w:p>
            <w:pPr>
              <w:pStyle w:val="yTableNAm"/>
              <w:jc w:val="right"/>
            </w:pPr>
            <w:r>
              <w:rPr>
                <w:b/>
                <w:szCs w:val="22"/>
              </w:rPr>
              <w:t>Fee</w:t>
            </w:r>
          </w:p>
        </w:tc>
      </w:tr>
      <w:tr>
        <w:tblPrEx>
          <w:tblCellMar>
            <w:left w:w="108" w:type="dxa"/>
            <w:right w:w="108" w:type="dxa"/>
          </w:tblCellMar>
        </w:tblPrEx>
        <w:tc>
          <w:tcPr>
            <w:tcW w:w="4820" w:type="dxa"/>
          </w:tcPr>
          <w:p>
            <w:pPr>
              <w:pStyle w:val="yTableNAm"/>
            </w:pPr>
            <w:r>
              <w:rPr>
                <w:szCs w:val="22"/>
              </w:rPr>
              <w:t>57506</w:t>
            </w:r>
          </w:p>
        </w:tc>
        <w:tc>
          <w:tcPr>
            <w:tcW w:w="1276" w:type="dxa"/>
            <w:tcBorders>
              <w:top w:val="single" w:sz="4" w:space="0" w:color="auto"/>
            </w:tcBorders>
            <w:vAlign w:val="bottom"/>
          </w:tcPr>
          <w:p>
            <w:pPr>
              <w:pStyle w:val="yTableNAm"/>
              <w:jc w:val="right"/>
            </w:pPr>
            <w:r>
              <w:rPr>
                <w:szCs w:val="22"/>
              </w:rPr>
              <w:t>$54.70</w:t>
            </w:r>
          </w:p>
        </w:tc>
      </w:tr>
      <w:tr>
        <w:tblPrEx>
          <w:tblCellMar>
            <w:left w:w="108" w:type="dxa"/>
            <w:right w:w="108" w:type="dxa"/>
          </w:tblCellMar>
        </w:tblPrEx>
        <w:tc>
          <w:tcPr>
            <w:tcW w:w="4820" w:type="dxa"/>
          </w:tcPr>
          <w:p>
            <w:pPr>
              <w:pStyle w:val="yTableNAm"/>
            </w:pPr>
            <w:r>
              <w:rPr>
                <w:szCs w:val="22"/>
              </w:rPr>
              <w:t>57509</w:t>
            </w:r>
          </w:p>
        </w:tc>
        <w:tc>
          <w:tcPr>
            <w:tcW w:w="1276" w:type="dxa"/>
            <w:vAlign w:val="bottom"/>
          </w:tcPr>
          <w:p>
            <w:pPr>
              <w:pStyle w:val="yTableNAm"/>
              <w:jc w:val="right"/>
            </w:pPr>
            <w:r>
              <w:rPr>
                <w:szCs w:val="22"/>
              </w:rPr>
              <w:t>$73.10</w:t>
            </w:r>
          </w:p>
        </w:tc>
      </w:tr>
      <w:tr>
        <w:tblPrEx>
          <w:tblCellMar>
            <w:left w:w="108" w:type="dxa"/>
            <w:right w:w="108" w:type="dxa"/>
          </w:tblCellMar>
        </w:tblPrEx>
        <w:tc>
          <w:tcPr>
            <w:tcW w:w="4820" w:type="dxa"/>
          </w:tcPr>
          <w:p>
            <w:pPr>
              <w:pStyle w:val="yTableNAm"/>
            </w:pPr>
            <w:r>
              <w:rPr>
                <w:szCs w:val="22"/>
              </w:rPr>
              <w:t>57512</w:t>
            </w:r>
          </w:p>
        </w:tc>
        <w:tc>
          <w:tcPr>
            <w:tcW w:w="1276" w:type="dxa"/>
            <w:vAlign w:val="bottom"/>
          </w:tcPr>
          <w:p>
            <w:pPr>
              <w:pStyle w:val="yTableNAm"/>
              <w:jc w:val="right"/>
            </w:pPr>
            <w:r>
              <w:rPr>
                <w:szCs w:val="22"/>
              </w:rPr>
              <w:t>$74.50</w:t>
            </w:r>
          </w:p>
        </w:tc>
      </w:tr>
      <w:tr>
        <w:tblPrEx>
          <w:tblCellMar>
            <w:left w:w="108" w:type="dxa"/>
            <w:right w:w="108" w:type="dxa"/>
          </w:tblCellMar>
        </w:tblPrEx>
        <w:tc>
          <w:tcPr>
            <w:tcW w:w="4820" w:type="dxa"/>
          </w:tcPr>
          <w:p>
            <w:pPr>
              <w:pStyle w:val="yTableNAm"/>
            </w:pPr>
            <w:r>
              <w:rPr>
                <w:szCs w:val="22"/>
              </w:rPr>
              <w:t>57515</w:t>
            </w:r>
          </w:p>
        </w:tc>
        <w:tc>
          <w:tcPr>
            <w:tcW w:w="1276" w:type="dxa"/>
            <w:vAlign w:val="bottom"/>
          </w:tcPr>
          <w:p>
            <w:pPr>
              <w:pStyle w:val="yTableNAm"/>
              <w:jc w:val="right"/>
            </w:pPr>
            <w:r>
              <w:rPr>
                <w:szCs w:val="22"/>
              </w:rPr>
              <w:t>$99.35</w:t>
            </w:r>
          </w:p>
        </w:tc>
      </w:tr>
      <w:tr>
        <w:tblPrEx>
          <w:tblCellMar>
            <w:left w:w="108" w:type="dxa"/>
            <w:right w:w="108" w:type="dxa"/>
          </w:tblCellMar>
        </w:tblPrEx>
        <w:tc>
          <w:tcPr>
            <w:tcW w:w="4820" w:type="dxa"/>
          </w:tcPr>
          <w:p>
            <w:pPr>
              <w:pStyle w:val="yTableNAm"/>
            </w:pPr>
            <w:r>
              <w:rPr>
                <w:szCs w:val="22"/>
              </w:rPr>
              <w:t>57518</w:t>
            </w:r>
          </w:p>
        </w:tc>
        <w:tc>
          <w:tcPr>
            <w:tcW w:w="1276" w:type="dxa"/>
            <w:vAlign w:val="bottom"/>
          </w:tcPr>
          <w:p>
            <w:pPr>
              <w:pStyle w:val="yTableNAm"/>
              <w:jc w:val="right"/>
            </w:pPr>
            <w:r>
              <w:rPr>
                <w:szCs w:val="22"/>
              </w:rPr>
              <w:t>$59.75</w:t>
            </w:r>
          </w:p>
        </w:tc>
      </w:tr>
      <w:tr>
        <w:tblPrEx>
          <w:tblCellMar>
            <w:left w:w="108" w:type="dxa"/>
            <w:right w:w="108" w:type="dxa"/>
          </w:tblCellMar>
        </w:tblPrEx>
        <w:tc>
          <w:tcPr>
            <w:tcW w:w="4820" w:type="dxa"/>
          </w:tcPr>
          <w:p>
            <w:pPr>
              <w:pStyle w:val="yTableNAm"/>
            </w:pPr>
            <w:r>
              <w:rPr>
                <w:szCs w:val="22"/>
              </w:rPr>
              <w:t>57521</w:t>
            </w:r>
          </w:p>
        </w:tc>
        <w:tc>
          <w:tcPr>
            <w:tcW w:w="1276" w:type="dxa"/>
            <w:vAlign w:val="bottom"/>
          </w:tcPr>
          <w:p>
            <w:pPr>
              <w:pStyle w:val="yTableNAm"/>
              <w:jc w:val="right"/>
            </w:pPr>
            <w:r>
              <w:rPr>
                <w:szCs w:val="22"/>
              </w:rPr>
              <w:t>$79.80</w:t>
            </w:r>
          </w:p>
        </w:tc>
      </w:tr>
      <w:tr>
        <w:tblPrEx>
          <w:tblCellMar>
            <w:left w:w="108" w:type="dxa"/>
            <w:right w:w="108" w:type="dxa"/>
          </w:tblCellMar>
        </w:tblPrEx>
        <w:tc>
          <w:tcPr>
            <w:tcW w:w="4820" w:type="dxa"/>
          </w:tcPr>
          <w:p>
            <w:pPr>
              <w:pStyle w:val="yTableNAm"/>
            </w:pPr>
            <w:r>
              <w:rPr>
                <w:szCs w:val="22"/>
              </w:rPr>
              <w:t>57524</w:t>
            </w:r>
          </w:p>
        </w:tc>
        <w:tc>
          <w:tcPr>
            <w:tcW w:w="1276" w:type="dxa"/>
            <w:vAlign w:val="bottom"/>
          </w:tcPr>
          <w:p>
            <w:pPr>
              <w:pStyle w:val="yTableNAm"/>
              <w:jc w:val="right"/>
            </w:pPr>
            <w:r>
              <w:rPr>
                <w:szCs w:val="22"/>
              </w:rPr>
              <w:t>$91.00</w:t>
            </w:r>
          </w:p>
        </w:tc>
      </w:tr>
      <w:tr>
        <w:tblPrEx>
          <w:tblCellMar>
            <w:left w:w="108" w:type="dxa"/>
            <w:right w:w="108" w:type="dxa"/>
          </w:tblCellMar>
        </w:tblPrEx>
        <w:tc>
          <w:tcPr>
            <w:tcW w:w="4820" w:type="dxa"/>
          </w:tcPr>
          <w:p>
            <w:pPr>
              <w:pStyle w:val="yTableNAm"/>
            </w:pPr>
            <w:r>
              <w:rPr>
                <w:szCs w:val="22"/>
              </w:rPr>
              <w:t>57527</w:t>
            </w:r>
          </w:p>
        </w:tc>
        <w:tc>
          <w:tcPr>
            <w:tcW w:w="1276" w:type="dxa"/>
            <w:vAlign w:val="bottom"/>
          </w:tcPr>
          <w:p>
            <w:pPr>
              <w:pStyle w:val="yTableNAm"/>
              <w:jc w:val="right"/>
            </w:pPr>
            <w:r>
              <w:rPr>
                <w:szCs w:val="22"/>
              </w:rPr>
              <w:t>$121.05</w:t>
            </w:r>
          </w:p>
        </w:tc>
      </w:tr>
      <w:tr>
        <w:tblPrEx>
          <w:tblCellMar>
            <w:left w:w="108" w:type="dxa"/>
            <w:right w:w="108" w:type="dxa"/>
          </w:tblCellMar>
        </w:tblPrEx>
        <w:tc>
          <w:tcPr>
            <w:tcW w:w="4820" w:type="dxa"/>
          </w:tcPr>
          <w:p>
            <w:pPr>
              <w:pStyle w:val="yTableNAm"/>
            </w:pPr>
            <w:r>
              <w:rPr>
                <w:szCs w:val="22"/>
              </w:rPr>
              <w:t>57700</w:t>
            </w:r>
          </w:p>
        </w:tc>
        <w:tc>
          <w:tcPr>
            <w:tcW w:w="1276" w:type="dxa"/>
            <w:vAlign w:val="bottom"/>
          </w:tcPr>
          <w:p>
            <w:pPr>
              <w:pStyle w:val="yTableNAm"/>
              <w:jc w:val="right"/>
            </w:pPr>
            <w:r>
              <w:rPr>
                <w:szCs w:val="22"/>
              </w:rPr>
              <w:t>$74.50</w:t>
            </w:r>
          </w:p>
        </w:tc>
      </w:tr>
      <w:tr>
        <w:tblPrEx>
          <w:tblCellMar>
            <w:left w:w="108" w:type="dxa"/>
            <w:right w:w="108" w:type="dxa"/>
          </w:tblCellMar>
        </w:tblPrEx>
        <w:tc>
          <w:tcPr>
            <w:tcW w:w="4820" w:type="dxa"/>
          </w:tcPr>
          <w:p>
            <w:pPr>
              <w:pStyle w:val="yTableNAm"/>
            </w:pPr>
            <w:r>
              <w:rPr>
                <w:szCs w:val="22"/>
              </w:rPr>
              <w:t>57703</w:t>
            </w:r>
          </w:p>
        </w:tc>
        <w:tc>
          <w:tcPr>
            <w:tcW w:w="1276" w:type="dxa"/>
            <w:vAlign w:val="bottom"/>
          </w:tcPr>
          <w:p>
            <w:pPr>
              <w:pStyle w:val="yTableNAm"/>
              <w:jc w:val="right"/>
            </w:pPr>
            <w:r>
              <w:rPr>
                <w:szCs w:val="22"/>
              </w:rPr>
              <w:t>$99.35</w:t>
            </w:r>
          </w:p>
        </w:tc>
      </w:tr>
      <w:tr>
        <w:tblPrEx>
          <w:tblCellMar>
            <w:left w:w="108" w:type="dxa"/>
            <w:right w:w="108" w:type="dxa"/>
          </w:tblCellMar>
        </w:tblPrEx>
        <w:tc>
          <w:tcPr>
            <w:tcW w:w="4820" w:type="dxa"/>
          </w:tcPr>
          <w:p>
            <w:pPr>
              <w:pStyle w:val="yTableNAm"/>
            </w:pPr>
            <w:r>
              <w:rPr>
                <w:szCs w:val="22"/>
              </w:rPr>
              <w:t>57706</w:t>
            </w:r>
          </w:p>
        </w:tc>
        <w:tc>
          <w:tcPr>
            <w:tcW w:w="1276" w:type="dxa"/>
            <w:vAlign w:val="bottom"/>
          </w:tcPr>
          <w:p>
            <w:pPr>
              <w:pStyle w:val="yTableNAm"/>
              <w:jc w:val="right"/>
            </w:pPr>
            <w:r>
              <w:rPr>
                <w:szCs w:val="22"/>
              </w:rPr>
              <w:t>$59.75</w:t>
            </w:r>
          </w:p>
        </w:tc>
      </w:tr>
      <w:tr>
        <w:tblPrEx>
          <w:tblCellMar>
            <w:left w:w="108" w:type="dxa"/>
            <w:right w:w="108" w:type="dxa"/>
          </w:tblCellMar>
        </w:tblPrEx>
        <w:tc>
          <w:tcPr>
            <w:tcW w:w="4820" w:type="dxa"/>
          </w:tcPr>
          <w:p>
            <w:pPr>
              <w:pStyle w:val="yTableNAm"/>
            </w:pPr>
            <w:r>
              <w:rPr>
                <w:szCs w:val="22"/>
              </w:rPr>
              <w:t>57709</w:t>
            </w:r>
          </w:p>
        </w:tc>
        <w:tc>
          <w:tcPr>
            <w:tcW w:w="1276" w:type="dxa"/>
            <w:vAlign w:val="bottom"/>
          </w:tcPr>
          <w:p>
            <w:pPr>
              <w:pStyle w:val="yTableNAm"/>
              <w:jc w:val="right"/>
            </w:pPr>
            <w:r>
              <w:rPr>
                <w:szCs w:val="22"/>
              </w:rPr>
              <w:t>$79.80</w:t>
            </w:r>
          </w:p>
        </w:tc>
      </w:tr>
      <w:tr>
        <w:tblPrEx>
          <w:tblCellMar>
            <w:left w:w="108" w:type="dxa"/>
            <w:right w:w="108" w:type="dxa"/>
          </w:tblCellMar>
        </w:tblPrEx>
        <w:tc>
          <w:tcPr>
            <w:tcW w:w="4820" w:type="dxa"/>
          </w:tcPr>
          <w:p>
            <w:pPr>
              <w:pStyle w:val="yTableNAm"/>
            </w:pPr>
            <w:r>
              <w:rPr>
                <w:szCs w:val="22"/>
              </w:rPr>
              <w:t>57712</w:t>
            </w:r>
          </w:p>
        </w:tc>
        <w:tc>
          <w:tcPr>
            <w:tcW w:w="1276" w:type="dxa"/>
            <w:vAlign w:val="bottom"/>
          </w:tcPr>
          <w:p>
            <w:pPr>
              <w:pStyle w:val="yTableNAm"/>
              <w:jc w:val="right"/>
            </w:pPr>
            <w:r>
              <w:rPr>
                <w:szCs w:val="22"/>
              </w:rPr>
              <w:t>$86.75</w:t>
            </w:r>
          </w:p>
        </w:tc>
      </w:tr>
      <w:tr>
        <w:tblPrEx>
          <w:tblCellMar>
            <w:left w:w="108" w:type="dxa"/>
            <w:right w:w="108" w:type="dxa"/>
          </w:tblCellMar>
        </w:tblPrEx>
        <w:tc>
          <w:tcPr>
            <w:tcW w:w="4820" w:type="dxa"/>
          </w:tcPr>
          <w:p>
            <w:pPr>
              <w:pStyle w:val="yTableNAm"/>
            </w:pPr>
            <w:r>
              <w:rPr>
                <w:szCs w:val="22"/>
              </w:rPr>
              <w:t>57715</w:t>
            </w:r>
          </w:p>
        </w:tc>
        <w:tc>
          <w:tcPr>
            <w:tcW w:w="1276" w:type="dxa"/>
            <w:vAlign w:val="bottom"/>
          </w:tcPr>
          <w:p>
            <w:pPr>
              <w:pStyle w:val="yTableNAm"/>
              <w:jc w:val="right"/>
            </w:pPr>
            <w:r>
              <w:rPr>
                <w:szCs w:val="22"/>
              </w:rPr>
              <w:t>$112.10</w:t>
            </w:r>
          </w:p>
        </w:tc>
      </w:tr>
      <w:tr>
        <w:tblPrEx>
          <w:tblCellMar>
            <w:left w:w="108" w:type="dxa"/>
            <w:right w:w="108" w:type="dxa"/>
          </w:tblCellMar>
        </w:tblPrEx>
        <w:tc>
          <w:tcPr>
            <w:tcW w:w="4820" w:type="dxa"/>
          </w:tcPr>
          <w:p>
            <w:pPr>
              <w:pStyle w:val="yTableNAm"/>
            </w:pPr>
            <w:r>
              <w:rPr>
                <w:szCs w:val="22"/>
              </w:rPr>
              <w:t>57721</w:t>
            </w:r>
          </w:p>
        </w:tc>
        <w:tc>
          <w:tcPr>
            <w:tcW w:w="1276" w:type="dxa"/>
            <w:vAlign w:val="bottom"/>
          </w:tcPr>
          <w:p>
            <w:pPr>
              <w:pStyle w:val="yTableNAm"/>
              <w:jc w:val="right"/>
            </w:pPr>
            <w:r>
              <w:rPr>
                <w:szCs w:val="22"/>
              </w:rPr>
              <w:t>$182.55</w:t>
            </w:r>
          </w:p>
        </w:tc>
      </w:tr>
      <w:tr>
        <w:tblPrEx>
          <w:tblCellMar>
            <w:left w:w="108" w:type="dxa"/>
            <w:right w:w="108" w:type="dxa"/>
          </w:tblCellMar>
        </w:tblPrEx>
        <w:tc>
          <w:tcPr>
            <w:tcW w:w="4820" w:type="dxa"/>
          </w:tcPr>
          <w:p>
            <w:pPr>
              <w:pStyle w:val="yTableNAm"/>
            </w:pPr>
            <w:r>
              <w:rPr>
                <w:szCs w:val="22"/>
              </w:rPr>
              <w:t>57901</w:t>
            </w:r>
          </w:p>
        </w:tc>
        <w:tc>
          <w:tcPr>
            <w:tcW w:w="1276" w:type="dxa"/>
            <w:vAlign w:val="bottom"/>
          </w:tcPr>
          <w:p>
            <w:pPr>
              <w:pStyle w:val="yTableNAm"/>
              <w:jc w:val="right"/>
            </w:pPr>
            <w:r>
              <w:rPr>
                <w:szCs w:val="22"/>
              </w:rPr>
              <w:t>$118.60</w:t>
            </w:r>
          </w:p>
        </w:tc>
      </w:tr>
      <w:tr>
        <w:tblPrEx>
          <w:tblCellMar>
            <w:left w:w="108" w:type="dxa"/>
            <w:right w:w="108" w:type="dxa"/>
          </w:tblCellMar>
        </w:tblPrEx>
        <w:tc>
          <w:tcPr>
            <w:tcW w:w="4820" w:type="dxa"/>
          </w:tcPr>
          <w:p>
            <w:pPr>
              <w:pStyle w:val="yTableNAm"/>
            </w:pPr>
            <w:r>
              <w:rPr>
                <w:szCs w:val="22"/>
              </w:rPr>
              <w:t>57902</w:t>
            </w:r>
          </w:p>
        </w:tc>
        <w:tc>
          <w:tcPr>
            <w:tcW w:w="1276" w:type="dxa"/>
            <w:vAlign w:val="bottom"/>
          </w:tcPr>
          <w:p>
            <w:pPr>
              <w:pStyle w:val="yTableNAm"/>
              <w:jc w:val="right"/>
            </w:pPr>
            <w:r>
              <w:rPr>
                <w:szCs w:val="22"/>
              </w:rPr>
              <w:t>$118.60</w:t>
            </w:r>
          </w:p>
        </w:tc>
      </w:tr>
      <w:tr>
        <w:tblPrEx>
          <w:tblCellMar>
            <w:left w:w="108" w:type="dxa"/>
            <w:right w:w="108" w:type="dxa"/>
          </w:tblCellMar>
        </w:tblPrEx>
        <w:tc>
          <w:tcPr>
            <w:tcW w:w="4820" w:type="dxa"/>
          </w:tcPr>
          <w:p>
            <w:pPr>
              <w:pStyle w:val="yTableNAm"/>
            </w:pPr>
            <w:r>
              <w:rPr>
                <w:szCs w:val="22"/>
              </w:rPr>
              <w:t>57903</w:t>
            </w:r>
          </w:p>
        </w:tc>
        <w:tc>
          <w:tcPr>
            <w:tcW w:w="1276" w:type="dxa"/>
            <w:vAlign w:val="bottom"/>
          </w:tcPr>
          <w:p>
            <w:pPr>
              <w:pStyle w:val="yTableNAm"/>
              <w:jc w:val="right"/>
            </w:pPr>
            <w:r>
              <w:rPr>
                <w:szCs w:val="22"/>
              </w:rPr>
              <w:t>$87.00</w:t>
            </w:r>
          </w:p>
        </w:tc>
      </w:tr>
      <w:tr>
        <w:tblPrEx>
          <w:tblCellMar>
            <w:left w:w="108" w:type="dxa"/>
            <w:right w:w="108" w:type="dxa"/>
          </w:tblCellMar>
        </w:tblPrEx>
        <w:tc>
          <w:tcPr>
            <w:tcW w:w="4820" w:type="dxa"/>
          </w:tcPr>
          <w:p>
            <w:pPr>
              <w:pStyle w:val="yTableNAm"/>
            </w:pPr>
            <w:r>
              <w:rPr>
                <w:szCs w:val="22"/>
              </w:rPr>
              <w:t>57906</w:t>
            </w:r>
          </w:p>
        </w:tc>
        <w:tc>
          <w:tcPr>
            <w:tcW w:w="1276" w:type="dxa"/>
            <w:vAlign w:val="bottom"/>
          </w:tcPr>
          <w:p>
            <w:pPr>
              <w:pStyle w:val="yTableNAm"/>
              <w:jc w:val="right"/>
            </w:pPr>
            <w:r>
              <w:rPr>
                <w:szCs w:val="22"/>
              </w:rPr>
              <w:t>$118.60</w:t>
            </w:r>
          </w:p>
        </w:tc>
      </w:tr>
      <w:tr>
        <w:tblPrEx>
          <w:tblCellMar>
            <w:left w:w="108" w:type="dxa"/>
            <w:right w:w="108" w:type="dxa"/>
          </w:tblCellMar>
        </w:tblPrEx>
        <w:tc>
          <w:tcPr>
            <w:tcW w:w="4820" w:type="dxa"/>
          </w:tcPr>
          <w:p>
            <w:pPr>
              <w:pStyle w:val="yTableNAm"/>
            </w:pPr>
            <w:r>
              <w:rPr>
                <w:szCs w:val="22"/>
              </w:rPr>
              <w:t>57909</w:t>
            </w:r>
          </w:p>
        </w:tc>
        <w:tc>
          <w:tcPr>
            <w:tcW w:w="1276" w:type="dxa"/>
            <w:vAlign w:val="bottom"/>
          </w:tcPr>
          <w:p>
            <w:pPr>
              <w:pStyle w:val="yTableNAm"/>
              <w:jc w:val="right"/>
            </w:pPr>
            <w:r>
              <w:rPr>
                <w:szCs w:val="22"/>
              </w:rPr>
              <w:t>$118.60</w:t>
            </w:r>
          </w:p>
        </w:tc>
      </w:tr>
      <w:tr>
        <w:tblPrEx>
          <w:tblCellMar>
            <w:left w:w="108" w:type="dxa"/>
            <w:right w:w="108" w:type="dxa"/>
          </w:tblCellMar>
        </w:tblPrEx>
        <w:tc>
          <w:tcPr>
            <w:tcW w:w="4820" w:type="dxa"/>
          </w:tcPr>
          <w:p>
            <w:pPr>
              <w:pStyle w:val="yTableNAm"/>
            </w:pPr>
            <w:r>
              <w:rPr>
                <w:szCs w:val="22"/>
              </w:rPr>
              <w:t>57912</w:t>
            </w:r>
          </w:p>
        </w:tc>
        <w:tc>
          <w:tcPr>
            <w:tcW w:w="1276" w:type="dxa"/>
            <w:vAlign w:val="bottom"/>
          </w:tcPr>
          <w:p>
            <w:pPr>
              <w:pStyle w:val="yTableNAm"/>
              <w:jc w:val="right"/>
            </w:pPr>
            <w:r>
              <w:rPr>
                <w:szCs w:val="22"/>
              </w:rPr>
              <w:t>$86.75</w:t>
            </w:r>
          </w:p>
        </w:tc>
      </w:tr>
      <w:tr>
        <w:tblPrEx>
          <w:tblCellMar>
            <w:left w:w="108" w:type="dxa"/>
            <w:right w:w="108" w:type="dxa"/>
          </w:tblCellMar>
        </w:tblPrEx>
        <w:tc>
          <w:tcPr>
            <w:tcW w:w="4820" w:type="dxa"/>
          </w:tcPr>
          <w:p>
            <w:pPr>
              <w:pStyle w:val="yTableNAm"/>
            </w:pPr>
            <w:r>
              <w:rPr>
                <w:szCs w:val="22"/>
              </w:rPr>
              <w:t>57915</w:t>
            </w:r>
          </w:p>
        </w:tc>
        <w:tc>
          <w:tcPr>
            <w:tcW w:w="1276" w:type="dxa"/>
            <w:vAlign w:val="bottom"/>
          </w:tcPr>
          <w:p>
            <w:pPr>
              <w:pStyle w:val="yTableNAm"/>
              <w:jc w:val="right"/>
            </w:pPr>
            <w:r>
              <w:rPr>
                <w:szCs w:val="22"/>
              </w:rPr>
              <w:t>$86.75</w:t>
            </w:r>
          </w:p>
        </w:tc>
      </w:tr>
      <w:tr>
        <w:tblPrEx>
          <w:tblCellMar>
            <w:left w:w="108" w:type="dxa"/>
            <w:right w:w="108" w:type="dxa"/>
          </w:tblCellMar>
        </w:tblPrEx>
        <w:tc>
          <w:tcPr>
            <w:tcW w:w="4820" w:type="dxa"/>
          </w:tcPr>
          <w:p>
            <w:pPr>
              <w:pStyle w:val="yTableNAm"/>
            </w:pPr>
            <w:r>
              <w:rPr>
                <w:szCs w:val="22"/>
              </w:rPr>
              <w:t>57918</w:t>
            </w:r>
          </w:p>
        </w:tc>
        <w:tc>
          <w:tcPr>
            <w:tcW w:w="1276" w:type="dxa"/>
            <w:vAlign w:val="bottom"/>
          </w:tcPr>
          <w:p>
            <w:pPr>
              <w:pStyle w:val="yTableNAm"/>
              <w:jc w:val="right"/>
            </w:pPr>
            <w:r>
              <w:rPr>
                <w:szCs w:val="22"/>
              </w:rPr>
              <w:t>$86.75</w:t>
            </w:r>
          </w:p>
        </w:tc>
      </w:tr>
      <w:tr>
        <w:tblPrEx>
          <w:tblCellMar>
            <w:left w:w="108" w:type="dxa"/>
            <w:right w:w="108" w:type="dxa"/>
          </w:tblCellMar>
        </w:tblPrEx>
        <w:tc>
          <w:tcPr>
            <w:tcW w:w="4820" w:type="dxa"/>
          </w:tcPr>
          <w:p>
            <w:pPr>
              <w:pStyle w:val="yTableNAm"/>
            </w:pPr>
            <w:r>
              <w:rPr>
                <w:szCs w:val="22"/>
              </w:rPr>
              <w:t>57921</w:t>
            </w:r>
          </w:p>
        </w:tc>
        <w:tc>
          <w:tcPr>
            <w:tcW w:w="1276" w:type="dxa"/>
            <w:vAlign w:val="bottom"/>
          </w:tcPr>
          <w:p>
            <w:pPr>
              <w:pStyle w:val="yTableNAm"/>
              <w:jc w:val="right"/>
            </w:pPr>
            <w:r>
              <w:rPr>
                <w:szCs w:val="22"/>
              </w:rPr>
              <w:t>$86.75</w:t>
            </w:r>
          </w:p>
        </w:tc>
      </w:tr>
      <w:tr>
        <w:tblPrEx>
          <w:tblCellMar>
            <w:left w:w="108" w:type="dxa"/>
            <w:right w:w="108" w:type="dxa"/>
          </w:tblCellMar>
        </w:tblPrEx>
        <w:tc>
          <w:tcPr>
            <w:tcW w:w="4820" w:type="dxa"/>
          </w:tcPr>
          <w:p>
            <w:pPr>
              <w:pStyle w:val="yTableNAm"/>
            </w:pPr>
            <w:r>
              <w:rPr>
                <w:szCs w:val="22"/>
              </w:rPr>
              <w:t>57924</w:t>
            </w:r>
          </w:p>
        </w:tc>
        <w:tc>
          <w:tcPr>
            <w:tcW w:w="1276" w:type="dxa"/>
            <w:vAlign w:val="bottom"/>
          </w:tcPr>
          <w:p>
            <w:pPr>
              <w:pStyle w:val="yTableNAm"/>
              <w:jc w:val="right"/>
            </w:pPr>
            <w:r>
              <w:rPr>
                <w:szCs w:val="22"/>
              </w:rPr>
              <w:t>$86.75</w:t>
            </w:r>
          </w:p>
        </w:tc>
      </w:tr>
      <w:tr>
        <w:tblPrEx>
          <w:tblCellMar>
            <w:left w:w="108" w:type="dxa"/>
            <w:right w:w="108" w:type="dxa"/>
          </w:tblCellMar>
        </w:tblPrEx>
        <w:tc>
          <w:tcPr>
            <w:tcW w:w="4820" w:type="dxa"/>
          </w:tcPr>
          <w:p>
            <w:pPr>
              <w:pStyle w:val="yTableNAm"/>
            </w:pPr>
            <w:r>
              <w:rPr>
                <w:szCs w:val="22"/>
              </w:rPr>
              <w:t>57927</w:t>
            </w:r>
          </w:p>
        </w:tc>
        <w:tc>
          <w:tcPr>
            <w:tcW w:w="1276" w:type="dxa"/>
            <w:vAlign w:val="bottom"/>
          </w:tcPr>
          <w:p>
            <w:pPr>
              <w:pStyle w:val="yTableNAm"/>
              <w:jc w:val="right"/>
            </w:pPr>
            <w:r>
              <w:rPr>
                <w:szCs w:val="22"/>
              </w:rPr>
              <w:t>$91.25</w:t>
            </w:r>
          </w:p>
        </w:tc>
      </w:tr>
      <w:tr>
        <w:tblPrEx>
          <w:tblCellMar>
            <w:left w:w="108" w:type="dxa"/>
            <w:right w:w="108" w:type="dxa"/>
          </w:tblCellMar>
        </w:tblPrEx>
        <w:tc>
          <w:tcPr>
            <w:tcW w:w="4820" w:type="dxa"/>
          </w:tcPr>
          <w:p>
            <w:pPr>
              <w:pStyle w:val="yTableNAm"/>
            </w:pPr>
            <w:r>
              <w:rPr>
                <w:szCs w:val="22"/>
              </w:rPr>
              <w:t>57930</w:t>
            </w:r>
          </w:p>
        </w:tc>
        <w:tc>
          <w:tcPr>
            <w:tcW w:w="1276" w:type="dxa"/>
            <w:vAlign w:val="bottom"/>
          </w:tcPr>
          <w:p>
            <w:pPr>
              <w:pStyle w:val="yTableNAm"/>
              <w:jc w:val="right"/>
            </w:pPr>
            <w:r>
              <w:rPr>
                <w:szCs w:val="22"/>
              </w:rPr>
              <w:t>$60.50</w:t>
            </w:r>
          </w:p>
        </w:tc>
      </w:tr>
      <w:tr>
        <w:tblPrEx>
          <w:tblCellMar>
            <w:left w:w="108" w:type="dxa"/>
            <w:right w:w="108" w:type="dxa"/>
          </w:tblCellMar>
        </w:tblPrEx>
        <w:tc>
          <w:tcPr>
            <w:tcW w:w="4820" w:type="dxa"/>
          </w:tcPr>
          <w:p>
            <w:pPr>
              <w:pStyle w:val="yTableNAm"/>
            </w:pPr>
            <w:r>
              <w:rPr>
                <w:szCs w:val="22"/>
              </w:rPr>
              <w:t>57933</w:t>
            </w:r>
          </w:p>
        </w:tc>
        <w:tc>
          <w:tcPr>
            <w:tcW w:w="1276" w:type="dxa"/>
            <w:vAlign w:val="bottom"/>
          </w:tcPr>
          <w:p>
            <w:pPr>
              <w:pStyle w:val="yTableNAm"/>
              <w:jc w:val="right"/>
            </w:pPr>
            <w:r>
              <w:rPr>
                <w:szCs w:val="22"/>
              </w:rPr>
              <w:t>$143.95</w:t>
            </w:r>
          </w:p>
        </w:tc>
      </w:tr>
      <w:tr>
        <w:tblPrEx>
          <w:tblCellMar>
            <w:left w:w="108" w:type="dxa"/>
            <w:right w:w="108" w:type="dxa"/>
          </w:tblCellMar>
        </w:tblPrEx>
        <w:tc>
          <w:tcPr>
            <w:tcW w:w="4820" w:type="dxa"/>
          </w:tcPr>
          <w:p>
            <w:pPr>
              <w:pStyle w:val="yTableNAm"/>
            </w:pPr>
            <w:r>
              <w:rPr>
                <w:szCs w:val="22"/>
              </w:rPr>
              <w:t>57939</w:t>
            </w:r>
          </w:p>
        </w:tc>
        <w:tc>
          <w:tcPr>
            <w:tcW w:w="1276" w:type="dxa"/>
            <w:vAlign w:val="bottom"/>
          </w:tcPr>
          <w:p>
            <w:pPr>
              <w:pStyle w:val="yTableNAm"/>
              <w:jc w:val="right"/>
            </w:pPr>
            <w:r>
              <w:rPr>
                <w:szCs w:val="22"/>
              </w:rPr>
              <w:t>$118.60</w:t>
            </w:r>
          </w:p>
        </w:tc>
      </w:tr>
      <w:tr>
        <w:tblPrEx>
          <w:tblCellMar>
            <w:left w:w="108" w:type="dxa"/>
            <w:right w:w="108" w:type="dxa"/>
          </w:tblCellMar>
        </w:tblPrEx>
        <w:tc>
          <w:tcPr>
            <w:tcW w:w="4820" w:type="dxa"/>
          </w:tcPr>
          <w:p>
            <w:pPr>
              <w:pStyle w:val="yTableNAm"/>
            </w:pPr>
            <w:r>
              <w:rPr>
                <w:szCs w:val="22"/>
              </w:rPr>
              <w:t>57942</w:t>
            </w:r>
          </w:p>
        </w:tc>
        <w:tc>
          <w:tcPr>
            <w:tcW w:w="1276" w:type="dxa"/>
            <w:vAlign w:val="bottom"/>
          </w:tcPr>
          <w:p>
            <w:pPr>
              <w:pStyle w:val="yTableNAm"/>
              <w:jc w:val="right"/>
            </w:pPr>
            <w:r>
              <w:rPr>
                <w:szCs w:val="22"/>
              </w:rPr>
              <w:t>$91.25</w:t>
            </w:r>
          </w:p>
        </w:tc>
      </w:tr>
      <w:tr>
        <w:tblPrEx>
          <w:tblCellMar>
            <w:left w:w="108" w:type="dxa"/>
            <w:right w:w="108" w:type="dxa"/>
          </w:tblCellMar>
        </w:tblPrEx>
        <w:tc>
          <w:tcPr>
            <w:tcW w:w="4820" w:type="dxa"/>
          </w:tcPr>
          <w:p>
            <w:pPr>
              <w:pStyle w:val="yTableNAm"/>
            </w:pPr>
            <w:r>
              <w:rPr>
                <w:szCs w:val="22"/>
              </w:rPr>
              <w:t>57945</w:t>
            </w:r>
          </w:p>
        </w:tc>
        <w:tc>
          <w:tcPr>
            <w:tcW w:w="1276" w:type="dxa"/>
            <w:vAlign w:val="bottom"/>
          </w:tcPr>
          <w:p>
            <w:pPr>
              <w:pStyle w:val="yTableNAm"/>
              <w:jc w:val="right"/>
            </w:pPr>
            <w:r>
              <w:rPr>
                <w:szCs w:val="22"/>
              </w:rPr>
              <w:t>$79.80</w:t>
            </w:r>
          </w:p>
        </w:tc>
      </w:tr>
      <w:tr>
        <w:tblPrEx>
          <w:tblCellMar>
            <w:left w:w="108" w:type="dxa"/>
            <w:right w:w="108" w:type="dxa"/>
          </w:tblCellMar>
        </w:tblPrEx>
        <w:tc>
          <w:tcPr>
            <w:tcW w:w="4820" w:type="dxa"/>
          </w:tcPr>
          <w:p>
            <w:pPr>
              <w:pStyle w:val="yTableNAm"/>
            </w:pPr>
            <w:r>
              <w:rPr>
                <w:szCs w:val="22"/>
              </w:rPr>
              <w:t>57960</w:t>
            </w:r>
          </w:p>
        </w:tc>
        <w:tc>
          <w:tcPr>
            <w:tcW w:w="1276" w:type="dxa"/>
            <w:vAlign w:val="bottom"/>
          </w:tcPr>
          <w:p>
            <w:pPr>
              <w:pStyle w:val="yTableNAm"/>
              <w:jc w:val="right"/>
            </w:pPr>
            <w:r>
              <w:rPr>
                <w:szCs w:val="22"/>
              </w:rPr>
              <w:t>$87.25</w:t>
            </w:r>
          </w:p>
        </w:tc>
      </w:tr>
      <w:tr>
        <w:tblPrEx>
          <w:tblCellMar>
            <w:left w:w="108" w:type="dxa"/>
            <w:right w:w="108" w:type="dxa"/>
          </w:tblCellMar>
        </w:tblPrEx>
        <w:tc>
          <w:tcPr>
            <w:tcW w:w="4820" w:type="dxa"/>
          </w:tcPr>
          <w:p>
            <w:pPr>
              <w:pStyle w:val="yTableNAm"/>
            </w:pPr>
            <w:r>
              <w:rPr>
                <w:szCs w:val="22"/>
              </w:rPr>
              <w:t>57963</w:t>
            </w:r>
          </w:p>
        </w:tc>
        <w:tc>
          <w:tcPr>
            <w:tcW w:w="1276" w:type="dxa"/>
            <w:vAlign w:val="bottom"/>
          </w:tcPr>
          <w:p>
            <w:pPr>
              <w:pStyle w:val="yTableNAm"/>
              <w:jc w:val="right"/>
            </w:pPr>
            <w:r>
              <w:rPr>
                <w:szCs w:val="22"/>
              </w:rPr>
              <w:t>$87.25</w:t>
            </w:r>
          </w:p>
        </w:tc>
      </w:tr>
      <w:tr>
        <w:tblPrEx>
          <w:tblCellMar>
            <w:left w:w="108" w:type="dxa"/>
            <w:right w:w="108" w:type="dxa"/>
          </w:tblCellMar>
        </w:tblPrEx>
        <w:tc>
          <w:tcPr>
            <w:tcW w:w="4820" w:type="dxa"/>
          </w:tcPr>
          <w:p>
            <w:pPr>
              <w:pStyle w:val="yTableNAm"/>
            </w:pPr>
            <w:r>
              <w:rPr>
                <w:szCs w:val="22"/>
              </w:rPr>
              <w:t>57966</w:t>
            </w:r>
          </w:p>
        </w:tc>
        <w:tc>
          <w:tcPr>
            <w:tcW w:w="1276" w:type="dxa"/>
            <w:vAlign w:val="bottom"/>
          </w:tcPr>
          <w:p>
            <w:pPr>
              <w:pStyle w:val="yTableNAm"/>
              <w:jc w:val="right"/>
            </w:pPr>
            <w:r>
              <w:rPr>
                <w:szCs w:val="22"/>
              </w:rPr>
              <w:t>$87.25</w:t>
            </w:r>
          </w:p>
        </w:tc>
      </w:tr>
      <w:tr>
        <w:tblPrEx>
          <w:tblCellMar>
            <w:left w:w="108" w:type="dxa"/>
            <w:right w:w="108" w:type="dxa"/>
          </w:tblCellMar>
        </w:tblPrEx>
        <w:tc>
          <w:tcPr>
            <w:tcW w:w="4820" w:type="dxa"/>
          </w:tcPr>
          <w:p>
            <w:pPr>
              <w:pStyle w:val="yTableNAm"/>
            </w:pPr>
            <w:r>
              <w:rPr>
                <w:szCs w:val="22"/>
              </w:rPr>
              <w:t>57969</w:t>
            </w:r>
          </w:p>
        </w:tc>
        <w:tc>
          <w:tcPr>
            <w:tcW w:w="1276" w:type="dxa"/>
            <w:vAlign w:val="bottom"/>
          </w:tcPr>
          <w:p>
            <w:pPr>
              <w:pStyle w:val="yTableNAm"/>
              <w:jc w:val="right"/>
            </w:pPr>
            <w:r>
              <w:rPr>
                <w:szCs w:val="22"/>
              </w:rPr>
              <w:t>$87.25</w:t>
            </w:r>
          </w:p>
        </w:tc>
      </w:tr>
      <w:tr>
        <w:tblPrEx>
          <w:tblCellMar>
            <w:left w:w="108" w:type="dxa"/>
            <w:right w:w="108" w:type="dxa"/>
          </w:tblCellMar>
        </w:tblPrEx>
        <w:tc>
          <w:tcPr>
            <w:tcW w:w="4820" w:type="dxa"/>
          </w:tcPr>
          <w:p>
            <w:pPr>
              <w:pStyle w:val="yTableNAm"/>
            </w:pPr>
            <w:r>
              <w:rPr>
                <w:szCs w:val="22"/>
              </w:rPr>
              <w:t>58100</w:t>
            </w:r>
          </w:p>
        </w:tc>
        <w:tc>
          <w:tcPr>
            <w:tcW w:w="1276" w:type="dxa"/>
            <w:vAlign w:val="bottom"/>
          </w:tcPr>
          <w:p>
            <w:pPr>
              <w:pStyle w:val="yTableNAm"/>
              <w:jc w:val="right"/>
            </w:pPr>
            <w:r>
              <w:rPr>
                <w:szCs w:val="22"/>
              </w:rPr>
              <w:t>$123.45</w:t>
            </w:r>
          </w:p>
        </w:tc>
      </w:tr>
      <w:tr>
        <w:tblPrEx>
          <w:tblCellMar>
            <w:left w:w="108" w:type="dxa"/>
            <w:right w:w="108" w:type="dxa"/>
          </w:tblCellMar>
        </w:tblPrEx>
        <w:tc>
          <w:tcPr>
            <w:tcW w:w="4820" w:type="dxa"/>
          </w:tcPr>
          <w:p>
            <w:pPr>
              <w:pStyle w:val="yTableNAm"/>
            </w:pPr>
            <w:r>
              <w:rPr>
                <w:szCs w:val="22"/>
              </w:rPr>
              <w:t>58103</w:t>
            </w:r>
          </w:p>
        </w:tc>
        <w:tc>
          <w:tcPr>
            <w:tcW w:w="1276" w:type="dxa"/>
            <w:vAlign w:val="bottom"/>
          </w:tcPr>
          <w:p>
            <w:pPr>
              <w:pStyle w:val="yTableNAm"/>
              <w:jc w:val="right"/>
            </w:pPr>
            <w:r>
              <w:rPr>
                <w:szCs w:val="22"/>
              </w:rPr>
              <w:t>$101.40</w:t>
            </w:r>
          </w:p>
        </w:tc>
      </w:tr>
      <w:tr>
        <w:tblPrEx>
          <w:tblCellMar>
            <w:left w:w="108" w:type="dxa"/>
            <w:right w:w="108" w:type="dxa"/>
          </w:tblCellMar>
        </w:tblPrEx>
        <w:tc>
          <w:tcPr>
            <w:tcW w:w="4820" w:type="dxa"/>
          </w:tcPr>
          <w:p>
            <w:pPr>
              <w:pStyle w:val="yTableNAm"/>
            </w:pPr>
            <w:r>
              <w:rPr>
                <w:szCs w:val="22"/>
              </w:rPr>
              <w:t>58106</w:t>
            </w:r>
          </w:p>
        </w:tc>
        <w:tc>
          <w:tcPr>
            <w:tcW w:w="1276" w:type="dxa"/>
            <w:vAlign w:val="bottom"/>
          </w:tcPr>
          <w:p>
            <w:pPr>
              <w:pStyle w:val="yTableNAm"/>
              <w:jc w:val="right"/>
            </w:pPr>
            <w:r>
              <w:rPr>
                <w:szCs w:val="22"/>
              </w:rPr>
              <w:t>$141.60</w:t>
            </w:r>
          </w:p>
        </w:tc>
      </w:tr>
      <w:tr>
        <w:tblPrEx>
          <w:tblCellMar>
            <w:left w:w="108" w:type="dxa"/>
            <w:right w:w="108" w:type="dxa"/>
          </w:tblCellMar>
        </w:tblPrEx>
        <w:tc>
          <w:tcPr>
            <w:tcW w:w="4820" w:type="dxa"/>
          </w:tcPr>
          <w:p>
            <w:pPr>
              <w:pStyle w:val="yTableNAm"/>
            </w:pPr>
            <w:r>
              <w:rPr>
                <w:szCs w:val="22"/>
              </w:rPr>
              <w:t>58108</w:t>
            </w:r>
          </w:p>
        </w:tc>
        <w:tc>
          <w:tcPr>
            <w:tcW w:w="1276" w:type="dxa"/>
            <w:vAlign w:val="bottom"/>
          </w:tcPr>
          <w:p>
            <w:pPr>
              <w:pStyle w:val="yTableNAm"/>
              <w:jc w:val="right"/>
            </w:pPr>
            <w:r>
              <w:rPr>
                <w:szCs w:val="22"/>
              </w:rPr>
              <w:t>$244.45</w:t>
            </w:r>
          </w:p>
        </w:tc>
      </w:tr>
      <w:tr>
        <w:tblPrEx>
          <w:tblCellMar>
            <w:left w:w="108" w:type="dxa"/>
            <w:right w:w="108" w:type="dxa"/>
          </w:tblCellMar>
        </w:tblPrEx>
        <w:tc>
          <w:tcPr>
            <w:tcW w:w="4820" w:type="dxa"/>
          </w:tcPr>
          <w:p>
            <w:pPr>
              <w:pStyle w:val="yTableNAm"/>
            </w:pPr>
            <w:r>
              <w:rPr>
                <w:szCs w:val="22"/>
              </w:rPr>
              <w:t>58109</w:t>
            </w:r>
          </w:p>
        </w:tc>
        <w:tc>
          <w:tcPr>
            <w:tcW w:w="1276" w:type="dxa"/>
            <w:vAlign w:val="bottom"/>
          </w:tcPr>
          <w:p>
            <w:pPr>
              <w:pStyle w:val="yTableNAm"/>
              <w:jc w:val="right"/>
            </w:pPr>
            <w:r>
              <w:rPr>
                <w:szCs w:val="22"/>
              </w:rPr>
              <w:t>$86.50</w:t>
            </w:r>
          </w:p>
        </w:tc>
      </w:tr>
      <w:tr>
        <w:tblPrEx>
          <w:tblCellMar>
            <w:left w:w="108" w:type="dxa"/>
            <w:right w:w="108" w:type="dxa"/>
          </w:tblCellMar>
        </w:tblPrEx>
        <w:tc>
          <w:tcPr>
            <w:tcW w:w="4820" w:type="dxa"/>
          </w:tcPr>
          <w:p>
            <w:pPr>
              <w:pStyle w:val="yTableNAm"/>
            </w:pPr>
            <w:r>
              <w:rPr>
                <w:szCs w:val="22"/>
              </w:rPr>
              <w:t>58112</w:t>
            </w:r>
          </w:p>
        </w:tc>
        <w:tc>
          <w:tcPr>
            <w:tcW w:w="1276" w:type="dxa"/>
            <w:vAlign w:val="bottom"/>
          </w:tcPr>
          <w:p>
            <w:pPr>
              <w:pStyle w:val="yTableNAm"/>
              <w:jc w:val="right"/>
            </w:pPr>
            <w:r>
              <w:rPr>
                <w:szCs w:val="22"/>
              </w:rPr>
              <w:t>$178.90</w:t>
            </w:r>
          </w:p>
        </w:tc>
      </w:tr>
      <w:tr>
        <w:tblPrEx>
          <w:tblCellMar>
            <w:left w:w="108" w:type="dxa"/>
            <w:right w:w="108" w:type="dxa"/>
          </w:tblCellMar>
        </w:tblPrEx>
        <w:tc>
          <w:tcPr>
            <w:tcW w:w="4820" w:type="dxa"/>
          </w:tcPr>
          <w:p>
            <w:pPr>
              <w:pStyle w:val="yTableNAm"/>
            </w:pPr>
            <w:r>
              <w:rPr>
                <w:szCs w:val="22"/>
              </w:rPr>
              <w:t>58115</w:t>
            </w:r>
          </w:p>
        </w:tc>
        <w:tc>
          <w:tcPr>
            <w:tcW w:w="1276" w:type="dxa"/>
            <w:vAlign w:val="bottom"/>
          </w:tcPr>
          <w:p>
            <w:pPr>
              <w:pStyle w:val="yTableNAm"/>
              <w:jc w:val="right"/>
            </w:pPr>
            <w:r>
              <w:rPr>
                <w:szCs w:val="22"/>
              </w:rPr>
              <w:t>$244.45</w:t>
            </w:r>
          </w:p>
        </w:tc>
      </w:tr>
      <w:tr>
        <w:tblPrEx>
          <w:tblCellMar>
            <w:left w:w="108" w:type="dxa"/>
            <w:right w:w="108" w:type="dxa"/>
          </w:tblCellMar>
        </w:tblPrEx>
        <w:tc>
          <w:tcPr>
            <w:tcW w:w="4820" w:type="dxa"/>
          </w:tcPr>
          <w:p>
            <w:pPr>
              <w:pStyle w:val="yTableNAm"/>
            </w:pPr>
            <w:r>
              <w:rPr>
                <w:szCs w:val="22"/>
              </w:rPr>
              <w:t>58300</w:t>
            </w:r>
          </w:p>
        </w:tc>
        <w:tc>
          <w:tcPr>
            <w:tcW w:w="1276" w:type="dxa"/>
            <w:vAlign w:val="bottom"/>
          </w:tcPr>
          <w:p>
            <w:pPr>
              <w:pStyle w:val="yTableNAm"/>
              <w:jc w:val="right"/>
            </w:pPr>
            <w:r>
              <w:rPr>
                <w:szCs w:val="22"/>
              </w:rPr>
              <w:t>$73.85</w:t>
            </w:r>
          </w:p>
        </w:tc>
      </w:tr>
      <w:tr>
        <w:tblPrEx>
          <w:tblCellMar>
            <w:left w:w="108" w:type="dxa"/>
            <w:right w:w="108" w:type="dxa"/>
          </w:tblCellMar>
        </w:tblPrEx>
        <w:tc>
          <w:tcPr>
            <w:tcW w:w="4820" w:type="dxa"/>
          </w:tcPr>
          <w:p>
            <w:pPr>
              <w:pStyle w:val="yTableNAm"/>
            </w:pPr>
            <w:r>
              <w:rPr>
                <w:szCs w:val="22"/>
              </w:rPr>
              <w:t>58306</w:t>
            </w:r>
          </w:p>
        </w:tc>
        <w:tc>
          <w:tcPr>
            <w:tcW w:w="1276" w:type="dxa"/>
            <w:vAlign w:val="bottom"/>
          </w:tcPr>
          <w:p>
            <w:pPr>
              <w:pStyle w:val="yTableNAm"/>
              <w:jc w:val="right"/>
            </w:pPr>
            <w:r>
              <w:rPr>
                <w:szCs w:val="22"/>
              </w:rPr>
              <w:t>$164.40</w:t>
            </w:r>
          </w:p>
        </w:tc>
      </w:tr>
      <w:tr>
        <w:tblPrEx>
          <w:tblCellMar>
            <w:left w:w="108" w:type="dxa"/>
            <w:right w:w="108" w:type="dxa"/>
          </w:tblCellMar>
        </w:tblPrEx>
        <w:tc>
          <w:tcPr>
            <w:tcW w:w="4820" w:type="dxa"/>
          </w:tcPr>
          <w:p>
            <w:pPr>
              <w:pStyle w:val="yTableNAm"/>
            </w:pPr>
            <w:r>
              <w:rPr>
                <w:szCs w:val="22"/>
              </w:rPr>
              <w:t>58500</w:t>
            </w:r>
          </w:p>
        </w:tc>
        <w:tc>
          <w:tcPr>
            <w:tcW w:w="1276" w:type="dxa"/>
            <w:vAlign w:val="bottom"/>
          </w:tcPr>
          <w:p>
            <w:pPr>
              <w:pStyle w:val="yTableNAm"/>
              <w:jc w:val="right"/>
            </w:pPr>
            <w:r>
              <w:rPr>
                <w:szCs w:val="22"/>
              </w:rPr>
              <w:t>$65.05</w:t>
            </w:r>
          </w:p>
        </w:tc>
      </w:tr>
      <w:tr>
        <w:tblPrEx>
          <w:tblCellMar>
            <w:left w:w="108" w:type="dxa"/>
            <w:right w:w="108" w:type="dxa"/>
          </w:tblCellMar>
        </w:tblPrEx>
        <w:tc>
          <w:tcPr>
            <w:tcW w:w="4820" w:type="dxa"/>
          </w:tcPr>
          <w:p>
            <w:pPr>
              <w:pStyle w:val="yTableNAm"/>
            </w:pPr>
            <w:r>
              <w:rPr>
                <w:szCs w:val="22"/>
              </w:rPr>
              <w:t>58503</w:t>
            </w:r>
          </w:p>
        </w:tc>
        <w:tc>
          <w:tcPr>
            <w:tcW w:w="1276" w:type="dxa"/>
            <w:vAlign w:val="bottom"/>
          </w:tcPr>
          <w:p>
            <w:pPr>
              <w:pStyle w:val="yTableNAm"/>
              <w:jc w:val="right"/>
            </w:pPr>
            <w:r>
              <w:rPr>
                <w:szCs w:val="22"/>
              </w:rPr>
              <w:t>$86.75</w:t>
            </w:r>
          </w:p>
        </w:tc>
      </w:tr>
      <w:tr>
        <w:tblPrEx>
          <w:tblCellMar>
            <w:left w:w="108" w:type="dxa"/>
            <w:right w:w="108" w:type="dxa"/>
          </w:tblCellMar>
        </w:tblPrEx>
        <w:tc>
          <w:tcPr>
            <w:tcW w:w="4820" w:type="dxa"/>
          </w:tcPr>
          <w:p>
            <w:pPr>
              <w:pStyle w:val="yTableNAm"/>
            </w:pPr>
            <w:r>
              <w:rPr>
                <w:szCs w:val="22"/>
              </w:rPr>
              <w:t>58506</w:t>
            </w:r>
          </w:p>
        </w:tc>
        <w:tc>
          <w:tcPr>
            <w:tcW w:w="1276" w:type="dxa"/>
            <w:vAlign w:val="bottom"/>
          </w:tcPr>
          <w:p>
            <w:pPr>
              <w:pStyle w:val="yTableNAm"/>
              <w:jc w:val="right"/>
            </w:pPr>
            <w:r>
              <w:rPr>
                <w:szCs w:val="22"/>
              </w:rPr>
              <w:t>$111.90</w:t>
            </w:r>
          </w:p>
        </w:tc>
      </w:tr>
      <w:tr>
        <w:tblPrEx>
          <w:tblCellMar>
            <w:left w:w="108" w:type="dxa"/>
            <w:right w:w="108" w:type="dxa"/>
          </w:tblCellMar>
        </w:tblPrEx>
        <w:tc>
          <w:tcPr>
            <w:tcW w:w="4820" w:type="dxa"/>
          </w:tcPr>
          <w:p>
            <w:pPr>
              <w:pStyle w:val="yTableNAm"/>
            </w:pPr>
            <w:r>
              <w:rPr>
                <w:szCs w:val="22"/>
              </w:rPr>
              <w:t>58509</w:t>
            </w:r>
          </w:p>
        </w:tc>
        <w:tc>
          <w:tcPr>
            <w:tcW w:w="1276" w:type="dxa"/>
            <w:vAlign w:val="bottom"/>
          </w:tcPr>
          <w:p>
            <w:pPr>
              <w:pStyle w:val="yTableNAm"/>
              <w:jc w:val="right"/>
            </w:pPr>
            <w:r>
              <w:rPr>
                <w:szCs w:val="22"/>
              </w:rPr>
              <w:t>$73.10</w:t>
            </w:r>
          </w:p>
        </w:tc>
      </w:tr>
      <w:tr>
        <w:tblPrEx>
          <w:tblCellMar>
            <w:left w:w="108" w:type="dxa"/>
            <w:right w:w="108" w:type="dxa"/>
          </w:tblCellMar>
        </w:tblPrEx>
        <w:tc>
          <w:tcPr>
            <w:tcW w:w="4820" w:type="dxa"/>
          </w:tcPr>
          <w:p>
            <w:pPr>
              <w:pStyle w:val="yTableNAm"/>
            </w:pPr>
            <w:r>
              <w:rPr>
                <w:szCs w:val="22"/>
              </w:rPr>
              <w:t>58521</w:t>
            </w:r>
          </w:p>
        </w:tc>
        <w:tc>
          <w:tcPr>
            <w:tcW w:w="1276" w:type="dxa"/>
            <w:vAlign w:val="bottom"/>
          </w:tcPr>
          <w:p>
            <w:pPr>
              <w:pStyle w:val="yTableNAm"/>
              <w:jc w:val="right"/>
            </w:pPr>
            <w:r>
              <w:rPr>
                <w:szCs w:val="22"/>
              </w:rPr>
              <w:t>$79.80</w:t>
            </w:r>
          </w:p>
        </w:tc>
      </w:tr>
      <w:tr>
        <w:tblPrEx>
          <w:tblCellMar>
            <w:left w:w="108" w:type="dxa"/>
            <w:right w:w="108" w:type="dxa"/>
          </w:tblCellMar>
        </w:tblPrEx>
        <w:tc>
          <w:tcPr>
            <w:tcW w:w="4820" w:type="dxa"/>
          </w:tcPr>
          <w:p>
            <w:pPr>
              <w:pStyle w:val="yTableNAm"/>
            </w:pPr>
            <w:r>
              <w:rPr>
                <w:szCs w:val="22"/>
              </w:rPr>
              <w:t>58524</w:t>
            </w:r>
          </w:p>
        </w:tc>
        <w:tc>
          <w:tcPr>
            <w:tcW w:w="1276" w:type="dxa"/>
            <w:vAlign w:val="bottom"/>
          </w:tcPr>
          <w:p>
            <w:pPr>
              <w:pStyle w:val="yTableNAm"/>
              <w:jc w:val="right"/>
            </w:pPr>
            <w:r>
              <w:rPr>
                <w:szCs w:val="22"/>
              </w:rPr>
              <w:t>$103.95</w:t>
            </w:r>
          </w:p>
        </w:tc>
      </w:tr>
      <w:tr>
        <w:tblPrEx>
          <w:tblCellMar>
            <w:left w:w="108" w:type="dxa"/>
            <w:right w:w="108" w:type="dxa"/>
          </w:tblCellMar>
        </w:tblPrEx>
        <w:tc>
          <w:tcPr>
            <w:tcW w:w="4820" w:type="dxa"/>
          </w:tcPr>
          <w:p>
            <w:pPr>
              <w:pStyle w:val="yTableNAm"/>
            </w:pPr>
            <w:r>
              <w:rPr>
                <w:szCs w:val="22"/>
              </w:rPr>
              <w:t>58527</w:t>
            </w:r>
          </w:p>
        </w:tc>
        <w:tc>
          <w:tcPr>
            <w:tcW w:w="1276" w:type="dxa"/>
            <w:vAlign w:val="bottom"/>
          </w:tcPr>
          <w:p>
            <w:pPr>
              <w:pStyle w:val="yTableNAm"/>
              <w:jc w:val="right"/>
            </w:pPr>
            <w:r>
              <w:rPr>
                <w:szCs w:val="22"/>
              </w:rPr>
              <w:t>$127.65</w:t>
            </w:r>
          </w:p>
        </w:tc>
      </w:tr>
      <w:tr>
        <w:tblPrEx>
          <w:tblCellMar>
            <w:left w:w="108" w:type="dxa"/>
            <w:right w:w="108" w:type="dxa"/>
          </w:tblCellMar>
        </w:tblPrEx>
        <w:tc>
          <w:tcPr>
            <w:tcW w:w="4820" w:type="dxa"/>
          </w:tcPr>
          <w:p>
            <w:pPr>
              <w:pStyle w:val="yTableNAm"/>
            </w:pPr>
            <w:r>
              <w:rPr>
                <w:szCs w:val="22"/>
              </w:rPr>
              <w:t>58700</w:t>
            </w:r>
          </w:p>
        </w:tc>
        <w:tc>
          <w:tcPr>
            <w:tcW w:w="1276" w:type="dxa"/>
            <w:vAlign w:val="bottom"/>
          </w:tcPr>
          <w:p>
            <w:pPr>
              <w:pStyle w:val="yTableNAm"/>
              <w:jc w:val="right"/>
            </w:pPr>
            <w:r>
              <w:rPr>
                <w:szCs w:val="22"/>
              </w:rPr>
              <w:t>$84.80</w:t>
            </w:r>
          </w:p>
        </w:tc>
      </w:tr>
      <w:tr>
        <w:tblPrEx>
          <w:tblCellMar>
            <w:left w:w="108" w:type="dxa"/>
            <w:right w:w="108" w:type="dxa"/>
          </w:tblCellMar>
        </w:tblPrEx>
        <w:tc>
          <w:tcPr>
            <w:tcW w:w="4820" w:type="dxa"/>
          </w:tcPr>
          <w:p>
            <w:pPr>
              <w:pStyle w:val="yTableNAm"/>
            </w:pPr>
            <w:r>
              <w:rPr>
                <w:szCs w:val="22"/>
              </w:rPr>
              <w:t>58706</w:t>
            </w:r>
          </w:p>
        </w:tc>
        <w:tc>
          <w:tcPr>
            <w:tcW w:w="1276" w:type="dxa"/>
            <w:vAlign w:val="bottom"/>
          </w:tcPr>
          <w:p>
            <w:pPr>
              <w:pStyle w:val="yTableNAm"/>
              <w:jc w:val="right"/>
            </w:pPr>
            <w:r>
              <w:rPr>
                <w:szCs w:val="22"/>
              </w:rPr>
              <w:t>$290.50</w:t>
            </w:r>
          </w:p>
        </w:tc>
      </w:tr>
      <w:tr>
        <w:tblPrEx>
          <w:tblCellMar>
            <w:left w:w="108" w:type="dxa"/>
            <w:right w:w="108" w:type="dxa"/>
          </w:tblCellMar>
        </w:tblPrEx>
        <w:tc>
          <w:tcPr>
            <w:tcW w:w="4820" w:type="dxa"/>
          </w:tcPr>
          <w:p>
            <w:pPr>
              <w:pStyle w:val="yTableNAm"/>
            </w:pPr>
            <w:r>
              <w:rPr>
                <w:szCs w:val="22"/>
              </w:rPr>
              <w:t>58715</w:t>
            </w:r>
          </w:p>
        </w:tc>
        <w:tc>
          <w:tcPr>
            <w:tcW w:w="1276" w:type="dxa"/>
            <w:vAlign w:val="bottom"/>
          </w:tcPr>
          <w:p>
            <w:pPr>
              <w:pStyle w:val="yTableNAm"/>
              <w:jc w:val="right"/>
            </w:pPr>
            <w:r>
              <w:rPr>
                <w:szCs w:val="22"/>
              </w:rPr>
              <w:t>$278.80</w:t>
            </w:r>
          </w:p>
        </w:tc>
      </w:tr>
      <w:tr>
        <w:tblPrEx>
          <w:tblCellMar>
            <w:left w:w="108" w:type="dxa"/>
            <w:right w:w="108" w:type="dxa"/>
          </w:tblCellMar>
        </w:tblPrEx>
        <w:tc>
          <w:tcPr>
            <w:tcW w:w="4820" w:type="dxa"/>
          </w:tcPr>
          <w:p>
            <w:pPr>
              <w:pStyle w:val="yTableNAm"/>
            </w:pPr>
            <w:r>
              <w:rPr>
                <w:szCs w:val="22"/>
              </w:rPr>
              <w:t>58718</w:t>
            </w:r>
          </w:p>
        </w:tc>
        <w:tc>
          <w:tcPr>
            <w:tcW w:w="1276" w:type="dxa"/>
            <w:vAlign w:val="bottom"/>
          </w:tcPr>
          <w:p>
            <w:pPr>
              <w:pStyle w:val="yTableNAm"/>
              <w:jc w:val="right"/>
            </w:pPr>
            <w:r>
              <w:rPr>
                <w:szCs w:val="22"/>
              </w:rPr>
              <w:t>$232.10</w:t>
            </w:r>
          </w:p>
        </w:tc>
      </w:tr>
      <w:tr>
        <w:tblPrEx>
          <w:tblCellMar>
            <w:left w:w="108" w:type="dxa"/>
            <w:right w:w="108" w:type="dxa"/>
          </w:tblCellMar>
        </w:tblPrEx>
        <w:tc>
          <w:tcPr>
            <w:tcW w:w="4820" w:type="dxa"/>
          </w:tcPr>
          <w:p>
            <w:pPr>
              <w:pStyle w:val="yTableNAm"/>
            </w:pPr>
            <w:r>
              <w:rPr>
                <w:szCs w:val="22"/>
              </w:rPr>
              <w:t>58721</w:t>
            </w:r>
          </w:p>
        </w:tc>
        <w:tc>
          <w:tcPr>
            <w:tcW w:w="1276" w:type="dxa"/>
            <w:vAlign w:val="bottom"/>
          </w:tcPr>
          <w:p>
            <w:pPr>
              <w:pStyle w:val="yTableNAm"/>
              <w:jc w:val="right"/>
            </w:pPr>
            <w:r>
              <w:rPr>
                <w:szCs w:val="22"/>
              </w:rPr>
              <w:t>$254.35</w:t>
            </w:r>
          </w:p>
        </w:tc>
      </w:tr>
      <w:tr>
        <w:tblPrEx>
          <w:tblCellMar>
            <w:left w:w="108" w:type="dxa"/>
            <w:right w:w="108" w:type="dxa"/>
          </w:tblCellMar>
        </w:tblPrEx>
        <w:tc>
          <w:tcPr>
            <w:tcW w:w="4820" w:type="dxa"/>
          </w:tcPr>
          <w:p>
            <w:pPr>
              <w:pStyle w:val="yTableNAm"/>
            </w:pPr>
            <w:r>
              <w:rPr>
                <w:szCs w:val="22"/>
              </w:rPr>
              <w:t>58900</w:t>
            </w:r>
          </w:p>
        </w:tc>
        <w:tc>
          <w:tcPr>
            <w:tcW w:w="1276" w:type="dxa"/>
            <w:vAlign w:val="bottom"/>
          </w:tcPr>
          <w:p>
            <w:pPr>
              <w:pStyle w:val="yTableNAm"/>
              <w:jc w:val="right"/>
            </w:pPr>
            <w:r>
              <w:rPr>
                <w:szCs w:val="22"/>
              </w:rPr>
              <w:t>$65.65</w:t>
            </w:r>
          </w:p>
        </w:tc>
      </w:tr>
      <w:tr>
        <w:tblPrEx>
          <w:tblCellMar>
            <w:left w:w="108" w:type="dxa"/>
            <w:right w:w="108" w:type="dxa"/>
          </w:tblCellMar>
        </w:tblPrEx>
        <w:tc>
          <w:tcPr>
            <w:tcW w:w="4820" w:type="dxa"/>
          </w:tcPr>
          <w:p>
            <w:pPr>
              <w:pStyle w:val="yTableNAm"/>
            </w:pPr>
            <w:r>
              <w:rPr>
                <w:szCs w:val="22"/>
              </w:rPr>
              <w:t>58903</w:t>
            </w:r>
          </w:p>
        </w:tc>
        <w:tc>
          <w:tcPr>
            <w:tcW w:w="1276" w:type="dxa"/>
            <w:vAlign w:val="bottom"/>
          </w:tcPr>
          <w:p>
            <w:pPr>
              <w:pStyle w:val="yTableNAm"/>
              <w:jc w:val="right"/>
            </w:pPr>
            <w:r>
              <w:rPr>
                <w:szCs w:val="22"/>
              </w:rPr>
              <w:t>$87.50</w:t>
            </w:r>
          </w:p>
        </w:tc>
      </w:tr>
      <w:tr>
        <w:tblPrEx>
          <w:tblCellMar>
            <w:left w:w="108" w:type="dxa"/>
            <w:right w:w="108" w:type="dxa"/>
          </w:tblCellMar>
        </w:tblPrEx>
        <w:tc>
          <w:tcPr>
            <w:tcW w:w="4820" w:type="dxa"/>
          </w:tcPr>
          <w:p>
            <w:pPr>
              <w:pStyle w:val="yTableNAm"/>
            </w:pPr>
            <w:r>
              <w:rPr>
                <w:szCs w:val="22"/>
              </w:rPr>
              <w:t>58909</w:t>
            </w:r>
          </w:p>
        </w:tc>
        <w:tc>
          <w:tcPr>
            <w:tcW w:w="1276" w:type="dxa"/>
            <w:vAlign w:val="bottom"/>
          </w:tcPr>
          <w:p>
            <w:pPr>
              <w:pStyle w:val="yTableNAm"/>
              <w:jc w:val="right"/>
            </w:pPr>
            <w:r>
              <w:rPr>
                <w:szCs w:val="22"/>
              </w:rPr>
              <w:t>$165.40</w:t>
            </w:r>
          </w:p>
        </w:tc>
      </w:tr>
      <w:tr>
        <w:tblPrEx>
          <w:tblCellMar>
            <w:left w:w="108" w:type="dxa"/>
            <w:right w:w="108" w:type="dxa"/>
          </w:tblCellMar>
        </w:tblPrEx>
        <w:tc>
          <w:tcPr>
            <w:tcW w:w="4820" w:type="dxa"/>
          </w:tcPr>
          <w:p>
            <w:pPr>
              <w:pStyle w:val="yTableNAm"/>
            </w:pPr>
            <w:r>
              <w:rPr>
                <w:szCs w:val="22"/>
              </w:rPr>
              <w:t>58912</w:t>
            </w:r>
          </w:p>
        </w:tc>
        <w:tc>
          <w:tcPr>
            <w:tcW w:w="1276" w:type="dxa"/>
            <w:vAlign w:val="bottom"/>
          </w:tcPr>
          <w:p>
            <w:pPr>
              <w:pStyle w:val="yTableNAm"/>
              <w:jc w:val="right"/>
            </w:pPr>
            <w:r>
              <w:rPr>
                <w:szCs w:val="22"/>
              </w:rPr>
              <w:t>$202.85</w:t>
            </w:r>
          </w:p>
        </w:tc>
      </w:tr>
      <w:tr>
        <w:tblPrEx>
          <w:tblCellMar>
            <w:left w:w="108" w:type="dxa"/>
            <w:right w:w="108" w:type="dxa"/>
          </w:tblCellMar>
        </w:tblPrEx>
        <w:tc>
          <w:tcPr>
            <w:tcW w:w="4820" w:type="dxa"/>
          </w:tcPr>
          <w:p>
            <w:pPr>
              <w:pStyle w:val="yTableNAm"/>
            </w:pPr>
            <w:r>
              <w:rPr>
                <w:szCs w:val="22"/>
              </w:rPr>
              <w:t>58915</w:t>
            </w:r>
          </w:p>
        </w:tc>
        <w:tc>
          <w:tcPr>
            <w:tcW w:w="1276" w:type="dxa"/>
            <w:vAlign w:val="bottom"/>
          </w:tcPr>
          <w:p>
            <w:pPr>
              <w:pStyle w:val="yTableNAm"/>
              <w:jc w:val="right"/>
            </w:pPr>
            <w:r>
              <w:rPr>
                <w:szCs w:val="22"/>
              </w:rPr>
              <w:t>$145.20</w:t>
            </w:r>
          </w:p>
        </w:tc>
      </w:tr>
      <w:tr>
        <w:tblPrEx>
          <w:tblCellMar>
            <w:left w:w="108" w:type="dxa"/>
            <w:right w:w="108" w:type="dxa"/>
          </w:tblCellMar>
        </w:tblPrEx>
        <w:tc>
          <w:tcPr>
            <w:tcW w:w="4820" w:type="dxa"/>
          </w:tcPr>
          <w:p>
            <w:pPr>
              <w:pStyle w:val="yTableNAm"/>
            </w:pPr>
            <w:r>
              <w:rPr>
                <w:szCs w:val="22"/>
              </w:rPr>
              <w:t>58916</w:t>
            </w:r>
          </w:p>
        </w:tc>
        <w:tc>
          <w:tcPr>
            <w:tcW w:w="1276" w:type="dxa"/>
            <w:vAlign w:val="bottom"/>
          </w:tcPr>
          <w:p>
            <w:pPr>
              <w:pStyle w:val="yTableNAm"/>
              <w:jc w:val="right"/>
            </w:pPr>
            <w:r>
              <w:rPr>
                <w:szCs w:val="22"/>
              </w:rPr>
              <w:t>$254.75</w:t>
            </w:r>
          </w:p>
        </w:tc>
      </w:tr>
      <w:tr>
        <w:tblPrEx>
          <w:tblCellMar>
            <w:left w:w="108" w:type="dxa"/>
            <w:right w:w="108" w:type="dxa"/>
          </w:tblCellMar>
        </w:tblPrEx>
        <w:tc>
          <w:tcPr>
            <w:tcW w:w="4820" w:type="dxa"/>
          </w:tcPr>
          <w:p>
            <w:pPr>
              <w:pStyle w:val="yTableNAm"/>
            </w:pPr>
            <w:r>
              <w:rPr>
                <w:szCs w:val="22"/>
              </w:rPr>
              <w:t>58921</w:t>
            </w:r>
          </w:p>
        </w:tc>
        <w:tc>
          <w:tcPr>
            <w:tcW w:w="1276" w:type="dxa"/>
            <w:vAlign w:val="bottom"/>
          </w:tcPr>
          <w:p>
            <w:pPr>
              <w:pStyle w:val="yTableNAm"/>
              <w:jc w:val="right"/>
            </w:pPr>
            <w:r>
              <w:rPr>
                <w:szCs w:val="22"/>
              </w:rPr>
              <w:t>$248.80</w:t>
            </w:r>
          </w:p>
        </w:tc>
      </w:tr>
      <w:tr>
        <w:tblPrEx>
          <w:tblCellMar>
            <w:left w:w="108" w:type="dxa"/>
            <w:right w:w="108" w:type="dxa"/>
          </w:tblCellMar>
        </w:tblPrEx>
        <w:tc>
          <w:tcPr>
            <w:tcW w:w="4820" w:type="dxa"/>
          </w:tcPr>
          <w:p>
            <w:pPr>
              <w:pStyle w:val="yTableNAm"/>
            </w:pPr>
            <w:r>
              <w:rPr>
                <w:szCs w:val="22"/>
              </w:rPr>
              <w:t>58924</w:t>
            </w:r>
          </w:p>
        </w:tc>
        <w:tc>
          <w:tcPr>
            <w:tcW w:w="1276" w:type="dxa"/>
            <w:vAlign w:val="bottom"/>
          </w:tcPr>
          <w:p>
            <w:pPr>
              <w:pStyle w:val="yTableNAm"/>
              <w:jc w:val="right"/>
            </w:pPr>
            <w:r>
              <w:rPr>
                <w:szCs w:val="22"/>
              </w:rPr>
              <w:t>$154.65</w:t>
            </w:r>
          </w:p>
        </w:tc>
      </w:tr>
      <w:tr>
        <w:tblPrEx>
          <w:tblCellMar>
            <w:left w:w="108" w:type="dxa"/>
            <w:right w:w="108" w:type="dxa"/>
          </w:tblCellMar>
        </w:tblPrEx>
        <w:tc>
          <w:tcPr>
            <w:tcW w:w="4820" w:type="dxa"/>
          </w:tcPr>
          <w:p>
            <w:pPr>
              <w:pStyle w:val="yTableNAm"/>
            </w:pPr>
            <w:r>
              <w:rPr>
                <w:szCs w:val="22"/>
              </w:rPr>
              <w:t>58927</w:t>
            </w:r>
          </w:p>
        </w:tc>
        <w:tc>
          <w:tcPr>
            <w:tcW w:w="1276" w:type="dxa"/>
            <w:vAlign w:val="bottom"/>
          </w:tcPr>
          <w:p>
            <w:pPr>
              <w:pStyle w:val="yTableNAm"/>
              <w:jc w:val="right"/>
            </w:pPr>
            <w:r>
              <w:rPr>
                <w:szCs w:val="22"/>
              </w:rPr>
              <w:t>$140.70</w:t>
            </w:r>
          </w:p>
        </w:tc>
      </w:tr>
      <w:tr>
        <w:tblPrEx>
          <w:tblCellMar>
            <w:left w:w="108" w:type="dxa"/>
            <w:right w:w="108" w:type="dxa"/>
          </w:tblCellMar>
        </w:tblPrEx>
        <w:tc>
          <w:tcPr>
            <w:tcW w:w="4820" w:type="dxa"/>
          </w:tcPr>
          <w:p>
            <w:pPr>
              <w:pStyle w:val="yTableNAm"/>
            </w:pPr>
            <w:r>
              <w:rPr>
                <w:szCs w:val="22"/>
              </w:rPr>
              <w:t>58933</w:t>
            </w:r>
          </w:p>
        </w:tc>
        <w:tc>
          <w:tcPr>
            <w:tcW w:w="1276" w:type="dxa"/>
            <w:vAlign w:val="bottom"/>
          </w:tcPr>
          <w:p>
            <w:pPr>
              <w:pStyle w:val="yTableNAm"/>
              <w:jc w:val="right"/>
            </w:pPr>
            <w:r>
              <w:rPr>
                <w:szCs w:val="22"/>
              </w:rPr>
              <w:t>$378.30</w:t>
            </w:r>
          </w:p>
        </w:tc>
      </w:tr>
      <w:tr>
        <w:tblPrEx>
          <w:tblCellMar>
            <w:left w:w="108" w:type="dxa"/>
            <w:right w:w="108" w:type="dxa"/>
          </w:tblCellMar>
        </w:tblPrEx>
        <w:tc>
          <w:tcPr>
            <w:tcW w:w="4820" w:type="dxa"/>
          </w:tcPr>
          <w:p>
            <w:pPr>
              <w:pStyle w:val="yTableNAm"/>
            </w:pPr>
            <w:r>
              <w:rPr>
                <w:szCs w:val="22"/>
              </w:rPr>
              <w:t>58936</w:t>
            </w:r>
          </w:p>
        </w:tc>
        <w:tc>
          <w:tcPr>
            <w:tcW w:w="1276" w:type="dxa"/>
            <w:vAlign w:val="bottom"/>
          </w:tcPr>
          <w:p>
            <w:pPr>
              <w:pStyle w:val="yTableNAm"/>
              <w:jc w:val="right"/>
            </w:pPr>
            <w:r>
              <w:rPr>
                <w:szCs w:val="22"/>
              </w:rPr>
              <w:t>$360.55</w:t>
            </w:r>
          </w:p>
        </w:tc>
      </w:tr>
      <w:tr>
        <w:tblPrEx>
          <w:tblCellMar>
            <w:left w:w="108" w:type="dxa"/>
            <w:right w:w="108" w:type="dxa"/>
          </w:tblCellMar>
        </w:tblPrEx>
        <w:tc>
          <w:tcPr>
            <w:tcW w:w="4820" w:type="dxa"/>
          </w:tcPr>
          <w:p>
            <w:pPr>
              <w:pStyle w:val="yTableNAm"/>
            </w:pPr>
            <w:r>
              <w:rPr>
                <w:szCs w:val="22"/>
              </w:rPr>
              <w:t>58939</w:t>
            </w:r>
          </w:p>
        </w:tc>
        <w:tc>
          <w:tcPr>
            <w:tcW w:w="1276" w:type="dxa"/>
            <w:vAlign w:val="bottom"/>
          </w:tcPr>
          <w:p>
            <w:pPr>
              <w:pStyle w:val="yTableNAm"/>
              <w:jc w:val="right"/>
            </w:pPr>
            <w:r>
              <w:rPr>
                <w:szCs w:val="22"/>
              </w:rPr>
              <w:t>$256.30</w:t>
            </w:r>
          </w:p>
        </w:tc>
      </w:tr>
      <w:tr>
        <w:tblPrEx>
          <w:tblCellMar>
            <w:left w:w="108" w:type="dxa"/>
            <w:right w:w="108" w:type="dxa"/>
          </w:tblCellMar>
        </w:tblPrEx>
        <w:tc>
          <w:tcPr>
            <w:tcW w:w="4820" w:type="dxa"/>
          </w:tcPr>
          <w:p>
            <w:pPr>
              <w:pStyle w:val="yTableNAm"/>
            </w:pPr>
            <w:r>
              <w:rPr>
                <w:szCs w:val="22"/>
              </w:rPr>
              <w:t>59103</w:t>
            </w:r>
          </w:p>
        </w:tc>
        <w:tc>
          <w:tcPr>
            <w:tcW w:w="1276" w:type="dxa"/>
            <w:vAlign w:val="bottom"/>
          </w:tcPr>
          <w:p>
            <w:pPr>
              <w:pStyle w:val="yTableNAm"/>
              <w:jc w:val="right"/>
            </w:pPr>
            <w:r>
              <w:rPr>
                <w:szCs w:val="22"/>
              </w:rPr>
              <w:t>$39.25</w:t>
            </w:r>
          </w:p>
        </w:tc>
      </w:tr>
      <w:tr>
        <w:tblPrEx>
          <w:tblCellMar>
            <w:left w:w="108" w:type="dxa"/>
            <w:right w:w="108" w:type="dxa"/>
          </w:tblCellMar>
        </w:tblPrEx>
        <w:tc>
          <w:tcPr>
            <w:tcW w:w="4820" w:type="dxa"/>
          </w:tcPr>
          <w:p>
            <w:pPr>
              <w:pStyle w:val="yTableNAm"/>
            </w:pPr>
            <w:r>
              <w:rPr>
                <w:szCs w:val="22"/>
              </w:rPr>
              <w:t>59300</w:t>
            </w:r>
          </w:p>
        </w:tc>
        <w:tc>
          <w:tcPr>
            <w:tcW w:w="1276" w:type="dxa"/>
            <w:vAlign w:val="bottom"/>
          </w:tcPr>
          <w:p>
            <w:pPr>
              <w:pStyle w:val="yTableNAm"/>
              <w:jc w:val="right"/>
            </w:pPr>
            <w:r>
              <w:rPr>
                <w:szCs w:val="22"/>
              </w:rPr>
              <w:t>$164.70</w:t>
            </w:r>
          </w:p>
        </w:tc>
      </w:tr>
      <w:tr>
        <w:tblPrEx>
          <w:tblCellMar>
            <w:left w:w="108" w:type="dxa"/>
            <w:right w:w="108" w:type="dxa"/>
          </w:tblCellMar>
        </w:tblPrEx>
        <w:tc>
          <w:tcPr>
            <w:tcW w:w="4820" w:type="dxa"/>
          </w:tcPr>
          <w:p>
            <w:pPr>
              <w:pStyle w:val="yTableNAm"/>
            </w:pPr>
            <w:r>
              <w:rPr>
                <w:szCs w:val="22"/>
              </w:rPr>
              <w:t>59303</w:t>
            </w:r>
          </w:p>
        </w:tc>
        <w:tc>
          <w:tcPr>
            <w:tcW w:w="1276" w:type="dxa"/>
            <w:vAlign w:val="bottom"/>
          </w:tcPr>
          <w:p>
            <w:pPr>
              <w:pStyle w:val="yTableNAm"/>
              <w:jc w:val="right"/>
            </w:pPr>
            <w:r>
              <w:rPr>
                <w:szCs w:val="22"/>
              </w:rPr>
              <w:t>$99.25</w:t>
            </w:r>
          </w:p>
        </w:tc>
      </w:tr>
      <w:tr>
        <w:tblPrEx>
          <w:tblCellMar>
            <w:left w:w="108" w:type="dxa"/>
            <w:right w:w="108" w:type="dxa"/>
          </w:tblCellMar>
        </w:tblPrEx>
        <w:tc>
          <w:tcPr>
            <w:tcW w:w="4820" w:type="dxa"/>
          </w:tcPr>
          <w:p>
            <w:pPr>
              <w:pStyle w:val="yTableNAm"/>
            </w:pPr>
            <w:r>
              <w:rPr>
                <w:szCs w:val="22"/>
              </w:rPr>
              <w:t>59306</w:t>
            </w:r>
          </w:p>
        </w:tc>
        <w:tc>
          <w:tcPr>
            <w:tcW w:w="1276" w:type="dxa"/>
            <w:vAlign w:val="bottom"/>
          </w:tcPr>
          <w:p>
            <w:pPr>
              <w:pStyle w:val="yTableNAm"/>
              <w:jc w:val="right"/>
            </w:pPr>
            <w:r>
              <w:rPr>
                <w:szCs w:val="22"/>
              </w:rPr>
              <w:t>$184.60</w:t>
            </w:r>
          </w:p>
        </w:tc>
      </w:tr>
      <w:tr>
        <w:tblPrEx>
          <w:tblCellMar>
            <w:left w:w="108" w:type="dxa"/>
            <w:right w:w="108" w:type="dxa"/>
          </w:tblCellMar>
        </w:tblPrEx>
        <w:tc>
          <w:tcPr>
            <w:tcW w:w="4820" w:type="dxa"/>
          </w:tcPr>
          <w:p>
            <w:pPr>
              <w:pStyle w:val="yTableNAm"/>
            </w:pPr>
            <w:r>
              <w:rPr>
                <w:szCs w:val="22"/>
              </w:rPr>
              <w:t>59309</w:t>
            </w:r>
          </w:p>
        </w:tc>
        <w:tc>
          <w:tcPr>
            <w:tcW w:w="1276" w:type="dxa"/>
            <w:vAlign w:val="bottom"/>
          </w:tcPr>
          <w:p>
            <w:pPr>
              <w:pStyle w:val="yTableNAm"/>
              <w:jc w:val="right"/>
            </w:pPr>
            <w:r>
              <w:rPr>
                <w:szCs w:val="22"/>
              </w:rPr>
              <w:t>$368.95</w:t>
            </w:r>
          </w:p>
        </w:tc>
      </w:tr>
      <w:tr>
        <w:tblPrEx>
          <w:tblCellMar>
            <w:left w:w="108" w:type="dxa"/>
            <w:right w:w="108" w:type="dxa"/>
          </w:tblCellMar>
        </w:tblPrEx>
        <w:tc>
          <w:tcPr>
            <w:tcW w:w="4820" w:type="dxa"/>
          </w:tcPr>
          <w:p>
            <w:pPr>
              <w:pStyle w:val="yTableNAm"/>
            </w:pPr>
            <w:r>
              <w:rPr>
                <w:szCs w:val="22"/>
              </w:rPr>
              <w:t>59312</w:t>
            </w:r>
          </w:p>
        </w:tc>
        <w:tc>
          <w:tcPr>
            <w:tcW w:w="1276" w:type="dxa"/>
            <w:vAlign w:val="bottom"/>
          </w:tcPr>
          <w:p>
            <w:pPr>
              <w:pStyle w:val="yTableNAm"/>
              <w:jc w:val="right"/>
            </w:pPr>
            <w:r>
              <w:rPr>
                <w:szCs w:val="22"/>
              </w:rPr>
              <w:t>$160.10</w:t>
            </w:r>
          </w:p>
        </w:tc>
      </w:tr>
      <w:tr>
        <w:tblPrEx>
          <w:tblCellMar>
            <w:left w:w="108" w:type="dxa"/>
            <w:right w:w="108" w:type="dxa"/>
          </w:tblCellMar>
        </w:tblPrEx>
        <w:tc>
          <w:tcPr>
            <w:tcW w:w="4820" w:type="dxa"/>
          </w:tcPr>
          <w:p>
            <w:pPr>
              <w:pStyle w:val="yTableNAm"/>
            </w:pPr>
            <w:r>
              <w:rPr>
                <w:szCs w:val="22"/>
              </w:rPr>
              <w:t>59314</w:t>
            </w:r>
          </w:p>
        </w:tc>
        <w:tc>
          <w:tcPr>
            <w:tcW w:w="1276" w:type="dxa"/>
            <w:vAlign w:val="bottom"/>
          </w:tcPr>
          <w:p>
            <w:pPr>
              <w:pStyle w:val="yTableNAm"/>
              <w:jc w:val="right"/>
            </w:pPr>
            <w:r>
              <w:rPr>
                <w:szCs w:val="22"/>
              </w:rPr>
              <w:t>$96.55</w:t>
            </w:r>
          </w:p>
        </w:tc>
      </w:tr>
      <w:tr>
        <w:tblPrEx>
          <w:tblCellMar>
            <w:left w:w="108" w:type="dxa"/>
            <w:right w:w="108" w:type="dxa"/>
          </w:tblCellMar>
        </w:tblPrEx>
        <w:tc>
          <w:tcPr>
            <w:tcW w:w="4820" w:type="dxa"/>
          </w:tcPr>
          <w:p>
            <w:pPr>
              <w:pStyle w:val="yTableNAm"/>
            </w:pPr>
            <w:r>
              <w:rPr>
                <w:szCs w:val="22"/>
              </w:rPr>
              <w:t>59318</w:t>
            </w:r>
          </w:p>
        </w:tc>
        <w:tc>
          <w:tcPr>
            <w:tcW w:w="1276" w:type="dxa"/>
            <w:vAlign w:val="bottom"/>
          </w:tcPr>
          <w:p>
            <w:pPr>
              <w:pStyle w:val="yTableNAm"/>
              <w:jc w:val="right"/>
            </w:pPr>
            <w:r>
              <w:rPr>
                <w:szCs w:val="22"/>
              </w:rPr>
              <w:t>$86.55</w:t>
            </w:r>
          </w:p>
        </w:tc>
      </w:tr>
      <w:tr>
        <w:tblPrEx>
          <w:tblCellMar>
            <w:left w:w="108" w:type="dxa"/>
            <w:right w:w="108" w:type="dxa"/>
          </w:tblCellMar>
        </w:tblPrEx>
        <w:tc>
          <w:tcPr>
            <w:tcW w:w="4820" w:type="dxa"/>
          </w:tcPr>
          <w:p>
            <w:pPr>
              <w:pStyle w:val="yTableNAm"/>
            </w:pPr>
            <w:r>
              <w:rPr>
                <w:szCs w:val="22"/>
              </w:rPr>
              <w:t>59503</w:t>
            </w:r>
          </w:p>
        </w:tc>
        <w:tc>
          <w:tcPr>
            <w:tcW w:w="1276" w:type="dxa"/>
            <w:vAlign w:val="bottom"/>
          </w:tcPr>
          <w:p>
            <w:pPr>
              <w:pStyle w:val="yTableNAm"/>
              <w:jc w:val="right"/>
            </w:pPr>
            <w:r>
              <w:rPr>
                <w:szCs w:val="22"/>
              </w:rPr>
              <w:t>$164.40</w:t>
            </w:r>
          </w:p>
        </w:tc>
      </w:tr>
      <w:tr>
        <w:tblPrEx>
          <w:tblCellMar>
            <w:left w:w="108" w:type="dxa"/>
            <w:right w:w="108" w:type="dxa"/>
          </w:tblCellMar>
        </w:tblPrEx>
        <w:tc>
          <w:tcPr>
            <w:tcW w:w="4820" w:type="dxa"/>
          </w:tcPr>
          <w:p>
            <w:pPr>
              <w:pStyle w:val="yTableNAm"/>
            </w:pPr>
            <w:r>
              <w:rPr>
                <w:szCs w:val="22"/>
              </w:rPr>
              <w:t>59700</w:t>
            </w:r>
          </w:p>
        </w:tc>
        <w:tc>
          <w:tcPr>
            <w:tcW w:w="1276" w:type="dxa"/>
            <w:vAlign w:val="bottom"/>
          </w:tcPr>
          <w:p>
            <w:pPr>
              <w:pStyle w:val="yTableNAm"/>
              <w:jc w:val="right"/>
            </w:pPr>
            <w:r>
              <w:rPr>
                <w:szCs w:val="22"/>
              </w:rPr>
              <w:t>$177.65</w:t>
            </w:r>
          </w:p>
        </w:tc>
      </w:tr>
      <w:tr>
        <w:tblPrEx>
          <w:tblCellMar>
            <w:left w:w="108" w:type="dxa"/>
            <w:right w:w="108" w:type="dxa"/>
          </w:tblCellMar>
        </w:tblPrEx>
        <w:tc>
          <w:tcPr>
            <w:tcW w:w="4820" w:type="dxa"/>
          </w:tcPr>
          <w:p>
            <w:pPr>
              <w:pStyle w:val="yTableNAm"/>
            </w:pPr>
            <w:r>
              <w:rPr>
                <w:szCs w:val="22"/>
              </w:rPr>
              <w:t>59703</w:t>
            </w:r>
          </w:p>
        </w:tc>
        <w:tc>
          <w:tcPr>
            <w:tcW w:w="1276" w:type="dxa"/>
            <w:vAlign w:val="bottom"/>
          </w:tcPr>
          <w:p>
            <w:pPr>
              <w:pStyle w:val="yTableNAm"/>
              <w:jc w:val="right"/>
            </w:pPr>
            <w:r>
              <w:rPr>
                <w:szCs w:val="22"/>
              </w:rPr>
              <w:t>$139.65</w:t>
            </w:r>
          </w:p>
        </w:tc>
      </w:tr>
      <w:tr>
        <w:tblPrEx>
          <w:tblCellMar>
            <w:left w:w="108" w:type="dxa"/>
            <w:right w:w="108" w:type="dxa"/>
          </w:tblCellMar>
        </w:tblPrEx>
        <w:tc>
          <w:tcPr>
            <w:tcW w:w="4820" w:type="dxa"/>
          </w:tcPr>
          <w:p>
            <w:pPr>
              <w:pStyle w:val="yTableNAm"/>
            </w:pPr>
            <w:r>
              <w:rPr>
                <w:szCs w:val="22"/>
              </w:rPr>
              <w:t>59712</w:t>
            </w:r>
          </w:p>
        </w:tc>
        <w:tc>
          <w:tcPr>
            <w:tcW w:w="1276" w:type="dxa"/>
            <w:vAlign w:val="bottom"/>
          </w:tcPr>
          <w:p>
            <w:pPr>
              <w:pStyle w:val="yTableNAm"/>
              <w:jc w:val="right"/>
            </w:pPr>
            <w:r>
              <w:rPr>
                <w:szCs w:val="22"/>
              </w:rPr>
              <w:t>$209.20</w:t>
            </w:r>
          </w:p>
        </w:tc>
      </w:tr>
      <w:tr>
        <w:tblPrEx>
          <w:tblCellMar>
            <w:left w:w="108" w:type="dxa"/>
            <w:right w:w="108" w:type="dxa"/>
          </w:tblCellMar>
        </w:tblPrEx>
        <w:tc>
          <w:tcPr>
            <w:tcW w:w="4820" w:type="dxa"/>
          </w:tcPr>
          <w:p>
            <w:pPr>
              <w:pStyle w:val="yTableNAm"/>
            </w:pPr>
            <w:r>
              <w:rPr>
                <w:szCs w:val="22"/>
              </w:rPr>
              <w:t>59715</w:t>
            </w:r>
          </w:p>
        </w:tc>
        <w:tc>
          <w:tcPr>
            <w:tcW w:w="1276" w:type="dxa"/>
            <w:vAlign w:val="bottom"/>
          </w:tcPr>
          <w:p>
            <w:pPr>
              <w:pStyle w:val="yTableNAm"/>
              <w:jc w:val="right"/>
            </w:pPr>
            <w:r>
              <w:rPr>
                <w:szCs w:val="22"/>
              </w:rPr>
              <w:t>$264.10</w:t>
            </w:r>
          </w:p>
        </w:tc>
      </w:tr>
      <w:tr>
        <w:tblPrEx>
          <w:tblCellMar>
            <w:left w:w="108" w:type="dxa"/>
            <w:right w:w="108" w:type="dxa"/>
          </w:tblCellMar>
        </w:tblPrEx>
        <w:tc>
          <w:tcPr>
            <w:tcW w:w="4820" w:type="dxa"/>
          </w:tcPr>
          <w:p>
            <w:pPr>
              <w:pStyle w:val="yTableNAm"/>
            </w:pPr>
            <w:r>
              <w:rPr>
                <w:szCs w:val="22"/>
              </w:rPr>
              <w:t>59718</w:t>
            </w:r>
          </w:p>
        </w:tc>
        <w:tc>
          <w:tcPr>
            <w:tcW w:w="1276" w:type="dxa"/>
            <w:vAlign w:val="bottom"/>
          </w:tcPr>
          <w:p>
            <w:pPr>
              <w:pStyle w:val="yTableNAm"/>
              <w:jc w:val="right"/>
            </w:pPr>
            <w:r>
              <w:rPr>
                <w:szCs w:val="22"/>
              </w:rPr>
              <w:t>$247.75</w:t>
            </w:r>
          </w:p>
        </w:tc>
      </w:tr>
      <w:tr>
        <w:tblPrEx>
          <w:tblCellMar>
            <w:left w:w="108" w:type="dxa"/>
            <w:right w:w="108" w:type="dxa"/>
          </w:tblCellMar>
        </w:tblPrEx>
        <w:tc>
          <w:tcPr>
            <w:tcW w:w="4820" w:type="dxa"/>
          </w:tcPr>
          <w:p>
            <w:pPr>
              <w:pStyle w:val="yTableNAm"/>
            </w:pPr>
            <w:r>
              <w:rPr>
                <w:szCs w:val="22"/>
              </w:rPr>
              <w:t>59724</w:t>
            </w:r>
          </w:p>
        </w:tc>
        <w:tc>
          <w:tcPr>
            <w:tcW w:w="1276" w:type="dxa"/>
            <w:vAlign w:val="bottom"/>
          </w:tcPr>
          <w:p>
            <w:pPr>
              <w:pStyle w:val="yTableNAm"/>
              <w:jc w:val="right"/>
            </w:pPr>
            <w:r>
              <w:rPr>
                <w:szCs w:val="22"/>
              </w:rPr>
              <w:t>$416.65</w:t>
            </w:r>
          </w:p>
        </w:tc>
      </w:tr>
      <w:tr>
        <w:tblPrEx>
          <w:tblCellMar>
            <w:left w:w="108" w:type="dxa"/>
            <w:right w:w="108" w:type="dxa"/>
          </w:tblCellMar>
        </w:tblPrEx>
        <w:tc>
          <w:tcPr>
            <w:tcW w:w="4820" w:type="dxa"/>
          </w:tcPr>
          <w:p>
            <w:pPr>
              <w:pStyle w:val="yTableNAm"/>
            </w:pPr>
            <w:r>
              <w:rPr>
                <w:szCs w:val="22"/>
              </w:rPr>
              <w:t>59733</w:t>
            </w:r>
          </w:p>
        </w:tc>
        <w:tc>
          <w:tcPr>
            <w:tcW w:w="1276" w:type="dxa"/>
            <w:vAlign w:val="bottom"/>
          </w:tcPr>
          <w:p>
            <w:pPr>
              <w:pStyle w:val="yTableNAm"/>
              <w:jc w:val="right"/>
            </w:pPr>
            <w:r>
              <w:rPr>
                <w:szCs w:val="22"/>
              </w:rPr>
              <w:t>$198.15</w:t>
            </w:r>
          </w:p>
        </w:tc>
      </w:tr>
      <w:tr>
        <w:tblPrEx>
          <w:tblCellMar>
            <w:left w:w="108" w:type="dxa"/>
            <w:right w:w="108" w:type="dxa"/>
          </w:tblCellMar>
        </w:tblPrEx>
        <w:tc>
          <w:tcPr>
            <w:tcW w:w="4820" w:type="dxa"/>
          </w:tcPr>
          <w:p>
            <w:pPr>
              <w:pStyle w:val="yTableNAm"/>
            </w:pPr>
            <w:r>
              <w:rPr>
                <w:szCs w:val="22"/>
              </w:rPr>
              <w:t>59736</w:t>
            </w:r>
          </w:p>
        </w:tc>
        <w:tc>
          <w:tcPr>
            <w:tcW w:w="1276" w:type="dxa"/>
            <w:vAlign w:val="bottom"/>
          </w:tcPr>
          <w:p>
            <w:pPr>
              <w:pStyle w:val="yTableNAm"/>
              <w:jc w:val="right"/>
            </w:pPr>
            <w:r>
              <w:rPr>
                <w:szCs w:val="22"/>
              </w:rPr>
              <w:t>$114.05</w:t>
            </w:r>
          </w:p>
        </w:tc>
      </w:tr>
      <w:tr>
        <w:tblPrEx>
          <w:tblCellMar>
            <w:left w:w="108" w:type="dxa"/>
            <w:right w:w="108" w:type="dxa"/>
          </w:tblCellMar>
        </w:tblPrEx>
        <w:tc>
          <w:tcPr>
            <w:tcW w:w="4820" w:type="dxa"/>
          </w:tcPr>
          <w:p>
            <w:pPr>
              <w:pStyle w:val="yTableNAm"/>
            </w:pPr>
            <w:r>
              <w:rPr>
                <w:szCs w:val="22"/>
              </w:rPr>
              <w:t>59739</w:t>
            </w:r>
          </w:p>
        </w:tc>
        <w:tc>
          <w:tcPr>
            <w:tcW w:w="1276" w:type="dxa"/>
            <w:vAlign w:val="bottom"/>
          </w:tcPr>
          <w:p>
            <w:pPr>
              <w:pStyle w:val="yTableNAm"/>
              <w:jc w:val="right"/>
            </w:pPr>
            <w:r>
              <w:rPr>
                <w:szCs w:val="22"/>
              </w:rPr>
              <w:t>$135.85</w:t>
            </w:r>
          </w:p>
        </w:tc>
      </w:tr>
      <w:tr>
        <w:tblPrEx>
          <w:tblCellMar>
            <w:left w:w="108" w:type="dxa"/>
            <w:right w:w="108" w:type="dxa"/>
          </w:tblCellMar>
        </w:tblPrEx>
        <w:tc>
          <w:tcPr>
            <w:tcW w:w="4820" w:type="dxa"/>
          </w:tcPr>
          <w:p>
            <w:pPr>
              <w:pStyle w:val="yTableNAm"/>
            </w:pPr>
            <w:r>
              <w:rPr>
                <w:szCs w:val="22"/>
              </w:rPr>
              <w:t>59751</w:t>
            </w:r>
          </w:p>
        </w:tc>
        <w:tc>
          <w:tcPr>
            <w:tcW w:w="1276" w:type="dxa"/>
            <w:vAlign w:val="bottom"/>
          </w:tcPr>
          <w:p>
            <w:pPr>
              <w:pStyle w:val="yTableNAm"/>
              <w:jc w:val="right"/>
            </w:pPr>
            <w:r>
              <w:rPr>
                <w:szCs w:val="22"/>
              </w:rPr>
              <w:t>$256.05</w:t>
            </w:r>
          </w:p>
        </w:tc>
      </w:tr>
      <w:tr>
        <w:tblPrEx>
          <w:tblCellMar>
            <w:left w:w="108" w:type="dxa"/>
            <w:right w:w="108" w:type="dxa"/>
          </w:tblCellMar>
        </w:tblPrEx>
        <w:tc>
          <w:tcPr>
            <w:tcW w:w="4820" w:type="dxa"/>
          </w:tcPr>
          <w:p>
            <w:pPr>
              <w:pStyle w:val="yTableNAm"/>
            </w:pPr>
            <w:r>
              <w:rPr>
                <w:szCs w:val="22"/>
              </w:rPr>
              <w:t>59754</w:t>
            </w:r>
          </w:p>
        </w:tc>
        <w:tc>
          <w:tcPr>
            <w:tcW w:w="1276" w:type="dxa"/>
            <w:vAlign w:val="bottom"/>
          </w:tcPr>
          <w:p>
            <w:pPr>
              <w:pStyle w:val="yTableNAm"/>
              <w:jc w:val="right"/>
            </w:pPr>
            <w:r>
              <w:rPr>
                <w:szCs w:val="22"/>
              </w:rPr>
              <w:t>$403.50</w:t>
            </w:r>
          </w:p>
        </w:tc>
      </w:tr>
      <w:tr>
        <w:tblPrEx>
          <w:tblCellMar>
            <w:left w:w="108" w:type="dxa"/>
            <w:right w:w="108" w:type="dxa"/>
          </w:tblCellMar>
        </w:tblPrEx>
        <w:tc>
          <w:tcPr>
            <w:tcW w:w="4820" w:type="dxa"/>
          </w:tcPr>
          <w:p>
            <w:pPr>
              <w:pStyle w:val="yTableNAm"/>
            </w:pPr>
            <w:r>
              <w:rPr>
                <w:szCs w:val="22"/>
              </w:rPr>
              <w:t>59760</w:t>
            </w:r>
          </w:p>
        </w:tc>
        <w:tc>
          <w:tcPr>
            <w:tcW w:w="1276" w:type="dxa"/>
            <w:vAlign w:val="bottom"/>
          </w:tcPr>
          <w:p>
            <w:pPr>
              <w:pStyle w:val="yTableNAm"/>
              <w:jc w:val="right"/>
            </w:pPr>
            <w:r>
              <w:rPr>
                <w:szCs w:val="22"/>
              </w:rPr>
              <w:t>$211.85</w:t>
            </w:r>
          </w:p>
        </w:tc>
      </w:tr>
      <w:tr>
        <w:tblPrEx>
          <w:tblCellMar>
            <w:left w:w="108" w:type="dxa"/>
            <w:right w:w="108" w:type="dxa"/>
          </w:tblCellMar>
        </w:tblPrEx>
        <w:tc>
          <w:tcPr>
            <w:tcW w:w="4820" w:type="dxa"/>
          </w:tcPr>
          <w:p>
            <w:pPr>
              <w:pStyle w:val="yTableNAm"/>
            </w:pPr>
            <w:r>
              <w:rPr>
                <w:szCs w:val="22"/>
              </w:rPr>
              <w:t>59763</w:t>
            </w:r>
          </w:p>
        </w:tc>
        <w:tc>
          <w:tcPr>
            <w:tcW w:w="1276" w:type="dxa"/>
            <w:vAlign w:val="bottom"/>
          </w:tcPr>
          <w:p>
            <w:pPr>
              <w:pStyle w:val="yTableNAm"/>
              <w:jc w:val="right"/>
            </w:pPr>
            <w:r>
              <w:rPr>
                <w:szCs w:val="22"/>
              </w:rPr>
              <w:t>$246.40</w:t>
            </w:r>
          </w:p>
        </w:tc>
      </w:tr>
      <w:tr>
        <w:tblPrEx>
          <w:tblCellMar>
            <w:left w:w="108" w:type="dxa"/>
            <w:right w:w="108" w:type="dxa"/>
          </w:tblCellMar>
        </w:tblPrEx>
        <w:tc>
          <w:tcPr>
            <w:tcW w:w="4820" w:type="dxa"/>
          </w:tcPr>
          <w:p>
            <w:pPr>
              <w:pStyle w:val="yTableNAm"/>
            </w:pPr>
            <w:r>
              <w:rPr>
                <w:szCs w:val="22"/>
              </w:rPr>
              <w:t>59903</w:t>
            </w:r>
          </w:p>
        </w:tc>
        <w:tc>
          <w:tcPr>
            <w:tcW w:w="1276" w:type="dxa"/>
            <w:vAlign w:val="bottom"/>
          </w:tcPr>
          <w:p>
            <w:pPr>
              <w:pStyle w:val="yTableNAm"/>
              <w:jc w:val="right"/>
            </w:pPr>
            <w:r>
              <w:rPr>
                <w:szCs w:val="22"/>
              </w:rPr>
              <w:t>$210.75</w:t>
            </w:r>
          </w:p>
        </w:tc>
      </w:tr>
      <w:tr>
        <w:tblPrEx>
          <w:tblCellMar>
            <w:left w:w="108" w:type="dxa"/>
            <w:right w:w="108" w:type="dxa"/>
          </w:tblCellMar>
        </w:tblPrEx>
        <w:tc>
          <w:tcPr>
            <w:tcW w:w="4820" w:type="dxa"/>
          </w:tcPr>
          <w:p>
            <w:pPr>
              <w:pStyle w:val="yTableNAm"/>
            </w:pPr>
            <w:r>
              <w:rPr>
                <w:szCs w:val="22"/>
              </w:rPr>
              <w:t>59912</w:t>
            </w:r>
          </w:p>
        </w:tc>
        <w:tc>
          <w:tcPr>
            <w:tcW w:w="1276" w:type="dxa"/>
            <w:vAlign w:val="bottom"/>
          </w:tcPr>
          <w:p>
            <w:pPr>
              <w:pStyle w:val="yTableNAm"/>
              <w:jc w:val="right"/>
            </w:pPr>
            <w:r>
              <w:rPr>
                <w:szCs w:val="22"/>
              </w:rPr>
              <w:t>$561.50</w:t>
            </w:r>
          </w:p>
        </w:tc>
      </w:tr>
      <w:tr>
        <w:tblPrEx>
          <w:tblCellMar>
            <w:left w:w="108" w:type="dxa"/>
            <w:right w:w="108" w:type="dxa"/>
          </w:tblCellMar>
        </w:tblPrEx>
        <w:tc>
          <w:tcPr>
            <w:tcW w:w="4820" w:type="dxa"/>
          </w:tcPr>
          <w:p>
            <w:pPr>
              <w:pStyle w:val="yTableNAm"/>
            </w:pPr>
            <w:r>
              <w:rPr>
                <w:szCs w:val="22"/>
              </w:rPr>
              <w:t>59925</w:t>
            </w:r>
          </w:p>
        </w:tc>
        <w:tc>
          <w:tcPr>
            <w:tcW w:w="1276" w:type="dxa"/>
            <w:vAlign w:val="bottom"/>
          </w:tcPr>
          <w:p>
            <w:pPr>
              <w:pStyle w:val="yTableNAm"/>
              <w:jc w:val="right"/>
            </w:pPr>
            <w:r>
              <w:rPr>
                <w:szCs w:val="22"/>
              </w:rPr>
              <w:t>$666.75</w:t>
            </w:r>
          </w:p>
        </w:tc>
      </w:tr>
      <w:tr>
        <w:tblPrEx>
          <w:tblCellMar>
            <w:left w:w="108" w:type="dxa"/>
            <w:right w:w="108" w:type="dxa"/>
          </w:tblCellMar>
        </w:tblPrEx>
        <w:tc>
          <w:tcPr>
            <w:tcW w:w="4820" w:type="dxa"/>
          </w:tcPr>
          <w:p>
            <w:pPr>
              <w:pStyle w:val="yTableNAm"/>
            </w:pPr>
            <w:r>
              <w:rPr>
                <w:szCs w:val="22"/>
              </w:rPr>
              <w:t>59970</w:t>
            </w:r>
          </w:p>
        </w:tc>
        <w:tc>
          <w:tcPr>
            <w:tcW w:w="1276" w:type="dxa"/>
            <w:vAlign w:val="bottom"/>
          </w:tcPr>
          <w:p>
            <w:pPr>
              <w:pStyle w:val="yTableNAm"/>
              <w:jc w:val="right"/>
            </w:pPr>
            <w:r>
              <w:rPr>
                <w:szCs w:val="22"/>
              </w:rPr>
              <w:t>$309.70</w:t>
            </w:r>
          </w:p>
        </w:tc>
      </w:tr>
      <w:tr>
        <w:tblPrEx>
          <w:tblCellMar>
            <w:left w:w="108" w:type="dxa"/>
            <w:right w:w="108" w:type="dxa"/>
          </w:tblCellMar>
        </w:tblPrEx>
        <w:tc>
          <w:tcPr>
            <w:tcW w:w="4820" w:type="dxa"/>
          </w:tcPr>
          <w:p>
            <w:pPr>
              <w:pStyle w:val="yTableNAm"/>
            </w:pPr>
            <w:r>
              <w:rPr>
                <w:szCs w:val="22"/>
              </w:rPr>
              <w:t>59971</w:t>
            </w:r>
          </w:p>
        </w:tc>
        <w:tc>
          <w:tcPr>
            <w:tcW w:w="1276" w:type="dxa"/>
            <w:vAlign w:val="bottom"/>
          </w:tcPr>
          <w:p>
            <w:pPr>
              <w:pStyle w:val="yTableNAm"/>
              <w:jc w:val="right"/>
            </w:pPr>
            <w:r>
              <w:rPr>
                <w:szCs w:val="22"/>
              </w:rPr>
              <w:t>$105.45</w:t>
            </w:r>
          </w:p>
        </w:tc>
      </w:tr>
      <w:tr>
        <w:tblPrEx>
          <w:tblCellMar>
            <w:left w:w="108" w:type="dxa"/>
            <w:right w:w="108" w:type="dxa"/>
          </w:tblCellMar>
        </w:tblPrEx>
        <w:tc>
          <w:tcPr>
            <w:tcW w:w="4820" w:type="dxa"/>
          </w:tcPr>
          <w:p>
            <w:pPr>
              <w:pStyle w:val="yTableNAm"/>
            </w:pPr>
            <w:r>
              <w:rPr>
                <w:szCs w:val="22"/>
              </w:rPr>
              <w:t>59972</w:t>
            </w:r>
          </w:p>
        </w:tc>
        <w:tc>
          <w:tcPr>
            <w:tcW w:w="1276" w:type="dxa"/>
            <w:vAlign w:val="bottom"/>
          </w:tcPr>
          <w:p>
            <w:pPr>
              <w:pStyle w:val="yTableNAm"/>
              <w:jc w:val="right"/>
            </w:pPr>
            <w:r>
              <w:rPr>
                <w:szCs w:val="22"/>
              </w:rPr>
              <w:t>$280.70</w:t>
            </w:r>
          </w:p>
        </w:tc>
      </w:tr>
      <w:tr>
        <w:tblPrEx>
          <w:tblCellMar>
            <w:left w:w="108" w:type="dxa"/>
            <w:right w:w="108" w:type="dxa"/>
          </w:tblCellMar>
        </w:tblPrEx>
        <w:tc>
          <w:tcPr>
            <w:tcW w:w="4820" w:type="dxa"/>
          </w:tcPr>
          <w:p>
            <w:pPr>
              <w:pStyle w:val="yTableNAm"/>
            </w:pPr>
            <w:r>
              <w:rPr>
                <w:szCs w:val="22"/>
              </w:rPr>
              <w:t>59973</w:t>
            </w:r>
          </w:p>
        </w:tc>
        <w:tc>
          <w:tcPr>
            <w:tcW w:w="1276" w:type="dxa"/>
            <w:vAlign w:val="bottom"/>
          </w:tcPr>
          <w:p>
            <w:pPr>
              <w:pStyle w:val="yTableNAm"/>
              <w:jc w:val="right"/>
            </w:pPr>
            <w:r>
              <w:rPr>
                <w:szCs w:val="22"/>
              </w:rPr>
              <w:t>$333.40</w:t>
            </w:r>
          </w:p>
        </w:tc>
      </w:tr>
      <w:tr>
        <w:tblPrEx>
          <w:tblCellMar>
            <w:left w:w="108" w:type="dxa"/>
            <w:right w:w="108" w:type="dxa"/>
          </w:tblCellMar>
        </w:tblPrEx>
        <w:tc>
          <w:tcPr>
            <w:tcW w:w="4820" w:type="dxa"/>
          </w:tcPr>
          <w:p>
            <w:pPr>
              <w:pStyle w:val="yTableNAm"/>
            </w:pPr>
            <w:r>
              <w:rPr>
                <w:szCs w:val="22"/>
              </w:rPr>
              <w:t>59974</w:t>
            </w:r>
          </w:p>
        </w:tc>
        <w:tc>
          <w:tcPr>
            <w:tcW w:w="1276" w:type="dxa"/>
            <w:vAlign w:val="bottom"/>
          </w:tcPr>
          <w:p>
            <w:pPr>
              <w:pStyle w:val="yTableNAm"/>
              <w:jc w:val="right"/>
            </w:pPr>
            <w:r>
              <w:rPr>
                <w:szCs w:val="22"/>
              </w:rPr>
              <w:t>$154.85</w:t>
            </w:r>
          </w:p>
        </w:tc>
      </w:tr>
      <w:tr>
        <w:tblPrEx>
          <w:tblCellMar>
            <w:left w:w="108" w:type="dxa"/>
            <w:right w:w="108" w:type="dxa"/>
          </w:tblCellMar>
        </w:tblPrEx>
        <w:tc>
          <w:tcPr>
            <w:tcW w:w="4820" w:type="dxa"/>
          </w:tcPr>
          <w:p>
            <w:pPr>
              <w:pStyle w:val="yTableNAm"/>
            </w:pPr>
            <w:r>
              <w:rPr>
                <w:szCs w:val="22"/>
              </w:rPr>
              <w:t>60000</w:t>
            </w:r>
          </w:p>
        </w:tc>
        <w:tc>
          <w:tcPr>
            <w:tcW w:w="1276" w:type="dxa"/>
            <w:vAlign w:val="bottom"/>
          </w:tcPr>
          <w:p>
            <w:pPr>
              <w:pStyle w:val="yTableNAm"/>
              <w:jc w:val="right"/>
            </w:pPr>
            <w:r>
              <w:rPr>
                <w:szCs w:val="22"/>
              </w:rPr>
              <w:t>$1 037.65</w:t>
            </w:r>
          </w:p>
        </w:tc>
      </w:tr>
      <w:tr>
        <w:tblPrEx>
          <w:tblCellMar>
            <w:left w:w="108" w:type="dxa"/>
            <w:right w:w="108" w:type="dxa"/>
          </w:tblCellMar>
        </w:tblPrEx>
        <w:tc>
          <w:tcPr>
            <w:tcW w:w="4820" w:type="dxa"/>
          </w:tcPr>
          <w:p>
            <w:pPr>
              <w:pStyle w:val="yTableNAm"/>
            </w:pPr>
            <w:r>
              <w:rPr>
                <w:szCs w:val="22"/>
              </w:rPr>
              <w:t>60003</w:t>
            </w:r>
          </w:p>
        </w:tc>
        <w:tc>
          <w:tcPr>
            <w:tcW w:w="1276" w:type="dxa"/>
            <w:vAlign w:val="bottom"/>
          </w:tcPr>
          <w:p>
            <w:pPr>
              <w:pStyle w:val="yTableNAm"/>
              <w:jc w:val="right"/>
            </w:pPr>
            <w:r>
              <w:rPr>
                <w:szCs w:val="22"/>
              </w:rPr>
              <w:t>$1 521.70</w:t>
            </w:r>
          </w:p>
        </w:tc>
      </w:tr>
      <w:tr>
        <w:tblPrEx>
          <w:tblCellMar>
            <w:left w:w="108" w:type="dxa"/>
            <w:right w:w="108" w:type="dxa"/>
          </w:tblCellMar>
        </w:tblPrEx>
        <w:tc>
          <w:tcPr>
            <w:tcW w:w="4820" w:type="dxa"/>
          </w:tcPr>
          <w:p>
            <w:pPr>
              <w:pStyle w:val="yTableNAm"/>
            </w:pPr>
            <w:r>
              <w:rPr>
                <w:szCs w:val="22"/>
              </w:rPr>
              <w:t>60006</w:t>
            </w:r>
          </w:p>
        </w:tc>
        <w:tc>
          <w:tcPr>
            <w:tcW w:w="1276" w:type="dxa"/>
            <w:vAlign w:val="bottom"/>
          </w:tcPr>
          <w:p>
            <w:pPr>
              <w:pStyle w:val="yTableNAm"/>
              <w:jc w:val="right"/>
            </w:pPr>
            <w:r>
              <w:rPr>
                <w:szCs w:val="22"/>
              </w:rPr>
              <w:t>$2 163.70</w:t>
            </w:r>
          </w:p>
        </w:tc>
      </w:tr>
      <w:tr>
        <w:tblPrEx>
          <w:tblCellMar>
            <w:left w:w="108" w:type="dxa"/>
            <w:right w:w="108" w:type="dxa"/>
          </w:tblCellMar>
        </w:tblPrEx>
        <w:tc>
          <w:tcPr>
            <w:tcW w:w="4820" w:type="dxa"/>
          </w:tcPr>
          <w:p>
            <w:pPr>
              <w:pStyle w:val="yTableNAm"/>
            </w:pPr>
            <w:r>
              <w:rPr>
                <w:szCs w:val="22"/>
              </w:rPr>
              <w:t>60009</w:t>
            </w:r>
          </w:p>
        </w:tc>
        <w:tc>
          <w:tcPr>
            <w:tcW w:w="1276" w:type="dxa"/>
            <w:vAlign w:val="bottom"/>
          </w:tcPr>
          <w:p>
            <w:pPr>
              <w:pStyle w:val="yTableNAm"/>
              <w:jc w:val="right"/>
            </w:pPr>
            <w:r>
              <w:rPr>
                <w:szCs w:val="22"/>
              </w:rPr>
              <w:t>$2 532.15</w:t>
            </w:r>
          </w:p>
        </w:tc>
      </w:tr>
      <w:tr>
        <w:tblPrEx>
          <w:tblCellMar>
            <w:left w:w="108" w:type="dxa"/>
            <w:right w:w="108" w:type="dxa"/>
          </w:tblCellMar>
        </w:tblPrEx>
        <w:tc>
          <w:tcPr>
            <w:tcW w:w="4820" w:type="dxa"/>
          </w:tcPr>
          <w:p>
            <w:pPr>
              <w:pStyle w:val="yTableNAm"/>
            </w:pPr>
            <w:r>
              <w:rPr>
                <w:szCs w:val="22"/>
              </w:rPr>
              <w:t>60012</w:t>
            </w:r>
          </w:p>
        </w:tc>
        <w:tc>
          <w:tcPr>
            <w:tcW w:w="1276" w:type="dxa"/>
            <w:vAlign w:val="bottom"/>
          </w:tcPr>
          <w:p>
            <w:pPr>
              <w:pStyle w:val="yTableNAm"/>
              <w:jc w:val="right"/>
            </w:pPr>
            <w:r>
              <w:rPr>
                <w:szCs w:val="22"/>
              </w:rPr>
              <w:t>$1 037.65</w:t>
            </w:r>
          </w:p>
        </w:tc>
      </w:tr>
      <w:tr>
        <w:tblPrEx>
          <w:tblCellMar>
            <w:left w:w="108" w:type="dxa"/>
            <w:right w:w="108" w:type="dxa"/>
          </w:tblCellMar>
        </w:tblPrEx>
        <w:tc>
          <w:tcPr>
            <w:tcW w:w="4820" w:type="dxa"/>
          </w:tcPr>
          <w:p>
            <w:pPr>
              <w:pStyle w:val="yTableNAm"/>
            </w:pPr>
            <w:r>
              <w:rPr>
                <w:szCs w:val="22"/>
              </w:rPr>
              <w:t>60015</w:t>
            </w:r>
          </w:p>
        </w:tc>
        <w:tc>
          <w:tcPr>
            <w:tcW w:w="1276" w:type="dxa"/>
            <w:vAlign w:val="bottom"/>
          </w:tcPr>
          <w:p>
            <w:pPr>
              <w:pStyle w:val="yTableNAm"/>
              <w:jc w:val="right"/>
            </w:pPr>
            <w:r>
              <w:rPr>
                <w:szCs w:val="22"/>
              </w:rPr>
              <w:t>$1 521.70</w:t>
            </w:r>
          </w:p>
        </w:tc>
      </w:tr>
      <w:tr>
        <w:tblPrEx>
          <w:tblCellMar>
            <w:left w:w="108" w:type="dxa"/>
            <w:right w:w="108" w:type="dxa"/>
          </w:tblCellMar>
        </w:tblPrEx>
        <w:tc>
          <w:tcPr>
            <w:tcW w:w="4820" w:type="dxa"/>
          </w:tcPr>
          <w:p>
            <w:pPr>
              <w:pStyle w:val="yTableNAm"/>
            </w:pPr>
            <w:r>
              <w:rPr>
                <w:szCs w:val="22"/>
              </w:rPr>
              <w:t>60018</w:t>
            </w:r>
          </w:p>
        </w:tc>
        <w:tc>
          <w:tcPr>
            <w:tcW w:w="1276" w:type="dxa"/>
            <w:vAlign w:val="bottom"/>
          </w:tcPr>
          <w:p>
            <w:pPr>
              <w:pStyle w:val="yTableNAm"/>
              <w:jc w:val="right"/>
            </w:pPr>
            <w:r>
              <w:rPr>
                <w:szCs w:val="22"/>
              </w:rPr>
              <w:t>$2 163.70</w:t>
            </w:r>
          </w:p>
        </w:tc>
      </w:tr>
      <w:tr>
        <w:tblPrEx>
          <w:tblCellMar>
            <w:left w:w="108" w:type="dxa"/>
            <w:right w:w="108" w:type="dxa"/>
          </w:tblCellMar>
        </w:tblPrEx>
        <w:tc>
          <w:tcPr>
            <w:tcW w:w="4820" w:type="dxa"/>
          </w:tcPr>
          <w:p>
            <w:pPr>
              <w:pStyle w:val="yTableNAm"/>
            </w:pPr>
            <w:r>
              <w:rPr>
                <w:szCs w:val="22"/>
              </w:rPr>
              <w:t>60021</w:t>
            </w:r>
          </w:p>
        </w:tc>
        <w:tc>
          <w:tcPr>
            <w:tcW w:w="1276" w:type="dxa"/>
            <w:vAlign w:val="bottom"/>
          </w:tcPr>
          <w:p>
            <w:pPr>
              <w:pStyle w:val="yTableNAm"/>
              <w:jc w:val="right"/>
            </w:pPr>
            <w:r>
              <w:rPr>
                <w:szCs w:val="22"/>
              </w:rPr>
              <w:t>$2 532.15</w:t>
            </w:r>
          </w:p>
        </w:tc>
      </w:tr>
      <w:tr>
        <w:tblPrEx>
          <w:tblCellMar>
            <w:left w:w="108" w:type="dxa"/>
            <w:right w:w="108" w:type="dxa"/>
          </w:tblCellMar>
        </w:tblPrEx>
        <w:tc>
          <w:tcPr>
            <w:tcW w:w="4820" w:type="dxa"/>
          </w:tcPr>
          <w:p>
            <w:pPr>
              <w:pStyle w:val="yTableNAm"/>
            </w:pPr>
            <w:r>
              <w:rPr>
                <w:szCs w:val="22"/>
              </w:rPr>
              <w:t>60024</w:t>
            </w:r>
          </w:p>
        </w:tc>
        <w:tc>
          <w:tcPr>
            <w:tcW w:w="1276" w:type="dxa"/>
            <w:vAlign w:val="bottom"/>
          </w:tcPr>
          <w:p>
            <w:pPr>
              <w:pStyle w:val="yTableNAm"/>
              <w:jc w:val="right"/>
            </w:pPr>
            <w:r>
              <w:rPr>
                <w:szCs w:val="22"/>
              </w:rPr>
              <w:t>$1 037.65</w:t>
            </w:r>
          </w:p>
        </w:tc>
      </w:tr>
      <w:tr>
        <w:tblPrEx>
          <w:tblCellMar>
            <w:left w:w="108" w:type="dxa"/>
            <w:right w:w="108" w:type="dxa"/>
          </w:tblCellMar>
        </w:tblPrEx>
        <w:tc>
          <w:tcPr>
            <w:tcW w:w="4820" w:type="dxa"/>
          </w:tcPr>
          <w:p>
            <w:pPr>
              <w:pStyle w:val="yTableNAm"/>
            </w:pPr>
            <w:r>
              <w:rPr>
                <w:szCs w:val="22"/>
              </w:rPr>
              <w:t>60027</w:t>
            </w:r>
          </w:p>
        </w:tc>
        <w:tc>
          <w:tcPr>
            <w:tcW w:w="1276" w:type="dxa"/>
            <w:vAlign w:val="bottom"/>
          </w:tcPr>
          <w:p>
            <w:pPr>
              <w:pStyle w:val="yTableNAm"/>
              <w:jc w:val="right"/>
            </w:pPr>
            <w:r>
              <w:rPr>
                <w:szCs w:val="22"/>
              </w:rPr>
              <w:t>$1 521.70</w:t>
            </w:r>
          </w:p>
        </w:tc>
      </w:tr>
      <w:tr>
        <w:tblPrEx>
          <w:tblCellMar>
            <w:left w:w="108" w:type="dxa"/>
            <w:right w:w="108" w:type="dxa"/>
          </w:tblCellMar>
        </w:tblPrEx>
        <w:tc>
          <w:tcPr>
            <w:tcW w:w="4820" w:type="dxa"/>
          </w:tcPr>
          <w:p>
            <w:pPr>
              <w:pStyle w:val="yTableNAm"/>
            </w:pPr>
            <w:r>
              <w:rPr>
                <w:szCs w:val="22"/>
              </w:rPr>
              <w:t>60030</w:t>
            </w:r>
          </w:p>
        </w:tc>
        <w:tc>
          <w:tcPr>
            <w:tcW w:w="1276" w:type="dxa"/>
            <w:vAlign w:val="bottom"/>
          </w:tcPr>
          <w:p>
            <w:pPr>
              <w:pStyle w:val="yTableNAm"/>
              <w:jc w:val="right"/>
            </w:pPr>
            <w:r>
              <w:rPr>
                <w:szCs w:val="22"/>
              </w:rPr>
              <w:t>$2 163.70</w:t>
            </w:r>
          </w:p>
        </w:tc>
      </w:tr>
      <w:tr>
        <w:tblPrEx>
          <w:tblCellMar>
            <w:left w:w="108" w:type="dxa"/>
            <w:right w:w="108" w:type="dxa"/>
          </w:tblCellMar>
        </w:tblPrEx>
        <w:tc>
          <w:tcPr>
            <w:tcW w:w="4820" w:type="dxa"/>
          </w:tcPr>
          <w:p>
            <w:pPr>
              <w:pStyle w:val="yTableNAm"/>
            </w:pPr>
            <w:r>
              <w:rPr>
                <w:szCs w:val="22"/>
              </w:rPr>
              <w:t>60033</w:t>
            </w:r>
          </w:p>
        </w:tc>
        <w:tc>
          <w:tcPr>
            <w:tcW w:w="1276" w:type="dxa"/>
            <w:vAlign w:val="bottom"/>
          </w:tcPr>
          <w:p>
            <w:pPr>
              <w:pStyle w:val="yTableNAm"/>
              <w:jc w:val="right"/>
            </w:pPr>
            <w:r>
              <w:rPr>
                <w:szCs w:val="22"/>
              </w:rPr>
              <w:t>$2 532.15</w:t>
            </w:r>
          </w:p>
        </w:tc>
      </w:tr>
      <w:tr>
        <w:tblPrEx>
          <w:tblCellMar>
            <w:left w:w="108" w:type="dxa"/>
            <w:right w:w="108" w:type="dxa"/>
          </w:tblCellMar>
        </w:tblPrEx>
        <w:tc>
          <w:tcPr>
            <w:tcW w:w="4820" w:type="dxa"/>
          </w:tcPr>
          <w:p>
            <w:pPr>
              <w:pStyle w:val="yTableNAm"/>
            </w:pPr>
            <w:r>
              <w:rPr>
                <w:szCs w:val="22"/>
              </w:rPr>
              <w:t>60036</w:t>
            </w:r>
          </w:p>
        </w:tc>
        <w:tc>
          <w:tcPr>
            <w:tcW w:w="1276" w:type="dxa"/>
            <w:vAlign w:val="bottom"/>
          </w:tcPr>
          <w:p>
            <w:pPr>
              <w:pStyle w:val="yTableNAm"/>
              <w:jc w:val="right"/>
            </w:pPr>
            <w:r>
              <w:rPr>
                <w:szCs w:val="22"/>
              </w:rPr>
              <w:t>$1 037.65</w:t>
            </w:r>
          </w:p>
        </w:tc>
      </w:tr>
      <w:tr>
        <w:tblPrEx>
          <w:tblCellMar>
            <w:left w:w="108" w:type="dxa"/>
            <w:right w:w="108" w:type="dxa"/>
          </w:tblCellMar>
        </w:tblPrEx>
        <w:tc>
          <w:tcPr>
            <w:tcW w:w="4820" w:type="dxa"/>
          </w:tcPr>
          <w:p>
            <w:pPr>
              <w:pStyle w:val="yTableNAm"/>
            </w:pPr>
            <w:r>
              <w:rPr>
                <w:szCs w:val="22"/>
              </w:rPr>
              <w:t>60039</w:t>
            </w:r>
          </w:p>
        </w:tc>
        <w:tc>
          <w:tcPr>
            <w:tcW w:w="1276" w:type="dxa"/>
            <w:vAlign w:val="bottom"/>
          </w:tcPr>
          <w:p>
            <w:pPr>
              <w:pStyle w:val="yTableNAm"/>
              <w:jc w:val="right"/>
            </w:pPr>
            <w:r>
              <w:rPr>
                <w:szCs w:val="22"/>
              </w:rPr>
              <w:t>$1 521.70</w:t>
            </w:r>
          </w:p>
        </w:tc>
      </w:tr>
      <w:tr>
        <w:tblPrEx>
          <w:tblCellMar>
            <w:left w:w="108" w:type="dxa"/>
            <w:right w:w="108" w:type="dxa"/>
          </w:tblCellMar>
        </w:tblPrEx>
        <w:tc>
          <w:tcPr>
            <w:tcW w:w="4820" w:type="dxa"/>
          </w:tcPr>
          <w:p>
            <w:pPr>
              <w:pStyle w:val="yTableNAm"/>
            </w:pPr>
            <w:r>
              <w:rPr>
                <w:szCs w:val="22"/>
              </w:rPr>
              <w:t>60042</w:t>
            </w:r>
          </w:p>
        </w:tc>
        <w:tc>
          <w:tcPr>
            <w:tcW w:w="1276" w:type="dxa"/>
            <w:vAlign w:val="bottom"/>
          </w:tcPr>
          <w:p>
            <w:pPr>
              <w:pStyle w:val="yTableNAm"/>
              <w:jc w:val="right"/>
            </w:pPr>
            <w:r>
              <w:rPr>
                <w:szCs w:val="22"/>
              </w:rPr>
              <w:t>$2 163.70</w:t>
            </w:r>
          </w:p>
        </w:tc>
      </w:tr>
      <w:tr>
        <w:tblPrEx>
          <w:tblCellMar>
            <w:left w:w="108" w:type="dxa"/>
            <w:right w:w="108" w:type="dxa"/>
          </w:tblCellMar>
        </w:tblPrEx>
        <w:tc>
          <w:tcPr>
            <w:tcW w:w="4820" w:type="dxa"/>
          </w:tcPr>
          <w:p>
            <w:pPr>
              <w:pStyle w:val="yTableNAm"/>
            </w:pPr>
            <w:r>
              <w:rPr>
                <w:szCs w:val="22"/>
              </w:rPr>
              <w:t>60045</w:t>
            </w:r>
          </w:p>
        </w:tc>
        <w:tc>
          <w:tcPr>
            <w:tcW w:w="1276" w:type="dxa"/>
            <w:vAlign w:val="bottom"/>
          </w:tcPr>
          <w:p>
            <w:pPr>
              <w:pStyle w:val="yTableNAm"/>
              <w:jc w:val="right"/>
            </w:pPr>
            <w:r>
              <w:rPr>
                <w:szCs w:val="22"/>
              </w:rPr>
              <w:t>$2 532.15</w:t>
            </w:r>
          </w:p>
        </w:tc>
      </w:tr>
      <w:tr>
        <w:tblPrEx>
          <w:tblCellMar>
            <w:left w:w="108" w:type="dxa"/>
            <w:right w:w="108" w:type="dxa"/>
          </w:tblCellMar>
        </w:tblPrEx>
        <w:tc>
          <w:tcPr>
            <w:tcW w:w="4820" w:type="dxa"/>
          </w:tcPr>
          <w:p>
            <w:pPr>
              <w:pStyle w:val="yTableNAm"/>
            </w:pPr>
            <w:r>
              <w:rPr>
                <w:szCs w:val="22"/>
              </w:rPr>
              <w:t>60048</w:t>
            </w:r>
          </w:p>
        </w:tc>
        <w:tc>
          <w:tcPr>
            <w:tcW w:w="1276" w:type="dxa"/>
            <w:vAlign w:val="bottom"/>
          </w:tcPr>
          <w:p>
            <w:pPr>
              <w:pStyle w:val="yTableNAm"/>
              <w:jc w:val="right"/>
            </w:pPr>
            <w:r>
              <w:rPr>
                <w:szCs w:val="22"/>
              </w:rPr>
              <w:t>$1 037.65</w:t>
            </w:r>
          </w:p>
        </w:tc>
      </w:tr>
      <w:tr>
        <w:tblPrEx>
          <w:tblCellMar>
            <w:left w:w="108" w:type="dxa"/>
            <w:right w:w="108" w:type="dxa"/>
          </w:tblCellMar>
        </w:tblPrEx>
        <w:tc>
          <w:tcPr>
            <w:tcW w:w="4820" w:type="dxa"/>
          </w:tcPr>
          <w:p>
            <w:pPr>
              <w:pStyle w:val="yTableNAm"/>
            </w:pPr>
            <w:r>
              <w:rPr>
                <w:szCs w:val="22"/>
              </w:rPr>
              <w:t>60051</w:t>
            </w:r>
          </w:p>
        </w:tc>
        <w:tc>
          <w:tcPr>
            <w:tcW w:w="1276" w:type="dxa"/>
            <w:vAlign w:val="bottom"/>
          </w:tcPr>
          <w:p>
            <w:pPr>
              <w:pStyle w:val="yTableNAm"/>
              <w:jc w:val="right"/>
            </w:pPr>
            <w:r>
              <w:rPr>
                <w:szCs w:val="22"/>
              </w:rPr>
              <w:t>$1 521.70</w:t>
            </w:r>
          </w:p>
        </w:tc>
      </w:tr>
      <w:tr>
        <w:tblPrEx>
          <w:tblCellMar>
            <w:left w:w="108" w:type="dxa"/>
            <w:right w:w="108" w:type="dxa"/>
          </w:tblCellMar>
        </w:tblPrEx>
        <w:tc>
          <w:tcPr>
            <w:tcW w:w="4820" w:type="dxa"/>
          </w:tcPr>
          <w:p>
            <w:pPr>
              <w:pStyle w:val="yTableNAm"/>
            </w:pPr>
            <w:r>
              <w:rPr>
                <w:szCs w:val="22"/>
              </w:rPr>
              <w:t>60054</w:t>
            </w:r>
          </w:p>
        </w:tc>
        <w:tc>
          <w:tcPr>
            <w:tcW w:w="1276" w:type="dxa"/>
            <w:vAlign w:val="bottom"/>
          </w:tcPr>
          <w:p>
            <w:pPr>
              <w:pStyle w:val="yTableNAm"/>
              <w:jc w:val="right"/>
            </w:pPr>
            <w:r>
              <w:rPr>
                <w:szCs w:val="22"/>
              </w:rPr>
              <w:t>$2 163.70</w:t>
            </w:r>
          </w:p>
        </w:tc>
      </w:tr>
      <w:tr>
        <w:tblPrEx>
          <w:tblCellMar>
            <w:left w:w="108" w:type="dxa"/>
            <w:right w:w="108" w:type="dxa"/>
          </w:tblCellMar>
        </w:tblPrEx>
        <w:tc>
          <w:tcPr>
            <w:tcW w:w="4820" w:type="dxa"/>
          </w:tcPr>
          <w:p>
            <w:pPr>
              <w:pStyle w:val="yTableNAm"/>
            </w:pPr>
            <w:r>
              <w:rPr>
                <w:szCs w:val="22"/>
              </w:rPr>
              <w:t>60057</w:t>
            </w:r>
          </w:p>
        </w:tc>
        <w:tc>
          <w:tcPr>
            <w:tcW w:w="1276" w:type="dxa"/>
            <w:vAlign w:val="bottom"/>
          </w:tcPr>
          <w:p>
            <w:pPr>
              <w:pStyle w:val="yTableNAm"/>
              <w:jc w:val="right"/>
            </w:pPr>
            <w:r>
              <w:rPr>
                <w:szCs w:val="22"/>
              </w:rPr>
              <w:t>$2 532.15</w:t>
            </w:r>
          </w:p>
        </w:tc>
      </w:tr>
      <w:tr>
        <w:tblPrEx>
          <w:tblCellMar>
            <w:left w:w="108" w:type="dxa"/>
            <w:right w:w="108" w:type="dxa"/>
          </w:tblCellMar>
        </w:tblPrEx>
        <w:tc>
          <w:tcPr>
            <w:tcW w:w="4820" w:type="dxa"/>
          </w:tcPr>
          <w:p>
            <w:pPr>
              <w:pStyle w:val="yTableNAm"/>
            </w:pPr>
            <w:r>
              <w:rPr>
                <w:szCs w:val="22"/>
              </w:rPr>
              <w:t>60060</w:t>
            </w:r>
          </w:p>
        </w:tc>
        <w:tc>
          <w:tcPr>
            <w:tcW w:w="1276" w:type="dxa"/>
            <w:vAlign w:val="bottom"/>
          </w:tcPr>
          <w:p>
            <w:pPr>
              <w:pStyle w:val="yTableNAm"/>
              <w:jc w:val="right"/>
            </w:pPr>
            <w:r>
              <w:rPr>
                <w:szCs w:val="22"/>
              </w:rPr>
              <w:t>$1 037.65</w:t>
            </w:r>
          </w:p>
        </w:tc>
      </w:tr>
      <w:tr>
        <w:tblPrEx>
          <w:tblCellMar>
            <w:left w:w="108" w:type="dxa"/>
            <w:right w:w="108" w:type="dxa"/>
          </w:tblCellMar>
        </w:tblPrEx>
        <w:tc>
          <w:tcPr>
            <w:tcW w:w="4820" w:type="dxa"/>
          </w:tcPr>
          <w:p>
            <w:pPr>
              <w:pStyle w:val="yTableNAm"/>
            </w:pPr>
            <w:r>
              <w:rPr>
                <w:szCs w:val="22"/>
              </w:rPr>
              <w:t>60063</w:t>
            </w:r>
          </w:p>
        </w:tc>
        <w:tc>
          <w:tcPr>
            <w:tcW w:w="1276" w:type="dxa"/>
            <w:vAlign w:val="bottom"/>
          </w:tcPr>
          <w:p>
            <w:pPr>
              <w:pStyle w:val="yTableNAm"/>
              <w:jc w:val="right"/>
            </w:pPr>
            <w:r>
              <w:rPr>
                <w:szCs w:val="22"/>
              </w:rPr>
              <w:t>$1 521.70</w:t>
            </w:r>
          </w:p>
        </w:tc>
      </w:tr>
      <w:tr>
        <w:tblPrEx>
          <w:tblCellMar>
            <w:left w:w="108" w:type="dxa"/>
            <w:right w:w="108" w:type="dxa"/>
          </w:tblCellMar>
        </w:tblPrEx>
        <w:tc>
          <w:tcPr>
            <w:tcW w:w="4820" w:type="dxa"/>
          </w:tcPr>
          <w:p>
            <w:pPr>
              <w:pStyle w:val="yTableNAm"/>
            </w:pPr>
            <w:r>
              <w:rPr>
                <w:szCs w:val="22"/>
              </w:rPr>
              <w:t>60066</w:t>
            </w:r>
          </w:p>
        </w:tc>
        <w:tc>
          <w:tcPr>
            <w:tcW w:w="1276" w:type="dxa"/>
            <w:vAlign w:val="bottom"/>
          </w:tcPr>
          <w:p>
            <w:pPr>
              <w:pStyle w:val="yTableNAm"/>
              <w:jc w:val="right"/>
            </w:pPr>
            <w:r>
              <w:rPr>
                <w:szCs w:val="22"/>
              </w:rPr>
              <w:t>$2 163.70</w:t>
            </w:r>
          </w:p>
        </w:tc>
      </w:tr>
      <w:tr>
        <w:tblPrEx>
          <w:tblCellMar>
            <w:left w:w="108" w:type="dxa"/>
            <w:right w:w="108" w:type="dxa"/>
          </w:tblCellMar>
        </w:tblPrEx>
        <w:tc>
          <w:tcPr>
            <w:tcW w:w="4820" w:type="dxa"/>
          </w:tcPr>
          <w:p>
            <w:pPr>
              <w:pStyle w:val="yTableNAm"/>
            </w:pPr>
            <w:r>
              <w:rPr>
                <w:szCs w:val="22"/>
              </w:rPr>
              <w:t>60069</w:t>
            </w:r>
          </w:p>
        </w:tc>
        <w:tc>
          <w:tcPr>
            <w:tcW w:w="1276" w:type="dxa"/>
            <w:vAlign w:val="bottom"/>
          </w:tcPr>
          <w:p>
            <w:pPr>
              <w:pStyle w:val="yTableNAm"/>
              <w:jc w:val="right"/>
            </w:pPr>
            <w:r>
              <w:rPr>
                <w:szCs w:val="22"/>
              </w:rPr>
              <w:t>$2 532.15</w:t>
            </w:r>
          </w:p>
        </w:tc>
      </w:tr>
      <w:tr>
        <w:tblPrEx>
          <w:tblCellMar>
            <w:left w:w="108" w:type="dxa"/>
            <w:right w:w="108" w:type="dxa"/>
          </w:tblCellMar>
        </w:tblPrEx>
        <w:tc>
          <w:tcPr>
            <w:tcW w:w="4820" w:type="dxa"/>
          </w:tcPr>
          <w:p>
            <w:pPr>
              <w:pStyle w:val="yTableNAm"/>
            </w:pPr>
            <w:r>
              <w:rPr>
                <w:szCs w:val="22"/>
              </w:rPr>
              <w:t>60072</w:t>
            </w:r>
          </w:p>
        </w:tc>
        <w:tc>
          <w:tcPr>
            <w:tcW w:w="1276" w:type="dxa"/>
            <w:vAlign w:val="bottom"/>
          </w:tcPr>
          <w:p>
            <w:pPr>
              <w:pStyle w:val="yTableNAm"/>
              <w:jc w:val="right"/>
            </w:pPr>
            <w:r>
              <w:rPr>
                <w:szCs w:val="22"/>
              </w:rPr>
              <w:t>$88.55</w:t>
            </w:r>
          </w:p>
        </w:tc>
      </w:tr>
      <w:tr>
        <w:tblPrEx>
          <w:tblCellMar>
            <w:left w:w="108" w:type="dxa"/>
            <w:right w:w="108" w:type="dxa"/>
          </w:tblCellMar>
        </w:tblPrEx>
        <w:tc>
          <w:tcPr>
            <w:tcW w:w="4820" w:type="dxa"/>
          </w:tcPr>
          <w:p>
            <w:pPr>
              <w:pStyle w:val="yTableNAm"/>
            </w:pPr>
            <w:r>
              <w:rPr>
                <w:szCs w:val="22"/>
              </w:rPr>
              <w:t>60075</w:t>
            </w:r>
          </w:p>
        </w:tc>
        <w:tc>
          <w:tcPr>
            <w:tcW w:w="1276" w:type="dxa"/>
            <w:vAlign w:val="bottom"/>
          </w:tcPr>
          <w:p>
            <w:pPr>
              <w:pStyle w:val="yTableNAm"/>
              <w:jc w:val="right"/>
            </w:pPr>
            <w:r>
              <w:rPr>
                <w:szCs w:val="22"/>
              </w:rPr>
              <w:t>$176.80</w:t>
            </w:r>
          </w:p>
        </w:tc>
      </w:tr>
      <w:tr>
        <w:tblPrEx>
          <w:tblCellMar>
            <w:left w:w="108" w:type="dxa"/>
            <w:right w:w="108" w:type="dxa"/>
          </w:tblCellMar>
        </w:tblPrEx>
        <w:tc>
          <w:tcPr>
            <w:tcW w:w="4820" w:type="dxa"/>
          </w:tcPr>
          <w:p>
            <w:pPr>
              <w:pStyle w:val="yTableNAm"/>
            </w:pPr>
            <w:r>
              <w:rPr>
                <w:szCs w:val="22"/>
              </w:rPr>
              <w:t>60078</w:t>
            </w:r>
          </w:p>
        </w:tc>
        <w:tc>
          <w:tcPr>
            <w:tcW w:w="1276" w:type="dxa"/>
            <w:vAlign w:val="bottom"/>
          </w:tcPr>
          <w:p>
            <w:pPr>
              <w:pStyle w:val="yTableNAm"/>
              <w:jc w:val="right"/>
            </w:pPr>
            <w:r>
              <w:rPr>
                <w:szCs w:val="22"/>
              </w:rPr>
              <w:t>$265.35</w:t>
            </w:r>
          </w:p>
        </w:tc>
      </w:tr>
      <w:tr>
        <w:tblPrEx>
          <w:tblCellMar>
            <w:left w:w="108" w:type="dxa"/>
            <w:right w:w="108" w:type="dxa"/>
          </w:tblCellMar>
        </w:tblPrEx>
        <w:tc>
          <w:tcPr>
            <w:tcW w:w="4820" w:type="dxa"/>
          </w:tcPr>
          <w:p>
            <w:pPr>
              <w:pStyle w:val="yTableNAm"/>
            </w:pPr>
            <w:r>
              <w:rPr>
                <w:szCs w:val="22"/>
              </w:rPr>
              <w:t>60100</w:t>
            </w:r>
          </w:p>
        </w:tc>
        <w:tc>
          <w:tcPr>
            <w:tcW w:w="1276" w:type="dxa"/>
            <w:vAlign w:val="bottom"/>
          </w:tcPr>
          <w:p>
            <w:pPr>
              <w:pStyle w:val="yTableNAm"/>
              <w:jc w:val="right"/>
            </w:pPr>
            <w:r>
              <w:rPr>
                <w:szCs w:val="22"/>
              </w:rPr>
              <w:t>$111.90</w:t>
            </w:r>
          </w:p>
        </w:tc>
      </w:tr>
      <w:tr>
        <w:tblPrEx>
          <w:tblCellMar>
            <w:left w:w="108" w:type="dxa"/>
            <w:right w:w="108" w:type="dxa"/>
          </w:tblCellMar>
        </w:tblPrEx>
        <w:tc>
          <w:tcPr>
            <w:tcW w:w="4820" w:type="dxa"/>
          </w:tcPr>
          <w:p>
            <w:pPr>
              <w:pStyle w:val="yTableNAm"/>
            </w:pPr>
            <w:r>
              <w:rPr>
                <w:szCs w:val="22"/>
              </w:rPr>
              <w:t>60500</w:t>
            </w:r>
          </w:p>
        </w:tc>
        <w:tc>
          <w:tcPr>
            <w:tcW w:w="1276" w:type="dxa"/>
            <w:vAlign w:val="bottom"/>
          </w:tcPr>
          <w:p>
            <w:pPr>
              <w:pStyle w:val="yTableNAm"/>
              <w:jc w:val="right"/>
            </w:pPr>
            <w:r>
              <w:rPr>
                <w:szCs w:val="22"/>
              </w:rPr>
              <w:t>$79.80</w:t>
            </w:r>
          </w:p>
        </w:tc>
      </w:tr>
      <w:tr>
        <w:tblPrEx>
          <w:tblCellMar>
            <w:left w:w="108" w:type="dxa"/>
            <w:right w:w="108" w:type="dxa"/>
          </w:tblCellMar>
        </w:tblPrEx>
        <w:tc>
          <w:tcPr>
            <w:tcW w:w="4820" w:type="dxa"/>
          </w:tcPr>
          <w:p>
            <w:pPr>
              <w:pStyle w:val="yTableNAm"/>
            </w:pPr>
            <w:r>
              <w:rPr>
                <w:szCs w:val="22"/>
              </w:rPr>
              <w:t>60503</w:t>
            </w:r>
          </w:p>
        </w:tc>
        <w:tc>
          <w:tcPr>
            <w:tcW w:w="1276" w:type="dxa"/>
            <w:vAlign w:val="bottom"/>
          </w:tcPr>
          <w:p>
            <w:pPr>
              <w:pStyle w:val="yTableNAm"/>
              <w:jc w:val="right"/>
            </w:pPr>
            <w:r>
              <w:rPr>
                <w:szCs w:val="22"/>
              </w:rPr>
              <w:t>$54.70</w:t>
            </w:r>
          </w:p>
        </w:tc>
      </w:tr>
      <w:tr>
        <w:tblPrEx>
          <w:tblCellMar>
            <w:left w:w="108" w:type="dxa"/>
            <w:right w:w="108" w:type="dxa"/>
          </w:tblCellMar>
        </w:tblPrEx>
        <w:tc>
          <w:tcPr>
            <w:tcW w:w="4820" w:type="dxa"/>
          </w:tcPr>
          <w:p>
            <w:pPr>
              <w:pStyle w:val="yTableNAm"/>
            </w:pPr>
            <w:r>
              <w:rPr>
                <w:szCs w:val="22"/>
              </w:rPr>
              <w:t>60506</w:t>
            </w:r>
          </w:p>
        </w:tc>
        <w:tc>
          <w:tcPr>
            <w:tcW w:w="1276" w:type="dxa"/>
            <w:vAlign w:val="bottom"/>
          </w:tcPr>
          <w:p>
            <w:pPr>
              <w:pStyle w:val="yTableNAm"/>
              <w:jc w:val="right"/>
            </w:pPr>
            <w:r>
              <w:rPr>
                <w:szCs w:val="22"/>
              </w:rPr>
              <w:t>$117.30</w:t>
            </w:r>
          </w:p>
        </w:tc>
      </w:tr>
      <w:tr>
        <w:tblPrEx>
          <w:tblCellMar>
            <w:left w:w="108" w:type="dxa"/>
            <w:right w:w="108" w:type="dxa"/>
          </w:tblCellMar>
        </w:tblPrEx>
        <w:tc>
          <w:tcPr>
            <w:tcW w:w="4820" w:type="dxa"/>
          </w:tcPr>
          <w:p>
            <w:pPr>
              <w:pStyle w:val="yTableNAm"/>
            </w:pPr>
            <w:r>
              <w:rPr>
                <w:szCs w:val="22"/>
              </w:rPr>
              <w:t>60509</w:t>
            </w:r>
          </w:p>
        </w:tc>
        <w:tc>
          <w:tcPr>
            <w:tcW w:w="1276" w:type="dxa"/>
            <w:vAlign w:val="bottom"/>
          </w:tcPr>
          <w:p>
            <w:pPr>
              <w:pStyle w:val="yTableNAm"/>
              <w:jc w:val="right"/>
            </w:pPr>
            <w:r>
              <w:rPr>
                <w:szCs w:val="22"/>
              </w:rPr>
              <w:t>$181.90</w:t>
            </w:r>
          </w:p>
        </w:tc>
      </w:tr>
      <w:tr>
        <w:tblPrEx>
          <w:tblCellMar>
            <w:left w:w="108" w:type="dxa"/>
            <w:right w:w="108" w:type="dxa"/>
          </w:tblCellMar>
        </w:tblPrEx>
        <w:tc>
          <w:tcPr>
            <w:tcW w:w="4820" w:type="dxa"/>
          </w:tcPr>
          <w:p>
            <w:pPr>
              <w:pStyle w:val="yTableNAm"/>
            </w:pPr>
            <w:r>
              <w:rPr>
                <w:szCs w:val="22"/>
              </w:rPr>
              <w:t>60918</w:t>
            </w:r>
          </w:p>
        </w:tc>
        <w:tc>
          <w:tcPr>
            <w:tcW w:w="1276" w:type="dxa"/>
            <w:vAlign w:val="bottom"/>
          </w:tcPr>
          <w:p>
            <w:pPr>
              <w:pStyle w:val="yTableNAm"/>
              <w:jc w:val="right"/>
            </w:pPr>
            <w:r>
              <w:rPr>
                <w:szCs w:val="22"/>
              </w:rPr>
              <w:t>$86.75</w:t>
            </w:r>
          </w:p>
        </w:tc>
      </w:tr>
      <w:tr>
        <w:tblPrEx>
          <w:tblCellMar>
            <w:left w:w="108" w:type="dxa"/>
            <w:right w:w="108" w:type="dxa"/>
          </w:tblCellMar>
        </w:tblPrEx>
        <w:tc>
          <w:tcPr>
            <w:tcW w:w="4820" w:type="dxa"/>
          </w:tcPr>
          <w:p>
            <w:pPr>
              <w:pStyle w:val="yTableNAm"/>
            </w:pPr>
            <w:r>
              <w:rPr>
                <w:szCs w:val="22"/>
              </w:rPr>
              <w:t>60927</w:t>
            </w:r>
          </w:p>
        </w:tc>
        <w:tc>
          <w:tcPr>
            <w:tcW w:w="1276" w:type="dxa"/>
            <w:vAlign w:val="bottom"/>
          </w:tcPr>
          <w:p>
            <w:pPr>
              <w:pStyle w:val="yTableNAm"/>
              <w:jc w:val="right"/>
            </w:pPr>
            <w:r>
              <w:rPr>
                <w:szCs w:val="22"/>
              </w:rPr>
              <w:t>$70.05</w:t>
            </w:r>
          </w:p>
        </w:tc>
      </w:tr>
      <w:tr>
        <w:tblPrEx>
          <w:tblCellMar>
            <w:left w:w="108" w:type="dxa"/>
            <w:right w:w="108" w:type="dxa"/>
          </w:tblCellMar>
        </w:tblPrEx>
        <w:tc>
          <w:tcPr>
            <w:tcW w:w="4820" w:type="dxa"/>
            <w:tcBorders>
              <w:bottom w:val="single" w:sz="4" w:space="0" w:color="auto"/>
            </w:tcBorders>
          </w:tcPr>
          <w:p>
            <w:pPr>
              <w:pStyle w:val="yTableNAm"/>
            </w:pPr>
            <w:r>
              <w:rPr>
                <w:szCs w:val="22"/>
              </w:rPr>
              <w:t>61109</w:t>
            </w:r>
          </w:p>
        </w:tc>
        <w:tc>
          <w:tcPr>
            <w:tcW w:w="1276" w:type="dxa"/>
            <w:tcBorders>
              <w:bottom w:val="single" w:sz="4" w:space="0" w:color="auto"/>
            </w:tcBorders>
            <w:vAlign w:val="bottom"/>
          </w:tcPr>
          <w:p>
            <w:pPr>
              <w:pStyle w:val="yTableNAm"/>
              <w:jc w:val="right"/>
            </w:pPr>
            <w:r>
              <w:rPr>
                <w:szCs w:val="22"/>
              </w:rPr>
              <w:t>$476.30</w:t>
            </w:r>
          </w:p>
        </w:tc>
      </w:tr>
    </w:tbl>
    <w:p>
      <w:pPr>
        <w:pStyle w:val="zyMiscellaneousHeading"/>
        <w:jc w:val="left"/>
      </w:pPr>
      <w:r>
        <w:t>NUCLEAR MEDICINE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bCs/>
                <w:szCs w:val="22"/>
              </w:rPr>
              <w:t>MBS item number</w:t>
            </w:r>
            <w:r>
              <w:rPr>
                <w:b/>
                <w:bCs/>
                <w:szCs w:val="22"/>
              </w:rPr>
              <w:br/>
            </w:r>
            <w:r>
              <w:rPr>
                <w:szCs w:val="22"/>
              </w:rPr>
              <w:t>(1 November 2009)</w:t>
            </w:r>
          </w:p>
        </w:tc>
        <w:tc>
          <w:tcPr>
            <w:tcW w:w="1276" w:type="dxa"/>
            <w:tcBorders>
              <w:top w:val="single" w:sz="4" w:space="0" w:color="auto"/>
              <w:bottom w:val="single" w:sz="4" w:space="0" w:color="auto"/>
            </w:tcBorders>
          </w:tcPr>
          <w:p>
            <w:pPr>
              <w:pStyle w:val="yTableNAm"/>
              <w:jc w:val="right"/>
            </w:pPr>
            <w:r>
              <w:rPr>
                <w:b/>
                <w:bCs/>
                <w:szCs w:val="22"/>
              </w:rPr>
              <w:t>Fee</w:t>
            </w:r>
          </w:p>
        </w:tc>
      </w:tr>
      <w:tr>
        <w:tblPrEx>
          <w:tblCellMar>
            <w:left w:w="108" w:type="dxa"/>
            <w:right w:w="108" w:type="dxa"/>
          </w:tblCellMar>
        </w:tblPrEx>
        <w:tc>
          <w:tcPr>
            <w:tcW w:w="4820" w:type="dxa"/>
          </w:tcPr>
          <w:p>
            <w:pPr>
              <w:pStyle w:val="yTableNAm"/>
            </w:pPr>
            <w:r>
              <w:rPr>
                <w:szCs w:val="22"/>
              </w:rPr>
              <w:t>61302</w:t>
            </w:r>
          </w:p>
        </w:tc>
        <w:tc>
          <w:tcPr>
            <w:tcW w:w="1276" w:type="dxa"/>
            <w:tcBorders>
              <w:top w:val="single" w:sz="4" w:space="0" w:color="auto"/>
            </w:tcBorders>
            <w:vAlign w:val="bottom"/>
          </w:tcPr>
          <w:p>
            <w:pPr>
              <w:pStyle w:val="yTableNAm"/>
              <w:jc w:val="right"/>
            </w:pPr>
            <w:r>
              <w:rPr>
                <w:szCs w:val="22"/>
              </w:rPr>
              <w:t>$636.10</w:t>
            </w:r>
          </w:p>
        </w:tc>
      </w:tr>
      <w:tr>
        <w:tblPrEx>
          <w:tblCellMar>
            <w:left w:w="108" w:type="dxa"/>
            <w:right w:w="108" w:type="dxa"/>
          </w:tblCellMar>
        </w:tblPrEx>
        <w:tc>
          <w:tcPr>
            <w:tcW w:w="4820" w:type="dxa"/>
          </w:tcPr>
          <w:p>
            <w:pPr>
              <w:pStyle w:val="yTableNAm"/>
            </w:pPr>
            <w:r>
              <w:rPr>
                <w:szCs w:val="22"/>
              </w:rPr>
              <w:t>61303</w:t>
            </w:r>
          </w:p>
        </w:tc>
        <w:tc>
          <w:tcPr>
            <w:tcW w:w="1276" w:type="dxa"/>
            <w:vAlign w:val="bottom"/>
          </w:tcPr>
          <w:p>
            <w:pPr>
              <w:pStyle w:val="yTableNAm"/>
              <w:jc w:val="right"/>
            </w:pPr>
            <w:r>
              <w:rPr>
                <w:szCs w:val="22"/>
              </w:rPr>
              <w:t>$801.05</w:t>
            </w:r>
          </w:p>
        </w:tc>
      </w:tr>
      <w:tr>
        <w:tblPrEx>
          <w:tblCellMar>
            <w:left w:w="108" w:type="dxa"/>
            <w:right w:w="108" w:type="dxa"/>
          </w:tblCellMar>
        </w:tblPrEx>
        <w:tc>
          <w:tcPr>
            <w:tcW w:w="4820" w:type="dxa"/>
          </w:tcPr>
          <w:p>
            <w:pPr>
              <w:pStyle w:val="yTableNAm"/>
            </w:pPr>
            <w:r>
              <w:rPr>
                <w:szCs w:val="22"/>
              </w:rPr>
              <w:t>61306</w:t>
            </w:r>
          </w:p>
        </w:tc>
        <w:tc>
          <w:tcPr>
            <w:tcW w:w="1276" w:type="dxa"/>
            <w:vAlign w:val="bottom"/>
          </w:tcPr>
          <w:p>
            <w:pPr>
              <w:pStyle w:val="yTableNAm"/>
              <w:jc w:val="right"/>
            </w:pPr>
            <w:r>
              <w:rPr>
                <w:szCs w:val="22"/>
              </w:rPr>
              <w:t>$1 005.65</w:t>
            </w:r>
          </w:p>
        </w:tc>
      </w:tr>
      <w:tr>
        <w:tblPrEx>
          <w:tblCellMar>
            <w:left w:w="108" w:type="dxa"/>
            <w:right w:w="108" w:type="dxa"/>
          </w:tblCellMar>
        </w:tblPrEx>
        <w:tc>
          <w:tcPr>
            <w:tcW w:w="4820" w:type="dxa"/>
          </w:tcPr>
          <w:p>
            <w:pPr>
              <w:pStyle w:val="yTableNAm"/>
            </w:pPr>
            <w:r>
              <w:rPr>
                <w:szCs w:val="22"/>
              </w:rPr>
              <w:t>61307</w:t>
            </w:r>
          </w:p>
        </w:tc>
        <w:tc>
          <w:tcPr>
            <w:tcW w:w="1276" w:type="dxa"/>
            <w:vAlign w:val="bottom"/>
          </w:tcPr>
          <w:p>
            <w:pPr>
              <w:pStyle w:val="yTableNAm"/>
              <w:jc w:val="right"/>
            </w:pPr>
            <w:r>
              <w:rPr>
                <w:szCs w:val="22"/>
              </w:rPr>
              <w:t>$1 183.20</w:t>
            </w:r>
          </w:p>
        </w:tc>
      </w:tr>
      <w:tr>
        <w:tblPrEx>
          <w:tblCellMar>
            <w:left w:w="108" w:type="dxa"/>
            <w:right w:w="108" w:type="dxa"/>
          </w:tblCellMar>
        </w:tblPrEx>
        <w:tc>
          <w:tcPr>
            <w:tcW w:w="4820" w:type="dxa"/>
          </w:tcPr>
          <w:p>
            <w:pPr>
              <w:pStyle w:val="yTableNAm"/>
            </w:pPr>
            <w:r>
              <w:rPr>
                <w:szCs w:val="22"/>
              </w:rPr>
              <w:t>61310</w:t>
            </w:r>
          </w:p>
        </w:tc>
        <w:tc>
          <w:tcPr>
            <w:tcW w:w="1276" w:type="dxa"/>
            <w:vAlign w:val="bottom"/>
          </w:tcPr>
          <w:p>
            <w:pPr>
              <w:pStyle w:val="yTableNAm"/>
              <w:jc w:val="right"/>
            </w:pPr>
            <w:r>
              <w:rPr>
                <w:szCs w:val="22"/>
              </w:rPr>
              <w:t>$520.50</w:t>
            </w:r>
          </w:p>
        </w:tc>
      </w:tr>
      <w:tr>
        <w:tblPrEx>
          <w:tblCellMar>
            <w:left w:w="108" w:type="dxa"/>
            <w:right w:w="108" w:type="dxa"/>
          </w:tblCellMar>
        </w:tblPrEx>
        <w:tc>
          <w:tcPr>
            <w:tcW w:w="4820" w:type="dxa"/>
          </w:tcPr>
          <w:p>
            <w:pPr>
              <w:pStyle w:val="yTableNAm"/>
            </w:pPr>
            <w:r>
              <w:rPr>
                <w:szCs w:val="22"/>
              </w:rPr>
              <w:t>61313</w:t>
            </w:r>
          </w:p>
        </w:tc>
        <w:tc>
          <w:tcPr>
            <w:tcW w:w="1276" w:type="dxa"/>
            <w:vAlign w:val="bottom"/>
          </w:tcPr>
          <w:p>
            <w:pPr>
              <w:pStyle w:val="yTableNAm"/>
              <w:jc w:val="right"/>
            </w:pPr>
            <w:r>
              <w:rPr>
                <w:szCs w:val="22"/>
              </w:rPr>
              <w:t>$429.90</w:t>
            </w:r>
          </w:p>
        </w:tc>
      </w:tr>
      <w:tr>
        <w:tblPrEx>
          <w:tblCellMar>
            <w:left w:w="108" w:type="dxa"/>
            <w:right w:w="108" w:type="dxa"/>
          </w:tblCellMar>
        </w:tblPrEx>
        <w:tc>
          <w:tcPr>
            <w:tcW w:w="4820" w:type="dxa"/>
          </w:tcPr>
          <w:p>
            <w:pPr>
              <w:pStyle w:val="yTableNAm"/>
            </w:pPr>
            <w:r>
              <w:rPr>
                <w:szCs w:val="22"/>
              </w:rPr>
              <w:t>61314</w:t>
            </w:r>
          </w:p>
        </w:tc>
        <w:tc>
          <w:tcPr>
            <w:tcW w:w="1276" w:type="dxa"/>
            <w:vAlign w:val="bottom"/>
          </w:tcPr>
          <w:p>
            <w:pPr>
              <w:pStyle w:val="yTableNAm"/>
              <w:jc w:val="right"/>
            </w:pPr>
            <w:r>
              <w:rPr>
                <w:szCs w:val="22"/>
              </w:rPr>
              <w:t>$595.15</w:t>
            </w:r>
          </w:p>
        </w:tc>
      </w:tr>
      <w:tr>
        <w:tblPrEx>
          <w:tblCellMar>
            <w:left w:w="108" w:type="dxa"/>
            <w:right w:w="108" w:type="dxa"/>
          </w:tblCellMar>
        </w:tblPrEx>
        <w:tc>
          <w:tcPr>
            <w:tcW w:w="4820" w:type="dxa"/>
          </w:tcPr>
          <w:p>
            <w:pPr>
              <w:pStyle w:val="yTableNAm"/>
            </w:pPr>
            <w:r>
              <w:rPr>
                <w:szCs w:val="22"/>
              </w:rPr>
              <w:t>61316</w:t>
            </w:r>
          </w:p>
        </w:tc>
        <w:tc>
          <w:tcPr>
            <w:tcW w:w="1276" w:type="dxa"/>
            <w:vAlign w:val="bottom"/>
          </w:tcPr>
          <w:p>
            <w:pPr>
              <w:pStyle w:val="yTableNAm"/>
              <w:jc w:val="right"/>
            </w:pPr>
            <w:r>
              <w:rPr>
                <w:szCs w:val="22"/>
              </w:rPr>
              <w:t>$540.20</w:t>
            </w:r>
          </w:p>
        </w:tc>
      </w:tr>
      <w:tr>
        <w:tblPrEx>
          <w:tblCellMar>
            <w:left w:w="108" w:type="dxa"/>
            <w:right w:w="108" w:type="dxa"/>
          </w:tblCellMar>
        </w:tblPrEx>
        <w:tc>
          <w:tcPr>
            <w:tcW w:w="4820" w:type="dxa"/>
          </w:tcPr>
          <w:p>
            <w:pPr>
              <w:pStyle w:val="yTableNAm"/>
            </w:pPr>
            <w:r>
              <w:rPr>
                <w:szCs w:val="22"/>
              </w:rPr>
              <w:t>61317</w:t>
            </w:r>
          </w:p>
        </w:tc>
        <w:tc>
          <w:tcPr>
            <w:tcW w:w="1276" w:type="dxa"/>
            <w:vAlign w:val="bottom"/>
          </w:tcPr>
          <w:p>
            <w:pPr>
              <w:pStyle w:val="yTableNAm"/>
              <w:jc w:val="right"/>
            </w:pPr>
            <w:r>
              <w:rPr>
                <w:szCs w:val="22"/>
              </w:rPr>
              <w:t>$697.75</w:t>
            </w:r>
          </w:p>
        </w:tc>
      </w:tr>
      <w:tr>
        <w:tblPrEx>
          <w:tblCellMar>
            <w:left w:w="108" w:type="dxa"/>
            <w:right w:w="108" w:type="dxa"/>
          </w:tblCellMar>
        </w:tblPrEx>
        <w:tc>
          <w:tcPr>
            <w:tcW w:w="4820" w:type="dxa"/>
          </w:tcPr>
          <w:p>
            <w:pPr>
              <w:pStyle w:val="yTableNAm"/>
            </w:pPr>
            <w:r>
              <w:rPr>
                <w:szCs w:val="22"/>
              </w:rPr>
              <w:t>61320</w:t>
            </w:r>
          </w:p>
        </w:tc>
        <w:tc>
          <w:tcPr>
            <w:tcW w:w="1276" w:type="dxa"/>
            <w:vAlign w:val="bottom"/>
          </w:tcPr>
          <w:p>
            <w:pPr>
              <w:pStyle w:val="yTableNAm"/>
              <w:jc w:val="right"/>
            </w:pPr>
            <w:r>
              <w:rPr>
                <w:szCs w:val="22"/>
              </w:rPr>
              <w:t>$324.35</w:t>
            </w:r>
          </w:p>
        </w:tc>
      </w:tr>
      <w:tr>
        <w:tblPrEx>
          <w:tblCellMar>
            <w:left w:w="108" w:type="dxa"/>
            <w:right w:w="108" w:type="dxa"/>
          </w:tblCellMar>
        </w:tblPrEx>
        <w:tc>
          <w:tcPr>
            <w:tcW w:w="4820" w:type="dxa"/>
          </w:tcPr>
          <w:p>
            <w:pPr>
              <w:pStyle w:val="yTableNAm"/>
            </w:pPr>
            <w:r>
              <w:rPr>
                <w:szCs w:val="22"/>
              </w:rPr>
              <w:t>61328</w:t>
            </w:r>
          </w:p>
        </w:tc>
        <w:tc>
          <w:tcPr>
            <w:tcW w:w="1276" w:type="dxa"/>
            <w:vAlign w:val="bottom"/>
          </w:tcPr>
          <w:p>
            <w:pPr>
              <w:pStyle w:val="yTableNAm"/>
              <w:jc w:val="right"/>
            </w:pPr>
            <w:r>
              <w:rPr>
                <w:szCs w:val="22"/>
              </w:rPr>
              <w:t>$322.60</w:t>
            </w:r>
          </w:p>
        </w:tc>
      </w:tr>
      <w:tr>
        <w:tblPrEx>
          <w:tblCellMar>
            <w:left w:w="108" w:type="dxa"/>
            <w:right w:w="108" w:type="dxa"/>
          </w:tblCellMar>
        </w:tblPrEx>
        <w:tc>
          <w:tcPr>
            <w:tcW w:w="4820" w:type="dxa"/>
          </w:tcPr>
          <w:p>
            <w:pPr>
              <w:pStyle w:val="yTableNAm"/>
            </w:pPr>
            <w:r>
              <w:rPr>
                <w:szCs w:val="22"/>
              </w:rPr>
              <w:t>61340</w:t>
            </w:r>
          </w:p>
        </w:tc>
        <w:tc>
          <w:tcPr>
            <w:tcW w:w="1276" w:type="dxa"/>
            <w:vAlign w:val="bottom"/>
          </w:tcPr>
          <w:p>
            <w:pPr>
              <w:pStyle w:val="yTableNAm"/>
              <w:jc w:val="right"/>
            </w:pPr>
            <w:r>
              <w:rPr>
                <w:szCs w:val="22"/>
              </w:rPr>
              <w:t>$358.50</w:t>
            </w:r>
          </w:p>
        </w:tc>
      </w:tr>
      <w:tr>
        <w:tblPrEx>
          <w:tblCellMar>
            <w:left w:w="108" w:type="dxa"/>
            <w:right w:w="108" w:type="dxa"/>
          </w:tblCellMar>
        </w:tblPrEx>
        <w:tc>
          <w:tcPr>
            <w:tcW w:w="4820" w:type="dxa"/>
          </w:tcPr>
          <w:p>
            <w:pPr>
              <w:pStyle w:val="yTableNAm"/>
            </w:pPr>
            <w:r>
              <w:rPr>
                <w:szCs w:val="22"/>
              </w:rPr>
              <w:t>61348</w:t>
            </w:r>
          </w:p>
        </w:tc>
        <w:tc>
          <w:tcPr>
            <w:tcW w:w="1276" w:type="dxa"/>
            <w:vAlign w:val="bottom"/>
          </w:tcPr>
          <w:p>
            <w:pPr>
              <w:pStyle w:val="yTableNAm"/>
              <w:jc w:val="right"/>
            </w:pPr>
            <w:r>
              <w:rPr>
                <w:szCs w:val="22"/>
              </w:rPr>
              <w:t>$628.25</w:t>
            </w:r>
          </w:p>
        </w:tc>
      </w:tr>
      <w:tr>
        <w:tblPrEx>
          <w:tblCellMar>
            <w:left w:w="108" w:type="dxa"/>
            <w:right w:w="108" w:type="dxa"/>
          </w:tblCellMar>
        </w:tblPrEx>
        <w:tc>
          <w:tcPr>
            <w:tcW w:w="4820" w:type="dxa"/>
          </w:tcPr>
          <w:p>
            <w:pPr>
              <w:pStyle w:val="yTableNAm"/>
            </w:pPr>
            <w:r>
              <w:rPr>
                <w:szCs w:val="22"/>
              </w:rPr>
              <w:t>61352</w:t>
            </w:r>
          </w:p>
        </w:tc>
        <w:tc>
          <w:tcPr>
            <w:tcW w:w="1276" w:type="dxa"/>
            <w:vAlign w:val="bottom"/>
          </w:tcPr>
          <w:p>
            <w:pPr>
              <w:pStyle w:val="yTableNAm"/>
              <w:jc w:val="right"/>
            </w:pPr>
            <w:r>
              <w:rPr>
                <w:szCs w:val="22"/>
              </w:rPr>
              <w:t>$367.45</w:t>
            </w:r>
          </w:p>
        </w:tc>
      </w:tr>
      <w:tr>
        <w:tblPrEx>
          <w:tblCellMar>
            <w:left w:w="108" w:type="dxa"/>
            <w:right w:w="108" w:type="dxa"/>
          </w:tblCellMar>
        </w:tblPrEx>
        <w:tc>
          <w:tcPr>
            <w:tcW w:w="4820" w:type="dxa"/>
          </w:tcPr>
          <w:p>
            <w:pPr>
              <w:pStyle w:val="yTableNAm"/>
            </w:pPr>
            <w:r>
              <w:rPr>
                <w:szCs w:val="22"/>
              </w:rPr>
              <w:t>61353</w:t>
            </w:r>
          </w:p>
        </w:tc>
        <w:tc>
          <w:tcPr>
            <w:tcW w:w="1276" w:type="dxa"/>
            <w:vAlign w:val="bottom"/>
          </w:tcPr>
          <w:p>
            <w:pPr>
              <w:pStyle w:val="yTableNAm"/>
              <w:jc w:val="right"/>
            </w:pPr>
            <w:r>
              <w:rPr>
                <w:szCs w:val="22"/>
              </w:rPr>
              <w:t>$547.75</w:t>
            </w:r>
          </w:p>
        </w:tc>
      </w:tr>
      <w:tr>
        <w:tblPrEx>
          <w:tblCellMar>
            <w:left w:w="108" w:type="dxa"/>
            <w:right w:w="108" w:type="dxa"/>
          </w:tblCellMar>
        </w:tblPrEx>
        <w:tc>
          <w:tcPr>
            <w:tcW w:w="4820" w:type="dxa"/>
          </w:tcPr>
          <w:p>
            <w:pPr>
              <w:pStyle w:val="yTableNAm"/>
            </w:pPr>
            <w:r>
              <w:rPr>
                <w:szCs w:val="22"/>
              </w:rPr>
              <w:t>61356</w:t>
            </w:r>
          </w:p>
        </w:tc>
        <w:tc>
          <w:tcPr>
            <w:tcW w:w="1276" w:type="dxa"/>
            <w:vAlign w:val="bottom"/>
          </w:tcPr>
          <w:p>
            <w:pPr>
              <w:pStyle w:val="yTableNAm"/>
              <w:jc w:val="right"/>
            </w:pPr>
            <w:r>
              <w:rPr>
                <w:szCs w:val="22"/>
              </w:rPr>
              <w:t>$556.60</w:t>
            </w:r>
          </w:p>
        </w:tc>
      </w:tr>
      <w:tr>
        <w:tblPrEx>
          <w:tblCellMar>
            <w:left w:w="108" w:type="dxa"/>
            <w:right w:w="108" w:type="dxa"/>
          </w:tblCellMar>
        </w:tblPrEx>
        <w:tc>
          <w:tcPr>
            <w:tcW w:w="4820" w:type="dxa"/>
          </w:tcPr>
          <w:p>
            <w:pPr>
              <w:pStyle w:val="yTableNAm"/>
            </w:pPr>
            <w:r>
              <w:rPr>
                <w:szCs w:val="22"/>
              </w:rPr>
              <w:t>61360</w:t>
            </w:r>
          </w:p>
        </w:tc>
        <w:tc>
          <w:tcPr>
            <w:tcW w:w="1276" w:type="dxa"/>
            <w:vAlign w:val="bottom"/>
          </w:tcPr>
          <w:p>
            <w:pPr>
              <w:pStyle w:val="yTableNAm"/>
              <w:jc w:val="right"/>
            </w:pPr>
            <w:r>
              <w:rPr>
                <w:szCs w:val="22"/>
              </w:rPr>
              <w:t>$571.55</w:t>
            </w:r>
          </w:p>
        </w:tc>
      </w:tr>
      <w:tr>
        <w:tblPrEx>
          <w:tblCellMar>
            <w:left w:w="108" w:type="dxa"/>
            <w:right w:w="108" w:type="dxa"/>
          </w:tblCellMar>
        </w:tblPrEx>
        <w:tc>
          <w:tcPr>
            <w:tcW w:w="4820" w:type="dxa"/>
          </w:tcPr>
          <w:p>
            <w:pPr>
              <w:pStyle w:val="yTableNAm"/>
            </w:pPr>
            <w:r>
              <w:rPr>
                <w:szCs w:val="22"/>
              </w:rPr>
              <w:t>61361</w:t>
            </w:r>
          </w:p>
        </w:tc>
        <w:tc>
          <w:tcPr>
            <w:tcW w:w="1276" w:type="dxa"/>
            <w:vAlign w:val="bottom"/>
          </w:tcPr>
          <w:p>
            <w:pPr>
              <w:pStyle w:val="yTableNAm"/>
              <w:jc w:val="right"/>
            </w:pPr>
            <w:r>
              <w:rPr>
                <w:szCs w:val="22"/>
              </w:rPr>
              <w:t>$653.90</w:t>
            </w:r>
          </w:p>
        </w:tc>
      </w:tr>
      <w:tr>
        <w:tblPrEx>
          <w:tblCellMar>
            <w:left w:w="108" w:type="dxa"/>
            <w:right w:w="108" w:type="dxa"/>
          </w:tblCellMar>
        </w:tblPrEx>
        <w:tc>
          <w:tcPr>
            <w:tcW w:w="4820" w:type="dxa"/>
          </w:tcPr>
          <w:p>
            <w:pPr>
              <w:pStyle w:val="yTableNAm"/>
            </w:pPr>
            <w:r>
              <w:rPr>
                <w:szCs w:val="22"/>
              </w:rPr>
              <w:t>61364</w:t>
            </w:r>
          </w:p>
        </w:tc>
        <w:tc>
          <w:tcPr>
            <w:tcW w:w="1276" w:type="dxa"/>
            <w:vAlign w:val="bottom"/>
          </w:tcPr>
          <w:p>
            <w:pPr>
              <w:pStyle w:val="yTableNAm"/>
              <w:jc w:val="right"/>
            </w:pPr>
            <w:r>
              <w:rPr>
                <w:szCs w:val="22"/>
              </w:rPr>
              <w:t>$704.30</w:t>
            </w:r>
          </w:p>
        </w:tc>
      </w:tr>
      <w:tr>
        <w:tblPrEx>
          <w:tblCellMar>
            <w:left w:w="108" w:type="dxa"/>
            <w:right w:w="108" w:type="dxa"/>
          </w:tblCellMar>
        </w:tblPrEx>
        <w:tc>
          <w:tcPr>
            <w:tcW w:w="4820" w:type="dxa"/>
          </w:tcPr>
          <w:p>
            <w:pPr>
              <w:pStyle w:val="yTableNAm"/>
            </w:pPr>
            <w:r>
              <w:rPr>
                <w:szCs w:val="22"/>
              </w:rPr>
              <w:t>61368</w:t>
            </w:r>
          </w:p>
        </w:tc>
        <w:tc>
          <w:tcPr>
            <w:tcW w:w="1276" w:type="dxa"/>
            <w:vAlign w:val="bottom"/>
          </w:tcPr>
          <w:p>
            <w:pPr>
              <w:pStyle w:val="yTableNAm"/>
              <w:jc w:val="right"/>
            </w:pPr>
            <w:r>
              <w:rPr>
                <w:szCs w:val="22"/>
              </w:rPr>
              <w:t>$316.20</w:t>
            </w:r>
          </w:p>
        </w:tc>
      </w:tr>
      <w:tr>
        <w:tblPrEx>
          <w:tblCellMar>
            <w:left w:w="108" w:type="dxa"/>
            <w:right w:w="108" w:type="dxa"/>
          </w:tblCellMar>
        </w:tblPrEx>
        <w:tc>
          <w:tcPr>
            <w:tcW w:w="4820" w:type="dxa"/>
          </w:tcPr>
          <w:p>
            <w:pPr>
              <w:pStyle w:val="yTableNAm"/>
            </w:pPr>
            <w:r>
              <w:rPr>
                <w:szCs w:val="22"/>
              </w:rPr>
              <w:t>61369</w:t>
            </w:r>
          </w:p>
        </w:tc>
        <w:tc>
          <w:tcPr>
            <w:tcW w:w="1276" w:type="dxa"/>
            <w:vAlign w:val="bottom"/>
          </w:tcPr>
          <w:p>
            <w:pPr>
              <w:pStyle w:val="yTableNAm"/>
              <w:jc w:val="right"/>
            </w:pPr>
            <w:r>
              <w:rPr>
                <w:szCs w:val="22"/>
              </w:rPr>
              <w:t>$2 856.35</w:t>
            </w:r>
          </w:p>
        </w:tc>
      </w:tr>
      <w:tr>
        <w:tblPrEx>
          <w:tblCellMar>
            <w:left w:w="108" w:type="dxa"/>
            <w:right w:w="108" w:type="dxa"/>
          </w:tblCellMar>
        </w:tblPrEx>
        <w:tc>
          <w:tcPr>
            <w:tcW w:w="4820" w:type="dxa"/>
          </w:tcPr>
          <w:p>
            <w:pPr>
              <w:pStyle w:val="yTableNAm"/>
            </w:pPr>
            <w:r>
              <w:rPr>
                <w:szCs w:val="22"/>
              </w:rPr>
              <w:t>61372</w:t>
            </w:r>
          </w:p>
        </w:tc>
        <w:tc>
          <w:tcPr>
            <w:tcW w:w="1276" w:type="dxa"/>
            <w:vAlign w:val="bottom"/>
          </w:tcPr>
          <w:p>
            <w:pPr>
              <w:pStyle w:val="yTableNAm"/>
              <w:jc w:val="right"/>
            </w:pPr>
            <w:r>
              <w:rPr>
                <w:szCs w:val="22"/>
              </w:rPr>
              <w:t>$316.20</w:t>
            </w:r>
          </w:p>
        </w:tc>
      </w:tr>
      <w:tr>
        <w:tblPrEx>
          <w:tblCellMar>
            <w:left w:w="108" w:type="dxa"/>
            <w:right w:w="108" w:type="dxa"/>
          </w:tblCellMar>
        </w:tblPrEx>
        <w:tc>
          <w:tcPr>
            <w:tcW w:w="4820" w:type="dxa"/>
          </w:tcPr>
          <w:p>
            <w:pPr>
              <w:pStyle w:val="yTableNAm"/>
            </w:pPr>
            <w:r>
              <w:rPr>
                <w:szCs w:val="22"/>
              </w:rPr>
              <w:t>61373</w:t>
            </w:r>
          </w:p>
        </w:tc>
        <w:tc>
          <w:tcPr>
            <w:tcW w:w="1276" w:type="dxa"/>
            <w:vAlign w:val="bottom"/>
          </w:tcPr>
          <w:p>
            <w:pPr>
              <w:pStyle w:val="yTableNAm"/>
              <w:jc w:val="right"/>
            </w:pPr>
            <w:r>
              <w:rPr>
                <w:szCs w:val="22"/>
              </w:rPr>
              <w:t>$693.90</w:t>
            </w:r>
          </w:p>
        </w:tc>
      </w:tr>
      <w:tr>
        <w:tblPrEx>
          <w:tblCellMar>
            <w:left w:w="108" w:type="dxa"/>
            <w:right w:w="108" w:type="dxa"/>
          </w:tblCellMar>
        </w:tblPrEx>
        <w:tc>
          <w:tcPr>
            <w:tcW w:w="4820" w:type="dxa"/>
          </w:tcPr>
          <w:p>
            <w:pPr>
              <w:pStyle w:val="yTableNAm"/>
            </w:pPr>
            <w:r>
              <w:rPr>
                <w:szCs w:val="22"/>
              </w:rPr>
              <w:t>61376</w:t>
            </w:r>
          </w:p>
        </w:tc>
        <w:tc>
          <w:tcPr>
            <w:tcW w:w="1276" w:type="dxa"/>
            <w:vAlign w:val="bottom"/>
          </w:tcPr>
          <w:p>
            <w:pPr>
              <w:pStyle w:val="yTableNAm"/>
              <w:jc w:val="right"/>
            </w:pPr>
            <w:r>
              <w:rPr>
                <w:szCs w:val="22"/>
              </w:rPr>
              <w:t>$203.20</w:t>
            </w:r>
          </w:p>
        </w:tc>
      </w:tr>
      <w:tr>
        <w:tblPrEx>
          <w:tblCellMar>
            <w:left w:w="108" w:type="dxa"/>
            <w:right w:w="108" w:type="dxa"/>
          </w:tblCellMar>
        </w:tblPrEx>
        <w:tc>
          <w:tcPr>
            <w:tcW w:w="4820" w:type="dxa"/>
          </w:tcPr>
          <w:p>
            <w:pPr>
              <w:pStyle w:val="yTableNAm"/>
            </w:pPr>
            <w:r>
              <w:rPr>
                <w:szCs w:val="22"/>
              </w:rPr>
              <w:t>61381</w:t>
            </w:r>
          </w:p>
        </w:tc>
        <w:tc>
          <w:tcPr>
            <w:tcW w:w="1276" w:type="dxa"/>
            <w:vAlign w:val="bottom"/>
          </w:tcPr>
          <w:p>
            <w:pPr>
              <w:pStyle w:val="yTableNAm"/>
              <w:jc w:val="right"/>
            </w:pPr>
            <w:r>
              <w:rPr>
                <w:szCs w:val="22"/>
              </w:rPr>
              <w:t>$813.80</w:t>
            </w:r>
          </w:p>
        </w:tc>
      </w:tr>
      <w:tr>
        <w:tblPrEx>
          <w:tblCellMar>
            <w:left w:w="108" w:type="dxa"/>
            <w:right w:w="108" w:type="dxa"/>
          </w:tblCellMar>
        </w:tblPrEx>
        <w:tc>
          <w:tcPr>
            <w:tcW w:w="4820" w:type="dxa"/>
          </w:tcPr>
          <w:p>
            <w:pPr>
              <w:pStyle w:val="yTableNAm"/>
            </w:pPr>
            <w:r>
              <w:rPr>
                <w:szCs w:val="22"/>
              </w:rPr>
              <w:t>61383</w:t>
            </w:r>
          </w:p>
        </w:tc>
        <w:tc>
          <w:tcPr>
            <w:tcW w:w="1276" w:type="dxa"/>
            <w:vAlign w:val="bottom"/>
          </w:tcPr>
          <w:p>
            <w:pPr>
              <w:pStyle w:val="yTableNAm"/>
              <w:jc w:val="right"/>
            </w:pPr>
            <w:r>
              <w:rPr>
                <w:szCs w:val="22"/>
              </w:rPr>
              <w:t>$885.50</w:t>
            </w:r>
          </w:p>
        </w:tc>
      </w:tr>
      <w:tr>
        <w:tblPrEx>
          <w:tblCellMar>
            <w:left w:w="108" w:type="dxa"/>
            <w:right w:w="108" w:type="dxa"/>
          </w:tblCellMar>
        </w:tblPrEx>
        <w:tc>
          <w:tcPr>
            <w:tcW w:w="4820" w:type="dxa"/>
          </w:tcPr>
          <w:p>
            <w:pPr>
              <w:pStyle w:val="yTableNAm"/>
            </w:pPr>
            <w:r>
              <w:rPr>
                <w:szCs w:val="22"/>
              </w:rPr>
              <w:t>61384</w:t>
            </w:r>
          </w:p>
        </w:tc>
        <w:tc>
          <w:tcPr>
            <w:tcW w:w="1276" w:type="dxa"/>
            <w:vAlign w:val="bottom"/>
          </w:tcPr>
          <w:p>
            <w:pPr>
              <w:pStyle w:val="yTableNAm"/>
              <w:jc w:val="right"/>
            </w:pPr>
            <w:r>
              <w:rPr>
                <w:szCs w:val="22"/>
              </w:rPr>
              <w:t>$974.50</w:t>
            </w:r>
          </w:p>
        </w:tc>
      </w:tr>
      <w:tr>
        <w:tblPrEx>
          <w:tblCellMar>
            <w:left w:w="108" w:type="dxa"/>
            <w:right w:w="108" w:type="dxa"/>
          </w:tblCellMar>
        </w:tblPrEx>
        <w:tc>
          <w:tcPr>
            <w:tcW w:w="4820" w:type="dxa"/>
          </w:tcPr>
          <w:p>
            <w:pPr>
              <w:pStyle w:val="yTableNAm"/>
            </w:pPr>
            <w:r>
              <w:rPr>
                <w:szCs w:val="22"/>
              </w:rPr>
              <w:t>61386</w:t>
            </w:r>
          </w:p>
        </w:tc>
        <w:tc>
          <w:tcPr>
            <w:tcW w:w="1276" w:type="dxa"/>
            <w:vAlign w:val="bottom"/>
          </w:tcPr>
          <w:p>
            <w:pPr>
              <w:pStyle w:val="yTableNAm"/>
              <w:jc w:val="right"/>
            </w:pPr>
            <w:r>
              <w:rPr>
                <w:szCs w:val="22"/>
              </w:rPr>
              <w:t>$471.20</w:t>
            </w:r>
          </w:p>
        </w:tc>
      </w:tr>
      <w:tr>
        <w:tblPrEx>
          <w:tblCellMar>
            <w:left w:w="108" w:type="dxa"/>
            <w:right w:w="108" w:type="dxa"/>
          </w:tblCellMar>
        </w:tblPrEx>
        <w:tc>
          <w:tcPr>
            <w:tcW w:w="4820" w:type="dxa"/>
          </w:tcPr>
          <w:p>
            <w:pPr>
              <w:pStyle w:val="yTableNAm"/>
            </w:pPr>
            <w:r>
              <w:rPr>
                <w:szCs w:val="22"/>
              </w:rPr>
              <w:t>61387</w:t>
            </w:r>
          </w:p>
        </w:tc>
        <w:tc>
          <w:tcPr>
            <w:tcW w:w="1276" w:type="dxa"/>
            <w:vAlign w:val="bottom"/>
          </w:tcPr>
          <w:p>
            <w:pPr>
              <w:pStyle w:val="yTableNAm"/>
              <w:jc w:val="right"/>
            </w:pPr>
            <w:r>
              <w:rPr>
                <w:szCs w:val="22"/>
              </w:rPr>
              <w:t>$610.45</w:t>
            </w:r>
          </w:p>
        </w:tc>
      </w:tr>
      <w:tr>
        <w:tblPrEx>
          <w:tblCellMar>
            <w:left w:w="108" w:type="dxa"/>
            <w:right w:w="108" w:type="dxa"/>
          </w:tblCellMar>
        </w:tblPrEx>
        <w:tc>
          <w:tcPr>
            <w:tcW w:w="4820" w:type="dxa"/>
          </w:tcPr>
          <w:p>
            <w:pPr>
              <w:pStyle w:val="yTableNAm"/>
            </w:pPr>
            <w:r>
              <w:rPr>
                <w:szCs w:val="22"/>
              </w:rPr>
              <w:t>61389</w:t>
            </w:r>
          </w:p>
        </w:tc>
        <w:tc>
          <w:tcPr>
            <w:tcW w:w="1276" w:type="dxa"/>
            <w:vAlign w:val="bottom"/>
          </w:tcPr>
          <w:p>
            <w:pPr>
              <w:pStyle w:val="yTableNAm"/>
              <w:jc w:val="right"/>
            </w:pPr>
            <w:r>
              <w:rPr>
                <w:szCs w:val="22"/>
              </w:rPr>
              <w:t>$525.05</w:t>
            </w:r>
          </w:p>
        </w:tc>
      </w:tr>
      <w:tr>
        <w:tblPrEx>
          <w:tblCellMar>
            <w:left w:w="108" w:type="dxa"/>
            <w:right w:w="108" w:type="dxa"/>
          </w:tblCellMar>
        </w:tblPrEx>
        <w:tc>
          <w:tcPr>
            <w:tcW w:w="4820" w:type="dxa"/>
          </w:tcPr>
          <w:p>
            <w:pPr>
              <w:pStyle w:val="yTableNAm"/>
            </w:pPr>
            <w:r>
              <w:rPr>
                <w:szCs w:val="22"/>
              </w:rPr>
              <w:t>61390</w:t>
            </w:r>
          </w:p>
        </w:tc>
        <w:tc>
          <w:tcPr>
            <w:tcW w:w="1276" w:type="dxa"/>
            <w:vAlign w:val="bottom"/>
          </w:tcPr>
          <w:p>
            <w:pPr>
              <w:pStyle w:val="yTableNAm"/>
              <w:jc w:val="right"/>
            </w:pPr>
            <w:r>
              <w:rPr>
                <w:szCs w:val="22"/>
              </w:rPr>
              <w:t>$580.95</w:t>
            </w:r>
          </w:p>
        </w:tc>
      </w:tr>
      <w:tr>
        <w:tblPrEx>
          <w:tblCellMar>
            <w:left w:w="108" w:type="dxa"/>
            <w:right w:w="108" w:type="dxa"/>
          </w:tblCellMar>
        </w:tblPrEx>
        <w:tc>
          <w:tcPr>
            <w:tcW w:w="4820" w:type="dxa"/>
          </w:tcPr>
          <w:p>
            <w:pPr>
              <w:pStyle w:val="yTableNAm"/>
            </w:pPr>
            <w:r>
              <w:rPr>
                <w:szCs w:val="22"/>
              </w:rPr>
              <w:t>61393</w:t>
            </w:r>
          </w:p>
        </w:tc>
        <w:tc>
          <w:tcPr>
            <w:tcW w:w="1276" w:type="dxa"/>
            <w:vAlign w:val="bottom"/>
          </w:tcPr>
          <w:p>
            <w:pPr>
              <w:pStyle w:val="yTableNAm"/>
              <w:jc w:val="right"/>
            </w:pPr>
            <w:r>
              <w:rPr>
                <w:szCs w:val="22"/>
              </w:rPr>
              <w:t>$858.00</w:t>
            </w:r>
          </w:p>
        </w:tc>
      </w:tr>
      <w:tr>
        <w:tblPrEx>
          <w:tblCellMar>
            <w:left w:w="108" w:type="dxa"/>
            <w:right w:w="108" w:type="dxa"/>
          </w:tblCellMar>
        </w:tblPrEx>
        <w:tc>
          <w:tcPr>
            <w:tcW w:w="4820" w:type="dxa"/>
          </w:tcPr>
          <w:p>
            <w:pPr>
              <w:pStyle w:val="yTableNAm"/>
            </w:pPr>
            <w:r>
              <w:rPr>
                <w:szCs w:val="22"/>
              </w:rPr>
              <w:t>61397</w:t>
            </w:r>
          </w:p>
        </w:tc>
        <w:tc>
          <w:tcPr>
            <w:tcW w:w="1276" w:type="dxa"/>
            <w:vAlign w:val="bottom"/>
          </w:tcPr>
          <w:p>
            <w:pPr>
              <w:pStyle w:val="yTableNAm"/>
              <w:jc w:val="right"/>
            </w:pPr>
            <w:r>
              <w:rPr>
                <w:szCs w:val="22"/>
              </w:rPr>
              <w:t>$349.80</w:t>
            </w:r>
          </w:p>
        </w:tc>
      </w:tr>
      <w:tr>
        <w:tblPrEx>
          <w:tblCellMar>
            <w:left w:w="108" w:type="dxa"/>
            <w:right w:w="108" w:type="dxa"/>
          </w:tblCellMar>
        </w:tblPrEx>
        <w:tc>
          <w:tcPr>
            <w:tcW w:w="4820" w:type="dxa"/>
          </w:tcPr>
          <w:p>
            <w:pPr>
              <w:pStyle w:val="yTableNAm"/>
            </w:pPr>
            <w:r>
              <w:rPr>
                <w:szCs w:val="22"/>
              </w:rPr>
              <w:t>61401</w:t>
            </w:r>
          </w:p>
        </w:tc>
        <w:tc>
          <w:tcPr>
            <w:tcW w:w="1276" w:type="dxa"/>
            <w:vAlign w:val="bottom"/>
          </w:tcPr>
          <w:p>
            <w:pPr>
              <w:pStyle w:val="yTableNAm"/>
              <w:jc w:val="right"/>
            </w:pPr>
            <w:r>
              <w:rPr>
                <w:szCs w:val="22"/>
              </w:rPr>
              <w:t>$230.05</w:t>
            </w:r>
          </w:p>
        </w:tc>
      </w:tr>
      <w:tr>
        <w:tblPrEx>
          <w:tblCellMar>
            <w:left w:w="108" w:type="dxa"/>
            <w:right w:w="108" w:type="dxa"/>
          </w:tblCellMar>
        </w:tblPrEx>
        <w:tc>
          <w:tcPr>
            <w:tcW w:w="4820" w:type="dxa"/>
          </w:tcPr>
          <w:p>
            <w:pPr>
              <w:pStyle w:val="yTableNAm"/>
            </w:pPr>
            <w:r>
              <w:rPr>
                <w:szCs w:val="22"/>
              </w:rPr>
              <w:t>61402</w:t>
            </w:r>
          </w:p>
        </w:tc>
        <w:tc>
          <w:tcPr>
            <w:tcW w:w="1276" w:type="dxa"/>
            <w:vAlign w:val="bottom"/>
          </w:tcPr>
          <w:p>
            <w:pPr>
              <w:pStyle w:val="yTableNAm"/>
              <w:jc w:val="right"/>
            </w:pPr>
            <w:r>
              <w:rPr>
                <w:szCs w:val="22"/>
              </w:rPr>
              <w:t>$857.45</w:t>
            </w:r>
          </w:p>
        </w:tc>
      </w:tr>
      <w:tr>
        <w:tblPrEx>
          <w:tblCellMar>
            <w:left w:w="108" w:type="dxa"/>
            <w:right w:w="108" w:type="dxa"/>
          </w:tblCellMar>
        </w:tblPrEx>
        <w:tc>
          <w:tcPr>
            <w:tcW w:w="4820" w:type="dxa"/>
          </w:tcPr>
          <w:p>
            <w:pPr>
              <w:pStyle w:val="yTableNAm"/>
            </w:pPr>
            <w:r>
              <w:rPr>
                <w:szCs w:val="22"/>
              </w:rPr>
              <w:t>61405</w:t>
            </w:r>
          </w:p>
        </w:tc>
        <w:tc>
          <w:tcPr>
            <w:tcW w:w="1276" w:type="dxa"/>
            <w:vAlign w:val="bottom"/>
          </w:tcPr>
          <w:p>
            <w:pPr>
              <w:pStyle w:val="yTableNAm"/>
              <w:jc w:val="right"/>
            </w:pPr>
            <w:r>
              <w:rPr>
                <w:szCs w:val="22"/>
              </w:rPr>
              <w:t>$490.30</w:t>
            </w:r>
          </w:p>
        </w:tc>
      </w:tr>
      <w:tr>
        <w:tblPrEx>
          <w:tblCellMar>
            <w:left w:w="108" w:type="dxa"/>
            <w:right w:w="108" w:type="dxa"/>
          </w:tblCellMar>
        </w:tblPrEx>
        <w:tc>
          <w:tcPr>
            <w:tcW w:w="4820" w:type="dxa"/>
          </w:tcPr>
          <w:p>
            <w:pPr>
              <w:pStyle w:val="yTableNAm"/>
            </w:pPr>
            <w:r>
              <w:rPr>
                <w:szCs w:val="22"/>
              </w:rPr>
              <w:t>61409</w:t>
            </w:r>
          </w:p>
        </w:tc>
        <w:tc>
          <w:tcPr>
            <w:tcW w:w="1276" w:type="dxa"/>
            <w:vAlign w:val="bottom"/>
          </w:tcPr>
          <w:p>
            <w:pPr>
              <w:pStyle w:val="yTableNAm"/>
              <w:jc w:val="right"/>
            </w:pPr>
            <w:r>
              <w:rPr>
                <w:szCs w:val="22"/>
              </w:rPr>
              <w:t>$1 237.85</w:t>
            </w:r>
          </w:p>
        </w:tc>
      </w:tr>
      <w:tr>
        <w:tblPrEx>
          <w:tblCellMar>
            <w:left w:w="108" w:type="dxa"/>
            <w:right w:w="108" w:type="dxa"/>
          </w:tblCellMar>
        </w:tblPrEx>
        <w:tc>
          <w:tcPr>
            <w:tcW w:w="4820" w:type="dxa"/>
          </w:tcPr>
          <w:p>
            <w:pPr>
              <w:pStyle w:val="yTableNAm"/>
            </w:pPr>
            <w:r>
              <w:rPr>
                <w:szCs w:val="22"/>
              </w:rPr>
              <w:t>61413</w:t>
            </w:r>
          </w:p>
        </w:tc>
        <w:tc>
          <w:tcPr>
            <w:tcW w:w="1276" w:type="dxa"/>
            <w:vAlign w:val="bottom"/>
          </w:tcPr>
          <w:p>
            <w:pPr>
              <w:pStyle w:val="yTableNAm"/>
              <w:jc w:val="right"/>
            </w:pPr>
            <w:r>
              <w:rPr>
                <w:szCs w:val="22"/>
              </w:rPr>
              <w:t>$320.15</w:t>
            </w:r>
          </w:p>
        </w:tc>
      </w:tr>
      <w:tr>
        <w:tblPrEx>
          <w:tblCellMar>
            <w:left w:w="108" w:type="dxa"/>
            <w:right w:w="108" w:type="dxa"/>
          </w:tblCellMar>
        </w:tblPrEx>
        <w:tc>
          <w:tcPr>
            <w:tcW w:w="4820" w:type="dxa"/>
          </w:tcPr>
          <w:p>
            <w:pPr>
              <w:pStyle w:val="yTableNAm"/>
            </w:pPr>
            <w:r>
              <w:rPr>
                <w:szCs w:val="22"/>
              </w:rPr>
              <w:t>61417</w:t>
            </w:r>
          </w:p>
        </w:tc>
        <w:tc>
          <w:tcPr>
            <w:tcW w:w="1276" w:type="dxa"/>
            <w:vAlign w:val="bottom"/>
          </w:tcPr>
          <w:p>
            <w:pPr>
              <w:pStyle w:val="yTableNAm"/>
              <w:jc w:val="right"/>
            </w:pPr>
            <w:r>
              <w:rPr>
                <w:szCs w:val="22"/>
              </w:rPr>
              <w:t>$168.40</w:t>
            </w:r>
          </w:p>
        </w:tc>
      </w:tr>
      <w:tr>
        <w:tblPrEx>
          <w:tblCellMar>
            <w:left w:w="108" w:type="dxa"/>
            <w:right w:w="108" w:type="dxa"/>
          </w:tblCellMar>
        </w:tblPrEx>
        <w:tc>
          <w:tcPr>
            <w:tcW w:w="4820" w:type="dxa"/>
          </w:tcPr>
          <w:p>
            <w:pPr>
              <w:pStyle w:val="yTableNAm"/>
            </w:pPr>
            <w:r>
              <w:rPr>
                <w:szCs w:val="22"/>
              </w:rPr>
              <w:t>61421</w:t>
            </w:r>
          </w:p>
        </w:tc>
        <w:tc>
          <w:tcPr>
            <w:tcW w:w="1276" w:type="dxa"/>
            <w:vAlign w:val="bottom"/>
          </w:tcPr>
          <w:p>
            <w:pPr>
              <w:pStyle w:val="yTableNAm"/>
              <w:jc w:val="right"/>
            </w:pPr>
            <w:r>
              <w:rPr>
                <w:szCs w:val="22"/>
              </w:rPr>
              <w:t>$679.95</w:t>
            </w:r>
          </w:p>
        </w:tc>
      </w:tr>
      <w:tr>
        <w:tblPrEx>
          <w:tblCellMar>
            <w:left w:w="108" w:type="dxa"/>
            <w:right w:w="108" w:type="dxa"/>
          </w:tblCellMar>
        </w:tblPrEx>
        <w:tc>
          <w:tcPr>
            <w:tcW w:w="4820" w:type="dxa"/>
          </w:tcPr>
          <w:p>
            <w:pPr>
              <w:pStyle w:val="yTableNAm"/>
            </w:pPr>
            <w:r>
              <w:rPr>
                <w:szCs w:val="22"/>
              </w:rPr>
              <w:t>61425</w:t>
            </w:r>
          </w:p>
        </w:tc>
        <w:tc>
          <w:tcPr>
            <w:tcW w:w="1276" w:type="dxa"/>
            <w:vAlign w:val="bottom"/>
          </w:tcPr>
          <w:p>
            <w:pPr>
              <w:pStyle w:val="yTableNAm"/>
              <w:jc w:val="right"/>
            </w:pPr>
            <w:r>
              <w:rPr>
                <w:szCs w:val="22"/>
              </w:rPr>
              <w:t>$851.20</w:t>
            </w:r>
          </w:p>
        </w:tc>
      </w:tr>
      <w:tr>
        <w:tblPrEx>
          <w:tblCellMar>
            <w:left w:w="108" w:type="dxa"/>
            <w:right w:w="108" w:type="dxa"/>
          </w:tblCellMar>
        </w:tblPrEx>
        <w:tc>
          <w:tcPr>
            <w:tcW w:w="4820" w:type="dxa"/>
          </w:tcPr>
          <w:p>
            <w:pPr>
              <w:pStyle w:val="yTableNAm"/>
            </w:pPr>
            <w:r>
              <w:rPr>
                <w:szCs w:val="22"/>
              </w:rPr>
              <w:t>61426</w:t>
            </w:r>
          </w:p>
        </w:tc>
        <w:tc>
          <w:tcPr>
            <w:tcW w:w="1276" w:type="dxa"/>
            <w:vAlign w:val="bottom"/>
          </w:tcPr>
          <w:p>
            <w:pPr>
              <w:pStyle w:val="yTableNAm"/>
              <w:jc w:val="right"/>
            </w:pPr>
            <w:r>
              <w:rPr>
                <w:szCs w:val="22"/>
              </w:rPr>
              <w:t>$786.15</w:t>
            </w:r>
          </w:p>
        </w:tc>
      </w:tr>
      <w:tr>
        <w:tblPrEx>
          <w:tblCellMar>
            <w:left w:w="108" w:type="dxa"/>
            <w:right w:w="108" w:type="dxa"/>
          </w:tblCellMar>
        </w:tblPrEx>
        <w:tc>
          <w:tcPr>
            <w:tcW w:w="4820" w:type="dxa"/>
          </w:tcPr>
          <w:p>
            <w:pPr>
              <w:pStyle w:val="yTableNAm"/>
            </w:pPr>
            <w:r>
              <w:rPr>
                <w:szCs w:val="22"/>
              </w:rPr>
              <w:t>61429</w:t>
            </w:r>
          </w:p>
        </w:tc>
        <w:tc>
          <w:tcPr>
            <w:tcW w:w="1276" w:type="dxa"/>
            <w:vAlign w:val="bottom"/>
          </w:tcPr>
          <w:p>
            <w:pPr>
              <w:pStyle w:val="yTableNAm"/>
              <w:jc w:val="right"/>
            </w:pPr>
            <w:r>
              <w:rPr>
                <w:szCs w:val="22"/>
              </w:rPr>
              <w:t>$769.45</w:t>
            </w:r>
          </w:p>
        </w:tc>
      </w:tr>
      <w:tr>
        <w:tblPrEx>
          <w:tblCellMar>
            <w:left w:w="108" w:type="dxa"/>
            <w:right w:w="108" w:type="dxa"/>
          </w:tblCellMar>
        </w:tblPrEx>
        <w:tc>
          <w:tcPr>
            <w:tcW w:w="4820" w:type="dxa"/>
          </w:tcPr>
          <w:p>
            <w:pPr>
              <w:pStyle w:val="yTableNAm"/>
            </w:pPr>
            <w:r>
              <w:rPr>
                <w:szCs w:val="22"/>
              </w:rPr>
              <w:t>61430</w:t>
            </w:r>
          </w:p>
        </w:tc>
        <w:tc>
          <w:tcPr>
            <w:tcW w:w="1276" w:type="dxa"/>
            <w:vAlign w:val="bottom"/>
          </w:tcPr>
          <w:p>
            <w:pPr>
              <w:pStyle w:val="yTableNAm"/>
              <w:jc w:val="right"/>
            </w:pPr>
            <w:r>
              <w:rPr>
                <w:szCs w:val="22"/>
              </w:rPr>
              <w:t>$934.45</w:t>
            </w:r>
          </w:p>
        </w:tc>
      </w:tr>
      <w:tr>
        <w:tblPrEx>
          <w:tblCellMar>
            <w:left w:w="108" w:type="dxa"/>
            <w:right w:w="108" w:type="dxa"/>
          </w:tblCellMar>
        </w:tblPrEx>
        <w:tc>
          <w:tcPr>
            <w:tcW w:w="4820" w:type="dxa"/>
          </w:tcPr>
          <w:p>
            <w:pPr>
              <w:pStyle w:val="yTableNAm"/>
            </w:pPr>
            <w:r>
              <w:rPr>
                <w:szCs w:val="22"/>
              </w:rPr>
              <w:t>61433</w:t>
            </w:r>
          </w:p>
        </w:tc>
        <w:tc>
          <w:tcPr>
            <w:tcW w:w="1276" w:type="dxa"/>
            <w:vAlign w:val="bottom"/>
          </w:tcPr>
          <w:p>
            <w:pPr>
              <w:pStyle w:val="yTableNAm"/>
              <w:jc w:val="right"/>
            </w:pPr>
            <w:r>
              <w:rPr>
                <w:szCs w:val="22"/>
              </w:rPr>
              <w:t>$704.30</w:t>
            </w:r>
          </w:p>
        </w:tc>
      </w:tr>
      <w:tr>
        <w:tblPrEx>
          <w:tblCellMar>
            <w:left w:w="108" w:type="dxa"/>
            <w:right w:w="108" w:type="dxa"/>
          </w:tblCellMar>
        </w:tblPrEx>
        <w:tc>
          <w:tcPr>
            <w:tcW w:w="4820" w:type="dxa"/>
          </w:tcPr>
          <w:p>
            <w:pPr>
              <w:pStyle w:val="yTableNAm"/>
            </w:pPr>
            <w:r>
              <w:rPr>
                <w:szCs w:val="22"/>
              </w:rPr>
              <w:t>61434</w:t>
            </w:r>
          </w:p>
        </w:tc>
        <w:tc>
          <w:tcPr>
            <w:tcW w:w="1276" w:type="dxa"/>
            <w:vAlign w:val="bottom"/>
          </w:tcPr>
          <w:p>
            <w:pPr>
              <w:pStyle w:val="yTableNAm"/>
              <w:jc w:val="right"/>
            </w:pPr>
            <w:r>
              <w:rPr>
                <w:szCs w:val="22"/>
              </w:rPr>
              <w:t>$872.10</w:t>
            </w:r>
          </w:p>
        </w:tc>
      </w:tr>
      <w:tr>
        <w:tblPrEx>
          <w:tblCellMar>
            <w:left w:w="108" w:type="dxa"/>
            <w:right w:w="108" w:type="dxa"/>
          </w:tblCellMar>
        </w:tblPrEx>
        <w:tc>
          <w:tcPr>
            <w:tcW w:w="4820" w:type="dxa"/>
          </w:tcPr>
          <w:p>
            <w:pPr>
              <w:pStyle w:val="yTableNAm"/>
            </w:pPr>
            <w:r>
              <w:rPr>
                <w:szCs w:val="22"/>
              </w:rPr>
              <w:t>61437</w:t>
            </w:r>
          </w:p>
        </w:tc>
        <w:tc>
          <w:tcPr>
            <w:tcW w:w="1276" w:type="dxa"/>
            <w:vAlign w:val="bottom"/>
          </w:tcPr>
          <w:p>
            <w:pPr>
              <w:pStyle w:val="yTableNAm"/>
              <w:jc w:val="right"/>
            </w:pPr>
            <w:r>
              <w:rPr>
                <w:szCs w:val="22"/>
              </w:rPr>
              <w:t>$769.20</w:t>
            </w:r>
          </w:p>
        </w:tc>
      </w:tr>
      <w:tr>
        <w:tblPrEx>
          <w:tblCellMar>
            <w:left w:w="108" w:type="dxa"/>
            <w:right w:w="108" w:type="dxa"/>
          </w:tblCellMar>
        </w:tblPrEx>
        <w:tc>
          <w:tcPr>
            <w:tcW w:w="4820" w:type="dxa"/>
          </w:tcPr>
          <w:p>
            <w:pPr>
              <w:pStyle w:val="yTableNAm"/>
            </w:pPr>
            <w:r>
              <w:rPr>
                <w:szCs w:val="22"/>
              </w:rPr>
              <w:t>61438</w:t>
            </w:r>
          </w:p>
        </w:tc>
        <w:tc>
          <w:tcPr>
            <w:tcW w:w="1276" w:type="dxa"/>
            <w:vAlign w:val="bottom"/>
          </w:tcPr>
          <w:p>
            <w:pPr>
              <w:pStyle w:val="yTableNAm"/>
              <w:jc w:val="right"/>
            </w:pPr>
            <w:r>
              <w:rPr>
                <w:szCs w:val="22"/>
              </w:rPr>
              <w:t>$953.65</w:t>
            </w:r>
          </w:p>
        </w:tc>
      </w:tr>
      <w:tr>
        <w:tblPrEx>
          <w:tblCellMar>
            <w:left w:w="108" w:type="dxa"/>
            <w:right w:w="108" w:type="dxa"/>
          </w:tblCellMar>
        </w:tblPrEx>
        <w:tc>
          <w:tcPr>
            <w:tcW w:w="4820" w:type="dxa"/>
          </w:tcPr>
          <w:p>
            <w:pPr>
              <w:pStyle w:val="yTableNAm"/>
            </w:pPr>
            <w:r>
              <w:rPr>
                <w:szCs w:val="22"/>
              </w:rPr>
              <w:t>61441</w:t>
            </w:r>
          </w:p>
        </w:tc>
        <w:tc>
          <w:tcPr>
            <w:tcW w:w="1276" w:type="dxa"/>
            <w:vAlign w:val="bottom"/>
          </w:tcPr>
          <w:p>
            <w:pPr>
              <w:pStyle w:val="yTableNAm"/>
              <w:jc w:val="right"/>
            </w:pPr>
            <w:r>
              <w:rPr>
                <w:szCs w:val="22"/>
              </w:rPr>
              <w:t>$693.90</w:t>
            </w:r>
          </w:p>
        </w:tc>
      </w:tr>
      <w:tr>
        <w:tblPrEx>
          <w:tblCellMar>
            <w:left w:w="108" w:type="dxa"/>
            <w:right w:w="108" w:type="dxa"/>
          </w:tblCellMar>
        </w:tblPrEx>
        <w:tc>
          <w:tcPr>
            <w:tcW w:w="4820" w:type="dxa"/>
          </w:tcPr>
          <w:p>
            <w:pPr>
              <w:pStyle w:val="yTableNAm"/>
            </w:pPr>
            <w:r>
              <w:rPr>
                <w:szCs w:val="22"/>
              </w:rPr>
              <w:t>61442</w:t>
            </w:r>
          </w:p>
        </w:tc>
        <w:tc>
          <w:tcPr>
            <w:tcW w:w="1276" w:type="dxa"/>
            <w:vAlign w:val="bottom"/>
          </w:tcPr>
          <w:p>
            <w:pPr>
              <w:pStyle w:val="yTableNAm"/>
              <w:jc w:val="right"/>
            </w:pPr>
            <w:r>
              <w:rPr>
                <w:szCs w:val="22"/>
              </w:rPr>
              <w:t>$1 066.15</w:t>
            </w:r>
          </w:p>
        </w:tc>
      </w:tr>
      <w:tr>
        <w:tblPrEx>
          <w:tblCellMar>
            <w:left w:w="108" w:type="dxa"/>
            <w:right w:w="108" w:type="dxa"/>
          </w:tblCellMar>
        </w:tblPrEx>
        <w:tc>
          <w:tcPr>
            <w:tcW w:w="4820" w:type="dxa"/>
          </w:tcPr>
          <w:p>
            <w:pPr>
              <w:pStyle w:val="yTableNAm"/>
            </w:pPr>
            <w:r>
              <w:rPr>
                <w:szCs w:val="22"/>
              </w:rPr>
              <w:t>61445</w:t>
            </w:r>
          </w:p>
        </w:tc>
        <w:tc>
          <w:tcPr>
            <w:tcW w:w="1276" w:type="dxa"/>
            <w:vAlign w:val="bottom"/>
          </w:tcPr>
          <w:p>
            <w:pPr>
              <w:pStyle w:val="yTableNAm"/>
              <w:jc w:val="right"/>
            </w:pPr>
            <w:r>
              <w:rPr>
                <w:szCs w:val="22"/>
              </w:rPr>
              <w:t>$406.35</w:t>
            </w:r>
          </w:p>
        </w:tc>
      </w:tr>
      <w:tr>
        <w:tblPrEx>
          <w:tblCellMar>
            <w:left w:w="108" w:type="dxa"/>
            <w:right w:w="108" w:type="dxa"/>
          </w:tblCellMar>
        </w:tblPrEx>
        <w:tc>
          <w:tcPr>
            <w:tcW w:w="4820" w:type="dxa"/>
          </w:tcPr>
          <w:p>
            <w:pPr>
              <w:pStyle w:val="yTableNAm"/>
            </w:pPr>
            <w:r>
              <w:rPr>
                <w:szCs w:val="22"/>
              </w:rPr>
              <w:t>61446</w:t>
            </w:r>
          </w:p>
        </w:tc>
        <w:tc>
          <w:tcPr>
            <w:tcW w:w="1276" w:type="dxa"/>
            <w:vAlign w:val="bottom"/>
          </w:tcPr>
          <w:p>
            <w:pPr>
              <w:pStyle w:val="yTableNAm"/>
              <w:jc w:val="right"/>
            </w:pPr>
            <w:r>
              <w:rPr>
                <w:szCs w:val="22"/>
              </w:rPr>
              <w:t>$472.75</w:t>
            </w:r>
          </w:p>
        </w:tc>
      </w:tr>
      <w:tr>
        <w:tblPrEx>
          <w:tblCellMar>
            <w:left w:w="108" w:type="dxa"/>
            <w:right w:w="108" w:type="dxa"/>
          </w:tblCellMar>
        </w:tblPrEx>
        <w:tc>
          <w:tcPr>
            <w:tcW w:w="4820" w:type="dxa"/>
          </w:tcPr>
          <w:p>
            <w:pPr>
              <w:pStyle w:val="yTableNAm"/>
            </w:pPr>
            <w:r>
              <w:rPr>
                <w:szCs w:val="22"/>
              </w:rPr>
              <w:t>61449</w:t>
            </w:r>
          </w:p>
        </w:tc>
        <w:tc>
          <w:tcPr>
            <w:tcW w:w="1276" w:type="dxa"/>
            <w:vAlign w:val="bottom"/>
          </w:tcPr>
          <w:p>
            <w:pPr>
              <w:pStyle w:val="yTableNAm"/>
              <w:jc w:val="right"/>
            </w:pPr>
            <w:r>
              <w:rPr>
                <w:szCs w:val="22"/>
              </w:rPr>
              <w:t>$646.45</w:t>
            </w:r>
          </w:p>
        </w:tc>
      </w:tr>
      <w:tr>
        <w:tblPrEx>
          <w:tblCellMar>
            <w:left w:w="108" w:type="dxa"/>
            <w:right w:w="108" w:type="dxa"/>
          </w:tblCellMar>
        </w:tblPrEx>
        <w:tc>
          <w:tcPr>
            <w:tcW w:w="4820" w:type="dxa"/>
          </w:tcPr>
          <w:p>
            <w:pPr>
              <w:pStyle w:val="yTableNAm"/>
            </w:pPr>
            <w:r>
              <w:rPr>
                <w:szCs w:val="22"/>
              </w:rPr>
              <w:t>61450</w:t>
            </w:r>
          </w:p>
        </w:tc>
        <w:tc>
          <w:tcPr>
            <w:tcW w:w="1276" w:type="dxa"/>
            <w:vAlign w:val="bottom"/>
          </w:tcPr>
          <w:p>
            <w:pPr>
              <w:pStyle w:val="yTableNAm"/>
              <w:jc w:val="right"/>
            </w:pPr>
            <w:r>
              <w:rPr>
                <w:szCs w:val="22"/>
              </w:rPr>
              <w:t>$563.35</w:t>
            </w:r>
          </w:p>
        </w:tc>
      </w:tr>
      <w:tr>
        <w:tblPrEx>
          <w:tblCellMar>
            <w:left w:w="108" w:type="dxa"/>
            <w:right w:w="108" w:type="dxa"/>
          </w:tblCellMar>
        </w:tblPrEx>
        <w:tc>
          <w:tcPr>
            <w:tcW w:w="4820" w:type="dxa"/>
          </w:tcPr>
          <w:p>
            <w:pPr>
              <w:pStyle w:val="yTableNAm"/>
            </w:pPr>
            <w:r>
              <w:rPr>
                <w:szCs w:val="22"/>
              </w:rPr>
              <w:t>61453</w:t>
            </w:r>
          </w:p>
        </w:tc>
        <w:tc>
          <w:tcPr>
            <w:tcW w:w="1276" w:type="dxa"/>
            <w:vAlign w:val="bottom"/>
          </w:tcPr>
          <w:p>
            <w:pPr>
              <w:pStyle w:val="yTableNAm"/>
              <w:jc w:val="right"/>
            </w:pPr>
            <w:r>
              <w:rPr>
                <w:szCs w:val="22"/>
              </w:rPr>
              <w:t>$729.35</w:t>
            </w:r>
          </w:p>
        </w:tc>
      </w:tr>
      <w:tr>
        <w:tblPrEx>
          <w:tblCellMar>
            <w:left w:w="108" w:type="dxa"/>
            <w:right w:w="108" w:type="dxa"/>
          </w:tblCellMar>
        </w:tblPrEx>
        <w:tc>
          <w:tcPr>
            <w:tcW w:w="4820" w:type="dxa"/>
          </w:tcPr>
          <w:p>
            <w:pPr>
              <w:pStyle w:val="yTableNAm"/>
            </w:pPr>
            <w:r>
              <w:rPr>
                <w:szCs w:val="22"/>
              </w:rPr>
              <w:t>61454</w:t>
            </w:r>
          </w:p>
        </w:tc>
        <w:tc>
          <w:tcPr>
            <w:tcW w:w="1276" w:type="dxa"/>
            <w:vAlign w:val="bottom"/>
          </w:tcPr>
          <w:p>
            <w:pPr>
              <w:pStyle w:val="yTableNAm"/>
              <w:jc w:val="right"/>
            </w:pPr>
            <w:r>
              <w:rPr>
                <w:szCs w:val="22"/>
              </w:rPr>
              <w:t>$493.20</w:t>
            </w:r>
          </w:p>
        </w:tc>
      </w:tr>
      <w:tr>
        <w:tblPrEx>
          <w:tblCellMar>
            <w:left w:w="108" w:type="dxa"/>
            <w:right w:w="108" w:type="dxa"/>
          </w:tblCellMar>
        </w:tblPrEx>
        <w:tc>
          <w:tcPr>
            <w:tcW w:w="4820" w:type="dxa"/>
          </w:tcPr>
          <w:p>
            <w:pPr>
              <w:pStyle w:val="yTableNAm"/>
            </w:pPr>
            <w:r>
              <w:rPr>
                <w:szCs w:val="22"/>
              </w:rPr>
              <w:t>61457</w:t>
            </w:r>
          </w:p>
        </w:tc>
        <w:tc>
          <w:tcPr>
            <w:tcW w:w="1276" w:type="dxa"/>
            <w:vAlign w:val="bottom"/>
          </w:tcPr>
          <w:p>
            <w:pPr>
              <w:pStyle w:val="yTableNAm"/>
              <w:jc w:val="right"/>
            </w:pPr>
            <w:r>
              <w:rPr>
                <w:szCs w:val="22"/>
              </w:rPr>
              <w:t>$666.65</w:t>
            </w:r>
          </w:p>
        </w:tc>
      </w:tr>
      <w:tr>
        <w:tblPrEx>
          <w:tblCellMar>
            <w:left w:w="108" w:type="dxa"/>
            <w:right w:w="108" w:type="dxa"/>
          </w:tblCellMar>
        </w:tblPrEx>
        <w:tc>
          <w:tcPr>
            <w:tcW w:w="4820" w:type="dxa"/>
          </w:tcPr>
          <w:p>
            <w:pPr>
              <w:pStyle w:val="yTableNAm"/>
            </w:pPr>
            <w:r>
              <w:rPr>
                <w:szCs w:val="22"/>
              </w:rPr>
              <w:t>61458</w:t>
            </w:r>
          </w:p>
        </w:tc>
        <w:tc>
          <w:tcPr>
            <w:tcW w:w="1276" w:type="dxa"/>
            <w:vAlign w:val="bottom"/>
          </w:tcPr>
          <w:p>
            <w:pPr>
              <w:pStyle w:val="yTableNAm"/>
              <w:jc w:val="right"/>
            </w:pPr>
            <w:r>
              <w:rPr>
                <w:szCs w:val="22"/>
              </w:rPr>
              <w:t>$562.40</w:t>
            </w:r>
          </w:p>
        </w:tc>
      </w:tr>
      <w:tr>
        <w:tblPrEx>
          <w:tblCellMar>
            <w:left w:w="108" w:type="dxa"/>
            <w:right w:w="108" w:type="dxa"/>
          </w:tblCellMar>
        </w:tblPrEx>
        <w:tc>
          <w:tcPr>
            <w:tcW w:w="4820" w:type="dxa"/>
          </w:tcPr>
          <w:p>
            <w:pPr>
              <w:pStyle w:val="yTableNAm"/>
            </w:pPr>
            <w:r>
              <w:rPr>
                <w:szCs w:val="22"/>
              </w:rPr>
              <w:t>61461</w:t>
            </w:r>
          </w:p>
        </w:tc>
        <w:tc>
          <w:tcPr>
            <w:tcW w:w="1276" w:type="dxa"/>
            <w:vAlign w:val="bottom"/>
          </w:tcPr>
          <w:p>
            <w:pPr>
              <w:pStyle w:val="yTableNAm"/>
              <w:jc w:val="right"/>
            </w:pPr>
            <w:r>
              <w:rPr>
                <w:szCs w:val="22"/>
              </w:rPr>
              <w:t>$747.90</w:t>
            </w:r>
          </w:p>
        </w:tc>
      </w:tr>
      <w:tr>
        <w:tblPrEx>
          <w:tblCellMar>
            <w:left w:w="108" w:type="dxa"/>
            <w:right w:w="108" w:type="dxa"/>
          </w:tblCellMar>
        </w:tblPrEx>
        <w:tc>
          <w:tcPr>
            <w:tcW w:w="4820" w:type="dxa"/>
          </w:tcPr>
          <w:p>
            <w:pPr>
              <w:pStyle w:val="yTableNAm"/>
            </w:pPr>
            <w:r>
              <w:rPr>
                <w:szCs w:val="22"/>
              </w:rPr>
              <w:t>61462</w:t>
            </w:r>
          </w:p>
        </w:tc>
        <w:tc>
          <w:tcPr>
            <w:tcW w:w="1276" w:type="dxa"/>
            <w:vAlign w:val="bottom"/>
          </w:tcPr>
          <w:p>
            <w:pPr>
              <w:pStyle w:val="yTableNAm"/>
              <w:jc w:val="right"/>
            </w:pPr>
            <w:r>
              <w:rPr>
                <w:szCs w:val="22"/>
              </w:rPr>
              <w:t>$184.65</w:t>
            </w:r>
          </w:p>
        </w:tc>
      </w:tr>
      <w:tr>
        <w:tblPrEx>
          <w:tblCellMar>
            <w:left w:w="108" w:type="dxa"/>
            <w:right w:w="108" w:type="dxa"/>
          </w:tblCellMar>
        </w:tblPrEx>
        <w:tc>
          <w:tcPr>
            <w:tcW w:w="4820" w:type="dxa"/>
          </w:tcPr>
          <w:p>
            <w:pPr>
              <w:pStyle w:val="yTableNAm"/>
            </w:pPr>
            <w:r>
              <w:rPr>
                <w:szCs w:val="22"/>
              </w:rPr>
              <w:t>61465</w:t>
            </w:r>
          </w:p>
        </w:tc>
        <w:tc>
          <w:tcPr>
            <w:tcW w:w="1276" w:type="dxa"/>
            <w:vAlign w:val="bottom"/>
          </w:tcPr>
          <w:p>
            <w:pPr>
              <w:pStyle w:val="yTableNAm"/>
              <w:jc w:val="right"/>
            </w:pPr>
            <w:r>
              <w:rPr>
                <w:szCs w:val="22"/>
              </w:rPr>
              <w:t>$376.15</w:t>
            </w:r>
          </w:p>
        </w:tc>
      </w:tr>
      <w:tr>
        <w:tblPrEx>
          <w:tblCellMar>
            <w:left w:w="108" w:type="dxa"/>
            <w:right w:w="108" w:type="dxa"/>
          </w:tblCellMar>
        </w:tblPrEx>
        <w:tc>
          <w:tcPr>
            <w:tcW w:w="4820" w:type="dxa"/>
          </w:tcPr>
          <w:p>
            <w:pPr>
              <w:pStyle w:val="yTableNAm"/>
            </w:pPr>
            <w:r>
              <w:rPr>
                <w:szCs w:val="22"/>
              </w:rPr>
              <w:t>61469</w:t>
            </w:r>
          </w:p>
        </w:tc>
        <w:tc>
          <w:tcPr>
            <w:tcW w:w="1276" w:type="dxa"/>
            <w:vAlign w:val="bottom"/>
          </w:tcPr>
          <w:p>
            <w:pPr>
              <w:pStyle w:val="yTableNAm"/>
              <w:jc w:val="right"/>
            </w:pPr>
            <w:r>
              <w:rPr>
                <w:szCs w:val="22"/>
              </w:rPr>
              <w:t>$493.20</w:t>
            </w:r>
          </w:p>
        </w:tc>
      </w:tr>
      <w:tr>
        <w:tblPrEx>
          <w:tblCellMar>
            <w:left w:w="108" w:type="dxa"/>
            <w:right w:w="108" w:type="dxa"/>
          </w:tblCellMar>
        </w:tblPrEx>
        <w:tc>
          <w:tcPr>
            <w:tcW w:w="4820" w:type="dxa"/>
          </w:tcPr>
          <w:p>
            <w:pPr>
              <w:pStyle w:val="yTableNAm"/>
            </w:pPr>
            <w:r>
              <w:rPr>
                <w:szCs w:val="22"/>
              </w:rPr>
              <w:t>61473</w:t>
            </w:r>
          </w:p>
        </w:tc>
        <w:tc>
          <w:tcPr>
            <w:tcW w:w="1276" w:type="dxa"/>
            <w:vAlign w:val="bottom"/>
          </w:tcPr>
          <w:p>
            <w:pPr>
              <w:pStyle w:val="yTableNAm"/>
              <w:jc w:val="right"/>
            </w:pPr>
            <w:r>
              <w:rPr>
                <w:szCs w:val="22"/>
              </w:rPr>
              <w:t>$248.50</w:t>
            </w:r>
          </w:p>
        </w:tc>
      </w:tr>
      <w:tr>
        <w:tblPrEx>
          <w:tblCellMar>
            <w:left w:w="108" w:type="dxa"/>
            <w:right w:w="108" w:type="dxa"/>
          </w:tblCellMar>
        </w:tblPrEx>
        <w:tc>
          <w:tcPr>
            <w:tcW w:w="4820" w:type="dxa"/>
          </w:tcPr>
          <w:p>
            <w:pPr>
              <w:pStyle w:val="yTableNAm"/>
            </w:pPr>
            <w:r>
              <w:rPr>
                <w:szCs w:val="22"/>
              </w:rPr>
              <w:t>61480</w:t>
            </w:r>
          </w:p>
        </w:tc>
        <w:tc>
          <w:tcPr>
            <w:tcW w:w="1276" w:type="dxa"/>
            <w:vAlign w:val="bottom"/>
          </w:tcPr>
          <w:p>
            <w:pPr>
              <w:pStyle w:val="yTableNAm"/>
              <w:jc w:val="right"/>
            </w:pPr>
            <w:r>
              <w:rPr>
                <w:szCs w:val="22"/>
              </w:rPr>
              <w:t>$548.25</w:t>
            </w:r>
          </w:p>
        </w:tc>
      </w:tr>
      <w:tr>
        <w:tblPrEx>
          <w:tblCellMar>
            <w:left w:w="108" w:type="dxa"/>
            <w:right w:w="108" w:type="dxa"/>
          </w:tblCellMar>
        </w:tblPrEx>
        <w:tc>
          <w:tcPr>
            <w:tcW w:w="4820" w:type="dxa"/>
          </w:tcPr>
          <w:p>
            <w:pPr>
              <w:pStyle w:val="yTableNAm"/>
            </w:pPr>
            <w:r>
              <w:rPr>
                <w:szCs w:val="22"/>
              </w:rPr>
              <w:t>61484</w:t>
            </w:r>
          </w:p>
        </w:tc>
        <w:tc>
          <w:tcPr>
            <w:tcW w:w="1276" w:type="dxa"/>
            <w:vAlign w:val="bottom"/>
          </w:tcPr>
          <w:p>
            <w:pPr>
              <w:pStyle w:val="yTableNAm"/>
              <w:jc w:val="right"/>
            </w:pPr>
            <w:r>
              <w:rPr>
                <w:szCs w:val="22"/>
              </w:rPr>
              <w:t>$1 248.35</w:t>
            </w:r>
          </w:p>
        </w:tc>
      </w:tr>
      <w:tr>
        <w:tblPrEx>
          <w:tblCellMar>
            <w:left w:w="108" w:type="dxa"/>
            <w:right w:w="108" w:type="dxa"/>
          </w:tblCellMar>
        </w:tblPrEx>
        <w:tc>
          <w:tcPr>
            <w:tcW w:w="4820" w:type="dxa"/>
          </w:tcPr>
          <w:p>
            <w:pPr>
              <w:pStyle w:val="yTableNAm"/>
            </w:pPr>
            <w:r>
              <w:rPr>
                <w:szCs w:val="22"/>
              </w:rPr>
              <w:t>61485</w:t>
            </w:r>
          </w:p>
        </w:tc>
        <w:tc>
          <w:tcPr>
            <w:tcW w:w="1276" w:type="dxa"/>
            <w:vAlign w:val="bottom"/>
          </w:tcPr>
          <w:p>
            <w:pPr>
              <w:pStyle w:val="yTableNAm"/>
              <w:jc w:val="right"/>
            </w:pPr>
            <w:r>
              <w:rPr>
                <w:szCs w:val="22"/>
              </w:rPr>
              <w:t>$1 415.90</w:t>
            </w:r>
          </w:p>
        </w:tc>
      </w:tr>
      <w:tr>
        <w:tblPrEx>
          <w:tblCellMar>
            <w:left w:w="108" w:type="dxa"/>
            <w:right w:w="108" w:type="dxa"/>
          </w:tblCellMar>
        </w:tblPrEx>
        <w:tc>
          <w:tcPr>
            <w:tcW w:w="4820" w:type="dxa"/>
          </w:tcPr>
          <w:p>
            <w:pPr>
              <w:pStyle w:val="yTableNAm"/>
            </w:pPr>
            <w:r>
              <w:rPr>
                <w:szCs w:val="22"/>
              </w:rPr>
              <w:t>61495</w:t>
            </w:r>
          </w:p>
        </w:tc>
        <w:tc>
          <w:tcPr>
            <w:tcW w:w="1276" w:type="dxa"/>
            <w:vAlign w:val="bottom"/>
          </w:tcPr>
          <w:p>
            <w:pPr>
              <w:pStyle w:val="yTableNAm"/>
              <w:jc w:val="right"/>
            </w:pPr>
            <w:r>
              <w:rPr>
                <w:szCs w:val="22"/>
              </w:rPr>
              <w:t>$316.20</w:t>
            </w:r>
          </w:p>
        </w:tc>
      </w:tr>
      <w:tr>
        <w:tblPrEx>
          <w:tblCellMar>
            <w:left w:w="108" w:type="dxa"/>
            <w:right w:w="108" w:type="dxa"/>
          </w:tblCellMar>
        </w:tblPrEx>
        <w:tc>
          <w:tcPr>
            <w:tcW w:w="4820" w:type="dxa"/>
          </w:tcPr>
          <w:p>
            <w:pPr>
              <w:pStyle w:val="yTableNAm"/>
            </w:pPr>
            <w:r>
              <w:rPr>
                <w:szCs w:val="22"/>
              </w:rPr>
              <w:t>61499</w:t>
            </w:r>
          </w:p>
        </w:tc>
        <w:tc>
          <w:tcPr>
            <w:tcW w:w="1276" w:type="dxa"/>
            <w:vAlign w:val="bottom"/>
          </w:tcPr>
          <w:p>
            <w:pPr>
              <w:pStyle w:val="yTableNAm"/>
              <w:jc w:val="right"/>
            </w:pPr>
            <w:r>
              <w:rPr>
                <w:szCs w:val="22"/>
              </w:rPr>
              <w:t>$358.50</w:t>
            </w:r>
          </w:p>
        </w:tc>
      </w:tr>
      <w:tr>
        <w:tblPrEx>
          <w:tblCellMar>
            <w:left w:w="108" w:type="dxa"/>
            <w:right w:w="108" w:type="dxa"/>
          </w:tblCellMar>
        </w:tblPrEx>
        <w:tc>
          <w:tcPr>
            <w:tcW w:w="4820" w:type="dxa"/>
            <w:tcBorders>
              <w:bottom w:val="single" w:sz="4" w:space="0" w:color="auto"/>
            </w:tcBorders>
          </w:tcPr>
          <w:p>
            <w:pPr>
              <w:pStyle w:val="yTableNAm"/>
            </w:pPr>
            <w:r>
              <w:rPr>
                <w:szCs w:val="22"/>
              </w:rPr>
              <w:t>61650</w:t>
            </w:r>
          </w:p>
        </w:tc>
        <w:tc>
          <w:tcPr>
            <w:tcW w:w="1276" w:type="dxa"/>
            <w:tcBorders>
              <w:bottom w:val="single" w:sz="4" w:space="0" w:color="auto"/>
            </w:tcBorders>
            <w:vAlign w:val="bottom"/>
          </w:tcPr>
          <w:p>
            <w:pPr>
              <w:pStyle w:val="yTableNAm"/>
              <w:jc w:val="right"/>
            </w:pPr>
            <w:r>
              <w:rPr>
                <w:szCs w:val="22"/>
              </w:rPr>
              <w:t>$1 245.10</w:t>
            </w:r>
          </w:p>
        </w:tc>
      </w:tr>
    </w:tbl>
    <w:p>
      <w:pPr>
        <w:pStyle w:val="zyMiscellaneousHeading"/>
        <w:jc w:val="left"/>
      </w:pPr>
      <w:r>
        <w:t>MAGNETIC RESONANCE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rPr>
              <w:t>MBS item number</w:t>
            </w:r>
            <w:r>
              <w:rPr>
                <w:b/>
              </w:rPr>
              <w:br/>
            </w:r>
            <w:r>
              <w:t>(1 November 2009)</w:t>
            </w:r>
          </w:p>
        </w:tc>
        <w:tc>
          <w:tcPr>
            <w:tcW w:w="1276" w:type="dxa"/>
            <w:tcBorders>
              <w:top w:val="single" w:sz="4" w:space="0" w:color="auto"/>
              <w:bottom w:val="single" w:sz="4" w:space="0" w:color="auto"/>
            </w:tcBorders>
          </w:tcPr>
          <w:p>
            <w:pPr>
              <w:pStyle w:val="yTableNAm"/>
              <w:jc w:val="right"/>
            </w:pPr>
            <w:r>
              <w:rPr>
                <w:b/>
              </w:rPr>
              <w:t>Fee</w:t>
            </w:r>
          </w:p>
        </w:tc>
      </w:tr>
      <w:tr>
        <w:tblPrEx>
          <w:tblCellMar>
            <w:left w:w="108" w:type="dxa"/>
            <w:right w:w="108" w:type="dxa"/>
          </w:tblCellMar>
        </w:tblPrEx>
        <w:tc>
          <w:tcPr>
            <w:tcW w:w="4820" w:type="dxa"/>
            <w:tcBorders>
              <w:top w:val="single" w:sz="4" w:space="0" w:color="auto"/>
            </w:tcBorders>
          </w:tcPr>
          <w:p>
            <w:pPr>
              <w:pStyle w:val="yTableNAm"/>
            </w:pPr>
            <w:r>
              <w:t>63000</w:t>
            </w:r>
            <w:r>
              <w:noBreakHyphen/>
              <w:t>63200</w:t>
            </w:r>
          </w:p>
        </w:tc>
        <w:tc>
          <w:tcPr>
            <w:tcW w:w="1276" w:type="dxa"/>
            <w:tcBorders>
              <w:top w:val="single" w:sz="4" w:space="0" w:color="auto"/>
            </w:tcBorders>
            <w:vAlign w:val="bottom"/>
          </w:tcPr>
          <w:p>
            <w:pPr>
              <w:pStyle w:val="yTableNAm"/>
              <w:jc w:val="right"/>
            </w:pPr>
            <w:r>
              <w:rPr>
                <w:szCs w:val="22"/>
              </w:rPr>
              <w:t>$922.80</w:t>
            </w:r>
          </w:p>
        </w:tc>
      </w:tr>
      <w:tr>
        <w:tblPrEx>
          <w:tblCellMar>
            <w:left w:w="108" w:type="dxa"/>
            <w:right w:w="108" w:type="dxa"/>
          </w:tblCellMar>
        </w:tblPrEx>
        <w:tc>
          <w:tcPr>
            <w:tcW w:w="4820" w:type="dxa"/>
          </w:tcPr>
          <w:p>
            <w:pPr>
              <w:pStyle w:val="yTableNAm"/>
            </w:pPr>
            <w:r>
              <w:t>63201</w:t>
            </w:r>
          </w:p>
        </w:tc>
        <w:tc>
          <w:tcPr>
            <w:tcW w:w="1276" w:type="dxa"/>
            <w:vAlign w:val="bottom"/>
          </w:tcPr>
          <w:p>
            <w:pPr>
              <w:pStyle w:val="yTableNAm"/>
              <w:jc w:val="right"/>
            </w:pPr>
            <w:r>
              <w:rPr>
                <w:szCs w:val="22"/>
              </w:rPr>
              <w:t>$1 384.10</w:t>
            </w:r>
          </w:p>
        </w:tc>
      </w:tr>
      <w:tr>
        <w:tblPrEx>
          <w:tblCellMar>
            <w:left w:w="108" w:type="dxa"/>
            <w:right w:w="108" w:type="dxa"/>
          </w:tblCellMar>
        </w:tblPrEx>
        <w:tc>
          <w:tcPr>
            <w:tcW w:w="4820" w:type="dxa"/>
          </w:tcPr>
          <w:p>
            <w:pPr>
              <w:pStyle w:val="yTableNAm"/>
            </w:pPr>
            <w:r>
              <w:t>63202</w:t>
            </w:r>
            <w:r>
              <w:noBreakHyphen/>
              <w:t>63203</w:t>
            </w:r>
          </w:p>
        </w:tc>
        <w:tc>
          <w:tcPr>
            <w:tcW w:w="1276" w:type="dxa"/>
            <w:vAlign w:val="bottom"/>
          </w:tcPr>
          <w:p>
            <w:pPr>
              <w:pStyle w:val="yTableNAm"/>
              <w:jc w:val="right"/>
            </w:pPr>
            <w:r>
              <w:rPr>
                <w:szCs w:val="22"/>
              </w:rPr>
              <w:t>$922.80</w:t>
            </w:r>
          </w:p>
        </w:tc>
      </w:tr>
      <w:tr>
        <w:tblPrEx>
          <w:tblCellMar>
            <w:left w:w="108" w:type="dxa"/>
            <w:right w:w="108" w:type="dxa"/>
          </w:tblCellMar>
        </w:tblPrEx>
        <w:tc>
          <w:tcPr>
            <w:tcW w:w="4820" w:type="dxa"/>
          </w:tcPr>
          <w:p>
            <w:pPr>
              <w:pStyle w:val="yTableNAm"/>
            </w:pPr>
            <w:r>
              <w:t>63204</w:t>
            </w:r>
          </w:p>
        </w:tc>
        <w:tc>
          <w:tcPr>
            <w:tcW w:w="1276" w:type="dxa"/>
            <w:vAlign w:val="bottom"/>
          </w:tcPr>
          <w:p>
            <w:pPr>
              <w:pStyle w:val="yTableNAm"/>
              <w:jc w:val="right"/>
            </w:pPr>
            <w:r>
              <w:rPr>
                <w:szCs w:val="22"/>
              </w:rPr>
              <w:t>$1 384.10</w:t>
            </w:r>
          </w:p>
        </w:tc>
      </w:tr>
      <w:tr>
        <w:tblPrEx>
          <w:tblCellMar>
            <w:left w:w="108" w:type="dxa"/>
            <w:right w:w="108" w:type="dxa"/>
          </w:tblCellMar>
        </w:tblPrEx>
        <w:tc>
          <w:tcPr>
            <w:tcW w:w="4820" w:type="dxa"/>
          </w:tcPr>
          <w:p>
            <w:pPr>
              <w:pStyle w:val="yTableNAm"/>
            </w:pPr>
            <w:r>
              <w:t>63219</w:t>
            </w:r>
            <w:r>
              <w:noBreakHyphen/>
              <w:t>63243</w:t>
            </w:r>
          </w:p>
        </w:tc>
        <w:tc>
          <w:tcPr>
            <w:tcW w:w="1276" w:type="dxa"/>
            <w:vAlign w:val="bottom"/>
          </w:tcPr>
          <w:p>
            <w:pPr>
              <w:pStyle w:val="yTableNAm"/>
              <w:jc w:val="right"/>
            </w:pPr>
            <w:r>
              <w:rPr>
                <w:szCs w:val="22"/>
              </w:rPr>
              <w:t>$1 384.10</w:t>
            </w:r>
          </w:p>
        </w:tc>
      </w:tr>
      <w:tr>
        <w:tblPrEx>
          <w:tblCellMar>
            <w:left w:w="108" w:type="dxa"/>
            <w:right w:w="108" w:type="dxa"/>
          </w:tblCellMar>
        </w:tblPrEx>
        <w:tc>
          <w:tcPr>
            <w:tcW w:w="4820" w:type="dxa"/>
          </w:tcPr>
          <w:p>
            <w:pPr>
              <w:pStyle w:val="yTableNAm"/>
            </w:pPr>
            <w:r>
              <w:t>63271</w:t>
            </w:r>
            <w:r>
              <w:noBreakHyphen/>
              <w:t>63473</w:t>
            </w:r>
          </w:p>
        </w:tc>
        <w:tc>
          <w:tcPr>
            <w:tcW w:w="1276" w:type="dxa"/>
            <w:vAlign w:val="bottom"/>
          </w:tcPr>
          <w:p>
            <w:pPr>
              <w:pStyle w:val="yTableNAm"/>
              <w:jc w:val="right"/>
            </w:pPr>
            <w:r>
              <w:rPr>
                <w:szCs w:val="22"/>
              </w:rPr>
              <w:t>$922.80</w:t>
            </w:r>
          </w:p>
        </w:tc>
      </w:tr>
      <w:tr>
        <w:tblPrEx>
          <w:tblCellMar>
            <w:left w:w="108" w:type="dxa"/>
            <w:right w:w="108" w:type="dxa"/>
          </w:tblCellMar>
        </w:tblPrEx>
        <w:tc>
          <w:tcPr>
            <w:tcW w:w="4820" w:type="dxa"/>
          </w:tcPr>
          <w:p>
            <w:pPr>
              <w:pStyle w:val="yTableNAm"/>
            </w:pPr>
            <w:r>
              <w:t>63491</w:t>
            </w:r>
            <w:r>
              <w:noBreakHyphen/>
              <w:t>63494</w:t>
            </w:r>
          </w:p>
        </w:tc>
        <w:tc>
          <w:tcPr>
            <w:tcW w:w="1276" w:type="dxa"/>
            <w:vAlign w:val="bottom"/>
          </w:tcPr>
          <w:p>
            <w:pPr>
              <w:pStyle w:val="yTableNAm"/>
              <w:jc w:val="right"/>
            </w:pPr>
            <w:r>
              <w:rPr>
                <w:szCs w:val="22"/>
              </w:rPr>
              <w:t>$105.50</w:t>
            </w:r>
          </w:p>
        </w:tc>
      </w:tr>
      <w:tr>
        <w:tblPrEx>
          <w:tblCellMar>
            <w:left w:w="108" w:type="dxa"/>
            <w:right w:w="108" w:type="dxa"/>
          </w:tblCellMar>
        </w:tblPrEx>
        <w:tc>
          <w:tcPr>
            <w:tcW w:w="4820" w:type="dxa"/>
            <w:tcBorders>
              <w:bottom w:val="single" w:sz="4" w:space="0" w:color="auto"/>
            </w:tcBorders>
          </w:tcPr>
          <w:p>
            <w:pPr>
              <w:pStyle w:val="yTableNAm"/>
            </w:pPr>
            <w:r>
              <w:t>63497</w:t>
            </w:r>
          </w:p>
        </w:tc>
        <w:tc>
          <w:tcPr>
            <w:tcW w:w="1276" w:type="dxa"/>
            <w:tcBorders>
              <w:bottom w:val="single" w:sz="4" w:space="0" w:color="auto"/>
            </w:tcBorders>
            <w:vAlign w:val="bottom"/>
          </w:tcPr>
          <w:p>
            <w:pPr>
              <w:pStyle w:val="yTableNAm"/>
              <w:jc w:val="right"/>
            </w:pPr>
            <w:r>
              <w:rPr>
                <w:szCs w:val="22"/>
              </w:rPr>
              <w:t>$316.65</w:t>
            </w:r>
          </w:p>
        </w:tc>
      </w:tr>
    </w:tbl>
    <w:p>
      <w:pPr>
        <w:pStyle w:val="yFootnotesection"/>
      </w:pPr>
      <w:r>
        <w:tab/>
        <w:t>[Part 3 inserted in Gazette 25 Sep 2012 p. 4462-78.]</w:t>
      </w:r>
    </w:p>
    <w:p>
      <w:pPr>
        <w:pStyle w:val="yScheduleHeading"/>
      </w:pPr>
      <w:bookmarkStart w:id="50" w:name="_Toc339360094"/>
      <w:bookmarkStart w:id="51" w:name="_Toc339360498"/>
      <w:bookmarkStart w:id="52" w:name="_Toc306961500"/>
      <w:bookmarkStart w:id="53" w:name="_Toc306967192"/>
      <w:bookmarkStart w:id="54" w:name="_Toc306977072"/>
      <w:bookmarkStart w:id="55" w:name="_Toc336245211"/>
      <w:bookmarkEnd w:id="43"/>
      <w:bookmarkEnd w:id="44"/>
      <w:bookmarkEnd w:id="45"/>
      <w:bookmarkEnd w:id="46"/>
      <w:r>
        <w:rPr>
          <w:rStyle w:val="CharSchNo"/>
        </w:rPr>
        <w:t>Schedule 2</w:t>
      </w:r>
      <w:r>
        <w:t> — </w:t>
      </w:r>
      <w:r>
        <w:rPr>
          <w:rStyle w:val="CharSchText"/>
        </w:rPr>
        <w:t>Scale of fees: physiotherapists</w:t>
      </w:r>
      <w:bookmarkEnd w:id="50"/>
      <w:bookmarkEnd w:id="51"/>
    </w:p>
    <w:p>
      <w:pPr>
        <w:pStyle w:val="yShoulderClause"/>
      </w:pPr>
      <w:r>
        <w:t>[r. 3]</w:t>
      </w:r>
    </w:p>
    <w:p>
      <w:pPr>
        <w:pStyle w:val="yFootnoteheading"/>
        <w:spacing w:after="120"/>
      </w:pPr>
      <w:r>
        <w:tab/>
        <w:t>[Heading inserted in Gazette 25 Sep 2012 p. 4479.]</w:t>
      </w:r>
    </w:p>
    <w:p>
      <w:pPr>
        <w:pStyle w:val="yHeading3"/>
      </w:pPr>
      <w:bookmarkStart w:id="56" w:name="_Toc339360095"/>
      <w:bookmarkStart w:id="57" w:name="_Toc339360499"/>
      <w:r>
        <w:rPr>
          <w:rStyle w:val="CharSDivNo"/>
        </w:rPr>
        <w:t>Part 1</w:t>
      </w:r>
      <w:r>
        <w:t> — </w:t>
      </w:r>
      <w:r>
        <w:rPr>
          <w:rStyle w:val="CharSDivText"/>
        </w:rPr>
        <w:t>General</w:t>
      </w:r>
      <w:bookmarkEnd w:id="56"/>
      <w:bookmarkEnd w:id="57"/>
    </w:p>
    <w:p>
      <w:pPr>
        <w:pStyle w:val="yFootnoteheading"/>
        <w:spacing w:after="120"/>
      </w:pPr>
      <w:r>
        <w:tab/>
        <w:t>[Heading inserted in Gazette 25 Sep 2012 p. 4479.]</w:t>
      </w:r>
    </w:p>
    <w:tbl>
      <w:tblPr>
        <w:tblW w:w="7088" w:type="dxa"/>
        <w:tblInd w:w="108" w:type="dxa"/>
        <w:tblLayout w:type="fixed"/>
        <w:tblLook w:val="0000" w:firstRow="0" w:lastRow="0" w:firstColumn="0" w:lastColumn="0" w:noHBand="0" w:noVBand="0"/>
      </w:tblPr>
      <w:tblGrid>
        <w:gridCol w:w="967"/>
        <w:gridCol w:w="4703"/>
        <w:gridCol w:w="1418"/>
      </w:tblGrid>
      <w:tr>
        <w:trPr>
          <w:cantSplit/>
          <w:tblHeader/>
        </w:trPr>
        <w:tc>
          <w:tcPr>
            <w:tcW w:w="967" w:type="dxa"/>
            <w:tcBorders>
              <w:top w:val="single" w:sz="4" w:space="0" w:color="auto"/>
              <w:bottom w:val="single" w:sz="4" w:space="0" w:color="auto"/>
            </w:tcBorders>
          </w:tcPr>
          <w:p>
            <w:pPr>
              <w:pStyle w:val="yTableNAm"/>
            </w:pPr>
            <w:r>
              <w:rPr>
                <w:b/>
              </w:rPr>
              <w:t>Service Code</w:t>
            </w:r>
          </w:p>
        </w:tc>
        <w:tc>
          <w:tcPr>
            <w:tcW w:w="4703" w:type="dxa"/>
            <w:tcBorders>
              <w:top w:val="single" w:sz="4" w:space="0" w:color="auto"/>
              <w:bottom w:val="single" w:sz="4" w:space="0" w:color="auto"/>
            </w:tcBorders>
          </w:tcPr>
          <w:p>
            <w:pPr>
              <w:pStyle w:val="yTableNAm"/>
            </w:pPr>
            <w:r>
              <w:rPr>
                <w:b/>
              </w:rPr>
              <w:t>Service</w:t>
            </w:r>
          </w:p>
        </w:tc>
        <w:tc>
          <w:tcPr>
            <w:tcW w:w="1418" w:type="dxa"/>
            <w:tcBorders>
              <w:top w:val="single" w:sz="4" w:space="0" w:color="auto"/>
              <w:bottom w:val="single" w:sz="4" w:space="0" w:color="auto"/>
            </w:tcBorders>
          </w:tcPr>
          <w:p>
            <w:pPr>
              <w:pStyle w:val="yTableNAm"/>
            </w:pPr>
          </w:p>
        </w:tc>
      </w:tr>
      <w:tr>
        <w:trPr>
          <w:cantSplit/>
        </w:trPr>
        <w:tc>
          <w:tcPr>
            <w:tcW w:w="967" w:type="dxa"/>
            <w:tcBorders>
              <w:top w:val="single" w:sz="4" w:space="0" w:color="auto"/>
            </w:tcBorders>
          </w:tcPr>
          <w:p>
            <w:pPr>
              <w:pStyle w:val="yTableNAm"/>
            </w:pPr>
            <w:r>
              <w:t>PA001</w:t>
            </w:r>
          </w:p>
        </w:tc>
        <w:tc>
          <w:tcPr>
            <w:tcW w:w="4703" w:type="dxa"/>
            <w:tcBorders>
              <w:top w:val="single" w:sz="4" w:space="0" w:color="auto"/>
            </w:tcBorders>
          </w:tcPr>
          <w:p>
            <w:pPr>
              <w:pStyle w:val="yTableNAm"/>
            </w:pPr>
            <w:r>
              <w:rPr>
                <w:b/>
              </w:rPr>
              <w:t>Initial Consultation</w:t>
            </w:r>
          </w:p>
          <w:p>
            <w:pPr>
              <w:pStyle w:val="yTableNAm"/>
            </w:pPr>
            <w:r>
              <w:t xml:space="preserve">A consultation with the physiotherapist including the following elements — </w:t>
            </w:r>
          </w:p>
        </w:tc>
        <w:tc>
          <w:tcPr>
            <w:tcW w:w="1418" w:type="dxa"/>
            <w:tcBorders>
              <w:top w:val="single" w:sz="4" w:space="0" w:color="auto"/>
            </w:tcBorders>
          </w:tcPr>
          <w:p>
            <w:pPr>
              <w:pStyle w:val="yTableNAm"/>
            </w:pPr>
            <w:r>
              <w:rPr>
                <w:b/>
              </w:rPr>
              <w:t>Set Fee</w:t>
            </w:r>
          </w:p>
          <w:p>
            <w:pPr>
              <w:pStyle w:val="yTableNAm"/>
            </w:pPr>
            <w:r>
              <w:rPr>
                <w:szCs w:val="22"/>
              </w:rPr>
              <w:t>$75.40</w:t>
            </w:r>
          </w:p>
        </w:tc>
      </w:tr>
      <w:tr>
        <w:trPr>
          <w:cantSplit/>
        </w:trPr>
        <w:tc>
          <w:tcPr>
            <w:tcW w:w="967" w:type="dxa"/>
          </w:tcPr>
          <w:p>
            <w:pPr>
              <w:pStyle w:val="zyTableNAm"/>
            </w:pPr>
          </w:p>
        </w:tc>
        <w:tc>
          <w:tcPr>
            <w:tcW w:w="4703" w:type="dxa"/>
          </w:tcPr>
          <w:p>
            <w:pPr>
              <w:pStyle w:val="yTableNAm"/>
            </w:pPr>
            <w:r>
              <w:rPr>
                <w:b/>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418" w:type="dxa"/>
          </w:tcPr>
          <w:p>
            <w:pPr>
              <w:pStyle w:val="yTableNAm"/>
            </w:pPr>
          </w:p>
        </w:tc>
      </w:tr>
      <w:tr>
        <w:trPr>
          <w:cantSplit/>
        </w:trPr>
        <w:tc>
          <w:tcPr>
            <w:tcW w:w="967" w:type="dxa"/>
          </w:tcPr>
          <w:p>
            <w:pPr>
              <w:pStyle w:val="zyTableNAm"/>
            </w:pPr>
          </w:p>
        </w:tc>
        <w:tc>
          <w:tcPr>
            <w:tcW w:w="4703" w:type="dxa"/>
          </w:tcPr>
          <w:p>
            <w:pPr>
              <w:pStyle w:val="yTableNAm"/>
            </w:pPr>
            <w:r>
              <w:rPr>
                <w:b/>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418" w:type="dxa"/>
          </w:tcPr>
          <w:p>
            <w:pPr>
              <w:pStyle w:val="yTableNAm"/>
            </w:pPr>
          </w:p>
        </w:tc>
      </w:tr>
      <w:tr>
        <w:trPr>
          <w:cantSplit/>
        </w:trPr>
        <w:tc>
          <w:tcPr>
            <w:tcW w:w="967" w:type="dxa"/>
          </w:tcPr>
          <w:p>
            <w:pPr>
              <w:pStyle w:val="zyTableNAm"/>
            </w:pPr>
          </w:p>
        </w:tc>
        <w:tc>
          <w:tcPr>
            <w:tcW w:w="4703" w:type="dxa"/>
          </w:tcPr>
          <w:p>
            <w:pPr>
              <w:pStyle w:val="yTableNAm"/>
            </w:pPr>
            <w:r>
              <w:rPr>
                <w:b/>
              </w:rPr>
              <w:t>Appropriate initial management, treatment or advice</w:t>
            </w:r>
            <w:r>
              <w:t> — based on assessment findings that could include the following as required:</w:t>
            </w:r>
          </w:p>
          <w:p>
            <w:pPr>
              <w:pStyle w:val="yTableNAm"/>
            </w:pPr>
            <w:r>
              <w:t>Provisional diagnosis; goals of treatment; treatment plan. Discussion with the patient regarding working hypothesis and treatment goals and expected outcomes; initial treatment and response; advice regarding home care including any exercise programs to be followed.</w:t>
            </w:r>
          </w:p>
        </w:tc>
        <w:tc>
          <w:tcPr>
            <w:tcW w:w="1418" w:type="dxa"/>
          </w:tcPr>
          <w:p>
            <w:pPr>
              <w:pStyle w:val="yTableNAm"/>
            </w:pPr>
          </w:p>
        </w:tc>
      </w:tr>
      <w:tr>
        <w:trPr>
          <w:cantSplit/>
        </w:trPr>
        <w:tc>
          <w:tcPr>
            <w:tcW w:w="967" w:type="dxa"/>
          </w:tcPr>
          <w:p>
            <w:pPr>
              <w:pStyle w:val="zyTableNAm"/>
            </w:pPr>
          </w:p>
        </w:tc>
        <w:tc>
          <w:tcPr>
            <w:tcW w:w="4703" w:type="dxa"/>
          </w:tcPr>
          <w:p>
            <w:pPr>
              <w:pStyle w:val="yTableNAm"/>
            </w:pPr>
            <w:r>
              <w:rPr>
                <w:b/>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418" w:type="dxa"/>
          </w:tcPr>
          <w:p>
            <w:pPr>
              <w:pStyle w:val="yTableNAm"/>
            </w:pPr>
          </w:p>
        </w:tc>
      </w:tr>
      <w:tr>
        <w:trPr>
          <w:cantSplit/>
        </w:trPr>
        <w:tc>
          <w:tcPr>
            <w:tcW w:w="967" w:type="dxa"/>
          </w:tcPr>
          <w:p>
            <w:pPr>
              <w:pStyle w:val="zyTableNAm"/>
            </w:pPr>
          </w:p>
        </w:tc>
        <w:tc>
          <w:tcPr>
            <w:tcW w:w="4703" w:type="dxa"/>
          </w:tcPr>
          <w:p>
            <w:pPr>
              <w:pStyle w:val="yTableNAm"/>
            </w:pPr>
            <w:r>
              <w:rPr>
                <w:b/>
                <w:szCs w:val="22"/>
              </w:rPr>
              <w:t>Includes:</w:t>
            </w:r>
          </w:p>
          <w:p>
            <w:pPr>
              <w:pStyle w:val="yTableNAm"/>
              <w:ind w:left="563" w:hanging="563"/>
            </w:pPr>
            <w:r>
              <w:sym w:font="Wingdings" w:char="F09F"/>
            </w:r>
            <w:r>
              <w:tab/>
              <w:t>Individual services provided in rooms, home or hospital; hydrotherapy treatment; extended treatments; and services provided outside of normal business hours.</w:t>
            </w:r>
          </w:p>
        </w:tc>
        <w:tc>
          <w:tcPr>
            <w:tcW w:w="1418" w:type="dxa"/>
          </w:tcPr>
          <w:p>
            <w:pPr>
              <w:pStyle w:val="yTableNAm"/>
            </w:pPr>
          </w:p>
        </w:tc>
      </w:tr>
      <w:tr>
        <w:trPr>
          <w:cantSplit/>
        </w:trPr>
        <w:tc>
          <w:tcPr>
            <w:tcW w:w="967" w:type="dxa"/>
          </w:tcPr>
          <w:p>
            <w:pPr>
              <w:pStyle w:val="zyTableNAm"/>
            </w:pPr>
          </w:p>
        </w:tc>
        <w:tc>
          <w:tcPr>
            <w:tcW w:w="4703" w:type="dxa"/>
          </w:tcPr>
          <w:p>
            <w:pPr>
              <w:pStyle w:val="yTableNAm"/>
              <w:ind w:left="563" w:hanging="563"/>
            </w:pPr>
            <w:r>
              <w:rPr>
                <w:szCs w:val="22"/>
              </w:rPr>
              <w:sym w:font="Wingdings" w:char="F09F"/>
            </w:r>
            <w:r>
              <w:rPr>
                <w:szCs w:val="22"/>
              </w:rPr>
              <w:tab/>
              <w:t>Courtesy communication by the physiotherapist with the medical practitioner such as acknowledgment of referral.</w:t>
            </w:r>
          </w:p>
        </w:tc>
        <w:tc>
          <w:tcPr>
            <w:tcW w:w="1418" w:type="dxa"/>
          </w:tcPr>
          <w:p>
            <w:pPr>
              <w:pStyle w:val="yTableNAm"/>
            </w:pPr>
          </w:p>
        </w:tc>
      </w:tr>
      <w:tr>
        <w:trPr>
          <w:cantSplit/>
        </w:trPr>
        <w:tc>
          <w:tcPr>
            <w:tcW w:w="967" w:type="dxa"/>
          </w:tcPr>
          <w:p>
            <w:pPr>
              <w:pStyle w:val="zyTableNAm"/>
            </w:pPr>
          </w:p>
        </w:tc>
        <w:tc>
          <w:tcPr>
            <w:tcW w:w="4703" w:type="dxa"/>
          </w:tcPr>
          <w:p>
            <w:pPr>
              <w:pStyle w:val="yTableNAm"/>
              <w:ind w:left="563" w:hanging="563"/>
            </w:pPr>
            <w:r>
              <w:rPr>
                <w:szCs w:val="22"/>
              </w:rPr>
              <w:sym w:font="Wingdings" w:char="F09F"/>
            </w:r>
            <w:r>
              <w:rPr>
                <w:szCs w:val="22"/>
              </w:rPr>
              <w:tab/>
              <w:t>The physiotherapist’s notes of the consultation.</w:t>
            </w:r>
          </w:p>
        </w:tc>
        <w:tc>
          <w:tcPr>
            <w:tcW w:w="1418" w:type="dxa"/>
          </w:tcPr>
          <w:p>
            <w:pPr>
              <w:pStyle w:val="yTableNAm"/>
            </w:pPr>
          </w:p>
        </w:tc>
      </w:tr>
      <w:tr>
        <w:trPr>
          <w:cantSplit/>
        </w:trPr>
        <w:tc>
          <w:tcPr>
            <w:tcW w:w="967" w:type="dxa"/>
          </w:tcPr>
          <w:p>
            <w:pPr>
              <w:pStyle w:val="zyTableNAm"/>
            </w:pPr>
          </w:p>
        </w:tc>
        <w:tc>
          <w:tcPr>
            <w:tcW w:w="4703" w:type="dxa"/>
          </w:tcPr>
          <w:p>
            <w:pPr>
              <w:pStyle w:val="yTableNAm"/>
            </w:pPr>
            <w:r>
              <w:rPr>
                <w:b/>
                <w:szCs w:val="22"/>
              </w:rPr>
              <w:t>Does not include:</w:t>
            </w:r>
          </w:p>
          <w:p>
            <w:pPr>
              <w:pStyle w:val="yTableNAm"/>
              <w:ind w:left="563" w:hanging="563"/>
            </w:pPr>
            <w:r>
              <w:sym w:font="Wingdings" w:char="F09F"/>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Pr>
          <w:p>
            <w:pPr>
              <w:pStyle w:val="yTableNAm"/>
            </w:pPr>
          </w:p>
        </w:tc>
      </w:tr>
      <w:tr>
        <w:trPr>
          <w:cantSplit/>
        </w:trPr>
        <w:tc>
          <w:tcPr>
            <w:tcW w:w="967" w:type="dxa"/>
            <w:tcBorders>
              <w:bottom w:val="single" w:sz="4" w:space="0" w:color="auto"/>
            </w:tcBorders>
          </w:tcPr>
          <w:p>
            <w:pPr>
              <w:pStyle w:val="zyTableNAm"/>
            </w:pPr>
          </w:p>
        </w:tc>
        <w:tc>
          <w:tcPr>
            <w:tcW w:w="4703" w:type="dxa"/>
            <w:tcBorders>
              <w:bottom w:val="single" w:sz="4" w:space="0" w:color="auto"/>
            </w:tcBorders>
          </w:tcPr>
          <w:p>
            <w:pPr>
              <w:pStyle w:val="yTableNAm"/>
              <w:ind w:left="563" w:hanging="563"/>
            </w:pPr>
            <w:r>
              <w:rPr>
                <w:szCs w:val="22"/>
              </w:rPr>
              <w:sym w:font="Wingdings" w:char="F09F"/>
            </w:r>
            <w:r>
              <w:rPr>
                <w:szCs w:val="22"/>
              </w:rPr>
              <w:tab/>
              <w:t>The physiotherapist’s involvement in case conferences.  This service has a specific item number in this Table (PQ001).</w:t>
            </w:r>
          </w:p>
        </w:tc>
        <w:tc>
          <w:tcPr>
            <w:tcW w:w="1418" w:type="dxa"/>
            <w:tcBorders>
              <w:bottom w:val="single" w:sz="4" w:space="0" w:color="auto"/>
            </w:tcBorders>
          </w:tcPr>
          <w:p>
            <w:pPr>
              <w:pStyle w:val="yTableNAm"/>
            </w:pPr>
          </w:p>
        </w:tc>
      </w:tr>
      <w:tr>
        <w:trPr>
          <w:cantSplit/>
        </w:trPr>
        <w:tc>
          <w:tcPr>
            <w:tcW w:w="967" w:type="dxa"/>
            <w:tcBorders>
              <w:top w:val="single" w:sz="4" w:space="0" w:color="auto"/>
            </w:tcBorders>
          </w:tcPr>
          <w:p>
            <w:pPr>
              <w:pStyle w:val="yTableNAm"/>
            </w:pPr>
            <w:r>
              <w:t>PB001</w:t>
            </w:r>
          </w:p>
        </w:tc>
        <w:tc>
          <w:tcPr>
            <w:tcW w:w="4703" w:type="dxa"/>
            <w:tcBorders>
              <w:top w:val="single" w:sz="4" w:space="0" w:color="auto"/>
            </w:tcBorders>
          </w:tcPr>
          <w:p>
            <w:pPr>
              <w:pStyle w:val="yTableNAm"/>
            </w:pPr>
            <w:r>
              <w:rPr>
                <w:b/>
              </w:rPr>
              <w:t>Standard Consultation</w:t>
            </w:r>
          </w:p>
          <w:p>
            <w:pPr>
              <w:pStyle w:val="yTableNAm"/>
              <w:rPr>
                <w:szCs w:val="22"/>
              </w:rPr>
            </w:pPr>
            <w:r>
              <w:t xml:space="preserve">Consultation for one body area or condition including the following elements — </w:t>
            </w:r>
          </w:p>
        </w:tc>
        <w:tc>
          <w:tcPr>
            <w:tcW w:w="1418" w:type="dxa"/>
            <w:tcBorders>
              <w:top w:val="single" w:sz="4" w:space="0" w:color="auto"/>
            </w:tcBorders>
          </w:tcPr>
          <w:p>
            <w:pPr>
              <w:pStyle w:val="yTableNAm"/>
            </w:pPr>
            <w:r>
              <w:rPr>
                <w:b/>
              </w:rPr>
              <w:t>Set Fee</w:t>
            </w:r>
          </w:p>
          <w:p>
            <w:pPr>
              <w:pStyle w:val="yTableNAm"/>
            </w:pPr>
            <w:r>
              <w:rPr>
                <w:szCs w:val="22"/>
              </w:rPr>
              <w:t>$60.55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ind w:left="563" w:hanging="563"/>
            </w:pPr>
            <w:r>
              <w:rPr>
                <w:szCs w:val="22"/>
              </w:rPr>
              <w:sym w:font="Wingdings" w:char="F09F"/>
            </w:r>
            <w:r>
              <w:rPr>
                <w:szCs w:val="22"/>
              </w:rPr>
              <w:tab/>
              <w:t>subjective re</w:t>
            </w:r>
            <w:r>
              <w:rPr>
                <w:szCs w:val="22"/>
              </w:rPr>
              <w:noBreakHyphen/>
              <w:t>assessment;</w:t>
            </w:r>
          </w:p>
          <w:p>
            <w:pPr>
              <w:pStyle w:val="yTableNAm"/>
              <w:ind w:left="563" w:hanging="563"/>
            </w:pPr>
            <w:r>
              <w:rPr>
                <w:szCs w:val="22"/>
              </w:rPr>
              <w:sym w:font="Wingdings" w:char="F09F"/>
            </w:r>
            <w:r>
              <w:rPr>
                <w:szCs w:val="22"/>
              </w:rPr>
              <w:tab/>
              <w:t>objective re</w:t>
            </w:r>
            <w:r>
              <w:rPr>
                <w:szCs w:val="22"/>
              </w:rPr>
              <w:noBreakHyphen/>
              <w:t>assessment;</w:t>
            </w:r>
          </w:p>
          <w:p>
            <w:pPr>
              <w:pStyle w:val="yTableNAm"/>
              <w:ind w:left="563" w:hanging="563"/>
            </w:pPr>
            <w:r>
              <w:rPr>
                <w:szCs w:val="22"/>
              </w:rPr>
              <w:sym w:font="Wingdings" w:char="F09F"/>
            </w:r>
            <w:r>
              <w:rPr>
                <w:szCs w:val="22"/>
              </w:rPr>
              <w:tab/>
              <w:t>appropriate management, intervention or advice;</w:t>
            </w:r>
          </w:p>
          <w:p>
            <w:pPr>
              <w:pStyle w:val="yTableNAm"/>
              <w:ind w:left="563" w:hanging="563"/>
            </w:pPr>
            <w:r>
              <w:rPr>
                <w:szCs w:val="22"/>
              </w:rPr>
              <w:sym w:font="Wingdings" w:char="F09F"/>
            </w:r>
            <w:r>
              <w:rPr>
                <w:szCs w:val="22"/>
              </w:rPr>
              <w:tab/>
              <w:t>documentation of consultation.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pPr>
            <w:r>
              <w:rPr>
                <w:b/>
                <w:szCs w:val="22"/>
              </w:rPr>
              <w:t>Includes:</w:t>
            </w:r>
          </w:p>
          <w:p>
            <w:pPr>
              <w:pStyle w:val="yTableNAm"/>
              <w:ind w:left="563" w:hanging="563"/>
            </w:pPr>
            <w:r>
              <w:sym w:font="Wingdings" w:char="F09F"/>
            </w:r>
            <w:r>
              <w:tab/>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ind w:left="563" w:hanging="563"/>
            </w:pPr>
            <w:r>
              <w:rPr>
                <w:szCs w:val="22"/>
              </w:rPr>
              <w:sym w:font="Wingdings" w:char="F09F"/>
            </w:r>
            <w:r>
              <w:rPr>
                <w:szCs w:val="22"/>
              </w:rPr>
              <w:tab/>
              <w:t>Courtesy communication by the physiotherapist such as brief oral or written communication with the medical practitioner.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pPr>
            <w:r>
              <w:rPr>
                <w:b/>
                <w:szCs w:val="22"/>
              </w:rPr>
              <w:t>Does not include:</w:t>
            </w:r>
          </w:p>
          <w:p>
            <w:pPr>
              <w:pStyle w:val="yTableNAm"/>
              <w:ind w:left="563" w:hanging="563"/>
            </w:pPr>
            <w:r>
              <w:sym w:font="Wingdings" w:char="F09F"/>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zyTableNAm"/>
            </w:pPr>
          </w:p>
        </w:tc>
        <w:tc>
          <w:tcPr>
            <w:tcW w:w="4703" w:type="dxa"/>
            <w:tcBorders>
              <w:top w:val="nil"/>
              <w:left w:val="nil"/>
              <w:right w:val="nil"/>
            </w:tcBorders>
          </w:tcPr>
          <w:p>
            <w:pPr>
              <w:pStyle w:val="yTableNAm"/>
              <w:ind w:left="563" w:hanging="563"/>
            </w:pPr>
            <w:r>
              <w:rPr>
                <w:szCs w:val="22"/>
              </w:rPr>
              <w:sym w:font="Wingdings" w:char="F09F"/>
            </w:r>
            <w:r>
              <w:rPr>
                <w:szCs w:val="22"/>
              </w:rPr>
              <w:tab/>
              <w:t xml:space="preserve">The physiotherapist’s involvement in case </w:t>
            </w:r>
            <w:r>
              <w:t>conferences</w:t>
            </w:r>
            <w:r>
              <w:rPr>
                <w:szCs w:val="22"/>
              </w:rPr>
              <w:t>.  This service has a specific item number in this Table (PQ001).</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PC001</w:t>
            </w:r>
          </w:p>
        </w:tc>
        <w:tc>
          <w:tcPr>
            <w:tcW w:w="4703" w:type="dxa"/>
            <w:tcBorders>
              <w:left w:val="nil"/>
              <w:bottom w:val="single" w:sz="4" w:space="0" w:color="auto"/>
              <w:right w:val="nil"/>
            </w:tcBorders>
          </w:tcPr>
          <w:p>
            <w:pPr>
              <w:pStyle w:val="yTableNAm"/>
            </w:pPr>
            <w:r>
              <w:rPr>
                <w:b/>
              </w:rPr>
              <w:t>Two distinct areas of treatment per visit</w:t>
            </w:r>
          </w:p>
          <w:p>
            <w:pPr>
              <w:pStyle w:val="yTableNAm"/>
            </w:pPr>
            <w:r>
              <w:t>Same description as PB001 except relates to the treatment/management of 2 distinct areas/conditions.</w:t>
            </w:r>
          </w:p>
        </w:tc>
        <w:tc>
          <w:tcPr>
            <w:tcW w:w="1418" w:type="dxa"/>
            <w:tcBorders>
              <w:left w:val="nil"/>
              <w:bottom w:val="single" w:sz="4" w:space="0" w:color="auto"/>
              <w:right w:val="nil"/>
            </w:tcBorders>
          </w:tcPr>
          <w:p>
            <w:pPr>
              <w:pStyle w:val="yTableNAm"/>
            </w:pPr>
            <w:r>
              <w:rPr>
                <w:b/>
              </w:rPr>
              <w:t>Set Fee</w:t>
            </w:r>
          </w:p>
          <w:p>
            <w:pPr>
              <w:pStyle w:val="yTableNAm"/>
            </w:pPr>
            <w:r>
              <w:rPr>
                <w:szCs w:val="22"/>
              </w:rPr>
              <w:t>$76.60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PG001</w:t>
            </w:r>
          </w:p>
        </w:tc>
        <w:tc>
          <w:tcPr>
            <w:tcW w:w="4703" w:type="dxa"/>
            <w:tcBorders>
              <w:left w:val="nil"/>
              <w:bottom w:val="nil"/>
              <w:right w:val="nil"/>
            </w:tcBorders>
          </w:tcPr>
          <w:p>
            <w:pPr>
              <w:pStyle w:val="yTableNAm"/>
            </w:pPr>
            <w:r>
              <w:rPr>
                <w:b/>
              </w:rPr>
              <w:t>Group Consultation — per person</w:t>
            </w:r>
            <w:r>
              <w:rPr>
                <w:b/>
              </w:rPr>
              <w:br/>
            </w:r>
          </w:p>
          <w:p>
            <w:pPr>
              <w:pStyle w:val="yTableNAm"/>
            </w:pPr>
            <w:r>
              <w:t>Includes non</w:t>
            </w:r>
            <w:r>
              <w:noBreakHyphen/>
              <w:t>individualised services provided to more than one individual whether —</w:t>
            </w:r>
          </w:p>
        </w:tc>
        <w:tc>
          <w:tcPr>
            <w:tcW w:w="1418" w:type="dxa"/>
            <w:tcBorders>
              <w:left w:val="nil"/>
              <w:bottom w:val="nil"/>
              <w:right w:val="nil"/>
            </w:tcBorders>
          </w:tcPr>
          <w:p>
            <w:pPr>
              <w:pStyle w:val="yTableNAm"/>
            </w:pPr>
            <w:r>
              <w:rPr>
                <w:b/>
              </w:rPr>
              <w:t>Cost per participant</w:t>
            </w:r>
          </w:p>
          <w:p>
            <w:pPr>
              <w:pStyle w:val="yTableNAm"/>
            </w:pPr>
            <w:r>
              <w:rPr>
                <w:szCs w:val="22"/>
              </w:rPr>
              <w:t>$18.60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zyTableNAm"/>
            </w:pPr>
          </w:p>
        </w:tc>
        <w:tc>
          <w:tcPr>
            <w:tcW w:w="4703" w:type="dxa"/>
            <w:tcBorders>
              <w:top w:val="nil"/>
              <w:left w:val="nil"/>
              <w:right w:val="nil"/>
            </w:tcBorders>
          </w:tcPr>
          <w:p>
            <w:pPr>
              <w:pStyle w:val="yTableNAm"/>
              <w:ind w:left="563" w:hanging="563"/>
            </w:pPr>
            <w:r>
              <w:rPr>
                <w:szCs w:val="22"/>
              </w:rPr>
              <w:sym w:font="Wingdings" w:char="F09F"/>
            </w:r>
            <w:r>
              <w:rPr>
                <w:szCs w:val="22"/>
              </w:rPr>
              <w:tab/>
            </w:r>
            <w:r>
              <w:t>in</w:t>
            </w:r>
            <w:r>
              <w:rPr>
                <w:szCs w:val="22"/>
              </w:rPr>
              <w:t xml:space="preserve"> rooms, home or hospital;</w:t>
            </w:r>
          </w:p>
          <w:p>
            <w:pPr>
              <w:pStyle w:val="yTableNAm"/>
              <w:ind w:left="563" w:hanging="563"/>
            </w:pPr>
            <w:r>
              <w:rPr>
                <w:szCs w:val="22"/>
              </w:rPr>
              <w:sym w:font="Wingdings" w:char="F09F"/>
            </w:r>
            <w:r>
              <w:rPr>
                <w:szCs w:val="22"/>
              </w:rPr>
              <w:tab/>
            </w:r>
            <w:r>
              <w:t>hydrotherapy</w:t>
            </w:r>
            <w:r>
              <w:rPr>
                <w:szCs w:val="22"/>
              </w:rPr>
              <w:t xml:space="preserve"> treatment;</w:t>
            </w:r>
          </w:p>
          <w:p>
            <w:pPr>
              <w:pStyle w:val="yTableNAm"/>
              <w:ind w:left="563" w:hanging="563"/>
            </w:pPr>
            <w:r>
              <w:rPr>
                <w:szCs w:val="22"/>
              </w:rPr>
              <w:sym w:font="Wingdings" w:char="F09F"/>
            </w:r>
            <w:r>
              <w:rPr>
                <w:szCs w:val="22"/>
              </w:rPr>
              <w:tab/>
            </w:r>
            <w:r>
              <w:t>extended</w:t>
            </w:r>
            <w:r>
              <w:rPr>
                <w:szCs w:val="22"/>
              </w:rPr>
              <w:t xml:space="preserve"> treatments;</w:t>
            </w:r>
          </w:p>
          <w:p>
            <w:pPr>
              <w:pStyle w:val="yTableNAm"/>
              <w:ind w:left="563" w:hanging="563"/>
            </w:pPr>
            <w:r>
              <w:rPr>
                <w:szCs w:val="22"/>
              </w:rPr>
              <w:sym w:font="Wingdings" w:char="F09F"/>
            </w:r>
            <w:r>
              <w:rPr>
                <w:szCs w:val="22"/>
              </w:rPr>
              <w:tab/>
              <w:t>services provided outside of normal business hours.</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PE001</w:t>
            </w:r>
          </w:p>
        </w:tc>
        <w:tc>
          <w:tcPr>
            <w:tcW w:w="4703" w:type="dxa"/>
            <w:tcBorders>
              <w:left w:val="nil"/>
              <w:bottom w:val="single" w:sz="4" w:space="0" w:color="auto"/>
              <w:right w:val="nil"/>
            </w:tcBorders>
          </w:tcPr>
          <w:p>
            <w:pPr>
              <w:pStyle w:val="yTableNAm"/>
            </w:pPr>
            <w:r>
              <w:rPr>
                <w:b/>
              </w:rPr>
              <w:t>Worksite Visit</w:t>
            </w:r>
            <w:r>
              <w:t> — prior approval from insurer required.</w:t>
            </w:r>
          </w:p>
          <w:p>
            <w:pPr>
              <w:pStyle w:val="yTableNAm"/>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pPr>
            <w:r>
              <w:t>Does not include reports or travel.</w:t>
            </w:r>
          </w:p>
        </w:tc>
        <w:tc>
          <w:tcPr>
            <w:tcW w:w="1418" w:type="dxa"/>
            <w:tcBorders>
              <w:left w:val="nil"/>
              <w:bottom w:val="single" w:sz="4" w:space="0" w:color="auto"/>
              <w:right w:val="nil"/>
            </w:tcBorders>
          </w:tcPr>
          <w:p>
            <w:pPr>
              <w:pStyle w:val="yTableNAm"/>
            </w:pPr>
            <w:r>
              <w:rPr>
                <w:b/>
              </w:rPr>
              <w:t>Hourly rate</w:t>
            </w:r>
            <w:r>
              <w:t>**</w:t>
            </w:r>
          </w:p>
          <w:p>
            <w:pPr>
              <w:pStyle w:val="yTableNAm"/>
            </w:pPr>
            <w:r>
              <w:rPr>
                <w:szCs w:val="22"/>
              </w:rPr>
              <w:t>$172.00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r>
              <w:t>PR001</w:t>
            </w:r>
          </w:p>
        </w:tc>
        <w:tc>
          <w:tcPr>
            <w:tcW w:w="4703" w:type="dxa"/>
            <w:tcBorders>
              <w:top w:val="nil"/>
              <w:left w:val="nil"/>
              <w:bottom w:val="nil"/>
              <w:right w:val="nil"/>
            </w:tcBorders>
          </w:tcPr>
          <w:p>
            <w:pPr>
              <w:pStyle w:val="yTableNAm"/>
            </w:pPr>
            <w:r>
              <w:rPr>
                <w:b/>
              </w:rPr>
              <w:t>Progress/Standard report</w:t>
            </w:r>
          </w:p>
          <w:p>
            <w:pPr>
              <w:pStyle w:val="yTableNAm"/>
              <w:rPr>
                <w:szCs w:val="22"/>
              </w:rPr>
            </w:pPr>
            <w:r>
              <w:rPr>
                <w:szCs w:val="22"/>
              </w:rPr>
              <w:t xml:space="preserve">A report relating to a specific worker that is provided to a medical specialist, medical practitioner, employer, insurer or vocational rehabilitation provider that contains (where applicable) — </w:t>
            </w:r>
          </w:p>
          <w:p>
            <w:pPr>
              <w:pStyle w:val="yTableNAm"/>
              <w:ind w:left="563" w:hanging="563"/>
              <w:rPr>
                <w:szCs w:val="22"/>
              </w:rPr>
            </w:pPr>
            <w:r>
              <w:rPr>
                <w:szCs w:val="22"/>
              </w:rPr>
              <w:sym w:font="Wingdings" w:char="F09F"/>
            </w:r>
            <w:r>
              <w:rPr>
                <w:szCs w:val="22"/>
              </w:rPr>
              <w:tab/>
              <w:t>a summary of assessment findings;</w:t>
            </w:r>
          </w:p>
          <w:p>
            <w:pPr>
              <w:pStyle w:val="yTableNAm"/>
              <w:ind w:left="563" w:hanging="563"/>
              <w:rPr>
                <w:szCs w:val="22"/>
              </w:rPr>
            </w:pPr>
            <w:r>
              <w:rPr>
                <w:szCs w:val="22"/>
              </w:rPr>
              <w:sym w:font="Wingdings" w:char="F09F"/>
            </w:r>
            <w:r>
              <w:rPr>
                <w:szCs w:val="22"/>
              </w:rPr>
              <w:tab/>
            </w:r>
            <w:r>
              <w:t>treatment</w:t>
            </w:r>
            <w:r>
              <w:rPr>
                <w:szCs w:val="22"/>
              </w:rPr>
              <w:t>/management services provided and results obtained;</w:t>
            </w:r>
          </w:p>
          <w:p>
            <w:pPr>
              <w:pStyle w:val="yTableNAm"/>
              <w:ind w:left="563" w:hanging="563"/>
            </w:pPr>
            <w:r>
              <w:rPr>
                <w:szCs w:val="22"/>
              </w:rPr>
              <w:sym w:font="Wingdings" w:char="F09F"/>
            </w:r>
            <w:r>
              <w:rPr>
                <w:szCs w:val="22"/>
              </w:rPr>
              <w:tab/>
              <w:t>recommendations for further treatment/management;</w:t>
            </w:r>
          </w:p>
        </w:tc>
        <w:tc>
          <w:tcPr>
            <w:tcW w:w="1418" w:type="dxa"/>
            <w:tcBorders>
              <w:top w:val="nil"/>
              <w:left w:val="nil"/>
              <w:bottom w:val="nil"/>
              <w:right w:val="nil"/>
            </w:tcBorders>
          </w:tcPr>
          <w:p>
            <w:pPr>
              <w:pStyle w:val="yTableNAm"/>
            </w:pPr>
            <w:r>
              <w:rPr>
                <w:b/>
              </w:rPr>
              <w:t>Set Fee</w:t>
            </w:r>
          </w:p>
          <w:p>
            <w:pPr>
              <w:pStyle w:val="yTableNAm"/>
            </w:pPr>
            <w:r>
              <w:rPr>
                <w:szCs w:val="22"/>
              </w:rPr>
              <w:t>$75.40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ind w:left="563" w:hanging="563"/>
            </w:pPr>
            <w:r>
              <w:rPr>
                <w:szCs w:val="22"/>
              </w:rPr>
              <w:sym w:font="Wingdings" w:char="F09F"/>
            </w:r>
            <w:r>
              <w:rPr>
                <w:szCs w:val="22"/>
              </w:rPr>
              <w:tab/>
              <w:t>functional and objective improvements;</w:t>
            </w:r>
          </w:p>
          <w:p>
            <w:pPr>
              <w:pStyle w:val="yTableNAm"/>
              <w:ind w:left="563" w:hanging="563"/>
            </w:pPr>
            <w:r>
              <w:rPr>
                <w:szCs w:val="22"/>
              </w:rPr>
              <w:sym w:font="Wingdings" w:char="F09F"/>
            </w:r>
            <w:r>
              <w:rPr>
                <w:szCs w:val="22"/>
              </w:rPr>
              <w:tab/>
              <w:t>perceived treatment duration required;</w:t>
            </w:r>
          </w:p>
          <w:p>
            <w:pPr>
              <w:pStyle w:val="yTableNAm"/>
            </w:pPr>
            <w:r>
              <w:rPr>
                <w:szCs w:val="22"/>
              </w:rPr>
              <w:sym w:font="Wingdings" w:char="F09F"/>
            </w:r>
            <w:r>
              <w:rPr>
                <w:szCs w:val="22"/>
              </w:rPr>
              <w:tab/>
              <w:t>return to work recommendation;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pPr>
            <w:r>
              <w:rPr>
                <w:szCs w:val="22"/>
              </w:rPr>
              <w:sym w:font="Wingdings" w:char="F09F"/>
            </w:r>
            <w:r>
              <w:rPr>
                <w:szCs w:val="22"/>
              </w:rPr>
              <w:tab/>
              <w:t>perceived barriers to return to work;</w:t>
            </w:r>
          </w:p>
          <w:p>
            <w:pPr>
              <w:pStyle w:val="yTableNAm"/>
            </w:pPr>
            <w:r>
              <w:sym w:font="Wingdings" w:char="F09F"/>
            </w:r>
            <w:r>
              <w:tab/>
              <w:t>questionnaire results and implications.</w:t>
            </w:r>
          </w:p>
          <w:p>
            <w:pPr>
              <w:pStyle w:val="yTableNAm"/>
              <w:ind w:left="563" w:hanging="563"/>
            </w:pPr>
            <w:r>
              <w:sym w:font="Wingdings" w:char="F09F"/>
            </w:r>
            <w:r>
              <w:tab/>
              <w:t>A maximum combined total of 3 reports or Treatment Management Plans (PR003) permitted without prior approval from insurer.  Additional reports require prior approval from insurer.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zyTableNAm"/>
            </w:pPr>
          </w:p>
        </w:tc>
        <w:tc>
          <w:tcPr>
            <w:tcW w:w="4703" w:type="dxa"/>
            <w:tcBorders>
              <w:top w:val="nil"/>
              <w:left w:val="nil"/>
              <w:bottom w:val="single" w:sz="4" w:space="0" w:color="auto"/>
              <w:right w:val="nil"/>
            </w:tcBorders>
          </w:tcPr>
          <w:p>
            <w:pPr>
              <w:pStyle w:val="yTableNAm"/>
            </w:pPr>
            <w:r>
              <w:rPr>
                <w:b/>
                <w:szCs w:val="22"/>
              </w:rPr>
              <w:t>Does not include:</w:t>
            </w:r>
          </w:p>
          <w:p>
            <w:pPr>
              <w:pStyle w:val="yTableNAm"/>
              <w:ind w:left="563" w:hanging="563"/>
            </w:pPr>
            <w:r>
              <w:sym w:font="Wingdings" w:char="F09F"/>
            </w:r>
            <w:r>
              <w:tab/>
              <w:t>Courtesy communication by the physiotherapist such as brief oral or written communication with the medical practitioner.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r>
              <w:t>PR002</w:t>
            </w:r>
          </w:p>
        </w:tc>
        <w:tc>
          <w:tcPr>
            <w:tcW w:w="4703" w:type="dxa"/>
            <w:tcBorders>
              <w:top w:val="nil"/>
              <w:left w:val="nil"/>
              <w:bottom w:val="nil"/>
              <w:right w:val="nil"/>
            </w:tcBorders>
          </w:tcPr>
          <w:p>
            <w:pPr>
              <w:pStyle w:val="yTableNAm"/>
            </w:pPr>
            <w:r>
              <w:rPr>
                <w:b/>
              </w:rPr>
              <w:t>Comprehensive report</w:t>
            </w:r>
            <w:r>
              <w:rPr>
                <w:b/>
              </w:rPr>
              <w:br/>
            </w:r>
          </w:p>
          <w:p>
            <w:pPr>
              <w:pStyle w:val="yTableNAm"/>
            </w:pPr>
            <w:r>
              <w:t>As above for progress/standard report and contains information relating to more detailed assessments and interventions performed.</w:t>
            </w:r>
          </w:p>
        </w:tc>
        <w:tc>
          <w:tcPr>
            <w:tcW w:w="1418" w:type="dxa"/>
            <w:tcBorders>
              <w:top w:val="nil"/>
              <w:left w:val="nil"/>
              <w:bottom w:val="nil"/>
              <w:right w:val="nil"/>
            </w:tcBorders>
          </w:tcPr>
          <w:p>
            <w:pPr>
              <w:pStyle w:val="yTableNAm"/>
            </w:pPr>
            <w:r>
              <w:rPr>
                <w:b/>
              </w:rPr>
              <w:t>Hourly rate</w:t>
            </w:r>
            <w:r>
              <w:t>**</w:t>
            </w:r>
          </w:p>
          <w:p>
            <w:pPr>
              <w:pStyle w:val="yTableNAm"/>
            </w:pPr>
            <w:r>
              <w:rPr>
                <w:szCs w:val="22"/>
              </w:rPr>
              <w:t>$172.00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zyTableNAm"/>
            </w:pPr>
          </w:p>
        </w:tc>
        <w:tc>
          <w:tcPr>
            <w:tcW w:w="4703" w:type="dxa"/>
            <w:tcBorders>
              <w:top w:val="nil"/>
              <w:left w:val="nil"/>
              <w:bottom w:val="single" w:sz="4" w:space="0" w:color="auto"/>
              <w:right w:val="nil"/>
            </w:tcBorders>
          </w:tcPr>
          <w:p>
            <w:pPr>
              <w:pStyle w:val="yTableNAm"/>
            </w:pPr>
            <w: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bottom w:val="nil"/>
              <w:right w:val="nil"/>
            </w:tcBorders>
          </w:tcPr>
          <w:p>
            <w:pPr>
              <w:pStyle w:val="yTableNAm"/>
            </w:pPr>
            <w:r>
              <w:t>PR003</w:t>
            </w:r>
          </w:p>
        </w:tc>
        <w:tc>
          <w:tcPr>
            <w:tcW w:w="4703" w:type="dxa"/>
            <w:tcBorders>
              <w:top w:val="single" w:sz="4" w:space="0" w:color="auto"/>
              <w:left w:val="nil"/>
              <w:bottom w:val="nil"/>
              <w:right w:val="nil"/>
            </w:tcBorders>
          </w:tcPr>
          <w:p>
            <w:pPr>
              <w:pStyle w:val="yTableNAm"/>
            </w:pPr>
            <w:r>
              <w:rPr>
                <w:b/>
              </w:rPr>
              <w:t>Treatment Management Plan</w:t>
            </w:r>
          </w:p>
          <w:p>
            <w:pPr>
              <w:pStyle w:val="yTableNAm"/>
            </w:pPr>
            <w:r>
              <w:t>Provision of a completed Treatment Management Plan that must contain —</w:t>
            </w:r>
          </w:p>
        </w:tc>
        <w:tc>
          <w:tcPr>
            <w:tcW w:w="1418" w:type="dxa"/>
            <w:tcBorders>
              <w:top w:val="single" w:sz="4" w:space="0" w:color="auto"/>
              <w:left w:val="nil"/>
              <w:bottom w:val="nil"/>
              <w:right w:val="nil"/>
            </w:tcBorders>
          </w:tcPr>
          <w:p>
            <w:pPr>
              <w:pStyle w:val="yTableNAm"/>
            </w:pPr>
            <w:r>
              <w:rPr>
                <w:b/>
              </w:rPr>
              <w:t>Set Fee</w:t>
            </w:r>
          </w:p>
          <w:p>
            <w:pPr>
              <w:pStyle w:val="yTableNAm"/>
            </w:pPr>
            <w:r>
              <w:rPr>
                <w:szCs w:val="22"/>
              </w:rPr>
              <w:t>$75.40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ind w:left="563" w:hanging="563"/>
            </w:pPr>
            <w:r>
              <w:rPr>
                <w:szCs w:val="22"/>
              </w:rPr>
              <w:sym w:font="Wingdings" w:char="F09F"/>
            </w:r>
            <w:r>
              <w:rPr>
                <w:szCs w:val="22"/>
              </w:rPr>
              <w:tab/>
              <w:t xml:space="preserve">clinical assessment of injured worker and results </w:t>
            </w:r>
            <w:r>
              <w:t>of</w:t>
            </w:r>
            <w:r>
              <w:rPr>
                <w:szCs w:val="22"/>
              </w:rPr>
              <w:t xml:space="preserve"> any investigation;</w:t>
            </w:r>
          </w:p>
          <w:p>
            <w:pPr>
              <w:pStyle w:val="yTableNAm"/>
              <w:ind w:left="563" w:hanging="563"/>
            </w:pPr>
            <w:r>
              <w:sym w:font="Wingdings" w:char="F09F"/>
            </w:r>
            <w:r>
              <w:tab/>
              <w:t>injured worker’s current work status and level of incapacity;</w:t>
            </w:r>
          </w:p>
          <w:p>
            <w:pPr>
              <w:pStyle w:val="yTableNAm"/>
              <w:ind w:left="563" w:hanging="563"/>
            </w:pPr>
            <w:r>
              <w:sym w:font="Wingdings" w:char="F09F"/>
            </w:r>
            <w:r>
              <w:tab/>
              <w:t xml:space="preserve">proposed management plan including — </w:t>
            </w:r>
          </w:p>
          <w:p>
            <w:pPr>
              <w:pStyle w:val="yTableNAm"/>
              <w:tabs>
                <w:tab w:val="left" w:pos="948"/>
              </w:tabs>
              <w:ind w:left="965" w:hanging="965"/>
            </w:pPr>
            <w:r>
              <w:tab/>
              <w:t>1.</w:t>
            </w:r>
            <w:r>
              <w:tab/>
              <w:t>the proposed work and functional goals and estimated timeframe in weeks;</w:t>
            </w:r>
          </w:p>
          <w:p>
            <w:pPr>
              <w:pStyle w:val="yTableNAm"/>
              <w:tabs>
                <w:tab w:val="left" w:pos="948"/>
              </w:tabs>
              <w:ind w:left="965" w:hanging="965"/>
            </w:pPr>
            <w:r>
              <w:tab/>
              <w:t>2.</w:t>
            </w:r>
            <w:r>
              <w:tab/>
              <w:t>description and number of proposed treatment methods;</w:t>
            </w:r>
          </w:p>
          <w:p>
            <w:pPr>
              <w:pStyle w:val="yTableNAm"/>
              <w:tabs>
                <w:tab w:val="left" w:pos="948"/>
              </w:tabs>
              <w:ind w:left="965" w:hanging="965"/>
            </w:pPr>
            <w:r>
              <w:tab/>
              <w:t>3.</w:t>
            </w:r>
            <w:r>
              <w:tab/>
              <w:t>the number of weeks treatment is to be conducted;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zyTableNAm"/>
            </w:pPr>
          </w:p>
        </w:tc>
        <w:tc>
          <w:tcPr>
            <w:tcW w:w="4703" w:type="dxa"/>
            <w:tcBorders>
              <w:top w:val="nil"/>
              <w:left w:val="nil"/>
              <w:bottom w:val="single" w:sz="4" w:space="0" w:color="auto"/>
              <w:right w:val="nil"/>
            </w:tcBorders>
          </w:tcPr>
          <w:p>
            <w:pPr>
              <w:pStyle w:val="yTableNAm"/>
              <w:tabs>
                <w:tab w:val="left" w:pos="948"/>
              </w:tabs>
              <w:ind w:left="965" w:hanging="965"/>
            </w:pPr>
            <w:r>
              <w:rPr>
                <w:szCs w:val="22"/>
              </w:rPr>
              <w:tab/>
              <w:t>4.</w:t>
            </w:r>
            <w:r>
              <w:rPr>
                <w:szCs w:val="22"/>
              </w:rPr>
              <w:tab/>
              <w:t>the injured worker’s expected fitness for work at the end of the management plan;</w:t>
            </w:r>
          </w:p>
          <w:p>
            <w:pPr>
              <w:pStyle w:val="yTableNAm"/>
              <w:tabs>
                <w:tab w:val="left" w:pos="948"/>
              </w:tabs>
              <w:ind w:left="965" w:hanging="965"/>
            </w:pPr>
            <w:r>
              <w:rPr>
                <w:szCs w:val="22"/>
              </w:rPr>
              <w:tab/>
              <w:t>5.</w:t>
            </w:r>
            <w:r>
              <w:rPr>
                <w:szCs w:val="22"/>
              </w:rPr>
              <w:tab/>
              <w:t>other comments or recommendations (including barriers to recovery where relevant).</w:t>
            </w:r>
          </w:p>
          <w:p>
            <w:pPr>
              <w:pStyle w:val="yTableNAm"/>
            </w:pPr>
            <w:r>
              <w:t>A maximum combined total of 3 Treatment Management Plans or reports (PR001) permitted without prior approval from insurer.  Additional Treatment Management Plans require prior approval from insurer.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PT001</w:t>
            </w:r>
          </w:p>
        </w:tc>
        <w:tc>
          <w:tcPr>
            <w:tcW w:w="4703" w:type="dxa"/>
            <w:tcBorders>
              <w:left w:val="nil"/>
              <w:bottom w:val="nil"/>
              <w:right w:val="nil"/>
            </w:tcBorders>
          </w:tcPr>
          <w:p>
            <w:pPr>
              <w:pStyle w:val="yTableNAm"/>
            </w:pPr>
            <w:r>
              <w:rPr>
                <w:b/>
              </w:rPr>
              <w:t>Travel</w:t>
            </w:r>
            <w:r>
              <w:rPr>
                <w:b/>
              </w:rPr>
              <w:br/>
            </w:r>
          </w:p>
          <w:p>
            <w:pPr>
              <w:pStyle w:val="yTableNAm"/>
            </w:pPr>
            <w:r>
              <w:rPr>
                <w:lang w:val="en-US"/>
              </w:rPr>
              <w:t>Travel when the most appropriate management of the patient requires the provider to travel away from their normal practice. The insurer must provide pre</w:t>
            </w:r>
            <w:r>
              <w:rPr>
                <w:lang w:val="en-US"/>
              </w:rPr>
              <w:noBreakHyphen/>
              <w:t>approval for travel in excess of one hour.</w:t>
            </w:r>
          </w:p>
        </w:tc>
        <w:tc>
          <w:tcPr>
            <w:tcW w:w="1418" w:type="dxa"/>
            <w:tcBorders>
              <w:left w:val="nil"/>
              <w:bottom w:val="nil"/>
              <w:right w:val="nil"/>
            </w:tcBorders>
          </w:tcPr>
          <w:p>
            <w:pPr>
              <w:pStyle w:val="yTableNAm"/>
            </w:pPr>
            <w:r>
              <w:rPr>
                <w:b/>
              </w:rPr>
              <w:t>Hourly rate</w:t>
            </w:r>
            <w:r>
              <w:t>**</w:t>
            </w:r>
          </w:p>
          <w:p>
            <w:pPr>
              <w:pStyle w:val="yTableNAm"/>
            </w:pPr>
            <w:r>
              <w:rPr>
                <w:szCs w:val="22"/>
              </w:rPr>
              <w:t>$137.65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single" w:sz="4" w:space="0" w:color="auto"/>
              <w:right w:val="nil"/>
            </w:tcBorders>
          </w:tcPr>
          <w:p>
            <w:pPr>
              <w:pStyle w:val="zyTableNAm"/>
            </w:pPr>
          </w:p>
        </w:tc>
        <w:tc>
          <w:tcPr>
            <w:tcW w:w="4703" w:type="dxa"/>
            <w:tcBorders>
              <w:top w:val="nil"/>
              <w:left w:val="nil"/>
              <w:bottom w:val="single" w:sz="4" w:space="0" w:color="auto"/>
              <w:right w:val="nil"/>
            </w:tcBorders>
          </w:tcPr>
          <w:p>
            <w:pPr>
              <w:pStyle w:val="yTableNAm"/>
            </w:pPr>
            <w:r>
              <w:t>If services are provided to more than one worker before leaving a venue, the fee for the journey is to be apportioned equally between workers.</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bottom w:val="nil"/>
              <w:right w:val="nil"/>
            </w:tcBorders>
          </w:tcPr>
          <w:p>
            <w:pPr>
              <w:pStyle w:val="yTableNAm"/>
            </w:pPr>
            <w:r>
              <w:t>PQ001</w:t>
            </w:r>
          </w:p>
        </w:tc>
        <w:tc>
          <w:tcPr>
            <w:tcW w:w="4703" w:type="dxa"/>
            <w:tcBorders>
              <w:top w:val="single" w:sz="4" w:space="0" w:color="auto"/>
              <w:left w:val="nil"/>
              <w:bottom w:val="nil"/>
              <w:right w:val="nil"/>
            </w:tcBorders>
          </w:tcPr>
          <w:p>
            <w:pPr>
              <w:pStyle w:val="yTableNAm"/>
            </w:pPr>
            <w:r>
              <w:rPr>
                <w:b/>
              </w:rPr>
              <w:t>Case Conferences</w:t>
            </w:r>
          </w:p>
          <w:p>
            <w:pPr>
              <w:pStyle w:val="yTableNAm"/>
            </w:pPr>
            <w:r>
              <w:t>Face</w:t>
            </w:r>
            <w:r>
              <w:noBreakHyphen/>
              <w:t>to</w:t>
            </w:r>
            <w:r>
              <w:noBreakHyphen/>
              <w:t>face or telephone communication involving the physiotherapist with one or more of the following —</w:t>
            </w:r>
          </w:p>
        </w:tc>
        <w:tc>
          <w:tcPr>
            <w:tcW w:w="1418" w:type="dxa"/>
            <w:tcBorders>
              <w:top w:val="single" w:sz="4" w:space="0" w:color="auto"/>
              <w:left w:val="nil"/>
              <w:bottom w:val="nil"/>
              <w:right w:val="nil"/>
            </w:tcBorders>
          </w:tcPr>
          <w:p>
            <w:pPr>
              <w:pStyle w:val="yTableNAm"/>
            </w:pPr>
          </w:p>
          <w:p>
            <w:pPr>
              <w:pStyle w:val="yTableNAm"/>
            </w:pPr>
            <w:r>
              <w:rPr>
                <w:szCs w:val="22"/>
              </w:rPr>
              <w:t>$17.30</w:t>
            </w:r>
            <w:r>
              <w:rPr>
                <w:szCs w:val="22"/>
              </w:rPr>
              <w:br/>
            </w:r>
            <w: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pPr>
            <w:r>
              <w:t>doctor, employer, insurer/claims manager, rehabilitation providers and worker.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zyTableNAm"/>
            </w:pPr>
          </w:p>
        </w:tc>
        <w:tc>
          <w:tcPr>
            <w:tcW w:w="4703" w:type="dxa"/>
            <w:tcBorders>
              <w:top w:val="nil"/>
              <w:left w:val="nil"/>
              <w:right w:val="nil"/>
            </w:tcBorders>
          </w:tcPr>
          <w:p>
            <w:pPr>
              <w:pStyle w:val="yTableNAm"/>
            </w:pPr>
            <w:r>
              <w:t>The aim of the case conference is to plan, implement, manage or review treatment options and/or rehabilitation plan.</w:t>
            </w:r>
          </w:p>
        </w:tc>
        <w:tc>
          <w:tcPr>
            <w:tcW w:w="1418" w:type="dxa"/>
            <w:tcBorders>
              <w:top w:val="nil"/>
              <w:left w:val="nil"/>
              <w:right w:val="nil"/>
            </w:tcBorders>
          </w:tcPr>
          <w:p>
            <w:pPr>
              <w:pStyle w:val="yTableNAm"/>
            </w:pP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PK001</w:t>
            </w:r>
          </w:p>
        </w:tc>
        <w:tc>
          <w:tcPr>
            <w:tcW w:w="4703" w:type="dxa"/>
            <w:tcBorders>
              <w:left w:val="nil"/>
              <w:bottom w:val="nil"/>
              <w:right w:val="nil"/>
            </w:tcBorders>
          </w:tcPr>
          <w:p>
            <w:pPr>
              <w:pStyle w:val="yTableNAm"/>
            </w:pPr>
            <w:r>
              <w:rPr>
                <w:b/>
              </w:rPr>
              <w:t>Communication</w:t>
            </w:r>
          </w:p>
          <w:p>
            <w:pPr>
              <w:pStyle w:val="yTableNAm"/>
            </w:pPr>
            <w:r>
              <w:t xml:space="preserve">Any required oral communication by the physiotherapist with </w:t>
            </w:r>
            <w:r>
              <w:rPr>
                <w:szCs w:val="22"/>
              </w:rPr>
              <w:t xml:space="preserve">a medical specialist, medical practitioner, employer, insurer or vocational rehabilitation provider (other than a courtesy communication with the medical practitioner) </w:t>
            </w:r>
            <w:r>
              <w:t xml:space="preserve">relating to the treatment or rehabilitation of a specific worker. </w:t>
            </w:r>
          </w:p>
        </w:tc>
        <w:tc>
          <w:tcPr>
            <w:tcW w:w="1418" w:type="dxa"/>
            <w:tcBorders>
              <w:left w:val="nil"/>
              <w:bottom w:val="nil"/>
              <w:right w:val="nil"/>
            </w:tcBorders>
          </w:tcPr>
          <w:p>
            <w:pPr>
              <w:pStyle w:val="yTableNAm"/>
            </w:pPr>
          </w:p>
          <w:p>
            <w:pPr>
              <w:pStyle w:val="yTableNAm"/>
            </w:pPr>
            <w:r>
              <w:t>$17.30 </w:t>
            </w:r>
            <w:r>
              <w:br/>
              <w:t>per 6 minute block</w:t>
            </w: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pPr>
            <w:r>
              <w:t>The physiotherapist must keep a written record of the details of the communication, including its date, time and duration.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zyTableNAm"/>
            </w:pPr>
          </w:p>
        </w:tc>
        <w:tc>
          <w:tcPr>
            <w:tcW w:w="4703" w:type="dxa"/>
            <w:tcBorders>
              <w:top w:val="nil"/>
              <w:left w:val="nil"/>
              <w:bottom w:val="nil"/>
              <w:right w:val="nil"/>
            </w:tcBorders>
          </w:tcPr>
          <w:p>
            <w:pPr>
              <w:pStyle w:val="yTableNAm"/>
            </w:pPr>
            <w:r>
              <w:t>Maximum duration per communication is 30 minutes.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zyTableNAm"/>
            </w:pPr>
          </w:p>
        </w:tc>
        <w:tc>
          <w:tcPr>
            <w:tcW w:w="4703" w:type="dxa"/>
            <w:tcBorders>
              <w:top w:val="nil"/>
              <w:left w:val="nil"/>
              <w:right w:val="nil"/>
            </w:tcBorders>
          </w:tcPr>
          <w:p>
            <w:pPr>
              <w:pStyle w:val="yTableNAm"/>
            </w:pPr>
            <w:r>
              <w:t>Maximum cumulative duration of communications per claim is one hour.  When the maximum cumulative duration has been reached, prior approval from insurer for a minimum of 5 blocks of 6 minutes is required.</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PS001</w:t>
            </w:r>
          </w:p>
        </w:tc>
        <w:tc>
          <w:tcPr>
            <w:tcW w:w="4703" w:type="dxa"/>
            <w:tcBorders>
              <w:left w:val="nil"/>
              <w:bottom w:val="single" w:sz="4" w:space="0" w:color="auto"/>
              <w:right w:val="nil"/>
            </w:tcBorders>
          </w:tcPr>
          <w:p>
            <w:pPr>
              <w:pStyle w:val="yTableNAm"/>
            </w:pPr>
            <w:r>
              <w:rPr>
                <w:b/>
              </w:rPr>
              <w:t>Specific Physiotherapy Assessment</w:t>
            </w:r>
            <w:r>
              <w: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(FCE’s), seating and wheelchair assessments).</w:t>
            </w:r>
          </w:p>
        </w:tc>
        <w:tc>
          <w:tcPr>
            <w:tcW w:w="1418" w:type="dxa"/>
            <w:tcBorders>
              <w:left w:val="nil"/>
              <w:bottom w:val="single" w:sz="4" w:space="0" w:color="auto"/>
              <w:right w:val="nil"/>
            </w:tcBorders>
          </w:tcPr>
          <w:p>
            <w:pPr>
              <w:pStyle w:val="yTableNAm"/>
            </w:pPr>
            <w:r>
              <w:rPr>
                <w:b/>
              </w:rPr>
              <w:t>Hourly rate</w:t>
            </w:r>
            <w:r>
              <w:t>**</w:t>
            </w:r>
          </w:p>
          <w:p>
            <w:pPr>
              <w:pStyle w:val="yTableNAm"/>
            </w:pPr>
            <w:r>
              <w:rPr>
                <w:szCs w:val="22"/>
              </w:rPr>
              <w:t>$172.00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PW001</w:t>
            </w:r>
          </w:p>
        </w:tc>
        <w:tc>
          <w:tcPr>
            <w:tcW w:w="4703" w:type="dxa"/>
            <w:tcBorders>
              <w:left w:val="nil"/>
              <w:bottom w:val="single" w:sz="4" w:space="0" w:color="auto"/>
              <w:right w:val="nil"/>
            </w:tcBorders>
          </w:tcPr>
          <w:p>
            <w:pPr>
              <w:pStyle w:val="yTableNAm"/>
            </w:pPr>
            <w:r>
              <w:rPr>
                <w:b/>
              </w:rPr>
              <w:t>Specific Physiotherapy Intervention</w:t>
            </w:r>
            <w:r>
              <w:t> — prior approval from insurer required (*replaces PD001).</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418" w:type="dxa"/>
            <w:tcBorders>
              <w:left w:val="nil"/>
              <w:bottom w:val="single" w:sz="4" w:space="0" w:color="auto"/>
              <w:right w:val="nil"/>
            </w:tcBorders>
          </w:tcPr>
          <w:p>
            <w:pPr>
              <w:pStyle w:val="yTableNAm"/>
            </w:pPr>
            <w:r>
              <w:rPr>
                <w:b/>
              </w:rPr>
              <w:t>Hourly rate</w:t>
            </w:r>
            <w:r>
              <w:t>**</w:t>
            </w:r>
          </w:p>
          <w:p>
            <w:pPr>
              <w:pStyle w:val="yTableNAm"/>
            </w:pPr>
            <w:r>
              <w:rPr>
                <w:szCs w:val="22"/>
              </w:rPr>
              <w:t>$172.00</w:t>
            </w:r>
            <w:r>
              <w:rPr>
                <w:szCs w:val="22"/>
              </w:rPr>
              <w:br/>
              <w:t>per hour to a maximum of 2 hours**</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1 inserted in Gazette 25 Sep 2012 p. 4479-87.]</w:t>
      </w:r>
    </w:p>
    <w:p>
      <w:pPr>
        <w:pStyle w:val="yHeading3"/>
      </w:pPr>
      <w:bookmarkStart w:id="58" w:name="_Toc339360096"/>
      <w:bookmarkStart w:id="59" w:name="_Toc339360500"/>
      <w:r>
        <w:rPr>
          <w:rStyle w:val="CharSDivNo"/>
        </w:rPr>
        <w:t>Part 2</w:t>
      </w:r>
      <w:r>
        <w:t xml:space="preserve"> — </w:t>
      </w:r>
      <w:r>
        <w:rPr>
          <w:rStyle w:val="CharSDivText"/>
        </w:rPr>
        <w:t>Exercise</w:t>
      </w:r>
      <w:r>
        <w:rPr>
          <w:rStyle w:val="CharSDivText"/>
        </w:rPr>
        <w:noBreakHyphen/>
        <w:t>based programs</w:t>
      </w:r>
      <w:bookmarkEnd w:id="58"/>
      <w:bookmarkEnd w:id="59"/>
    </w:p>
    <w:p>
      <w:pPr>
        <w:pStyle w:val="yFootnoteheading"/>
        <w:spacing w:after="120"/>
      </w:pPr>
      <w:r>
        <w:tab/>
        <w:t>[Heading inserted in Gazette 25 Sep 2012 p. 4487.]</w:t>
      </w:r>
    </w:p>
    <w:tbl>
      <w:tblPr>
        <w:tblW w:w="7080" w:type="dxa"/>
        <w:tblInd w:w="108" w:type="dxa"/>
        <w:tblLayout w:type="fixed"/>
        <w:tblLook w:val="0000" w:firstRow="0" w:lastRow="0" w:firstColumn="0" w:lastColumn="0" w:noHBand="0" w:noVBand="0"/>
      </w:tblPr>
      <w:tblGrid>
        <w:gridCol w:w="960"/>
        <w:gridCol w:w="4710"/>
        <w:gridCol w:w="1410"/>
      </w:tblGrid>
      <w:tr>
        <w:trPr>
          <w:cantSplit/>
          <w:tblHeader/>
        </w:trPr>
        <w:tc>
          <w:tcPr>
            <w:tcW w:w="960" w:type="dxa"/>
            <w:tcBorders>
              <w:top w:val="single" w:sz="4" w:space="0" w:color="auto"/>
              <w:bottom w:val="single" w:sz="4" w:space="0" w:color="auto"/>
            </w:tcBorders>
          </w:tcPr>
          <w:p>
            <w:pPr>
              <w:pStyle w:val="zyTableNAm"/>
            </w:pPr>
          </w:p>
        </w:tc>
        <w:tc>
          <w:tcPr>
            <w:tcW w:w="4710" w:type="dxa"/>
            <w:tcBorders>
              <w:top w:val="single" w:sz="4" w:space="0" w:color="auto"/>
              <w:bottom w:val="single" w:sz="4" w:space="0" w:color="auto"/>
            </w:tcBorders>
          </w:tcPr>
          <w:p>
            <w:pPr>
              <w:pStyle w:val="yTableNAm"/>
            </w:pPr>
            <w:r>
              <w:rPr>
                <w:b/>
              </w:rPr>
              <w:t xml:space="preserve">Type of service </w:t>
            </w:r>
          </w:p>
        </w:tc>
        <w:tc>
          <w:tcPr>
            <w:tcW w:w="1410" w:type="dxa"/>
            <w:tcBorders>
              <w:top w:val="single" w:sz="4" w:space="0" w:color="auto"/>
              <w:bottom w:val="single" w:sz="4" w:space="0" w:color="auto"/>
            </w:tcBorders>
          </w:tcPr>
          <w:p>
            <w:pPr>
              <w:pStyle w:val="yTableNAm"/>
            </w:pPr>
            <w:r>
              <w:rPr>
                <w:b/>
              </w:rPr>
              <w:t>Fee</w:t>
            </w:r>
          </w:p>
        </w:tc>
      </w:tr>
      <w:tr>
        <w:trPr>
          <w:cantSplit/>
        </w:trPr>
        <w:tc>
          <w:tcPr>
            <w:tcW w:w="960" w:type="dxa"/>
            <w:tcBorders>
              <w:top w:val="single" w:sz="4" w:space="0" w:color="auto"/>
            </w:tcBorders>
          </w:tcPr>
          <w:p>
            <w:pPr>
              <w:pStyle w:val="yTableNAm"/>
            </w:pPr>
            <w:r>
              <w:t>EXE20</w:t>
            </w:r>
          </w:p>
        </w:tc>
        <w:tc>
          <w:tcPr>
            <w:tcW w:w="4710" w:type="dxa"/>
            <w:tcBorders>
              <w:top w:val="single" w:sz="4" w:space="0" w:color="auto"/>
            </w:tcBorders>
          </w:tcPr>
          <w:p>
            <w:pPr>
              <w:pStyle w:val="yTableNAm"/>
            </w:pPr>
            <w:r>
              <w:rPr>
                <w:b/>
                <w:bCs/>
              </w:rPr>
              <w:t>Initial Consultation/Assessment</w:t>
            </w:r>
          </w:p>
          <w:p>
            <w:pPr>
              <w:pStyle w:val="yTableNAm"/>
              <w:rPr>
                <w:lang w:val="en-US"/>
              </w:rPr>
            </w:pPr>
            <w:r>
              <w:rPr>
                <w:lang w:val="en-US"/>
              </w:rPr>
              <w:t>Insurer approval must be obtained prior to undertaking the service.</w:t>
            </w:r>
          </w:p>
          <w:p>
            <w:pPr>
              <w:pStyle w:val="yTableNAm"/>
              <w:rPr>
                <w:i/>
                <w:lang w:val="en-US"/>
              </w:rPr>
            </w:pPr>
            <w:r>
              <w:rPr>
                <w:lang w:val="en-US"/>
              </w:rPr>
              <w:t>Review of current medical and vocational status.</w:t>
            </w:r>
          </w:p>
        </w:tc>
        <w:tc>
          <w:tcPr>
            <w:tcW w:w="1410" w:type="dxa"/>
            <w:tcBorders>
              <w:top w:val="single" w:sz="4" w:space="0" w:color="auto"/>
            </w:tcBorders>
          </w:tcPr>
          <w:p>
            <w:pPr>
              <w:pStyle w:val="yTableNAm"/>
            </w:pPr>
          </w:p>
          <w:p>
            <w:pPr>
              <w:pStyle w:val="yTableNAm"/>
            </w:pPr>
            <w:r>
              <w:t xml:space="preserve">$172.00 </w:t>
            </w:r>
            <w:r>
              <w:br/>
              <w:t>per hour to a maximum of 2 hours**</w:t>
            </w:r>
          </w:p>
        </w:tc>
      </w:tr>
      <w:tr>
        <w:trPr>
          <w:cantSplit/>
        </w:trPr>
        <w:tc>
          <w:tcPr>
            <w:tcW w:w="960" w:type="dxa"/>
          </w:tcPr>
          <w:p>
            <w:pPr>
              <w:pStyle w:val="zyTableNAm"/>
            </w:pPr>
          </w:p>
        </w:tc>
        <w:tc>
          <w:tcPr>
            <w:tcW w:w="4710" w:type="dxa"/>
          </w:tcPr>
          <w:p>
            <w:pPr>
              <w:pStyle w:val="yTableNAm"/>
            </w:pPr>
            <w:r>
              <w:rPr>
                <w:szCs w:val="22"/>
              </w:rPr>
              <w:t>Communication/Liaison with relevant parties.</w:t>
            </w:r>
          </w:p>
        </w:tc>
        <w:tc>
          <w:tcPr>
            <w:tcW w:w="1410" w:type="dxa"/>
          </w:tcPr>
          <w:p>
            <w:pPr>
              <w:pStyle w:val="yTableNAm"/>
            </w:pPr>
          </w:p>
        </w:tc>
      </w:tr>
      <w:tr>
        <w:trPr>
          <w:cantSplit/>
        </w:trPr>
        <w:tc>
          <w:tcPr>
            <w:tcW w:w="960" w:type="dxa"/>
          </w:tcPr>
          <w:p>
            <w:pPr>
              <w:pStyle w:val="zyTableNAm"/>
            </w:pPr>
          </w:p>
        </w:tc>
        <w:tc>
          <w:tcPr>
            <w:tcW w:w="4710" w:type="dxa"/>
          </w:tcPr>
          <w:p>
            <w:pPr>
              <w:pStyle w:val="yTableNAm"/>
            </w:pPr>
            <w:r>
              <w:rPr>
                <w:szCs w:val="22"/>
              </w:rPr>
              <w:t>Physiological Assessment/testing.</w:t>
            </w:r>
          </w:p>
        </w:tc>
        <w:tc>
          <w:tcPr>
            <w:tcW w:w="1410" w:type="dxa"/>
          </w:tcPr>
          <w:p>
            <w:pPr>
              <w:pStyle w:val="yTableNAm"/>
            </w:pPr>
          </w:p>
        </w:tc>
      </w:tr>
      <w:tr>
        <w:trPr>
          <w:cantSplit/>
        </w:trPr>
        <w:tc>
          <w:tcPr>
            <w:tcW w:w="960" w:type="dxa"/>
          </w:tcPr>
          <w:p>
            <w:pPr>
              <w:pStyle w:val="zyTableNAm"/>
            </w:pPr>
          </w:p>
        </w:tc>
        <w:tc>
          <w:tcPr>
            <w:tcW w:w="4710" w:type="dxa"/>
          </w:tcPr>
          <w:p>
            <w:pPr>
              <w:pStyle w:val="yTableNAm"/>
            </w:pPr>
            <w:r>
              <w:rPr>
                <w:szCs w:val="22"/>
              </w:rPr>
              <w:t>Screening questionnaires relating to worker’s level of function.</w:t>
            </w:r>
          </w:p>
        </w:tc>
        <w:tc>
          <w:tcPr>
            <w:tcW w:w="1410" w:type="dxa"/>
          </w:tcPr>
          <w:p>
            <w:pPr>
              <w:pStyle w:val="yTableNAm"/>
            </w:pPr>
          </w:p>
        </w:tc>
      </w:tr>
      <w:tr>
        <w:trPr>
          <w:cantSplit/>
        </w:trPr>
        <w:tc>
          <w:tcPr>
            <w:tcW w:w="960" w:type="dxa"/>
          </w:tcPr>
          <w:p>
            <w:pPr>
              <w:pStyle w:val="zyTableNAm"/>
            </w:pPr>
          </w:p>
        </w:tc>
        <w:tc>
          <w:tcPr>
            <w:tcW w:w="4710" w:type="dxa"/>
          </w:tcPr>
          <w:p>
            <w:pPr>
              <w:pStyle w:val="yTableNAm"/>
            </w:pPr>
            <w:r>
              <w:rPr>
                <w:szCs w:val="22"/>
              </w:rPr>
              <w:t>Program design based on above.</w:t>
            </w:r>
          </w:p>
        </w:tc>
        <w:tc>
          <w:tcPr>
            <w:tcW w:w="1410" w:type="dxa"/>
          </w:tcPr>
          <w:p>
            <w:pPr>
              <w:pStyle w:val="yTableNAm"/>
            </w:pPr>
          </w:p>
        </w:tc>
      </w:tr>
      <w:tr>
        <w:trPr>
          <w:cantSplit/>
        </w:trPr>
        <w:tc>
          <w:tcPr>
            <w:tcW w:w="960" w:type="dxa"/>
          </w:tcPr>
          <w:p>
            <w:pPr>
              <w:pStyle w:val="zyTableNAm"/>
            </w:pPr>
          </w:p>
        </w:tc>
        <w:tc>
          <w:tcPr>
            <w:tcW w:w="4710" w:type="dxa"/>
          </w:tcPr>
          <w:p>
            <w:pPr>
              <w:pStyle w:val="yTableNAm"/>
            </w:pPr>
            <w:r>
              <w:rPr>
                <w:szCs w:val="22"/>
              </w:rPr>
              <w:t>Exercise facility/equipment coordination (pool or gym based).</w:t>
            </w:r>
          </w:p>
        </w:tc>
        <w:tc>
          <w:tcPr>
            <w:tcW w:w="1410" w:type="dxa"/>
          </w:tcPr>
          <w:p>
            <w:pPr>
              <w:pStyle w:val="yTableNAm"/>
            </w:pPr>
          </w:p>
        </w:tc>
      </w:tr>
      <w:tr>
        <w:trPr>
          <w:cantSplit/>
        </w:trPr>
        <w:tc>
          <w:tcPr>
            <w:tcW w:w="960" w:type="dxa"/>
            <w:tcBorders>
              <w:bottom w:val="single" w:sz="4" w:space="0" w:color="auto"/>
            </w:tcBorders>
          </w:tcPr>
          <w:p>
            <w:pPr>
              <w:pStyle w:val="zyTableNAm"/>
            </w:pPr>
          </w:p>
        </w:tc>
        <w:tc>
          <w:tcPr>
            <w:tcW w:w="4710" w:type="dxa"/>
            <w:tcBorders>
              <w:bottom w:val="single" w:sz="4" w:space="0" w:color="auto"/>
            </w:tcBorders>
          </w:tcPr>
          <w:p>
            <w:pPr>
              <w:pStyle w:val="yTableNAm"/>
            </w:pPr>
            <w:r>
              <w:rPr>
                <w:szCs w:val="22"/>
              </w:rPr>
              <w:t>Provider to patient ratio must be 1:1 for the duration of the consultation.</w:t>
            </w:r>
          </w:p>
        </w:tc>
        <w:tc>
          <w:tcPr>
            <w:tcW w:w="1410" w:type="dxa"/>
            <w:tcBorders>
              <w:bottom w:val="single" w:sz="4" w:space="0" w:color="auto"/>
            </w:tcBorders>
          </w:tcPr>
          <w:p>
            <w:pPr>
              <w:pStyle w:val="yTableNAm"/>
            </w:pPr>
          </w:p>
        </w:tc>
      </w:tr>
      <w:tr>
        <w:trPr>
          <w:cantSplit/>
        </w:trPr>
        <w:tc>
          <w:tcPr>
            <w:tcW w:w="960" w:type="dxa"/>
            <w:tcBorders>
              <w:top w:val="single" w:sz="4" w:space="0" w:color="auto"/>
              <w:bottom w:val="single" w:sz="4" w:space="0" w:color="auto"/>
            </w:tcBorders>
          </w:tcPr>
          <w:p>
            <w:pPr>
              <w:pStyle w:val="yTableNAm"/>
            </w:pPr>
            <w:r>
              <w:t>EXE21</w:t>
            </w:r>
          </w:p>
        </w:tc>
        <w:tc>
          <w:tcPr>
            <w:tcW w:w="4710" w:type="dxa"/>
            <w:tcBorders>
              <w:top w:val="single" w:sz="4" w:space="0" w:color="auto"/>
              <w:bottom w:val="single" w:sz="4" w:space="0" w:color="auto"/>
            </w:tcBorders>
          </w:tcPr>
          <w:p>
            <w:pPr>
              <w:pStyle w:val="yTableNAm"/>
            </w:pPr>
            <w:r>
              <w:rPr>
                <w:b/>
                <w:bCs/>
                <w:szCs w:val="22"/>
              </w:rPr>
              <w:t>Subsequent Exercise Consultation/Assessment</w:t>
            </w:r>
          </w:p>
          <w:p>
            <w:pPr>
              <w:pStyle w:val="yTableNAm"/>
            </w:pPr>
            <w:r>
              <w:t xml:space="preserve">Includes — </w:t>
            </w:r>
          </w:p>
          <w:p>
            <w:pPr>
              <w:pStyle w:val="yTableNAm"/>
            </w:pPr>
            <w:r>
              <w:t>program implementation — prescription and provision of exercises (land or pool based);</w:t>
            </w:r>
          </w:p>
          <w:p>
            <w:pPr>
              <w:pStyle w:val="yTableNAm"/>
            </w:pPr>
            <w:r>
              <w:t>program monitoring;</w:t>
            </w:r>
          </w:p>
          <w:p>
            <w:pPr>
              <w:pStyle w:val="yTableNAm"/>
            </w:pPr>
            <w:r>
              <w:t>post program screening questionnaire relating to worker’s level of function;</w:t>
            </w:r>
          </w:p>
          <w:p>
            <w:pPr>
              <w:pStyle w:val="yTableNAm"/>
            </w:pPr>
            <w:r>
              <w:t>psychosocial reassessment;</w:t>
            </w:r>
          </w:p>
          <w:p>
            <w:pPr>
              <w:pStyle w:val="yTableNAm"/>
            </w:pPr>
            <w:r>
              <w:t>communication/liaison with relevant parties.</w:t>
            </w:r>
          </w:p>
        </w:tc>
        <w:tc>
          <w:tcPr>
            <w:tcW w:w="1410" w:type="dxa"/>
            <w:tcBorders>
              <w:top w:val="single" w:sz="4" w:space="0" w:color="auto"/>
              <w:bottom w:val="single" w:sz="4" w:space="0" w:color="auto"/>
            </w:tcBorders>
          </w:tcPr>
          <w:p>
            <w:pPr>
              <w:pStyle w:val="yTableNAm"/>
            </w:pPr>
          </w:p>
          <w:p>
            <w:pPr>
              <w:pStyle w:val="yTableNAm"/>
              <w:rPr>
                <w:sz w:val="16"/>
              </w:rPr>
            </w:pPr>
            <w:r>
              <w:t xml:space="preserve">$172.00 </w:t>
            </w:r>
            <w:r>
              <w:br/>
              <w:t>per hour to a maximum of one hour**</w:t>
            </w:r>
          </w:p>
        </w:tc>
      </w:tr>
      <w:tr>
        <w:trPr>
          <w:cantSplit/>
        </w:trPr>
        <w:tc>
          <w:tcPr>
            <w:tcW w:w="960" w:type="dxa"/>
            <w:tcBorders>
              <w:top w:val="single" w:sz="4" w:space="0" w:color="auto"/>
            </w:tcBorders>
          </w:tcPr>
          <w:p>
            <w:pPr>
              <w:pStyle w:val="yTableNAm"/>
            </w:pPr>
            <w:r>
              <w:t>EXE02</w:t>
            </w:r>
          </w:p>
        </w:tc>
        <w:tc>
          <w:tcPr>
            <w:tcW w:w="4710" w:type="dxa"/>
            <w:tcBorders>
              <w:top w:val="single" w:sz="4" w:space="0" w:color="auto"/>
            </w:tcBorders>
          </w:tcPr>
          <w:p>
            <w:pPr>
              <w:pStyle w:val="yTableNAm"/>
              <w:rPr>
                <w:lang w:val="en-US"/>
              </w:rPr>
            </w:pPr>
            <w:r>
              <w:rPr>
                <w:b/>
                <w:bCs/>
                <w:lang w:val="en-US"/>
              </w:rPr>
              <w:t>Initial report</w:t>
            </w:r>
          </w:p>
          <w:p>
            <w:pPr>
              <w:pStyle w:val="yTableNAm"/>
              <w:rPr>
                <w:lang w:val="en-US"/>
              </w:rPr>
            </w:pPr>
            <w:r>
              <w:rPr>
                <w:lang w:val="en-US"/>
              </w:rPr>
              <w:t xml:space="preserve">Includes — </w:t>
            </w:r>
          </w:p>
          <w:p>
            <w:pPr>
              <w:pStyle w:val="yTableNAm"/>
              <w:rPr>
                <w:lang w:val="en-US"/>
              </w:rPr>
            </w:pPr>
            <w:r>
              <w:rPr>
                <w:szCs w:val="22"/>
              </w:rPr>
              <w:t>initial assessment report outlining results (self</w:t>
            </w:r>
            <w:r>
              <w:rPr>
                <w:szCs w:val="22"/>
              </w:rPr>
              <w:noBreakHyphen/>
              <w:t>reported and objective), recommendations and exercise rehabilitation plan;</w:t>
            </w:r>
          </w:p>
        </w:tc>
        <w:tc>
          <w:tcPr>
            <w:tcW w:w="1410" w:type="dxa"/>
            <w:tcBorders>
              <w:top w:val="single" w:sz="4" w:space="0" w:color="auto"/>
            </w:tcBorders>
          </w:tcPr>
          <w:p>
            <w:pPr>
              <w:pStyle w:val="yTableNAm"/>
            </w:pPr>
          </w:p>
          <w:p>
            <w:pPr>
              <w:pStyle w:val="yTableNAm"/>
            </w:pPr>
            <w:r>
              <w:t xml:space="preserve">$172.00 </w:t>
            </w:r>
            <w:r>
              <w:br/>
              <w:t>per hour to a maximum of one hour**</w:t>
            </w:r>
          </w:p>
        </w:tc>
      </w:tr>
      <w:tr>
        <w:trPr>
          <w:cantSplit/>
        </w:trPr>
        <w:tc>
          <w:tcPr>
            <w:tcW w:w="960" w:type="dxa"/>
          </w:tcPr>
          <w:p>
            <w:pPr>
              <w:pStyle w:val="zyTableNAm"/>
            </w:pPr>
          </w:p>
        </w:tc>
        <w:tc>
          <w:tcPr>
            <w:tcW w:w="4710" w:type="dxa"/>
          </w:tcPr>
          <w:p>
            <w:pPr>
              <w:pStyle w:val="yTableNAm"/>
            </w:pPr>
            <w:r>
              <w:rPr>
                <w:szCs w:val="22"/>
              </w:rPr>
              <w:t>current status as per medical certification and proposed outcome status;</w:t>
            </w:r>
          </w:p>
        </w:tc>
        <w:tc>
          <w:tcPr>
            <w:tcW w:w="1410" w:type="dxa"/>
          </w:tcPr>
          <w:p>
            <w:pPr>
              <w:pStyle w:val="yTableNAm"/>
            </w:pPr>
          </w:p>
        </w:tc>
      </w:tr>
      <w:tr>
        <w:trPr>
          <w:cantSplit/>
        </w:trPr>
        <w:tc>
          <w:tcPr>
            <w:tcW w:w="960" w:type="dxa"/>
            <w:tcBorders>
              <w:bottom w:val="single" w:sz="4" w:space="0" w:color="auto"/>
            </w:tcBorders>
          </w:tcPr>
          <w:p>
            <w:pPr>
              <w:pStyle w:val="zyTableNAm"/>
            </w:pPr>
          </w:p>
        </w:tc>
        <w:tc>
          <w:tcPr>
            <w:tcW w:w="4710" w:type="dxa"/>
            <w:tcBorders>
              <w:bottom w:val="single" w:sz="4" w:space="0" w:color="auto"/>
            </w:tcBorders>
          </w:tcPr>
          <w:p>
            <w:pPr>
              <w:pStyle w:val="yTableNAm"/>
            </w:pPr>
            <w:r>
              <w:rPr>
                <w:szCs w:val="22"/>
              </w:rPr>
              <w:t>detailed cost plan outlining proposed outcome, services required and proposed costs for insurer approval.</w:t>
            </w:r>
          </w:p>
        </w:tc>
        <w:tc>
          <w:tcPr>
            <w:tcW w:w="1410" w:type="dxa"/>
            <w:tcBorders>
              <w:bottom w:val="single" w:sz="4" w:space="0" w:color="auto"/>
            </w:tcBorders>
          </w:tcPr>
          <w:p>
            <w:pPr>
              <w:pStyle w:val="yTableNAm"/>
            </w:pPr>
          </w:p>
        </w:tc>
      </w:tr>
      <w:tr>
        <w:trPr>
          <w:cantSplit/>
        </w:trPr>
        <w:tc>
          <w:tcPr>
            <w:tcW w:w="960" w:type="dxa"/>
            <w:tcBorders>
              <w:top w:val="single" w:sz="4" w:space="0" w:color="auto"/>
              <w:bottom w:val="single" w:sz="4" w:space="0" w:color="auto"/>
            </w:tcBorders>
          </w:tcPr>
          <w:p>
            <w:pPr>
              <w:pStyle w:val="yTableNAm"/>
            </w:pPr>
            <w:r>
              <w:t>EXE03</w:t>
            </w:r>
          </w:p>
        </w:tc>
        <w:tc>
          <w:tcPr>
            <w:tcW w:w="4710" w:type="dxa"/>
            <w:tcBorders>
              <w:top w:val="single" w:sz="4" w:space="0" w:color="auto"/>
              <w:bottom w:val="single" w:sz="4" w:space="0" w:color="auto"/>
            </w:tcBorders>
          </w:tcPr>
          <w:p>
            <w:pPr>
              <w:pStyle w:val="yTableNAm"/>
            </w:pPr>
            <w:r>
              <w:rPr>
                <w:b/>
              </w:rPr>
              <w:t>Subsequent reports</w:t>
            </w:r>
          </w:p>
          <w:p>
            <w:pPr>
              <w:pStyle w:val="yTableNAm"/>
            </w:pPr>
            <w:r>
              <w:rPr>
                <w:lang w:val="en-US"/>
              </w:rPr>
              <w:t>Progress report to be provided at the request of the referrer.</w:t>
            </w:r>
          </w:p>
        </w:tc>
        <w:tc>
          <w:tcPr>
            <w:tcW w:w="1410" w:type="dxa"/>
            <w:tcBorders>
              <w:top w:val="single" w:sz="4" w:space="0" w:color="auto"/>
              <w:bottom w:val="single" w:sz="4" w:space="0" w:color="auto"/>
            </w:tcBorders>
          </w:tcPr>
          <w:p>
            <w:pPr>
              <w:pStyle w:val="yTableNAm"/>
            </w:pPr>
          </w:p>
          <w:p>
            <w:pPr>
              <w:pStyle w:val="yTableNAm"/>
            </w:pPr>
            <w:r>
              <w:t xml:space="preserve">$172.00 </w:t>
            </w:r>
            <w:r>
              <w:br/>
              <w:t>per hour to a maximum of 30 minutes**</w:t>
            </w:r>
          </w:p>
        </w:tc>
      </w:tr>
      <w:tr>
        <w:trPr>
          <w:cantSplit/>
        </w:trPr>
        <w:tc>
          <w:tcPr>
            <w:tcW w:w="960" w:type="dxa"/>
            <w:tcBorders>
              <w:top w:val="single" w:sz="4" w:space="0" w:color="auto"/>
              <w:bottom w:val="single" w:sz="4" w:space="0" w:color="auto"/>
            </w:tcBorders>
          </w:tcPr>
          <w:p>
            <w:pPr>
              <w:pStyle w:val="yTableNAm"/>
            </w:pPr>
            <w:r>
              <w:t>EXE04</w:t>
            </w:r>
          </w:p>
        </w:tc>
        <w:tc>
          <w:tcPr>
            <w:tcW w:w="4710" w:type="dxa"/>
            <w:tcBorders>
              <w:top w:val="single" w:sz="4" w:space="0" w:color="auto"/>
              <w:bottom w:val="single" w:sz="4" w:space="0" w:color="auto"/>
            </w:tcBorders>
          </w:tcPr>
          <w:p>
            <w:pPr>
              <w:pStyle w:val="yTableNAm"/>
            </w:pPr>
            <w:r>
              <w:rPr>
                <w:b/>
                <w:szCs w:val="22"/>
              </w:rPr>
              <w:t>Final report</w:t>
            </w:r>
          </w:p>
          <w:p>
            <w:pPr>
              <w:pStyle w:val="yTableNAm"/>
              <w:rPr>
                <w:lang w:val="en-US"/>
              </w:rPr>
            </w:pPr>
            <w:r>
              <w:rPr>
                <w:lang w:val="en-US"/>
              </w:rPr>
              <w:t xml:space="preserve">Comprehensive report to be provided at the end of the service delivery detailing — </w:t>
            </w:r>
          </w:p>
          <w:p>
            <w:pPr>
              <w:pStyle w:val="yTableNAm"/>
            </w:pPr>
            <w:r>
              <w:t>physiological testing results pre and post program;</w:t>
            </w:r>
          </w:p>
          <w:p>
            <w:pPr>
              <w:pStyle w:val="yTableNAm"/>
              <w:rPr>
                <w:bCs/>
              </w:rPr>
            </w:pPr>
            <w:r>
              <w:t>worker attendance/program compliance.</w:t>
            </w:r>
          </w:p>
        </w:tc>
        <w:tc>
          <w:tcPr>
            <w:tcW w:w="1410" w:type="dxa"/>
            <w:tcBorders>
              <w:top w:val="single" w:sz="4" w:space="0" w:color="auto"/>
              <w:bottom w:val="single" w:sz="4" w:space="0" w:color="auto"/>
            </w:tcBorders>
          </w:tcPr>
          <w:p>
            <w:pPr>
              <w:pStyle w:val="yTableNAm"/>
            </w:pPr>
          </w:p>
          <w:p>
            <w:pPr>
              <w:pStyle w:val="yTableNAm"/>
            </w:pPr>
            <w:r>
              <w:t xml:space="preserve">$172.00 </w:t>
            </w:r>
            <w:r>
              <w:br/>
              <w:t>per hour to a maximum of 30 minutes**</w:t>
            </w:r>
          </w:p>
        </w:tc>
      </w:tr>
      <w:tr>
        <w:trPr>
          <w:cantSplit/>
        </w:trPr>
        <w:tc>
          <w:tcPr>
            <w:tcW w:w="960" w:type="dxa"/>
            <w:tcBorders>
              <w:top w:val="single" w:sz="4" w:space="0" w:color="auto"/>
              <w:bottom w:val="single" w:sz="4" w:space="0" w:color="auto"/>
            </w:tcBorders>
          </w:tcPr>
          <w:p>
            <w:pPr>
              <w:pStyle w:val="yTableNAm"/>
            </w:pPr>
            <w:r>
              <w:t>EXE05</w:t>
            </w:r>
          </w:p>
        </w:tc>
        <w:tc>
          <w:tcPr>
            <w:tcW w:w="4710" w:type="dxa"/>
            <w:tcBorders>
              <w:top w:val="single" w:sz="4" w:space="0" w:color="auto"/>
              <w:bottom w:val="single" w:sz="4" w:space="0" w:color="auto"/>
            </w:tcBorders>
          </w:tcPr>
          <w:p>
            <w:pPr>
              <w:pStyle w:val="yTableNAm"/>
            </w:pPr>
            <w:r>
              <w:rPr>
                <w:b/>
              </w:rPr>
              <w:t>Gym membership/Entry fees</w:t>
            </w:r>
          </w:p>
          <w:p>
            <w:pPr>
              <w:pStyle w:val="yTableNAm"/>
              <w:rPr>
                <w:lang w:val="en-US"/>
              </w:rPr>
            </w:pPr>
            <w:r>
              <w:t xml:space="preserve">Includes </w:t>
            </w:r>
            <w:r>
              <w:rPr>
                <w:lang w:val="en-US"/>
              </w:rPr>
              <w:t>direct cost of membership (pool or gym).</w:t>
            </w:r>
          </w:p>
          <w:p>
            <w:pPr>
              <w:pStyle w:val="yTableNAm"/>
            </w:pPr>
            <w:r>
              <w:rPr>
                <w:lang w:val="en-US"/>
              </w:rPr>
              <w:t>Prior approval from insurer required.</w:t>
            </w:r>
          </w:p>
        </w:tc>
        <w:tc>
          <w:tcPr>
            <w:tcW w:w="1410" w:type="dxa"/>
            <w:tcBorders>
              <w:top w:val="single" w:sz="4" w:space="0" w:color="auto"/>
              <w:bottom w:val="single" w:sz="4" w:space="0" w:color="auto"/>
            </w:tcBorders>
          </w:tcPr>
          <w:p>
            <w:pPr>
              <w:pStyle w:val="yTableNAm"/>
            </w:pPr>
          </w:p>
          <w:p>
            <w:pPr>
              <w:pStyle w:val="yTableNAm"/>
            </w:pPr>
            <w:r>
              <w:t>Market rates</w:t>
            </w:r>
          </w:p>
        </w:tc>
      </w:tr>
      <w:tr>
        <w:trPr>
          <w:cantSplit/>
        </w:trPr>
        <w:tc>
          <w:tcPr>
            <w:tcW w:w="960" w:type="dxa"/>
            <w:tcBorders>
              <w:top w:val="single" w:sz="4" w:space="0" w:color="auto"/>
              <w:bottom w:val="single" w:sz="4" w:space="0" w:color="auto"/>
            </w:tcBorders>
          </w:tcPr>
          <w:p>
            <w:pPr>
              <w:pStyle w:val="yTableNAm"/>
            </w:pPr>
            <w:r>
              <w:rPr>
                <w:szCs w:val="22"/>
              </w:rPr>
              <w:t>EXE06</w:t>
            </w:r>
          </w:p>
        </w:tc>
        <w:tc>
          <w:tcPr>
            <w:tcW w:w="4710" w:type="dxa"/>
            <w:tcBorders>
              <w:top w:val="single" w:sz="4" w:space="0" w:color="auto"/>
              <w:bottom w:val="single" w:sz="4" w:space="0" w:color="auto"/>
            </w:tcBorders>
          </w:tcPr>
          <w:p>
            <w:pPr>
              <w:pStyle w:val="yTableNAm"/>
            </w:pPr>
            <w:r>
              <w:rPr>
                <w:b/>
                <w:bCs/>
              </w:rPr>
              <w:t>Travel</w:t>
            </w:r>
          </w:p>
          <w:p>
            <w:pPr>
              <w:pStyle w:val="yTableNAm"/>
              <w:rPr>
                <w:lang w:val="en-US"/>
              </w:rPr>
            </w:pPr>
            <w:r>
              <w:rPr>
                <w:lang w:val="en-US"/>
              </w:rPr>
              <w:t>Travel when the most appropriate management of the patient requires the provider to travel away from their normal practice.</w:t>
            </w:r>
          </w:p>
          <w:p>
            <w:pPr>
              <w:pStyle w:val="yTableNAm"/>
              <w:rPr>
                <w:lang w:val="en-US"/>
              </w:rPr>
            </w:pPr>
            <w:r>
              <w:rPr>
                <w:lang w:val="en-US"/>
              </w:rPr>
              <w:t>The insurer must provide pre</w:t>
            </w:r>
            <w:r>
              <w:rPr>
                <w:lang w:val="en-US"/>
              </w:rPr>
              <w:noBreakHyphen/>
              <w:t>approval for travel in excess of one hour.</w:t>
            </w:r>
          </w:p>
          <w:p>
            <w:pPr>
              <w:pStyle w:val="yTableNAm"/>
            </w:pPr>
            <w:r>
              <w:t>If services are provided to more than one worker before leaving a venue, the fee for the journey is to be apportioned equally between workers.</w:t>
            </w:r>
          </w:p>
        </w:tc>
        <w:tc>
          <w:tcPr>
            <w:tcW w:w="1410" w:type="dxa"/>
            <w:tcBorders>
              <w:top w:val="single" w:sz="4" w:space="0" w:color="auto"/>
              <w:bottom w:val="single" w:sz="4" w:space="0" w:color="auto"/>
            </w:tcBorders>
          </w:tcPr>
          <w:p>
            <w:pPr>
              <w:pStyle w:val="yTableNAm"/>
            </w:pPr>
          </w:p>
          <w:p>
            <w:pPr>
              <w:pStyle w:val="yTableNAm"/>
            </w:pPr>
            <w:r>
              <w:t xml:space="preserve">$137.65 </w:t>
            </w:r>
            <w:r>
              <w:br/>
              <w:t>per hour **</w:t>
            </w:r>
          </w:p>
        </w:tc>
      </w:tr>
      <w:tr>
        <w:trPr>
          <w:cantSplit/>
        </w:trPr>
        <w:tc>
          <w:tcPr>
            <w:tcW w:w="960" w:type="dxa"/>
            <w:tcBorders>
              <w:top w:val="single" w:sz="4" w:space="0" w:color="auto"/>
              <w:bottom w:val="single" w:sz="4" w:space="0" w:color="auto"/>
            </w:tcBorders>
          </w:tcPr>
          <w:p>
            <w:pPr>
              <w:pStyle w:val="yTableNAm"/>
            </w:pPr>
            <w:r>
              <w:t>EXE08</w:t>
            </w:r>
          </w:p>
        </w:tc>
        <w:tc>
          <w:tcPr>
            <w:tcW w:w="4710" w:type="dxa"/>
            <w:tcBorders>
              <w:top w:val="single" w:sz="4" w:space="0" w:color="auto"/>
              <w:bottom w:val="single" w:sz="4" w:space="0" w:color="auto"/>
            </w:tcBorders>
          </w:tcPr>
          <w:p>
            <w:pPr>
              <w:pStyle w:val="yTableNAm"/>
            </w:pPr>
            <w:r>
              <w:rPr>
                <w:b/>
              </w:rPr>
              <w:t>Communication</w:t>
            </w:r>
          </w:p>
          <w:p>
            <w:pPr>
              <w:pStyle w:val="yTableNAm"/>
            </w:pPr>
            <w:r>
              <w:t xml:space="preserve">Any requested or required oral communication </w:t>
            </w:r>
            <w:r>
              <w:rPr>
                <w:lang w:val="en-US"/>
              </w:rPr>
              <w:t xml:space="preserve">with relevant parties (treating medical practitioners, employers and insurers) </w:t>
            </w:r>
            <w:r>
              <w:t>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10" w:type="dxa"/>
            <w:tcBorders>
              <w:top w:val="single" w:sz="4" w:space="0" w:color="auto"/>
              <w:bottom w:val="single" w:sz="4" w:space="0" w:color="auto"/>
            </w:tcBorders>
          </w:tcPr>
          <w:p>
            <w:pPr>
              <w:pStyle w:val="yTableNAm"/>
            </w:pPr>
          </w:p>
          <w:p>
            <w:pPr>
              <w:pStyle w:val="yTableNAm"/>
            </w:pPr>
            <w:r>
              <w:t>$17.30</w:t>
            </w:r>
            <w:r>
              <w:br/>
              <w:t>per 6 minute block</w:t>
            </w:r>
          </w:p>
        </w:tc>
      </w:tr>
      <w:tr>
        <w:trPr>
          <w:cantSplit/>
        </w:trPr>
        <w:tc>
          <w:tcPr>
            <w:tcW w:w="960" w:type="dxa"/>
            <w:tcBorders>
              <w:top w:val="single" w:sz="4" w:space="0" w:color="auto"/>
              <w:bottom w:val="single" w:sz="4" w:space="0" w:color="auto"/>
            </w:tcBorders>
          </w:tcPr>
          <w:p>
            <w:pPr>
              <w:pStyle w:val="yTableNAm"/>
            </w:pPr>
            <w:r>
              <w:t>EXE09</w:t>
            </w:r>
          </w:p>
        </w:tc>
        <w:tc>
          <w:tcPr>
            <w:tcW w:w="4710" w:type="dxa"/>
            <w:tcBorders>
              <w:top w:val="single" w:sz="4" w:space="0" w:color="auto"/>
              <w:bottom w:val="single" w:sz="4" w:space="0" w:color="auto"/>
            </w:tcBorders>
          </w:tcPr>
          <w:p>
            <w:pPr>
              <w:pStyle w:val="yTableNAm"/>
              <w:rPr>
                <w:lang w:val="en-US"/>
              </w:rPr>
            </w:pPr>
            <w:r>
              <w:rPr>
                <w:b/>
                <w:szCs w:val="22"/>
                <w:lang w:val="en-US"/>
              </w:rPr>
              <w:t>Attendance at Medical Case Conferences</w:t>
            </w:r>
          </w:p>
          <w:p>
            <w:pPr>
              <w:pStyle w:val="yTableNAm"/>
            </w:pPr>
            <w:r>
              <w:rPr>
                <w:lang w:val="en-US"/>
              </w:rPr>
              <w:t>Insurer approval must be obtained prior to undertaking the service.</w:t>
            </w:r>
          </w:p>
        </w:tc>
        <w:tc>
          <w:tcPr>
            <w:tcW w:w="1410" w:type="dxa"/>
            <w:tcBorders>
              <w:top w:val="single" w:sz="4" w:space="0" w:color="auto"/>
              <w:bottom w:val="single" w:sz="4" w:space="0" w:color="auto"/>
            </w:tcBorders>
          </w:tcPr>
          <w:p>
            <w:pPr>
              <w:pStyle w:val="yTableNAm"/>
            </w:pPr>
          </w:p>
          <w:p>
            <w:pPr>
              <w:pStyle w:val="yTableNAm"/>
              <w:rPr>
                <w:strike/>
              </w:rPr>
            </w:pPr>
            <w:r>
              <w:t xml:space="preserve">$172.00 </w:t>
            </w:r>
            <w:r>
              <w:br/>
              <w:t>per hour **</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2 inserted in Gazette 25 Sep 2012 p. 4487-9.]</w:t>
      </w:r>
    </w:p>
    <w:p>
      <w:pPr>
        <w:pStyle w:val="yScheduleHeading"/>
      </w:pPr>
      <w:bookmarkStart w:id="60" w:name="_Toc339360097"/>
      <w:bookmarkStart w:id="61" w:name="_Toc339360501"/>
      <w:r>
        <w:rPr>
          <w:rStyle w:val="CharSchNo"/>
        </w:rPr>
        <w:t>Schedule 3</w:t>
      </w:r>
      <w:r>
        <w:rPr>
          <w:rStyle w:val="CharSDivNo"/>
        </w:rPr>
        <w:t> </w:t>
      </w:r>
      <w:r>
        <w:t>—</w:t>
      </w:r>
      <w:r>
        <w:rPr>
          <w:rStyle w:val="CharSDivText"/>
        </w:rPr>
        <w:t> </w:t>
      </w:r>
      <w:r>
        <w:rPr>
          <w:rStyle w:val="CharSchText"/>
        </w:rPr>
        <w:t>Scale of fees: chiropractors</w:t>
      </w:r>
      <w:bookmarkEnd w:id="60"/>
      <w:bookmarkEnd w:id="61"/>
    </w:p>
    <w:p>
      <w:pPr>
        <w:pStyle w:val="yShoulderClause"/>
        <w:spacing w:after="120"/>
      </w:pPr>
      <w:r>
        <w:t>[r. 4]</w:t>
      </w:r>
    </w:p>
    <w:p>
      <w:pPr>
        <w:pStyle w:val="yFootnoteheading"/>
        <w:spacing w:after="60"/>
      </w:pPr>
      <w:r>
        <w:tab/>
        <w:t>[Heading inserted in Gazette 25 Sep 2012 p. 4490.]</w:t>
      </w:r>
    </w:p>
    <w:tbl>
      <w:tblPr>
        <w:tblW w:w="0" w:type="auto"/>
        <w:tblInd w:w="108" w:type="dxa"/>
        <w:tblLayout w:type="fixed"/>
        <w:tblLook w:val="0000" w:firstRow="0" w:lastRow="0" w:firstColumn="0" w:lastColumn="0" w:noHBand="0" w:noVBand="0"/>
      </w:tblPr>
      <w:tblGrid>
        <w:gridCol w:w="720"/>
        <w:gridCol w:w="5280"/>
        <w:gridCol w:w="1080"/>
      </w:tblGrid>
      <w:tr>
        <w:trPr>
          <w:cantSplit/>
          <w:tblHeader/>
        </w:trPr>
        <w:tc>
          <w:tcPr>
            <w:tcW w:w="720" w:type="dxa"/>
            <w:tcBorders>
              <w:top w:val="single" w:sz="4" w:space="0" w:color="auto"/>
              <w:bottom w:val="single" w:sz="4" w:space="0" w:color="auto"/>
            </w:tcBorders>
          </w:tcPr>
          <w:p>
            <w:pPr>
              <w:pStyle w:val="zyTableNAm"/>
            </w:pPr>
          </w:p>
        </w:tc>
        <w:tc>
          <w:tcPr>
            <w:tcW w:w="5280" w:type="dxa"/>
            <w:tcBorders>
              <w:top w:val="single" w:sz="4" w:space="0" w:color="auto"/>
              <w:bottom w:val="single" w:sz="4" w:space="0" w:color="auto"/>
            </w:tcBorders>
          </w:tcPr>
          <w:p>
            <w:pPr>
              <w:pStyle w:val="yTableNAm"/>
            </w:pPr>
            <w:r>
              <w:rPr>
                <w:b/>
              </w:rPr>
              <w:t>Type of service</w:t>
            </w:r>
          </w:p>
        </w:tc>
        <w:tc>
          <w:tcPr>
            <w:tcW w:w="1080" w:type="dxa"/>
            <w:tcBorders>
              <w:top w:val="single" w:sz="4" w:space="0" w:color="auto"/>
              <w:bottom w:val="single" w:sz="4" w:space="0" w:color="auto"/>
            </w:tcBorders>
          </w:tcPr>
          <w:p>
            <w:pPr>
              <w:pStyle w:val="yTableNAm"/>
              <w:jc w:val="right"/>
            </w:pPr>
            <w:r>
              <w:rPr>
                <w:b/>
              </w:rPr>
              <w:t>Fee</w:t>
            </w:r>
            <w:r>
              <w:rPr>
                <w:b/>
              </w:rPr>
              <w:br/>
            </w:r>
          </w:p>
        </w:tc>
      </w:tr>
      <w:tr>
        <w:trPr>
          <w:cantSplit/>
        </w:trPr>
        <w:tc>
          <w:tcPr>
            <w:tcW w:w="720" w:type="dxa"/>
          </w:tcPr>
          <w:p>
            <w:pPr>
              <w:pStyle w:val="yTableNAm"/>
            </w:pPr>
            <w:r>
              <w:t>1.</w:t>
            </w:r>
          </w:p>
        </w:tc>
        <w:tc>
          <w:tcPr>
            <w:tcW w:w="5280" w:type="dxa"/>
          </w:tcPr>
          <w:p>
            <w:pPr>
              <w:pStyle w:val="yTableNAm"/>
            </w:pPr>
            <w:r>
              <w:t>Initial consultation and examination</w:t>
            </w:r>
          </w:p>
        </w:tc>
        <w:tc>
          <w:tcPr>
            <w:tcW w:w="1080" w:type="dxa"/>
            <w:tcBorders>
              <w:top w:val="single" w:sz="4" w:space="0" w:color="auto"/>
            </w:tcBorders>
            <w:vAlign w:val="bottom"/>
          </w:tcPr>
          <w:p>
            <w:pPr>
              <w:pStyle w:val="yTableNAm"/>
              <w:jc w:val="right"/>
            </w:pPr>
            <w:r>
              <w:rPr>
                <w:sz w:val="20"/>
              </w:rPr>
              <w:t>$59.65</w:t>
            </w:r>
          </w:p>
        </w:tc>
      </w:tr>
      <w:tr>
        <w:trPr>
          <w:cantSplit/>
        </w:trPr>
        <w:tc>
          <w:tcPr>
            <w:tcW w:w="720" w:type="dxa"/>
          </w:tcPr>
          <w:p>
            <w:pPr>
              <w:pStyle w:val="yTableNAm"/>
            </w:pPr>
            <w:r>
              <w:t>2.</w:t>
            </w:r>
          </w:p>
        </w:tc>
        <w:tc>
          <w:tcPr>
            <w:tcW w:w="5280" w:type="dxa"/>
          </w:tcPr>
          <w:p>
            <w:pPr>
              <w:pStyle w:val="yTableNAm"/>
            </w:pPr>
            <w:r>
              <w:t>Subsequent consultation</w:t>
            </w:r>
          </w:p>
        </w:tc>
        <w:tc>
          <w:tcPr>
            <w:tcW w:w="1080" w:type="dxa"/>
            <w:vAlign w:val="bottom"/>
          </w:tcPr>
          <w:p>
            <w:pPr>
              <w:pStyle w:val="yTableNAm"/>
              <w:jc w:val="right"/>
            </w:pPr>
            <w:r>
              <w:rPr>
                <w:sz w:val="20"/>
              </w:rPr>
              <w:t>$49.75</w:t>
            </w:r>
          </w:p>
        </w:tc>
      </w:tr>
      <w:tr>
        <w:trPr>
          <w:cantSplit/>
        </w:trPr>
        <w:tc>
          <w:tcPr>
            <w:tcW w:w="720" w:type="dxa"/>
          </w:tcPr>
          <w:p>
            <w:pPr>
              <w:pStyle w:val="yTableNAm"/>
            </w:pPr>
            <w:r>
              <w:t>3.</w:t>
            </w:r>
          </w:p>
        </w:tc>
        <w:tc>
          <w:tcPr>
            <w:tcW w:w="5280" w:type="dxa"/>
          </w:tcPr>
          <w:p>
            <w:pPr>
              <w:pStyle w:val="yTableNAm"/>
            </w:pPr>
            <w:r>
              <w:t>Spinal x</w:t>
            </w:r>
            <w:r>
              <w:noBreakHyphen/>
              <w:t>ray, one region</w:t>
            </w:r>
          </w:p>
        </w:tc>
        <w:tc>
          <w:tcPr>
            <w:tcW w:w="1080" w:type="dxa"/>
            <w:vAlign w:val="bottom"/>
          </w:tcPr>
          <w:p>
            <w:pPr>
              <w:pStyle w:val="yTableNAm"/>
              <w:jc w:val="right"/>
            </w:pPr>
            <w:r>
              <w:rPr>
                <w:sz w:val="20"/>
              </w:rPr>
              <w:t>$118.50</w:t>
            </w:r>
          </w:p>
        </w:tc>
      </w:tr>
      <w:tr>
        <w:trPr>
          <w:cantSplit/>
        </w:trPr>
        <w:tc>
          <w:tcPr>
            <w:tcW w:w="720" w:type="dxa"/>
          </w:tcPr>
          <w:p>
            <w:pPr>
              <w:pStyle w:val="yTableNAm"/>
            </w:pPr>
            <w:r>
              <w:t>4.</w:t>
            </w:r>
          </w:p>
        </w:tc>
        <w:tc>
          <w:tcPr>
            <w:tcW w:w="5280" w:type="dxa"/>
          </w:tcPr>
          <w:p>
            <w:pPr>
              <w:pStyle w:val="yTableNAm"/>
            </w:pPr>
            <w:r>
              <w:t>Spinal x</w:t>
            </w:r>
            <w:r>
              <w:noBreakHyphen/>
              <w:t>ray, 2 or more regions</w:t>
            </w:r>
          </w:p>
        </w:tc>
        <w:tc>
          <w:tcPr>
            <w:tcW w:w="1080" w:type="dxa"/>
            <w:vAlign w:val="bottom"/>
          </w:tcPr>
          <w:p>
            <w:pPr>
              <w:pStyle w:val="yTableNAm"/>
              <w:jc w:val="right"/>
            </w:pPr>
            <w:r>
              <w:rPr>
                <w:sz w:val="20"/>
              </w:rPr>
              <w:t>$177.95</w:t>
            </w:r>
          </w:p>
        </w:tc>
      </w:tr>
      <w:tr>
        <w:trPr>
          <w:cantSplit/>
        </w:trPr>
        <w:tc>
          <w:tcPr>
            <w:tcW w:w="720" w:type="dxa"/>
            <w:tcBorders>
              <w:bottom w:val="single" w:sz="4" w:space="0" w:color="auto"/>
            </w:tcBorders>
          </w:tcPr>
          <w:p>
            <w:pPr>
              <w:pStyle w:val="yTableNAm"/>
            </w:pPr>
            <w:r>
              <w:t>5.</w:t>
            </w:r>
          </w:p>
        </w:tc>
        <w:tc>
          <w:tcPr>
            <w:tcW w:w="5280" w:type="dxa"/>
            <w:tcBorders>
              <w:bottom w:val="single" w:sz="4" w:space="0" w:color="auto"/>
            </w:tcBorders>
          </w:tcPr>
          <w:p>
            <w:pPr>
              <w:pStyle w:val="yTableNAm"/>
            </w:pPr>
            <w:r>
              <w:t>Travel (per kilometre)</w:t>
            </w:r>
          </w:p>
        </w:tc>
        <w:tc>
          <w:tcPr>
            <w:tcW w:w="1080" w:type="dxa"/>
            <w:tcBorders>
              <w:bottom w:val="single" w:sz="4" w:space="0" w:color="auto"/>
            </w:tcBorders>
            <w:vAlign w:val="bottom"/>
          </w:tcPr>
          <w:p>
            <w:pPr>
              <w:pStyle w:val="yTableNAm"/>
              <w:jc w:val="right"/>
            </w:pPr>
            <w:r>
              <w:rPr>
                <w:sz w:val="20"/>
              </w:rPr>
              <w:t>$0.90</w:t>
            </w:r>
          </w:p>
        </w:tc>
      </w:tr>
    </w:tbl>
    <w:p>
      <w:pPr>
        <w:pStyle w:val="yFootnotesection"/>
      </w:pPr>
      <w:r>
        <w:tab/>
        <w:t>[Schedule 3 inserted in Gazette 25 Sep 2012 p. 4490.]</w:t>
      </w:r>
    </w:p>
    <w:p>
      <w:pPr>
        <w:pStyle w:val="yScheduleHeading"/>
      </w:pPr>
      <w:bookmarkStart w:id="62" w:name="_Toc339360098"/>
      <w:bookmarkStart w:id="63" w:name="_Toc339360502"/>
      <w:r>
        <w:rPr>
          <w:rStyle w:val="CharSchNo"/>
        </w:rPr>
        <w:t>Schedule 4</w:t>
      </w:r>
      <w:r>
        <w:rPr>
          <w:rStyle w:val="CharSDivNo"/>
        </w:rPr>
        <w:t> </w:t>
      </w:r>
      <w:r>
        <w:t>—</w:t>
      </w:r>
      <w:r>
        <w:rPr>
          <w:rStyle w:val="CharSDivText"/>
        </w:rPr>
        <w:t> </w:t>
      </w:r>
      <w:r>
        <w:rPr>
          <w:rStyle w:val="CharSchText"/>
        </w:rPr>
        <w:t>Scale of fees: occupational therapists</w:t>
      </w:r>
      <w:bookmarkEnd w:id="62"/>
      <w:bookmarkEnd w:id="63"/>
    </w:p>
    <w:p>
      <w:pPr>
        <w:pStyle w:val="yShoulderClause"/>
        <w:keepNext/>
        <w:keepLines/>
        <w:spacing w:after="120"/>
      </w:pPr>
      <w:r>
        <w:t>[r. 5]</w:t>
      </w:r>
    </w:p>
    <w:p>
      <w:pPr>
        <w:pStyle w:val="yFootnoteheading"/>
        <w:spacing w:after="60"/>
      </w:pPr>
      <w:r>
        <w:tab/>
        <w:t>[Heading inserted in Gazette 25 Sep 2012 p. 4490.]</w:t>
      </w:r>
    </w:p>
    <w:tbl>
      <w:tblPr>
        <w:tblW w:w="0" w:type="auto"/>
        <w:tblInd w:w="108" w:type="dxa"/>
        <w:tblLayout w:type="fixed"/>
        <w:tblLook w:val="0000" w:firstRow="0" w:lastRow="0" w:firstColumn="0" w:lastColumn="0" w:noHBand="0" w:noVBand="0"/>
      </w:tblPr>
      <w:tblGrid>
        <w:gridCol w:w="720"/>
        <w:gridCol w:w="5280"/>
        <w:gridCol w:w="1080"/>
      </w:tblGrid>
      <w:tr>
        <w:trPr>
          <w:cantSplit/>
        </w:trPr>
        <w:tc>
          <w:tcPr>
            <w:tcW w:w="720" w:type="dxa"/>
            <w:tcBorders>
              <w:top w:val="single" w:sz="4" w:space="0" w:color="auto"/>
              <w:bottom w:val="single" w:sz="4" w:space="0" w:color="auto"/>
            </w:tcBorders>
          </w:tcPr>
          <w:p>
            <w:pPr>
              <w:pStyle w:val="zyTableNAm"/>
              <w:keepNext/>
              <w:keepLines/>
              <w:rPr>
                <w:szCs w:val="22"/>
              </w:rPr>
            </w:pPr>
          </w:p>
        </w:tc>
        <w:tc>
          <w:tcPr>
            <w:tcW w:w="5280" w:type="dxa"/>
            <w:tcBorders>
              <w:top w:val="single" w:sz="4" w:space="0" w:color="auto"/>
              <w:bottom w:val="single" w:sz="4" w:space="0" w:color="auto"/>
            </w:tcBorders>
          </w:tcPr>
          <w:p>
            <w:pPr>
              <w:pStyle w:val="yTableNAm"/>
            </w:pPr>
            <w:r>
              <w:rPr>
                <w:b/>
                <w:szCs w:val="22"/>
              </w:rPr>
              <w:t>Type of service</w:t>
            </w:r>
          </w:p>
        </w:tc>
        <w:tc>
          <w:tcPr>
            <w:tcW w:w="1080" w:type="dxa"/>
            <w:tcBorders>
              <w:top w:val="single" w:sz="4" w:space="0" w:color="auto"/>
              <w:bottom w:val="single" w:sz="4" w:space="0" w:color="auto"/>
            </w:tcBorders>
          </w:tcPr>
          <w:p>
            <w:pPr>
              <w:pStyle w:val="yTableNAm"/>
              <w:jc w:val="right"/>
            </w:pPr>
            <w:r>
              <w:rPr>
                <w:b/>
                <w:szCs w:val="22"/>
              </w:rPr>
              <w:t>Fee</w:t>
            </w:r>
            <w:r>
              <w:rPr>
                <w:b/>
                <w:szCs w:val="22"/>
              </w:rPr>
              <w:br/>
            </w:r>
          </w:p>
        </w:tc>
      </w:tr>
      <w:tr>
        <w:trPr>
          <w:cantSplit/>
        </w:trPr>
        <w:tc>
          <w:tcPr>
            <w:tcW w:w="720" w:type="dxa"/>
            <w:tcBorders>
              <w:top w:val="single" w:sz="4" w:space="0" w:color="auto"/>
            </w:tcBorders>
          </w:tcPr>
          <w:p>
            <w:pPr>
              <w:pStyle w:val="yTableNAm"/>
            </w:pPr>
            <w:r>
              <w:rPr>
                <w:szCs w:val="22"/>
              </w:rPr>
              <w:t>1.</w:t>
            </w:r>
          </w:p>
        </w:tc>
        <w:tc>
          <w:tcPr>
            <w:tcW w:w="5280" w:type="dxa"/>
            <w:tcBorders>
              <w:top w:val="single" w:sz="4" w:space="0" w:color="auto"/>
            </w:tcBorders>
          </w:tcPr>
          <w:p>
            <w:pPr>
              <w:pStyle w:val="yTableNAm"/>
            </w:pPr>
            <w:r>
              <w:rPr>
                <w:szCs w:val="22"/>
              </w:rPr>
              <w:t>Brief consultation (&lt; 15 minutes)</w:t>
            </w:r>
          </w:p>
        </w:tc>
        <w:tc>
          <w:tcPr>
            <w:tcW w:w="1080" w:type="dxa"/>
            <w:tcBorders>
              <w:top w:val="single" w:sz="4" w:space="0" w:color="auto"/>
            </w:tcBorders>
            <w:vAlign w:val="bottom"/>
          </w:tcPr>
          <w:p>
            <w:pPr>
              <w:pStyle w:val="yTableNAm"/>
              <w:jc w:val="right"/>
            </w:pPr>
            <w:r>
              <w:rPr>
                <w:szCs w:val="22"/>
              </w:rPr>
              <w:t>$25.70</w:t>
            </w:r>
          </w:p>
        </w:tc>
      </w:tr>
      <w:tr>
        <w:trPr>
          <w:cantSplit/>
        </w:trPr>
        <w:tc>
          <w:tcPr>
            <w:tcW w:w="720" w:type="dxa"/>
          </w:tcPr>
          <w:p>
            <w:pPr>
              <w:pStyle w:val="yTableNAm"/>
            </w:pPr>
            <w:r>
              <w:rPr>
                <w:szCs w:val="22"/>
              </w:rPr>
              <w:t>2.</w:t>
            </w:r>
          </w:p>
        </w:tc>
        <w:tc>
          <w:tcPr>
            <w:tcW w:w="5280" w:type="dxa"/>
          </w:tcPr>
          <w:p>
            <w:pPr>
              <w:pStyle w:val="yTableNAm"/>
            </w:pPr>
            <w:r>
              <w:rPr>
                <w:szCs w:val="22"/>
              </w:rPr>
              <w:t>Short consultation (15 minutes to &lt; 30 minutes)</w:t>
            </w:r>
          </w:p>
        </w:tc>
        <w:tc>
          <w:tcPr>
            <w:tcW w:w="1080" w:type="dxa"/>
            <w:vAlign w:val="bottom"/>
          </w:tcPr>
          <w:p>
            <w:pPr>
              <w:pStyle w:val="yTableNAm"/>
              <w:jc w:val="right"/>
            </w:pPr>
            <w:r>
              <w:rPr>
                <w:szCs w:val="22"/>
              </w:rPr>
              <w:t>$51.60</w:t>
            </w:r>
          </w:p>
        </w:tc>
      </w:tr>
      <w:tr>
        <w:trPr>
          <w:cantSplit/>
        </w:trPr>
        <w:tc>
          <w:tcPr>
            <w:tcW w:w="720" w:type="dxa"/>
          </w:tcPr>
          <w:p>
            <w:pPr>
              <w:pStyle w:val="yTableNAm"/>
            </w:pPr>
            <w:r>
              <w:rPr>
                <w:szCs w:val="22"/>
              </w:rPr>
              <w:t>3.</w:t>
            </w:r>
          </w:p>
        </w:tc>
        <w:tc>
          <w:tcPr>
            <w:tcW w:w="5280" w:type="dxa"/>
          </w:tcPr>
          <w:p>
            <w:pPr>
              <w:pStyle w:val="yTableNAm"/>
            </w:pPr>
            <w:r>
              <w:rPr>
                <w:szCs w:val="22"/>
              </w:rPr>
              <w:t>Standard consultation (30 minutes to &lt; 45 minutes)</w:t>
            </w:r>
          </w:p>
        </w:tc>
        <w:tc>
          <w:tcPr>
            <w:tcW w:w="1080" w:type="dxa"/>
            <w:vAlign w:val="bottom"/>
          </w:tcPr>
          <w:p>
            <w:pPr>
              <w:pStyle w:val="yTableNAm"/>
              <w:jc w:val="right"/>
            </w:pPr>
            <w:r>
              <w:rPr>
                <w:szCs w:val="22"/>
              </w:rPr>
              <w:t>$85.05</w:t>
            </w:r>
          </w:p>
        </w:tc>
      </w:tr>
      <w:tr>
        <w:trPr>
          <w:cantSplit/>
        </w:trPr>
        <w:tc>
          <w:tcPr>
            <w:tcW w:w="720" w:type="dxa"/>
          </w:tcPr>
          <w:p>
            <w:pPr>
              <w:pStyle w:val="yTableNAm"/>
            </w:pPr>
            <w:r>
              <w:rPr>
                <w:szCs w:val="22"/>
              </w:rPr>
              <w:t>4.</w:t>
            </w:r>
          </w:p>
        </w:tc>
        <w:tc>
          <w:tcPr>
            <w:tcW w:w="5280" w:type="dxa"/>
          </w:tcPr>
          <w:p>
            <w:pPr>
              <w:pStyle w:val="yTableNAm"/>
            </w:pPr>
            <w:r>
              <w:rPr>
                <w:szCs w:val="22"/>
              </w:rPr>
              <w:t>Extended consultation (45 minutes to &lt; one hour)</w:t>
            </w:r>
          </w:p>
        </w:tc>
        <w:tc>
          <w:tcPr>
            <w:tcW w:w="1080" w:type="dxa"/>
            <w:vAlign w:val="bottom"/>
          </w:tcPr>
          <w:p>
            <w:pPr>
              <w:pStyle w:val="yTableNAm"/>
              <w:jc w:val="right"/>
            </w:pPr>
            <w:r>
              <w:rPr>
                <w:szCs w:val="22"/>
              </w:rPr>
              <w:t>$127.55</w:t>
            </w:r>
          </w:p>
        </w:tc>
      </w:tr>
      <w:tr>
        <w:trPr>
          <w:cantSplit/>
        </w:trPr>
        <w:tc>
          <w:tcPr>
            <w:tcW w:w="720" w:type="dxa"/>
          </w:tcPr>
          <w:p>
            <w:pPr>
              <w:pStyle w:val="yTableNAm"/>
            </w:pPr>
            <w:r>
              <w:rPr>
                <w:szCs w:val="22"/>
              </w:rPr>
              <w:t>5.</w:t>
            </w:r>
          </w:p>
        </w:tc>
        <w:tc>
          <w:tcPr>
            <w:tcW w:w="5280" w:type="dxa"/>
          </w:tcPr>
          <w:p>
            <w:pPr>
              <w:pStyle w:val="yTableNAm"/>
            </w:pPr>
            <w:r>
              <w:rPr>
                <w:szCs w:val="22"/>
              </w:rPr>
              <w:t>Extended consultation ( &gt; one hour)</w:t>
            </w:r>
          </w:p>
        </w:tc>
        <w:tc>
          <w:tcPr>
            <w:tcW w:w="1080" w:type="dxa"/>
            <w:vAlign w:val="bottom"/>
          </w:tcPr>
          <w:p>
            <w:pPr>
              <w:pStyle w:val="yTableNAm"/>
              <w:jc w:val="right"/>
            </w:pPr>
            <w:r>
              <w:rPr>
                <w:szCs w:val="22"/>
              </w:rPr>
              <w:t>$170.20</w:t>
            </w:r>
          </w:p>
        </w:tc>
      </w:tr>
      <w:tr>
        <w:trPr>
          <w:cantSplit/>
        </w:trPr>
        <w:tc>
          <w:tcPr>
            <w:tcW w:w="720" w:type="dxa"/>
          </w:tcPr>
          <w:p>
            <w:pPr>
              <w:pStyle w:val="yTableNAm"/>
            </w:pPr>
            <w:r>
              <w:rPr>
                <w:szCs w:val="22"/>
              </w:rPr>
              <w:t>6.</w:t>
            </w:r>
          </w:p>
        </w:tc>
        <w:tc>
          <w:tcPr>
            <w:tcW w:w="5280" w:type="dxa"/>
          </w:tcPr>
          <w:p>
            <w:pPr>
              <w:pStyle w:val="yTableNAm"/>
            </w:pPr>
            <w:r>
              <w:rPr>
                <w:szCs w:val="22"/>
              </w:rPr>
              <w:t>Standard group consultation (30 minutes) per person</w:t>
            </w:r>
          </w:p>
        </w:tc>
        <w:tc>
          <w:tcPr>
            <w:tcW w:w="1080" w:type="dxa"/>
            <w:vAlign w:val="bottom"/>
          </w:tcPr>
          <w:p>
            <w:pPr>
              <w:pStyle w:val="yTableNAm"/>
              <w:jc w:val="right"/>
            </w:pPr>
            <w:r>
              <w:rPr>
                <w:szCs w:val="22"/>
              </w:rPr>
              <w:t>$55.85</w:t>
            </w:r>
          </w:p>
        </w:tc>
      </w:tr>
      <w:tr>
        <w:trPr>
          <w:cantSplit/>
        </w:trPr>
        <w:tc>
          <w:tcPr>
            <w:tcW w:w="720" w:type="dxa"/>
            <w:tcBorders>
              <w:bottom w:val="single" w:sz="4" w:space="0" w:color="auto"/>
            </w:tcBorders>
          </w:tcPr>
          <w:p>
            <w:pPr>
              <w:pStyle w:val="yTableNAm"/>
            </w:pPr>
            <w:r>
              <w:rPr>
                <w:szCs w:val="22"/>
              </w:rPr>
              <w:t>7.</w:t>
            </w:r>
          </w:p>
        </w:tc>
        <w:tc>
          <w:tcPr>
            <w:tcW w:w="6360" w:type="dxa"/>
            <w:gridSpan w:val="2"/>
            <w:tcBorders>
              <w:bottom w:val="single" w:sz="4" w:space="0" w:color="auto"/>
            </w:tcBorders>
          </w:tcPr>
          <w:p>
            <w:pPr>
              <w:pStyle w:val="yTableNAm"/>
            </w:pPr>
            <w:r>
              <w:rPr>
                <w:szCs w:val="22"/>
              </w:rPr>
              <w:t xml:space="preserve">Travel costs are to be calculated at the hourly rate by </w:t>
            </w:r>
            <w:r>
              <w:rPr>
                <w:szCs w:val="22"/>
              </w:rPr>
              <w:br/>
              <w:t>the length of time spent travelling.</w:t>
            </w:r>
          </w:p>
        </w:tc>
      </w:tr>
    </w:tbl>
    <w:p>
      <w:pPr>
        <w:pStyle w:val="yFootnotesection"/>
      </w:pPr>
      <w:r>
        <w:tab/>
        <w:t>[Schedule 4 inserted in Gazette 25 Sep 2012 p. 4490.]</w:t>
      </w:r>
    </w:p>
    <w:p>
      <w:pPr>
        <w:pStyle w:val="yScheduleHeading"/>
      </w:pPr>
      <w:bookmarkStart w:id="64" w:name="_Toc339360099"/>
      <w:bookmarkStart w:id="65" w:name="_Toc339360503"/>
      <w:r>
        <w:rPr>
          <w:rStyle w:val="CharSchNo"/>
        </w:rPr>
        <w:t>Schedule 5</w:t>
      </w:r>
      <w:r>
        <w:rPr>
          <w:rStyle w:val="CharSDivNo"/>
        </w:rPr>
        <w:t> </w:t>
      </w:r>
      <w:r>
        <w:t>—</w:t>
      </w:r>
      <w:r>
        <w:rPr>
          <w:rStyle w:val="CharSDivText"/>
        </w:rPr>
        <w:t> </w:t>
      </w:r>
      <w:r>
        <w:rPr>
          <w:rStyle w:val="CharSchText"/>
        </w:rPr>
        <w:t>Scale of fees: speech pathologists</w:t>
      </w:r>
      <w:bookmarkEnd w:id="64"/>
      <w:bookmarkEnd w:id="65"/>
    </w:p>
    <w:p>
      <w:pPr>
        <w:pStyle w:val="yShoulderClause"/>
        <w:spacing w:after="120"/>
      </w:pPr>
      <w:r>
        <w:t>[r. 7]</w:t>
      </w:r>
    </w:p>
    <w:p>
      <w:pPr>
        <w:pStyle w:val="yFootnoteheading"/>
        <w:spacing w:after="60"/>
      </w:pPr>
      <w:r>
        <w:tab/>
        <w:t>[Heading inserted in Gazette 25 Sep 2012 p. 4491.]</w:t>
      </w:r>
    </w:p>
    <w:tbl>
      <w:tblPr>
        <w:tblW w:w="0" w:type="auto"/>
        <w:tblInd w:w="108" w:type="dxa"/>
        <w:tblLayout w:type="fixed"/>
        <w:tblLook w:val="0000" w:firstRow="0" w:lastRow="0" w:firstColumn="0" w:lastColumn="0" w:noHBand="0" w:noVBand="0"/>
      </w:tblPr>
      <w:tblGrid>
        <w:gridCol w:w="720"/>
        <w:gridCol w:w="5280"/>
        <w:gridCol w:w="1080"/>
      </w:tblGrid>
      <w:tr>
        <w:trPr>
          <w:cantSplit/>
        </w:trPr>
        <w:tc>
          <w:tcPr>
            <w:tcW w:w="720" w:type="dxa"/>
            <w:tcBorders>
              <w:top w:val="single" w:sz="4" w:space="0" w:color="auto"/>
              <w:bottom w:val="single" w:sz="4" w:space="0" w:color="auto"/>
            </w:tcBorders>
          </w:tcPr>
          <w:p>
            <w:pPr>
              <w:pStyle w:val="zyTableNAm"/>
              <w:rPr>
                <w:szCs w:val="22"/>
              </w:rPr>
            </w:pPr>
          </w:p>
        </w:tc>
        <w:tc>
          <w:tcPr>
            <w:tcW w:w="5280" w:type="dxa"/>
            <w:tcBorders>
              <w:top w:val="single" w:sz="4" w:space="0" w:color="auto"/>
              <w:bottom w:val="single" w:sz="4" w:space="0" w:color="auto"/>
            </w:tcBorders>
          </w:tcPr>
          <w:p>
            <w:pPr>
              <w:pStyle w:val="yTableNAm"/>
            </w:pPr>
            <w:r>
              <w:rPr>
                <w:b/>
                <w:szCs w:val="22"/>
              </w:rPr>
              <w:t>Type of service</w:t>
            </w:r>
          </w:p>
        </w:tc>
        <w:tc>
          <w:tcPr>
            <w:tcW w:w="1080" w:type="dxa"/>
            <w:tcBorders>
              <w:top w:val="single" w:sz="4" w:space="0" w:color="auto"/>
              <w:bottom w:val="single" w:sz="4" w:space="0" w:color="auto"/>
            </w:tcBorders>
          </w:tcPr>
          <w:p>
            <w:pPr>
              <w:pStyle w:val="yTableNAm"/>
              <w:jc w:val="right"/>
            </w:pPr>
            <w:r>
              <w:rPr>
                <w:b/>
                <w:szCs w:val="22"/>
              </w:rPr>
              <w:t>Fee</w:t>
            </w:r>
            <w:r>
              <w:rPr>
                <w:b/>
                <w:szCs w:val="22"/>
              </w:rPr>
              <w:br/>
            </w:r>
          </w:p>
        </w:tc>
      </w:tr>
      <w:tr>
        <w:trPr>
          <w:cantSplit/>
        </w:trPr>
        <w:tc>
          <w:tcPr>
            <w:tcW w:w="720" w:type="dxa"/>
            <w:tcBorders>
              <w:top w:val="single" w:sz="4" w:space="0" w:color="auto"/>
            </w:tcBorders>
          </w:tcPr>
          <w:p>
            <w:pPr>
              <w:pStyle w:val="yTableNAm"/>
            </w:pPr>
            <w:r>
              <w:rPr>
                <w:szCs w:val="22"/>
              </w:rPr>
              <w:t>1.</w:t>
            </w:r>
          </w:p>
        </w:tc>
        <w:tc>
          <w:tcPr>
            <w:tcW w:w="5280" w:type="dxa"/>
            <w:tcBorders>
              <w:top w:val="single" w:sz="4" w:space="0" w:color="auto"/>
            </w:tcBorders>
          </w:tcPr>
          <w:p>
            <w:pPr>
              <w:pStyle w:val="yTableNAm"/>
            </w:pPr>
            <w:r>
              <w:rPr>
                <w:szCs w:val="22"/>
              </w:rPr>
              <w:t>Initial consultation/assessment (up to and including one hour)</w:t>
            </w:r>
          </w:p>
        </w:tc>
        <w:tc>
          <w:tcPr>
            <w:tcW w:w="1080" w:type="dxa"/>
            <w:tcBorders>
              <w:top w:val="single" w:sz="4" w:space="0" w:color="auto"/>
            </w:tcBorders>
            <w:vAlign w:val="bottom"/>
          </w:tcPr>
          <w:p>
            <w:pPr>
              <w:pStyle w:val="yTableNAm"/>
              <w:jc w:val="right"/>
            </w:pPr>
            <w:r>
              <w:rPr>
                <w:szCs w:val="22"/>
              </w:rPr>
              <w:t>$157.25</w:t>
            </w:r>
          </w:p>
        </w:tc>
      </w:tr>
      <w:tr>
        <w:trPr>
          <w:cantSplit/>
        </w:trPr>
        <w:tc>
          <w:tcPr>
            <w:tcW w:w="720" w:type="dxa"/>
          </w:tcPr>
          <w:p>
            <w:pPr>
              <w:pStyle w:val="yTableNAm"/>
            </w:pPr>
            <w:r>
              <w:rPr>
                <w:szCs w:val="22"/>
              </w:rPr>
              <w:t>2.</w:t>
            </w:r>
          </w:p>
        </w:tc>
        <w:tc>
          <w:tcPr>
            <w:tcW w:w="5280" w:type="dxa"/>
          </w:tcPr>
          <w:p>
            <w:pPr>
              <w:pStyle w:val="yTableNAm"/>
            </w:pPr>
            <w:r>
              <w:rPr>
                <w:szCs w:val="22"/>
              </w:rPr>
              <w:t>Initial consultation/assessment (exceeding one hour)</w:t>
            </w:r>
          </w:p>
        </w:tc>
        <w:tc>
          <w:tcPr>
            <w:tcW w:w="1080" w:type="dxa"/>
            <w:vAlign w:val="bottom"/>
          </w:tcPr>
          <w:p>
            <w:pPr>
              <w:pStyle w:val="yTableNAm"/>
              <w:jc w:val="right"/>
            </w:pPr>
            <w:r>
              <w:rPr>
                <w:szCs w:val="22"/>
              </w:rPr>
              <w:t>$203.65</w:t>
            </w:r>
          </w:p>
        </w:tc>
      </w:tr>
      <w:tr>
        <w:trPr>
          <w:cantSplit/>
        </w:trPr>
        <w:tc>
          <w:tcPr>
            <w:tcW w:w="720" w:type="dxa"/>
          </w:tcPr>
          <w:p>
            <w:pPr>
              <w:pStyle w:val="yTableNAm"/>
            </w:pPr>
            <w:r>
              <w:rPr>
                <w:szCs w:val="22"/>
              </w:rPr>
              <w:t>3.</w:t>
            </w:r>
          </w:p>
        </w:tc>
        <w:tc>
          <w:tcPr>
            <w:tcW w:w="5280" w:type="dxa"/>
          </w:tcPr>
          <w:p>
            <w:pPr>
              <w:pStyle w:val="yTableNAm"/>
            </w:pPr>
            <w:r>
              <w:rPr>
                <w:szCs w:val="22"/>
              </w:rPr>
              <w:t>Subsequent consultation (&lt; ½ hour)</w:t>
            </w:r>
          </w:p>
        </w:tc>
        <w:tc>
          <w:tcPr>
            <w:tcW w:w="1080" w:type="dxa"/>
            <w:vAlign w:val="bottom"/>
          </w:tcPr>
          <w:p>
            <w:pPr>
              <w:pStyle w:val="yTableNAm"/>
              <w:jc w:val="right"/>
            </w:pPr>
            <w:r>
              <w:rPr>
                <w:szCs w:val="22"/>
              </w:rPr>
              <w:t>$68.65</w:t>
            </w:r>
          </w:p>
        </w:tc>
      </w:tr>
      <w:tr>
        <w:trPr>
          <w:cantSplit/>
        </w:trPr>
        <w:tc>
          <w:tcPr>
            <w:tcW w:w="720" w:type="dxa"/>
          </w:tcPr>
          <w:p>
            <w:pPr>
              <w:pStyle w:val="yTableNAm"/>
            </w:pPr>
            <w:r>
              <w:rPr>
                <w:szCs w:val="22"/>
              </w:rPr>
              <w:t>4.</w:t>
            </w:r>
          </w:p>
        </w:tc>
        <w:tc>
          <w:tcPr>
            <w:tcW w:w="5280" w:type="dxa"/>
          </w:tcPr>
          <w:p>
            <w:pPr>
              <w:pStyle w:val="yTableNAm"/>
            </w:pPr>
            <w:r>
              <w:rPr>
                <w:szCs w:val="22"/>
              </w:rPr>
              <w:t>Subsequent consultation (½ hour – one hour)</w:t>
            </w:r>
          </w:p>
        </w:tc>
        <w:tc>
          <w:tcPr>
            <w:tcW w:w="1080" w:type="dxa"/>
            <w:vAlign w:val="bottom"/>
          </w:tcPr>
          <w:p>
            <w:pPr>
              <w:pStyle w:val="yTableNAm"/>
              <w:jc w:val="right"/>
            </w:pPr>
            <w:r>
              <w:rPr>
                <w:szCs w:val="22"/>
              </w:rPr>
              <w:t>$89.05</w:t>
            </w:r>
          </w:p>
        </w:tc>
      </w:tr>
      <w:tr>
        <w:trPr>
          <w:cantSplit/>
        </w:trPr>
        <w:tc>
          <w:tcPr>
            <w:tcW w:w="720" w:type="dxa"/>
            <w:tcBorders>
              <w:bottom w:val="single" w:sz="4" w:space="0" w:color="auto"/>
            </w:tcBorders>
          </w:tcPr>
          <w:p>
            <w:pPr>
              <w:pStyle w:val="yTableNAm"/>
            </w:pPr>
            <w:r>
              <w:rPr>
                <w:szCs w:val="22"/>
              </w:rPr>
              <w:t>5.</w:t>
            </w:r>
          </w:p>
        </w:tc>
        <w:tc>
          <w:tcPr>
            <w:tcW w:w="5280" w:type="dxa"/>
            <w:tcBorders>
              <w:bottom w:val="single" w:sz="4" w:space="0" w:color="auto"/>
            </w:tcBorders>
          </w:tcPr>
          <w:p>
            <w:pPr>
              <w:pStyle w:val="yTableNAm"/>
            </w:pPr>
            <w:r>
              <w:rPr>
                <w:szCs w:val="22"/>
              </w:rPr>
              <w:t>Subsequent consultation (&gt; one hour)</w:t>
            </w:r>
          </w:p>
        </w:tc>
        <w:tc>
          <w:tcPr>
            <w:tcW w:w="1080" w:type="dxa"/>
            <w:tcBorders>
              <w:bottom w:val="single" w:sz="4" w:space="0" w:color="auto"/>
            </w:tcBorders>
            <w:vAlign w:val="bottom"/>
          </w:tcPr>
          <w:p>
            <w:pPr>
              <w:pStyle w:val="yTableNAm"/>
              <w:jc w:val="right"/>
            </w:pPr>
            <w:r>
              <w:rPr>
                <w:szCs w:val="22"/>
              </w:rPr>
              <w:t>$120.20</w:t>
            </w:r>
          </w:p>
        </w:tc>
      </w:tr>
    </w:tbl>
    <w:p>
      <w:pPr>
        <w:pStyle w:val="yFootnotesection"/>
      </w:pPr>
      <w:r>
        <w:tab/>
        <w:t>[Schedule 5 inserted in Gazette 25 Sep 2012 p. 4491.]</w:t>
      </w:r>
    </w:p>
    <w:p>
      <w:pPr>
        <w:pStyle w:val="yHeading2"/>
      </w:pPr>
      <w:bookmarkStart w:id="66" w:name="_Toc339360100"/>
      <w:bookmarkStart w:id="67" w:name="_Toc339360504"/>
      <w:r>
        <w:rPr>
          <w:rStyle w:val="CharSchNo"/>
        </w:rPr>
        <w:t>Schedule 5A</w:t>
      </w:r>
      <w:r>
        <w:t> — </w:t>
      </w:r>
      <w:r>
        <w:rPr>
          <w:rStyle w:val="CharSchText"/>
        </w:rPr>
        <w:t>Scale of fees: exercise physiologists</w:t>
      </w:r>
      <w:bookmarkEnd w:id="66"/>
      <w:bookmarkEnd w:id="67"/>
    </w:p>
    <w:p>
      <w:pPr>
        <w:pStyle w:val="yShoulderClause"/>
        <w:keepNext/>
        <w:keepLines/>
      </w:pPr>
      <w:r>
        <w:t>[r. 7B]</w:t>
      </w:r>
    </w:p>
    <w:p>
      <w:pPr>
        <w:pStyle w:val="yFootnoteheading"/>
        <w:spacing w:after="60"/>
      </w:pPr>
      <w:r>
        <w:tab/>
        <w:t>[Heading inserted in Gazette 25 Sep 2012 p. 4491.]</w:t>
      </w:r>
    </w:p>
    <w:p>
      <w:pPr>
        <w:pStyle w:val="yHeading3"/>
      </w:pPr>
      <w:bookmarkStart w:id="68" w:name="_Toc339360101"/>
      <w:bookmarkStart w:id="69" w:name="_Toc339360505"/>
      <w:r>
        <w:t>Exercise</w:t>
      </w:r>
      <w:r>
        <w:noBreakHyphen/>
        <w:t>based programs</w:t>
      </w:r>
      <w:bookmarkEnd w:id="68"/>
      <w:bookmarkEnd w:id="69"/>
    </w:p>
    <w:tbl>
      <w:tblPr>
        <w:tblW w:w="7088" w:type="dxa"/>
        <w:tblInd w:w="108" w:type="dxa"/>
        <w:tblLayout w:type="fixed"/>
        <w:tblLook w:val="0000" w:firstRow="0" w:lastRow="0" w:firstColumn="0" w:lastColumn="0" w:noHBand="0" w:noVBand="0"/>
      </w:tblPr>
      <w:tblGrid>
        <w:gridCol w:w="960"/>
        <w:gridCol w:w="4710"/>
        <w:gridCol w:w="1418"/>
      </w:tblGrid>
      <w:tr>
        <w:trPr>
          <w:cantSplit/>
          <w:tblHeader/>
        </w:trPr>
        <w:tc>
          <w:tcPr>
            <w:tcW w:w="960" w:type="dxa"/>
            <w:tcBorders>
              <w:top w:val="single" w:sz="4" w:space="0" w:color="auto"/>
              <w:bottom w:val="single" w:sz="4" w:space="0" w:color="auto"/>
            </w:tcBorders>
          </w:tcPr>
          <w:p>
            <w:pPr>
              <w:pStyle w:val="zyTableNAm"/>
              <w:rPr>
                <w:szCs w:val="22"/>
              </w:rPr>
            </w:pPr>
          </w:p>
        </w:tc>
        <w:tc>
          <w:tcPr>
            <w:tcW w:w="4710" w:type="dxa"/>
            <w:tcBorders>
              <w:top w:val="single" w:sz="4" w:space="0" w:color="auto"/>
              <w:bottom w:val="single" w:sz="4" w:space="0" w:color="auto"/>
            </w:tcBorders>
          </w:tcPr>
          <w:p>
            <w:pPr>
              <w:pStyle w:val="yTableNAm"/>
            </w:pPr>
            <w:r>
              <w:rPr>
                <w:b/>
                <w:bCs/>
                <w:szCs w:val="22"/>
              </w:rPr>
              <w:t xml:space="preserve">Type of service </w:t>
            </w:r>
          </w:p>
        </w:tc>
        <w:tc>
          <w:tcPr>
            <w:tcW w:w="1418" w:type="dxa"/>
            <w:tcBorders>
              <w:top w:val="single" w:sz="4" w:space="0" w:color="auto"/>
              <w:bottom w:val="single" w:sz="4" w:space="0" w:color="auto"/>
            </w:tcBorders>
          </w:tcPr>
          <w:p>
            <w:pPr>
              <w:pStyle w:val="yTableNAm"/>
            </w:pPr>
            <w:r>
              <w:rPr>
                <w:b/>
                <w:szCs w:val="22"/>
              </w:rPr>
              <w:t>Fee</w:t>
            </w:r>
          </w:p>
        </w:tc>
      </w:tr>
      <w:tr>
        <w:trPr>
          <w:cantSplit/>
        </w:trPr>
        <w:tc>
          <w:tcPr>
            <w:tcW w:w="960" w:type="dxa"/>
            <w:tcBorders>
              <w:top w:val="single" w:sz="4" w:space="0" w:color="auto"/>
            </w:tcBorders>
          </w:tcPr>
          <w:p>
            <w:pPr>
              <w:pStyle w:val="yTableNAm"/>
            </w:pPr>
            <w:r>
              <w:rPr>
                <w:szCs w:val="22"/>
              </w:rPr>
              <w:t>EXE20</w:t>
            </w:r>
          </w:p>
        </w:tc>
        <w:tc>
          <w:tcPr>
            <w:tcW w:w="4710" w:type="dxa"/>
            <w:tcBorders>
              <w:top w:val="single" w:sz="4" w:space="0" w:color="auto"/>
            </w:tcBorders>
          </w:tcPr>
          <w:p>
            <w:pPr>
              <w:pStyle w:val="yTableNAm"/>
            </w:pPr>
            <w:r>
              <w:rPr>
                <w:b/>
                <w:szCs w:val="22"/>
              </w:rPr>
              <w:t>Initial Consultation/Assessment</w:t>
            </w:r>
          </w:p>
          <w:p>
            <w:pPr>
              <w:pStyle w:val="yTableNAm"/>
              <w:rPr>
                <w:i/>
                <w:lang w:val="en-US"/>
              </w:rPr>
            </w:pPr>
            <w:r>
              <w:rPr>
                <w:lang w:val="en-US"/>
              </w:rPr>
              <w:t>Insurer approval must be obtained prior to undertaking the service.</w:t>
            </w:r>
          </w:p>
        </w:tc>
        <w:tc>
          <w:tcPr>
            <w:tcW w:w="1418" w:type="dxa"/>
            <w:tcBorders>
              <w:top w:val="single" w:sz="4" w:space="0" w:color="auto"/>
            </w:tcBorders>
          </w:tcPr>
          <w:p>
            <w:pPr>
              <w:pStyle w:val="yTableNAm"/>
            </w:pPr>
          </w:p>
          <w:p>
            <w:pPr>
              <w:pStyle w:val="yTableNAm"/>
            </w:pPr>
            <w:r>
              <w:t>$172.00</w:t>
            </w:r>
            <w:r>
              <w:br/>
              <w:t>per hour to a maximum of 2 hours**</w:t>
            </w:r>
          </w:p>
        </w:tc>
      </w:tr>
      <w:tr>
        <w:trPr>
          <w:cantSplit/>
        </w:trPr>
        <w:tc>
          <w:tcPr>
            <w:tcW w:w="960" w:type="dxa"/>
          </w:tcPr>
          <w:p>
            <w:pPr>
              <w:pStyle w:val="zyTableNAm"/>
              <w:rPr>
                <w:szCs w:val="22"/>
              </w:rPr>
            </w:pPr>
          </w:p>
        </w:tc>
        <w:tc>
          <w:tcPr>
            <w:tcW w:w="4710" w:type="dxa"/>
          </w:tcPr>
          <w:p>
            <w:pPr>
              <w:pStyle w:val="yTableNAm"/>
            </w:pPr>
            <w:r>
              <w:rPr>
                <w:szCs w:val="22"/>
              </w:rPr>
              <w:t>Review of current medical and vocational status.</w:t>
            </w:r>
          </w:p>
        </w:tc>
        <w:tc>
          <w:tcPr>
            <w:tcW w:w="1418" w:type="dxa"/>
          </w:tcPr>
          <w:p>
            <w:pPr>
              <w:pStyle w:val="yTableNAm"/>
            </w:pPr>
          </w:p>
        </w:tc>
      </w:tr>
      <w:tr>
        <w:trPr>
          <w:cantSplit/>
        </w:trPr>
        <w:tc>
          <w:tcPr>
            <w:tcW w:w="960" w:type="dxa"/>
          </w:tcPr>
          <w:p>
            <w:pPr>
              <w:pStyle w:val="zyTableNAm"/>
              <w:rPr>
                <w:szCs w:val="22"/>
              </w:rPr>
            </w:pPr>
          </w:p>
        </w:tc>
        <w:tc>
          <w:tcPr>
            <w:tcW w:w="4710" w:type="dxa"/>
          </w:tcPr>
          <w:p>
            <w:pPr>
              <w:pStyle w:val="yTableNAm"/>
            </w:pPr>
            <w:r>
              <w:rPr>
                <w:szCs w:val="22"/>
              </w:rPr>
              <w:t>Communication/Liaison with relevant parties.</w:t>
            </w:r>
          </w:p>
        </w:tc>
        <w:tc>
          <w:tcPr>
            <w:tcW w:w="1418" w:type="dxa"/>
          </w:tcPr>
          <w:p>
            <w:pPr>
              <w:pStyle w:val="yTableNAm"/>
            </w:pPr>
          </w:p>
        </w:tc>
      </w:tr>
      <w:tr>
        <w:trPr>
          <w:cantSplit/>
        </w:trPr>
        <w:tc>
          <w:tcPr>
            <w:tcW w:w="960" w:type="dxa"/>
          </w:tcPr>
          <w:p>
            <w:pPr>
              <w:pStyle w:val="zyTableNAm"/>
              <w:rPr>
                <w:szCs w:val="22"/>
              </w:rPr>
            </w:pPr>
          </w:p>
        </w:tc>
        <w:tc>
          <w:tcPr>
            <w:tcW w:w="4710" w:type="dxa"/>
          </w:tcPr>
          <w:p>
            <w:pPr>
              <w:pStyle w:val="yTableNAm"/>
            </w:pPr>
            <w:r>
              <w:rPr>
                <w:szCs w:val="22"/>
              </w:rPr>
              <w:t>Physiological Assessment/testing.</w:t>
            </w:r>
          </w:p>
        </w:tc>
        <w:tc>
          <w:tcPr>
            <w:tcW w:w="1418" w:type="dxa"/>
          </w:tcPr>
          <w:p>
            <w:pPr>
              <w:pStyle w:val="yTableNAm"/>
            </w:pPr>
          </w:p>
        </w:tc>
      </w:tr>
      <w:tr>
        <w:trPr>
          <w:cantSplit/>
        </w:trPr>
        <w:tc>
          <w:tcPr>
            <w:tcW w:w="960" w:type="dxa"/>
          </w:tcPr>
          <w:p>
            <w:pPr>
              <w:pStyle w:val="zyTableNAm"/>
              <w:rPr>
                <w:szCs w:val="22"/>
              </w:rPr>
            </w:pPr>
          </w:p>
        </w:tc>
        <w:tc>
          <w:tcPr>
            <w:tcW w:w="4710" w:type="dxa"/>
          </w:tcPr>
          <w:p>
            <w:pPr>
              <w:pStyle w:val="yTableNAm"/>
            </w:pPr>
            <w:r>
              <w:rPr>
                <w:szCs w:val="22"/>
              </w:rPr>
              <w:t>Screening questionnaires relating to worker’s level of function.</w:t>
            </w:r>
          </w:p>
        </w:tc>
        <w:tc>
          <w:tcPr>
            <w:tcW w:w="1418" w:type="dxa"/>
          </w:tcPr>
          <w:p>
            <w:pPr>
              <w:pStyle w:val="yTableNAm"/>
            </w:pPr>
          </w:p>
        </w:tc>
      </w:tr>
      <w:tr>
        <w:trPr>
          <w:cantSplit/>
        </w:trPr>
        <w:tc>
          <w:tcPr>
            <w:tcW w:w="960" w:type="dxa"/>
          </w:tcPr>
          <w:p>
            <w:pPr>
              <w:pStyle w:val="zyTableNAm"/>
              <w:rPr>
                <w:szCs w:val="22"/>
              </w:rPr>
            </w:pPr>
          </w:p>
        </w:tc>
        <w:tc>
          <w:tcPr>
            <w:tcW w:w="4710" w:type="dxa"/>
          </w:tcPr>
          <w:p>
            <w:pPr>
              <w:pStyle w:val="yTableNAm"/>
            </w:pPr>
            <w:r>
              <w:rPr>
                <w:szCs w:val="22"/>
              </w:rPr>
              <w:t>Program design based on above.</w:t>
            </w:r>
          </w:p>
        </w:tc>
        <w:tc>
          <w:tcPr>
            <w:tcW w:w="1418" w:type="dxa"/>
          </w:tcPr>
          <w:p>
            <w:pPr>
              <w:pStyle w:val="yTableNAm"/>
            </w:pPr>
          </w:p>
        </w:tc>
      </w:tr>
      <w:tr>
        <w:trPr>
          <w:cantSplit/>
        </w:trPr>
        <w:tc>
          <w:tcPr>
            <w:tcW w:w="960" w:type="dxa"/>
          </w:tcPr>
          <w:p>
            <w:pPr>
              <w:pStyle w:val="zyTableNAm"/>
              <w:rPr>
                <w:szCs w:val="22"/>
              </w:rPr>
            </w:pPr>
          </w:p>
        </w:tc>
        <w:tc>
          <w:tcPr>
            <w:tcW w:w="4710" w:type="dxa"/>
          </w:tcPr>
          <w:p>
            <w:pPr>
              <w:pStyle w:val="yTableNAm"/>
            </w:pPr>
            <w:r>
              <w:rPr>
                <w:szCs w:val="22"/>
              </w:rPr>
              <w:t>Exercise facility/equipment coordination (pool or gym based).</w:t>
            </w:r>
          </w:p>
        </w:tc>
        <w:tc>
          <w:tcPr>
            <w:tcW w:w="1418" w:type="dxa"/>
          </w:tcPr>
          <w:p>
            <w:pPr>
              <w:pStyle w:val="yTableNAm"/>
            </w:pPr>
          </w:p>
        </w:tc>
      </w:tr>
      <w:tr>
        <w:trPr>
          <w:cantSplit/>
        </w:trPr>
        <w:tc>
          <w:tcPr>
            <w:tcW w:w="960" w:type="dxa"/>
            <w:tcBorders>
              <w:bottom w:val="single" w:sz="4" w:space="0" w:color="auto"/>
            </w:tcBorders>
          </w:tcPr>
          <w:p>
            <w:pPr>
              <w:pStyle w:val="zyTableNAm"/>
              <w:rPr>
                <w:szCs w:val="22"/>
              </w:rPr>
            </w:pPr>
          </w:p>
        </w:tc>
        <w:tc>
          <w:tcPr>
            <w:tcW w:w="4710" w:type="dxa"/>
            <w:tcBorders>
              <w:bottom w:val="single" w:sz="4" w:space="0" w:color="auto"/>
            </w:tcBorders>
          </w:tcPr>
          <w:p>
            <w:pPr>
              <w:pStyle w:val="yTableNAm"/>
            </w:pPr>
            <w:r>
              <w:rPr>
                <w:szCs w:val="22"/>
              </w:rPr>
              <w:t>Provider to patient ratio must be 1:1 for the duration of the consultation.</w:t>
            </w:r>
          </w:p>
        </w:tc>
        <w:tc>
          <w:tcPr>
            <w:tcW w:w="1418" w:type="dxa"/>
            <w:tcBorders>
              <w:bottom w:val="single" w:sz="4" w:space="0" w:color="auto"/>
            </w:tcBorders>
          </w:tcPr>
          <w:p>
            <w:pPr>
              <w:pStyle w:val="yTableNAm"/>
            </w:pPr>
          </w:p>
        </w:tc>
      </w:tr>
      <w:tr>
        <w:trPr>
          <w:cantSplit/>
          <w:trHeight w:val="3250"/>
        </w:trPr>
        <w:tc>
          <w:tcPr>
            <w:tcW w:w="960" w:type="dxa"/>
            <w:tcBorders>
              <w:top w:val="single" w:sz="4" w:space="0" w:color="auto"/>
              <w:bottom w:val="single" w:sz="4" w:space="0" w:color="auto"/>
            </w:tcBorders>
          </w:tcPr>
          <w:p>
            <w:pPr>
              <w:pStyle w:val="yTableNAm"/>
            </w:pPr>
            <w:r>
              <w:rPr>
                <w:szCs w:val="22"/>
              </w:rPr>
              <w:t>EXE21</w:t>
            </w:r>
          </w:p>
        </w:tc>
        <w:tc>
          <w:tcPr>
            <w:tcW w:w="4710" w:type="dxa"/>
            <w:tcBorders>
              <w:top w:val="single" w:sz="4" w:space="0" w:color="auto"/>
              <w:bottom w:val="single" w:sz="4" w:space="0" w:color="auto"/>
            </w:tcBorders>
          </w:tcPr>
          <w:p>
            <w:pPr>
              <w:pStyle w:val="yTableNAm"/>
            </w:pPr>
            <w:r>
              <w:rPr>
                <w:b/>
                <w:bCs/>
                <w:szCs w:val="22"/>
              </w:rPr>
              <w:t>Subsequent Exercise Consultation/Assessment</w:t>
            </w:r>
          </w:p>
          <w:p>
            <w:pPr>
              <w:pStyle w:val="yTableNAm"/>
            </w:pPr>
            <w:r>
              <w:t xml:space="preserve">Includes — </w:t>
            </w:r>
          </w:p>
          <w:p>
            <w:pPr>
              <w:pStyle w:val="yTableNAm"/>
            </w:pPr>
            <w:r>
              <w:t>program implementation — prescription and provision of exercises (land or pool based);</w:t>
            </w:r>
          </w:p>
          <w:p>
            <w:pPr>
              <w:pStyle w:val="yTableNAm"/>
            </w:pPr>
            <w:r>
              <w:t>program monitoring;</w:t>
            </w:r>
          </w:p>
          <w:p>
            <w:pPr>
              <w:pStyle w:val="yTableNAm"/>
            </w:pPr>
            <w:r>
              <w:t>post program screening questionnaire relating to worker’s level of function;</w:t>
            </w:r>
          </w:p>
          <w:p>
            <w:pPr>
              <w:pStyle w:val="yTableNAm"/>
            </w:pPr>
            <w:r>
              <w:t>psychosocial reassessment;</w:t>
            </w:r>
          </w:p>
          <w:p>
            <w:pPr>
              <w:pStyle w:val="yTableNAm"/>
            </w:pPr>
            <w:r>
              <w:t>communication/liaison with relevant parties.</w:t>
            </w:r>
          </w:p>
        </w:tc>
        <w:tc>
          <w:tcPr>
            <w:tcW w:w="1418" w:type="dxa"/>
            <w:tcBorders>
              <w:top w:val="single" w:sz="4" w:space="0" w:color="auto"/>
              <w:bottom w:val="single" w:sz="4" w:space="0" w:color="auto"/>
            </w:tcBorders>
          </w:tcPr>
          <w:p>
            <w:pPr>
              <w:pStyle w:val="yTableNAm"/>
            </w:pPr>
          </w:p>
          <w:p>
            <w:pPr>
              <w:pStyle w:val="yTableNAm"/>
            </w:pPr>
            <w:r>
              <w:t>$172.00</w:t>
            </w:r>
            <w:r>
              <w:br/>
              <w:t>per hour to a maximum of one hour**</w:t>
            </w:r>
          </w:p>
        </w:tc>
      </w:tr>
      <w:tr>
        <w:trPr>
          <w:cantSplit/>
        </w:trPr>
        <w:tc>
          <w:tcPr>
            <w:tcW w:w="960" w:type="dxa"/>
            <w:tcBorders>
              <w:top w:val="single" w:sz="4" w:space="0" w:color="auto"/>
            </w:tcBorders>
          </w:tcPr>
          <w:p>
            <w:pPr>
              <w:pStyle w:val="yTableNAm"/>
            </w:pPr>
            <w:r>
              <w:rPr>
                <w:szCs w:val="22"/>
              </w:rPr>
              <w:t>EXE02</w:t>
            </w:r>
          </w:p>
        </w:tc>
        <w:tc>
          <w:tcPr>
            <w:tcW w:w="4710" w:type="dxa"/>
            <w:tcBorders>
              <w:top w:val="single" w:sz="4" w:space="0" w:color="auto"/>
            </w:tcBorders>
          </w:tcPr>
          <w:p>
            <w:pPr>
              <w:pStyle w:val="yTableNAm"/>
            </w:pPr>
            <w:r>
              <w:rPr>
                <w:b/>
                <w:bCs/>
                <w:szCs w:val="22"/>
              </w:rPr>
              <w:t>Initial report</w:t>
            </w:r>
          </w:p>
          <w:p>
            <w:pPr>
              <w:pStyle w:val="yTableNAm"/>
            </w:pPr>
            <w:r>
              <w:t xml:space="preserve">Includes — </w:t>
            </w:r>
          </w:p>
          <w:p>
            <w:pPr>
              <w:pStyle w:val="yTableNAm"/>
            </w:pPr>
            <w:r>
              <w:t>initial assessment report outlining results (self</w:t>
            </w:r>
            <w:r>
              <w:noBreakHyphen/>
              <w:t>reported and objective), recommendations and exercise rehabilitation plan;</w:t>
            </w:r>
          </w:p>
        </w:tc>
        <w:tc>
          <w:tcPr>
            <w:tcW w:w="1418" w:type="dxa"/>
            <w:tcBorders>
              <w:top w:val="single" w:sz="4" w:space="0" w:color="auto"/>
            </w:tcBorders>
          </w:tcPr>
          <w:p>
            <w:pPr>
              <w:pStyle w:val="yTableNAm"/>
            </w:pPr>
          </w:p>
          <w:p>
            <w:pPr>
              <w:pStyle w:val="yTableNAm"/>
            </w:pPr>
            <w:r>
              <w:t>$172.00</w:t>
            </w:r>
            <w:r>
              <w:br/>
              <w:t>per hour to a maximum of one hour**</w:t>
            </w:r>
          </w:p>
        </w:tc>
      </w:tr>
      <w:tr>
        <w:trPr>
          <w:cantSplit/>
        </w:trPr>
        <w:tc>
          <w:tcPr>
            <w:tcW w:w="960" w:type="dxa"/>
          </w:tcPr>
          <w:p>
            <w:pPr>
              <w:pStyle w:val="zyTableNAm"/>
              <w:rPr>
                <w:szCs w:val="22"/>
              </w:rPr>
            </w:pPr>
          </w:p>
        </w:tc>
        <w:tc>
          <w:tcPr>
            <w:tcW w:w="4710" w:type="dxa"/>
          </w:tcPr>
          <w:p>
            <w:pPr>
              <w:pStyle w:val="yTableNAm"/>
            </w:pPr>
            <w:r>
              <w:rPr>
                <w:szCs w:val="22"/>
              </w:rPr>
              <w:t>current status as per medical certification and proposed outcome status;</w:t>
            </w:r>
          </w:p>
        </w:tc>
        <w:tc>
          <w:tcPr>
            <w:tcW w:w="1418" w:type="dxa"/>
          </w:tcPr>
          <w:p>
            <w:pPr>
              <w:pStyle w:val="yTableNAm"/>
            </w:pPr>
          </w:p>
        </w:tc>
      </w:tr>
      <w:tr>
        <w:trPr>
          <w:cantSplit/>
        </w:trPr>
        <w:tc>
          <w:tcPr>
            <w:tcW w:w="960" w:type="dxa"/>
            <w:tcBorders>
              <w:bottom w:val="single" w:sz="4" w:space="0" w:color="auto"/>
            </w:tcBorders>
          </w:tcPr>
          <w:p>
            <w:pPr>
              <w:pStyle w:val="zyTableNAm"/>
              <w:rPr>
                <w:szCs w:val="22"/>
              </w:rPr>
            </w:pPr>
          </w:p>
        </w:tc>
        <w:tc>
          <w:tcPr>
            <w:tcW w:w="4710" w:type="dxa"/>
            <w:tcBorders>
              <w:bottom w:val="single" w:sz="4" w:space="0" w:color="auto"/>
            </w:tcBorders>
          </w:tcPr>
          <w:p>
            <w:pPr>
              <w:pStyle w:val="yTableNAm"/>
            </w:pPr>
            <w:r>
              <w:rPr>
                <w:szCs w:val="22"/>
              </w:rPr>
              <w:t>detailed cost plan outlining proposed outcome, services required and proposed costs for insurer approval.</w:t>
            </w:r>
          </w:p>
        </w:tc>
        <w:tc>
          <w:tcPr>
            <w:tcW w:w="1418" w:type="dxa"/>
            <w:tcBorders>
              <w:bottom w:val="single" w:sz="4" w:space="0" w:color="auto"/>
            </w:tcBorders>
          </w:tcPr>
          <w:p>
            <w:pPr>
              <w:pStyle w:val="yTableNAm"/>
            </w:pPr>
          </w:p>
        </w:tc>
      </w:tr>
      <w:tr>
        <w:trPr>
          <w:cantSplit/>
        </w:trPr>
        <w:tc>
          <w:tcPr>
            <w:tcW w:w="960" w:type="dxa"/>
            <w:tcBorders>
              <w:top w:val="single" w:sz="4" w:space="0" w:color="auto"/>
              <w:bottom w:val="single" w:sz="4" w:space="0" w:color="auto"/>
            </w:tcBorders>
          </w:tcPr>
          <w:p>
            <w:pPr>
              <w:pStyle w:val="yTableNAm"/>
            </w:pPr>
            <w:r>
              <w:rPr>
                <w:szCs w:val="22"/>
              </w:rPr>
              <w:t>EXE03</w:t>
            </w:r>
          </w:p>
        </w:tc>
        <w:tc>
          <w:tcPr>
            <w:tcW w:w="4710" w:type="dxa"/>
            <w:tcBorders>
              <w:top w:val="single" w:sz="4" w:space="0" w:color="auto"/>
              <w:bottom w:val="single" w:sz="4" w:space="0" w:color="auto"/>
            </w:tcBorders>
          </w:tcPr>
          <w:p>
            <w:pPr>
              <w:pStyle w:val="yTableNAm"/>
            </w:pPr>
            <w:r>
              <w:rPr>
                <w:b/>
                <w:bCs/>
                <w:szCs w:val="22"/>
              </w:rPr>
              <w:t>Subsequent reports</w:t>
            </w:r>
          </w:p>
          <w:p>
            <w:pPr>
              <w:pStyle w:val="yTableNAm"/>
            </w:pPr>
            <w:r>
              <w:rPr>
                <w:lang w:val="en-US"/>
              </w:rPr>
              <w:t>Progress report to be provided at the request of the referrer.</w:t>
            </w:r>
          </w:p>
        </w:tc>
        <w:tc>
          <w:tcPr>
            <w:tcW w:w="1418" w:type="dxa"/>
            <w:tcBorders>
              <w:top w:val="single" w:sz="4" w:space="0" w:color="auto"/>
              <w:bottom w:val="single" w:sz="4" w:space="0" w:color="auto"/>
            </w:tcBorders>
          </w:tcPr>
          <w:p>
            <w:pPr>
              <w:pStyle w:val="yTableNAm"/>
            </w:pPr>
          </w:p>
          <w:p>
            <w:pPr>
              <w:pStyle w:val="yTableNAm"/>
            </w:pPr>
            <w:r>
              <w:t>$172.00</w:t>
            </w:r>
            <w:r>
              <w:br/>
              <w:t>per hour to a maximum of 30 minutes**</w:t>
            </w:r>
          </w:p>
        </w:tc>
      </w:tr>
      <w:tr>
        <w:trPr>
          <w:cantSplit/>
        </w:trPr>
        <w:tc>
          <w:tcPr>
            <w:tcW w:w="960" w:type="dxa"/>
            <w:tcBorders>
              <w:top w:val="single" w:sz="4" w:space="0" w:color="auto"/>
              <w:bottom w:val="single" w:sz="4" w:space="0" w:color="auto"/>
            </w:tcBorders>
          </w:tcPr>
          <w:p>
            <w:pPr>
              <w:pStyle w:val="yTableNAm"/>
            </w:pPr>
            <w:r>
              <w:rPr>
                <w:szCs w:val="22"/>
              </w:rPr>
              <w:t>EXE04</w:t>
            </w:r>
          </w:p>
        </w:tc>
        <w:tc>
          <w:tcPr>
            <w:tcW w:w="4710" w:type="dxa"/>
            <w:tcBorders>
              <w:top w:val="single" w:sz="4" w:space="0" w:color="auto"/>
              <w:bottom w:val="single" w:sz="4" w:space="0" w:color="auto"/>
            </w:tcBorders>
          </w:tcPr>
          <w:p>
            <w:pPr>
              <w:pStyle w:val="yTableNAm"/>
            </w:pPr>
            <w:r>
              <w:rPr>
                <w:b/>
                <w:bCs/>
                <w:szCs w:val="22"/>
              </w:rPr>
              <w:t>Final report</w:t>
            </w:r>
          </w:p>
          <w:p>
            <w:pPr>
              <w:pStyle w:val="yTableNAm"/>
            </w:pPr>
            <w:r>
              <w:t xml:space="preserve">Comprehensive report to be provided at the end of the service delivery detailing — </w:t>
            </w:r>
          </w:p>
          <w:p>
            <w:pPr>
              <w:pStyle w:val="yTableNAm"/>
            </w:pPr>
            <w:r>
              <w:t>physiological testing results pre and post program;</w:t>
            </w:r>
          </w:p>
          <w:p>
            <w:pPr>
              <w:pStyle w:val="yTableNAm"/>
            </w:pPr>
            <w:r>
              <w:t>worker attendance/program compliance.</w:t>
            </w:r>
          </w:p>
        </w:tc>
        <w:tc>
          <w:tcPr>
            <w:tcW w:w="1418" w:type="dxa"/>
            <w:tcBorders>
              <w:top w:val="single" w:sz="4" w:space="0" w:color="auto"/>
              <w:bottom w:val="single" w:sz="4" w:space="0" w:color="auto"/>
            </w:tcBorders>
          </w:tcPr>
          <w:p>
            <w:pPr>
              <w:pStyle w:val="yTableNAm"/>
            </w:pPr>
          </w:p>
          <w:p>
            <w:pPr>
              <w:pStyle w:val="yTableNAm"/>
            </w:pPr>
            <w:r>
              <w:t>$172.00</w:t>
            </w:r>
            <w:r>
              <w:br/>
              <w:t>per hour to a maximum of 30 minutes**</w:t>
            </w:r>
          </w:p>
        </w:tc>
      </w:tr>
      <w:tr>
        <w:trPr>
          <w:cantSplit/>
        </w:trPr>
        <w:tc>
          <w:tcPr>
            <w:tcW w:w="960" w:type="dxa"/>
            <w:tcBorders>
              <w:top w:val="single" w:sz="4" w:space="0" w:color="auto"/>
              <w:bottom w:val="single" w:sz="4" w:space="0" w:color="auto"/>
            </w:tcBorders>
          </w:tcPr>
          <w:p>
            <w:pPr>
              <w:pStyle w:val="yTableNAm"/>
            </w:pPr>
            <w:r>
              <w:rPr>
                <w:szCs w:val="22"/>
              </w:rPr>
              <w:t>EXE05</w:t>
            </w:r>
          </w:p>
        </w:tc>
        <w:tc>
          <w:tcPr>
            <w:tcW w:w="4710" w:type="dxa"/>
            <w:tcBorders>
              <w:top w:val="single" w:sz="4" w:space="0" w:color="auto"/>
              <w:bottom w:val="single" w:sz="4" w:space="0" w:color="auto"/>
            </w:tcBorders>
          </w:tcPr>
          <w:p>
            <w:pPr>
              <w:pStyle w:val="yTableNAm"/>
            </w:pPr>
            <w:r>
              <w:rPr>
                <w:b/>
                <w:bCs/>
                <w:szCs w:val="22"/>
              </w:rPr>
              <w:t>Gym membership/Entry fees</w:t>
            </w:r>
          </w:p>
          <w:p>
            <w:pPr>
              <w:pStyle w:val="yTableNAm"/>
              <w:rPr>
                <w:lang w:val="en-US"/>
              </w:rPr>
            </w:pPr>
            <w:r>
              <w:t xml:space="preserve">Includes </w:t>
            </w:r>
            <w:r>
              <w:rPr>
                <w:lang w:val="en-US"/>
              </w:rPr>
              <w:t>direct cost of membership (pool or gym).</w:t>
            </w:r>
          </w:p>
          <w:p>
            <w:pPr>
              <w:pStyle w:val="yTableNAm"/>
            </w:pPr>
            <w:r>
              <w:rPr>
                <w:lang w:val="en-US"/>
              </w:rPr>
              <w:t>Prior approval from insurer required.</w:t>
            </w:r>
          </w:p>
        </w:tc>
        <w:tc>
          <w:tcPr>
            <w:tcW w:w="1418" w:type="dxa"/>
            <w:tcBorders>
              <w:top w:val="single" w:sz="4" w:space="0" w:color="auto"/>
              <w:bottom w:val="single" w:sz="4" w:space="0" w:color="auto"/>
            </w:tcBorders>
          </w:tcPr>
          <w:p>
            <w:pPr>
              <w:pStyle w:val="yTableNAm"/>
            </w:pPr>
          </w:p>
          <w:p>
            <w:pPr>
              <w:pStyle w:val="yTableNAm"/>
            </w:pPr>
            <w:r>
              <w:t>Market rates</w:t>
            </w:r>
          </w:p>
        </w:tc>
      </w:tr>
      <w:tr>
        <w:trPr>
          <w:cantSplit/>
        </w:trPr>
        <w:tc>
          <w:tcPr>
            <w:tcW w:w="960" w:type="dxa"/>
            <w:tcBorders>
              <w:top w:val="single" w:sz="4" w:space="0" w:color="auto"/>
              <w:bottom w:val="single" w:sz="4" w:space="0" w:color="auto"/>
            </w:tcBorders>
          </w:tcPr>
          <w:p>
            <w:pPr>
              <w:pStyle w:val="yTableNAm"/>
            </w:pPr>
            <w:r>
              <w:rPr>
                <w:szCs w:val="22"/>
              </w:rPr>
              <w:t>EXE06</w:t>
            </w:r>
          </w:p>
        </w:tc>
        <w:tc>
          <w:tcPr>
            <w:tcW w:w="4710" w:type="dxa"/>
            <w:tcBorders>
              <w:top w:val="single" w:sz="4" w:space="0" w:color="auto"/>
              <w:bottom w:val="single" w:sz="4" w:space="0" w:color="auto"/>
            </w:tcBorders>
          </w:tcPr>
          <w:p>
            <w:pPr>
              <w:pStyle w:val="yTableNAm"/>
            </w:pPr>
            <w:r>
              <w:rPr>
                <w:b/>
                <w:szCs w:val="22"/>
              </w:rPr>
              <w:t>Travel</w:t>
            </w:r>
          </w:p>
          <w:p>
            <w:pPr>
              <w:pStyle w:val="yTableNAm"/>
              <w:rPr>
                <w:bCs/>
                <w:lang w:val="en-US"/>
              </w:rPr>
            </w:pPr>
            <w:r>
              <w:rPr>
                <w:bCs/>
                <w:lang w:val="en-US"/>
              </w:rPr>
              <w:t>Travel when the most appropriate management of the patient requires the provider to travel away from their normal practice.</w:t>
            </w:r>
          </w:p>
          <w:p>
            <w:pPr>
              <w:pStyle w:val="yTableNAm"/>
              <w:rPr>
                <w:bCs/>
                <w:lang w:val="en-US"/>
              </w:rPr>
            </w:pPr>
            <w:r>
              <w:rPr>
                <w:bCs/>
                <w:lang w:val="en-US"/>
              </w:rPr>
              <w:t>The insurer must provide pre</w:t>
            </w:r>
            <w:r>
              <w:rPr>
                <w:bCs/>
                <w:lang w:val="en-US"/>
              </w:rPr>
              <w:noBreakHyphen/>
              <w:t>approval for travel in excess of one hour.</w:t>
            </w:r>
          </w:p>
          <w:p>
            <w:pPr>
              <w:pStyle w:val="yTableNAm"/>
            </w:pPr>
            <w:r>
              <w:rPr>
                <w:bCs/>
              </w:rPr>
              <w:t>If services are provided to more than one worker before leaving a venue, the fee for the journey is to be apportioned equally between workers.</w:t>
            </w:r>
          </w:p>
        </w:tc>
        <w:tc>
          <w:tcPr>
            <w:tcW w:w="1418" w:type="dxa"/>
            <w:tcBorders>
              <w:top w:val="single" w:sz="4" w:space="0" w:color="auto"/>
              <w:bottom w:val="single" w:sz="4" w:space="0" w:color="auto"/>
            </w:tcBorders>
          </w:tcPr>
          <w:p>
            <w:pPr>
              <w:pStyle w:val="yTableNAm"/>
            </w:pPr>
          </w:p>
          <w:p>
            <w:pPr>
              <w:pStyle w:val="yTableNAm"/>
            </w:pPr>
            <w:r>
              <w:t>$137.65</w:t>
            </w:r>
            <w:r>
              <w:br/>
              <w:t>per hour **</w:t>
            </w:r>
          </w:p>
        </w:tc>
      </w:tr>
      <w:tr>
        <w:trPr>
          <w:cantSplit/>
        </w:trPr>
        <w:tc>
          <w:tcPr>
            <w:tcW w:w="960" w:type="dxa"/>
            <w:tcBorders>
              <w:top w:val="single" w:sz="4" w:space="0" w:color="auto"/>
              <w:bottom w:val="single" w:sz="4" w:space="0" w:color="auto"/>
            </w:tcBorders>
          </w:tcPr>
          <w:p>
            <w:pPr>
              <w:pStyle w:val="yTableNAm"/>
            </w:pPr>
            <w:r>
              <w:rPr>
                <w:szCs w:val="22"/>
              </w:rPr>
              <w:t>EXE08</w:t>
            </w:r>
          </w:p>
        </w:tc>
        <w:tc>
          <w:tcPr>
            <w:tcW w:w="4710" w:type="dxa"/>
            <w:tcBorders>
              <w:top w:val="single" w:sz="4" w:space="0" w:color="auto"/>
              <w:bottom w:val="single" w:sz="4" w:space="0" w:color="auto"/>
            </w:tcBorders>
          </w:tcPr>
          <w:p>
            <w:pPr>
              <w:pStyle w:val="yTableNAm"/>
            </w:pPr>
            <w:r>
              <w:rPr>
                <w:b/>
                <w:bCs/>
                <w:szCs w:val="22"/>
              </w:rPr>
              <w:t>Communication</w:t>
            </w:r>
          </w:p>
          <w:p>
            <w:pPr>
              <w:pStyle w:val="yTableNAm"/>
            </w:pPr>
            <w:r>
              <w:t xml:space="preserve">Any requested or required oral communication </w:t>
            </w:r>
            <w:r>
              <w:rPr>
                <w:lang w:val="en-US"/>
              </w:rPr>
              <w:t xml:space="preserve">with relevant parties (treating medical practitioners, employers and insurers) </w:t>
            </w:r>
            <w:r>
              <w:t>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18" w:type="dxa"/>
            <w:tcBorders>
              <w:top w:val="single" w:sz="4" w:space="0" w:color="auto"/>
              <w:bottom w:val="single" w:sz="4" w:space="0" w:color="auto"/>
            </w:tcBorders>
          </w:tcPr>
          <w:p>
            <w:pPr>
              <w:pStyle w:val="yTableNAm"/>
            </w:pPr>
          </w:p>
          <w:p>
            <w:pPr>
              <w:pStyle w:val="yTableNAm"/>
            </w:pPr>
            <w:r>
              <w:t>$17.30</w:t>
            </w:r>
            <w:r>
              <w:br/>
              <w:t>per 6 minute block</w:t>
            </w:r>
          </w:p>
        </w:tc>
      </w:tr>
      <w:tr>
        <w:trPr>
          <w:cantSplit/>
        </w:trPr>
        <w:tc>
          <w:tcPr>
            <w:tcW w:w="960" w:type="dxa"/>
            <w:tcBorders>
              <w:top w:val="single" w:sz="4" w:space="0" w:color="auto"/>
              <w:bottom w:val="single" w:sz="4" w:space="0" w:color="auto"/>
            </w:tcBorders>
          </w:tcPr>
          <w:p>
            <w:pPr>
              <w:pStyle w:val="yTableNAm"/>
              <w:keepNext/>
            </w:pPr>
            <w:r>
              <w:rPr>
                <w:szCs w:val="22"/>
              </w:rPr>
              <w:t>EXE09</w:t>
            </w:r>
          </w:p>
        </w:tc>
        <w:tc>
          <w:tcPr>
            <w:tcW w:w="4710" w:type="dxa"/>
            <w:tcBorders>
              <w:top w:val="single" w:sz="4" w:space="0" w:color="auto"/>
              <w:bottom w:val="single" w:sz="4" w:space="0" w:color="auto"/>
            </w:tcBorders>
          </w:tcPr>
          <w:p>
            <w:pPr>
              <w:pStyle w:val="yTableNAm"/>
              <w:keepNext/>
              <w:rPr>
                <w:lang w:val="en-US"/>
              </w:rPr>
            </w:pPr>
            <w:r>
              <w:rPr>
                <w:b/>
                <w:bCs/>
                <w:szCs w:val="22"/>
                <w:lang w:val="en-US"/>
              </w:rPr>
              <w:t>Attendance at Medical Case Conferences</w:t>
            </w:r>
          </w:p>
          <w:p>
            <w:pPr>
              <w:pStyle w:val="yTableNAm"/>
              <w:keepNext/>
            </w:pPr>
            <w:r>
              <w:rPr>
                <w:lang w:val="en-US"/>
              </w:rPr>
              <w:t>Insurer approval must be obtained prior to undertaking the service.</w:t>
            </w:r>
          </w:p>
        </w:tc>
        <w:tc>
          <w:tcPr>
            <w:tcW w:w="1418" w:type="dxa"/>
            <w:tcBorders>
              <w:top w:val="single" w:sz="4" w:space="0" w:color="auto"/>
              <w:bottom w:val="single" w:sz="4" w:space="0" w:color="auto"/>
            </w:tcBorders>
          </w:tcPr>
          <w:p>
            <w:pPr>
              <w:pStyle w:val="yTableNAm"/>
              <w:keepNext/>
            </w:pPr>
          </w:p>
          <w:p>
            <w:pPr>
              <w:pStyle w:val="yTableNAm"/>
              <w:keepNext/>
              <w:rPr>
                <w:strike/>
              </w:rPr>
            </w:pPr>
            <w:r>
              <w:t>$172.00</w:t>
            </w:r>
            <w:r>
              <w:br/>
              <w:t>per hour **</w:t>
            </w: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[Schedule 5A inserted in Gazette 25 Sep 2012 p. 4491-4.]</w:t>
      </w:r>
    </w:p>
    <w:p>
      <w:pPr>
        <w:pStyle w:val="yScheduleHeading"/>
      </w:pPr>
      <w:bookmarkStart w:id="70" w:name="_Toc339360102"/>
      <w:bookmarkStart w:id="71" w:name="_Toc339360506"/>
      <w:r>
        <w:rPr>
          <w:rStyle w:val="CharSchNo"/>
        </w:rPr>
        <w:t>Schedule 6</w:t>
      </w:r>
      <w:r>
        <w:t> — </w:t>
      </w:r>
      <w:r>
        <w:rPr>
          <w:rStyle w:val="CharSchText"/>
        </w:rPr>
        <w:t>Scale of maximum fees: approved medical specialists</w:t>
      </w:r>
      <w:bookmarkEnd w:id="70"/>
      <w:bookmarkEnd w:id="71"/>
    </w:p>
    <w:p>
      <w:pPr>
        <w:pStyle w:val="yShoulderClause"/>
        <w:keepNext/>
        <w:keepLines/>
      </w:pPr>
      <w:r>
        <w:t>[r. 9]</w:t>
      </w:r>
    </w:p>
    <w:p>
      <w:pPr>
        <w:pStyle w:val="yFootnoteheading"/>
      </w:pPr>
      <w:r>
        <w:tab/>
        <w:t>[Heading inserted in Gazette 25 Sep 2012 p. 4494.]</w:t>
      </w:r>
    </w:p>
    <w:p>
      <w:pPr>
        <w:pStyle w:val="yHeading3"/>
        <w:rPr>
          <w:rStyle w:val="CharSDivText"/>
        </w:rPr>
      </w:pPr>
      <w:bookmarkStart w:id="72" w:name="_Toc339360103"/>
      <w:bookmarkStart w:id="73" w:name="_Toc339360507"/>
      <w:r>
        <w:rPr>
          <w:rStyle w:val="CharSDivNo"/>
        </w:rPr>
        <w:t>Part 1</w:t>
      </w:r>
      <w:r>
        <w:t xml:space="preserve"> — </w:t>
      </w:r>
      <w:r>
        <w:rPr>
          <w:rStyle w:val="CharSDivText"/>
        </w:rPr>
        <w:t>Assessments</w:t>
      </w:r>
      <w:bookmarkEnd w:id="72"/>
      <w:bookmarkEnd w:id="73"/>
    </w:p>
    <w:p>
      <w:pPr>
        <w:pStyle w:val="yFootnoteheading"/>
        <w:spacing w:after="120"/>
      </w:pPr>
      <w:r>
        <w:tab/>
        <w:t>[Heading inserted in Gazette 25 Sep 2012 p. 4494.]</w:t>
      </w:r>
    </w:p>
    <w:tbl>
      <w:tblPr>
        <w:tblW w:w="0" w:type="auto"/>
        <w:tblInd w:w="108" w:type="dxa"/>
        <w:tblLayout w:type="fixed"/>
        <w:tblLook w:val="0000" w:firstRow="0" w:lastRow="0" w:firstColumn="0" w:lastColumn="0" w:noHBand="0" w:noVBand="0"/>
      </w:tblPr>
      <w:tblGrid>
        <w:gridCol w:w="480"/>
        <w:gridCol w:w="4200"/>
        <w:gridCol w:w="2400"/>
      </w:tblGrid>
      <w:tr>
        <w:trPr>
          <w:cantSplit/>
          <w:tblHeader/>
        </w:trPr>
        <w:tc>
          <w:tcPr>
            <w:tcW w:w="480" w:type="dxa"/>
            <w:tcBorders>
              <w:top w:val="single" w:sz="4" w:space="0" w:color="auto"/>
              <w:bottom w:val="single" w:sz="4" w:space="0" w:color="auto"/>
            </w:tcBorders>
          </w:tcPr>
          <w:p>
            <w:pPr>
              <w:pStyle w:val="yTableNAm"/>
            </w:pPr>
          </w:p>
        </w:tc>
        <w:tc>
          <w:tcPr>
            <w:tcW w:w="4200" w:type="dxa"/>
            <w:tcBorders>
              <w:top w:val="single" w:sz="4" w:space="0" w:color="auto"/>
              <w:bottom w:val="single" w:sz="4" w:space="0" w:color="auto"/>
            </w:tcBorders>
          </w:tcPr>
          <w:p>
            <w:pPr>
              <w:pStyle w:val="yTableNAm"/>
            </w:pPr>
            <w:r>
              <w:rPr>
                <w:b/>
              </w:rPr>
              <w:t>Description of assessment</w:t>
            </w:r>
          </w:p>
        </w:tc>
        <w:tc>
          <w:tcPr>
            <w:tcW w:w="2400" w:type="dxa"/>
            <w:tcBorders>
              <w:top w:val="single" w:sz="4" w:space="0" w:color="auto"/>
              <w:bottom w:val="single" w:sz="4" w:space="0" w:color="auto"/>
            </w:tcBorders>
          </w:tcPr>
          <w:p>
            <w:pPr>
              <w:pStyle w:val="yTableNAm"/>
            </w:pPr>
            <w:r>
              <w:rPr>
                <w:b/>
              </w:rPr>
              <w:t xml:space="preserve">Maximum fee** </w:t>
            </w:r>
          </w:p>
        </w:tc>
      </w:tr>
      <w:tr>
        <w:trPr>
          <w:cantSplit/>
        </w:trPr>
        <w:tc>
          <w:tcPr>
            <w:tcW w:w="480" w:type="dxa"/>
          </w:tcPr>
          <w:p>
            <w:pPr>
              <w:pStyle w:val="yTableNAm"/>
            </w:pPr>
            <w:r>
              <w:t>1.</w:t>
            </w:r>
          </w:p>
        </w:tc>
        <w:tc>
          <w:tcPr>
            <w:tcW w:w="4200" w:type="dxa"/>
          </w:tcPr>
          <w:p>
            <w:pPr>
              <w:pStyle w:val="yTableNAm"/>
            </w:pPr>
            <w:r>
              <w:t>Examination and provision of report and certificate — straightforward assessment — other than a service mentioned in item 4, 5, 6 or 8.</w:t>
            </w:r>
          </w:p>
        </w:tc>
        <w:tc>
          <w:tcPr>
            <w:tcW w:w="2400" w:type="dxa"/>
          </w:tcPr>
          <w:p>
            <w:pPr>
              <w:pStyle w:val="yTableNAm"/>
              <w:rPr>
                <w:szCs w:val="22"/>
              </w:rPr>
            </w:pPr>
            <w:r>
              <w:rPr>
                <w:szCs w:val="22"/>
              </w:rPr>
              <w:t>$1 160.15</w:t>
            </w:r>
            <w:r>
              <w:t xml:space="preserve"> (or, if an interpreter is present at the examination, </w:t>
            </w:r>
            <w:r>
              <w:rPr>
                <w:szCs w:val="22"/>
              </w:rPr>
              <w:t>$1 450.20</w:t>
            </w:r>
            <w:r>
              <w:t xml:space="preserve"> excluding any fee payable to the interpreter)</w:t>
            </w:r>
          </w:p>
        </w:tc>
      </w:tr>
      <w:tr>
        <w:trPr>
          <w:cantSplit/>
        </w:trPr>
        <w:tc>
          <w:tcPr>
            <w:tcW w:w="480" w:type="dxa"/>
          </w:tcPr>
          <w:p>
            <w:pPr>
              <w:pStyle w:val="yTableNAm"/>
            </w:pPr>
            <w:r>
              <w:t>2.</w:t>
            </w:r>
          </w:p>
        </w:tc>
        <w:tc>
          <w:tcPr>
            <w:tcW w:w="4200" w:type="dxa"/>
          </w:tcPr>
          <w:p>
            <w:pPr>
              <w:pStyle w:val="yTableNAm"/>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400" w:type="dxa"/>
          </w:tcPr>
          <w:p>
            <w:pPr>
              <w:pStyle w:val="yTableNAm"/>
            </w:pPr>
            <w:r>
              <w:rPr>
                <w:szCs w:val="22"/>
              </w:rPr>
              <w:t>$1 450.20</w:t>
            </w:r>
            <w:r>
              <w:t xml:space="preserve"> (or, if an interpreter is present at the examination, </w:t>
            </w:r>
            <w:r>
              <w:rPr>
                <w:szCs w:val="22"/>
              </w:rPr>
              <w:t>$1 740.20</w:t>
            </w:r>
            <w:r>
              <w:t xml:space="preserve"> excluding any fee payable to the interpreter)</w:t>
            </w:r>
          </w:p>
        </w:tc>
      </w:tr>
      <w:tr>
        <w:trPr>
          <w:cantSplit/>
        </w:trPr>
        <w:tc>
          <w:tcPr>
            <w:tcW w:w="480" w:type="dxa"/>
          </w:tcPr>
          <w:p>
            <w:pPr>
              <w:pStyle w:val="yTableNAm"/>
            </w:pPr>
            <w:r>
              <w:t>3.</w:t>
            </w:r>
          </w:p>
        </w:tc>
        <w:tc>
          <w:tcPr>
            <w:tcW w:w="4200" w:type="dxa"/>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400" w:type="dxa"/>
          </w:tcPr>
          <w:p>
            <w:pPr>
              <w:pStyle w:val="yTableNAm"/>
            </w:pPr>
            <w:r>
              <w:rPr>
                <w:szCs w:val="22"/>
              </w:rPr>
              <w:t>$1 740.20</w:t>
            </w:r>
            <w:r>
              <w:t xml:space="preserve"> (or, if an interpreter is present at the examination, </w:t>
            </w:r>
            <w:r>
              <w:rPr>
                <w:szCs w:val="22"/>
              </w:rPr>
              <w:t>$2 030.20</w:t>
            </w:r>
            <w:r>
              <w:t xml:space="preserve"> excluding any fee payable to the interpreter)</w:t>
            </w:r>
          </w:p>
        </w:tc>
      </w:tr>
      <w:tr>
        <w:trPr>
          <w:cantSplit/>
        </w:trPr>
        <w:tc>
          <w:tcPr>
            <w:tcW w:w="480" w:type="dxa"/>
          </w:tcPr>
          <w:p>
            <w:pPr>
              <w:pStyle w:val="yTableNAm"/>
            </w:pPr>
            <w:r>
              <w:t>4.</w:t>
            </w:r>
          </w:p>
        </w:tc>
        <w:tc>
          <w:tcPr>
            <w:tcW w:w="4200" w:type="dxa"/>
          </w:tcPr>
          <w:p>
            <w:pPr>
              <w:pStyle w:val="yTableNAm"/>
            </w:pPr>
            <w:r>
              <w:t>Examination of any ear, nose and throat only, including audiometric testing and provision of report and certificate — other than a service mentioned in item 8.</w:t>
            </w:r>
          </w:p>
        </w:tc>
        <w:tc>
          <w:tcPr>
            <w:tcW w:w="2400" w:type="dxa"/>
          </w:tcPr>
          <w:p>
            <w:pPr>
              <w:pStyle w:val="yTableNAm"/>
            </w:pPr>
            <w:r>
              <w:rPr>
                <w:szCs w:val="22"/>
              </w:rPr>
              <w:t>$1 160.15</w:t>
            </w:r>
            <w:r>
              <w:t xml:space="preserve"> (or, if an interpreter is present at the examination, </w:t>
            </w:r>
            <w:r>
              <w:rPr>
                <w:szCs w:val="22"/>
              </w:rPr>
              <w:t>$1 450.20</w:t>
            </w:r>
            <w:r>
              <w:t xml:space="preserve"> excluding any fee payable to the interpreter)</w:t>
            </w:r>
          </w:p>
        </w:tc>
      </w:tr>
      <w:tr>
        <w:trPr>
          <w:cantSplit/>
        </w:trPr>
        <w:tc>
          <w:tcPr>
            <w:tcW w:w="480" w:type="dxa"/>
          </w:tcPr>
          <w:p>
            <w:pPr>
              <w:pStyle w:val="yTableNAm"/>
            </w:pPr>
            <w:r>
              <w:t>5.</w:t>
            </w:r>
          </w:p>
        </w:tc>
        <w:tc>
          <w:tcPr>
            <w:tcW w:w="4200" w:type="dxa"/>
          </w:tcPr>
          <w:p>
            <w:pPr>
              <w:pStyle w:val="yTableNAm"/>
            </w:pPr>
            <w:r>
              <w:t>Examination and provision of report and certificate — psychiatric — standard assessment — other than a service mentioned in item 8.</w:t>
            </w:r>
          </w:p>
        </w:tc>
        <w:tc>
          <w:tcPr>
            <w:tcW w:w="2400" w:type="dxa"/>
          </w:tcPr>
          <w:p>
            <w:pPr>
              <w:pStyle w:val="yTableNAm"/>
            </w:pPr>
            <w:r>
              <w:rPr>
                <w:szCs w:val="22"/>
              </w:rPr>
              <w:t>$1 740.20</w:t>
            </w:r>
            <w:r>
              <w:t xml:space="preserve"> (or, if an interpreter is present at the examination, </w:t>
            </w:r>
            <w:r>
              <w:rPr>
                <w:szCs w:val="22"/>
              </w:rPr>
              <w:t>$2 030.20</w:t>
            </w:r>
            <w:r>
              <w:t xml:space="preserve"> excluding any fee payable to the interpreter)</w:t>
            </w:r>
          </w:p>
        </w:tc>
      </w:tr>
      <w:tr>
        <w:trPr>
          <w:cantSplit/>
        </w:trPr>
        <w:tc>
          <w:tcPr>
            <w:tcW w:w="480" w:type="dxa"/>
          </w:tcPr>
          <w:p>
            <w:pPr>
              <w:pStyle w:val="yTableNAm"/>
            </w:pPr>
            <w:r>
              <w:t>6.</w:t>
            </w:r>
          </w:p>
        </w:tc>
        <w:tc>
          <w:tcPr>
            <w:tcW w:w="4200" w:type="dxa"/>
          </w:tcPr>
          <w:p>
            <w:pPr>
              <w:pStyle w:val="yTableNAm"/>
            </w:pPr>
            <w:r>
              <w:t>Examination and provision of report and certificate — psychiatric — complex assessment (e.g. reviewing significant documented prior psychiatric history) — other than a service mentioned in item 8.</w:t>
            </w:r>
          </w:p>
        </w:tc>
        <w:tc>
          <w:tcPr>
            <w:tcW w:w="2400" w:type="dxa"/>
          </w:tcPr>
          <w:p>
            <w:pPr>
              <w:pStyle w:val="yTableNAm"/>
            </w:pPr>
            <w:r>
              <w:rPr>
                <w:szCs w:val="22"/>
              </w:rPr>
              <w:t>$2 900.25</w:t>
            </w:r>
            <w:r>
              <w:t xml:space="preserve"> (or, if an interpreter is present at the examination, </w:t>
            </w:r>
            <w:r>
              <w:rPr>
                <w:szCs w:val="22"/>
              </w:rPr>
              <w:t>$3 190.35</w:t>
            </w:r>
            <w:r>
              <w:t xml:space="preserve"> excluding any fee payable to the interpreter)</w:t>
            </w:r>
          </w:p>
        </w:tc>
      </w:tr>
      <w:tr>
        <w:trPr>
          <w:cantSplit/>
        </w:trPr>
        <w:tc>
          <w:tcPr>
            <w:tcW w:w="480" w:type="dxa"/>
          </w:tcPr>
          <w:p>
            <w:pPr>
              <w:pStyle w:val="yTableNAm"/>
            </w:pPr>
            <w:r>
              <w:t>7.</w:t>
            </w:r>
          </w:p>
        </w:tc>
        <w:tc>
          <w:tcPr>
            <w:tcW w:w="4200" w:type="dxa"/>
          </w:tcPr>
          <w:p>
            <w:pPr>
              <w:pStyle w:val="yTableNAm"/>
            </w:pPr>
            <w:r>
              <w:t>Consolidation of written assessments from multiple assessors.</w:t>
            </w:r>
          </w:p>
        </w:tc>
        <w:tc>
          <w:tcPr>
            <w:tcW w:w="2400" w:type="dxa"/>
          </w:tcPr>
          <w:p>
            <w:pPr>
              <w:pStyle w:val="yTableNAm"/>
            </w:pPr>
            <w:r>
              <w:rPr>
                <w:szCs w:val="22"/>
              </w:rPr>
              <w:t>$580.05</w:t>
            </w:r>
          </w:p>
        </w:tc>
      </w:tr>
      <w:tr>
        <w:trPr>
          <w:cantSplit/>
        </w:trPr>
        <w:tc>
          <w:tcPr>
            <w:tcW w:w="480" w:type="dxa"/>
          </w:tcPr>
          <w:p>
            <w:pPr>
              <w:pStyle w:val="yTableNAm"/>
            </w:pPr>
            <w:r>
              <w:t>8.</w:t>
            </w:r>
          </w:p>
        </w:tc>
        <w:tc>
          <w:tcPr>
            <w:tcW w:w="4200" w:type="dxa"/>
          </w:tcPr>
          <w:p>
            <w:pPr>
              <w:pStyle w:val="yTableNAm"/>
            </w:pPr>
            <w:r>
              <w:t>Re</w:t>
            </w:r>
            <w:r>
              <w:noBreakHyphen/>
              <w:t>examination and provision of report and certificate.</w:t>
            </w:r>
          </w:p>
        </w:tc>
        <w:tc>
          <w:tcPr>
            <w:tcW w:w="2400" w:type="dxa"/>
          </w:tcPr>
          <w:p>
            <w:pPr>
              <w:pStyle w:val="yTableNAm"/>
            </w:pPr>
            <w:r>
              <w:rPr>
                <w:szCs w:val="22"/>
              </w:rPr>
              <w:t>$870.10</w:t>
            </w:r>
            <w:r>
              <w:t xml:space="preserve"> (or, if an interpreter is present at the examination, </w:t>
            </w:r>
            <w:r>
              <w:rPr>
                <w:szCs w:val="22"/>
              </w:rPr>
              <w:t>$1 160.15</w:t>
            </w:r>
            <w:r>
              <w:t xml:space="preserve"> excluding any fee payable to the interpreter)</w:t>
            </w:r>
          </w:p>
        </w:tc>
      </w:tr>
      <w:tr>
        <w:trPr>
          <w:cantSplit/>
        </w:trPr>
        <w:tc>
          <w:tcPr>
            <w:tcW w:w="480" w:type="dxa"/>
            <w:tcBorders>
              <w:bottom w:val="single" w:sz="4" w:space="0" w:color="auto"/>
            </w:tcBorders>
          </w:tcPr>
          <w:p>
            <w:pPr>
              <w:pStyle w:val="yTableNAm"/>
            </w:pPr>
            <w:r>
              <w:t>9.</w:t>
            </w:r>
          </w:p>
        </w:tc>
        <w:tc>
          <w:tcPr>
            <w:tcW w:w="4200" w:type="dxa"/>
            <w:tcBorders>
              <w:bottom w:val="single" w:sz="4" w:space="0" w:color="auto"/>
            </w:tcBorders>
          </w:tcPr>
          <w:p>
            <w:pPr>
              <w:pStyle w:val="yTableNAm"/>
            </w:pPr>
            <w:r>
              <w:t>Provision of supplementary report and certificate.</w:t>
            </w:r>
          </w:p>
        </w:tc>
        <w:tc>
          <w:tcPr>
            <w:tcW w:w="2400" w:type="dxa"/>
            <w:tcBorders>
              <w:bottom w:val="single" w:sz="4" w:space="0" w:color="auto"/>
            </w:tcBorders>
          </w:tcPr>
          <w:p>
            <w:pPr>
              <w:pStyle w:val="yTableNAm"/>
            </w:pPr>
            <w:r>
              <w:rPr>
                <w:szCs w:val="22"/>
              </w:rPr>
              <w:t>$290.05</w:t>
            </w:r>
          </w:p>
        </w:tc>
      </w:tr>
    </w:tbl>
    <w:p>
      <w:pPr>
        <w:pStyle w:val="yFootnotesection"/>
      </w:pPr>
      <w:r>
        <w:tab/>
        <w:t>[Part 1 inserted in Gazette 25 Sep 2012 p. 4494-5.]</w:t>
      </w:r>
    </w:p>
    <w:p>
      <w:pPr>
        <w:pStyle w:val="yHeading3"/>
      </w:pPr>
      <w:bookmarkStart w:id="74" w:name="_Toc339360104"/>
      <w:bookmarkStart w:id="75" w:name="_Toc339360508"/>
      <w:r>
        <w:rPr>
          <w:rStyle w:val="CharSDivNo"/>
        </w:rPr>
        <w:t>Part 2</w:t>
      </w:r>
      <w:r>
        <w:t> — </w:t>
      </w:r>
      <w:r>
        <w:rPr>
          <w:rStyle w:val="CharSDivText"/>
        </w:rPr>
        <w:t>Attempted assessments</w:t>
      </w:r>
      <w:bookmarkEnd w:id="74"/>
      <w:bookmarkEnd w:id="75"/>
    </w:p>
    <w:p>
      <w:pPr>
        <w:pStyle w:val="yFootnoteheading"/>
        <w:spacing w:after="120"/>
      </w:pPr>
      <w:r>
        <w:tab/>
        <w:t>[Heading inserted in Gazette 25 Sep 2012 p. 4496.]</w:t>
      </w:r>
    </w:p>
    <w:tbl>
      <w:tblPr>
        <w:tblW w:w="0" w:type="auto"/>
        <w:tblInd w:w="108" w:type="dxa"/>
        <w:tblLayout w:type="fixed"/>
        <w:tblLook w:val="0000" w:firstRow="0" w:lastRow="0" w:firstColumn="0" w:lastColumn="0" w:noHBand="0" w:noVBand="0"/>
      </w:tblPr>
      <w:tblGrid>
        <w:gridCol w:w="480"/>
        <w:gridCol w:w="4200"/>
        <w:gridCol w:w="2400"/>
      </w:tblGrid>
      <w:tr>
        <w:trPr>
          <w:cantSplit/>
          <w:tblHeader/>
        </w:trPr>
        <w:tc>
          <w:tcPr>
            <w:tcW w:w="480" w:type="dxa"/>
            <w:tcBorders>
              <w:top w:val="single" w:sz="4" w:space="0" w:color="auto"/>
              <w:bottom w:val="single" w:sz="4" w:space="0" w:color="auto"/>
            </w:tcBorders>
          </w:tcPr>
          <w:p>
            <w:pPr>
              <w:pStyle w:val="yTableNAm"/>
            </w:pPr>
            <w:r>
              <w:tab/>
            </w:r>
          </w:p>
        </w:tc>
        <w:tc>
          <w:tcPr>
            <w:tcW w:w="4200" w:type="dxa"/>
            <w:tcBorders>
              <w:top w:val="single" w:sz="4" w:space="0" w:color="auto"/>
              <w:bottom w:val="single" w:sz="4" w:space="0" w:color="auto"/>
            </w:tcBorders>
          </w:tcPr>
          <w:p>
            <w:pPr>
              <w:pStyle w:val="yTableNAm"/>
            </w:pPr>
            <w:r>
              <w:rPr>
                <w:b/>
              </w:rPr>
              <w:t>Description of circumstances</w:t>
            </w:r>
          </w:p>
        </w:tc>
        <w:tc>
          <w:tcPr>
            <w:tcW w:w="2400" w:type="dxa"/>
            <w:tcBorders>
              <w:top w:val="single" w:sz="4" w:space="0" w:color="auto"/>
              <w:bottom w:val="single" w:sz="4" w:space="0" w:color="auto"/>
            </w:tcBorders>
          </w:tcPr>
          <w:p>
            <w:pPr>
              <w:pStyle w:val="yTableNAm"/>
            </w:pPr>
            <w:r>
              <w:rPr>
                <w:b/>
              </w:rPr>
              <w:t>Maximum fee**</w:t>
            </w:r>
          </w:p>
        </w:tc>
      </w:tr>
      <w:tr>
        <w:trPr>
          <w:cantSplit/>
        </w:trPr>
        <w:tc>
          <w:tcPr>
            <w:tcW w:w="480" w:type="dxa"/>
            <w:tcBorders>
              <w:top w:val="single" w:sz="4" w:space="0" w:color="auto"/>
            </w:tcBorders>
          </w:tcPr>
          <w:p>
            <w:pPr>
              <w:pStyle w:val="yTableNAm"/>
            </w:pPr>
            <w:r>
              <w:t>1.</w:t>
            </w:r>
          </w:p>
        </w:tc>
        <w:tc>
          <w:tcPr>
            <w:tcW w:w="4200" w:type="dxa"/>
            <w:tcBorders>
              <w:top w:val="single" w:sz="4" w:space="0" w:color="auto"/>
            </w:tcBorders>
          </w:tcPr>
          <w:p>
            <w:pPr>
              <w:pStyle w:val="yTableNAm"/>
            </w:pPr>
            <w:r>
              <w:t xml:space="preserve">If a worker who is required under Part VII Division 2 of the Act to submit to an examination by an approved medical specialist does not attend, in a case in which — </w:t>
            </w:r>
          </w:p>
        </w:tc>
        <w:tc>
          <w:tcPr>
            <w:tcW w:w="2400" w:type="dxa"/>
            <w:tcBorders>
              <w:top w:val="single" w:sz="4" w:space="0" w:color="auto"/>
            </w:tcBorders>
          </w:tcPr>
          <w:p>
            <w:pPr>
              <w:pStyle w:val="yTableNAm"/>
            </w:pPr>
            <w:r>
              <w:rPr>
                <w:szCs w:val="22"/>
              </w:rPr>
              <w:t>$580.05</w:t>
            </w:r>
          </w:p>
        </w:tc>
      </w:tr>
      <w:tr>
        <w:trPr>
          <w:cantSplit/>
        </w:trPr>
        <w:tc>
          <w:tcPr>
            <w:tcW w:w="480" w:type="dxa"/>
          </w:tcPr>
          <w:p>
            <w:pPr>
              <w:pStyle w:val="yTableNAm"/>
            </w:pPr>
          </w:p>
        </w:tc>
        <w:tc>
          <w:tcPr>
            <w:tcW w:w="4200" w:type="dxa"/>
          </w:tcPr>
          <w:p>
            <w:pPr>
              <w:pStyle w:val="yTableNAm"/>
              <w:ind w:left="612" w:hanging="612"/>
            </w:pPr>
            <w:r>
              <w:t>(a)</w:t>
            </w:r>
            <w:r>
              <w:tab/>
              <w:t>no prior arrangements to cancel the examination are made; or</w:t>
            </w:r>
          </w:p>
        </w:tc>
        <w:tc>
          <w:tcPr>
            <w:tcW w:w="2400" w:type="dxa"/>
          </w:tcPr>
          <w:p>
            <w:pPr>
              <w:pStyle w:val="yTableNAm"/>
            </w:pPr>
          </w:p>
        </w:tc>
      </w:tr>
      <w:tr>
        <w:trPr>
          <w:cantSplit/>
          <w:tblHeader/>
        </w:trPr>
        <w:tc>
          <w:tcPr>
            <w:tcW w:w="480" w:type="dxa"/>
            <w:tcBorders>
              <w:bottom w:val="single" w:sz="4" w:space="0" w:color="auto"/>
            </w:tcBorders>
          </w:tcPr>
          <w:p>
            <w:pPr>
              <w:pStyle w:val="yTableNAm"/>
            </w:pPr>
          </w:p>
        </w:tc>
        <w:tc>
          <w:tcPr>
            <w:tcW w:w="4200" w:type="dxa"/>
            <w:tcBorders>
              <w:bottom w:val="single" w:sz="4" w:space="0" w:color="auto"/>
            </w:tcBorders>
          </w:tcPr>
          <w:p>
            <w:pPr>
              <w:pStyle w:val="yTableNAm"/>
              <w:ind w:left="612" w:hanging="612"/>
              <w:rPr>
                <w:b/>
              </w:rPr>
            </w:pPr>
            <w:r>
              <w:t>(b)</w:t>
            </w:r>
            <w:r>
              <w:tab/>
              <w:t>the examination is cancelled, otherwise than at the request of the approved medical specialist, with less than one working day’s notice.</w:t>
            </w:r>
          </w:p>
        </w:tc>
        <w:tc>
          <w:tcPr>
            <w:tcW w:w="2400" w:type="dxa"/>
            <w:tcBorders>
              <w:bottom w:val="single" w:sz="4" w:space="0" w:color="auto"/>
            </w:tcBorders>
          </w:tcPr>
          <w:p>
            <w:pPr>
              <w:pStyle w:val="yTableNAm"/>
              <w:rPr>
                <w:b/>
              </w:rPr>
            </w:pP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[Part 2 inserted in Gazette 25 Sep 2012 p. 4496.]</w:t>
      </w:r>
    </w:p>
    <w:bookmarkEnd w:id="47"/>
    <w:bookmarkEnd w:id="48"/>
    <w:bookmarkEnd w:id="49"/>
    <w:bookmarkEnd w:id="52"/>
    <w:bookmarkEnd w:id="53"/>
    <w:bookmarkEnd w:id="54"/>
    <w:bookmarkEnd w:id="55"/>
    <w:p>
      <w:pPr>
        <w:pStyle w:val="yFootnotesection"/>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76" w:name="_Toc276382384"/>
      <w:bookmarkStart w:id="77" w:name="_Toc305149078"/>
      <w:bookmarkStart w:id="78" w:name="_Toc306890340"/>
      <w:bookmarkStart w:id="79" w:name="_Toc306961511"/>
      <w:bookmarkStart w:id="80" w:name="_Toc306967203"/>
      <w:bookmarkStart w:id="81" w:name="_Toc306977083"/>
      <w:bookmarkStart w:id="82" w:name="_Toc336245222"/>
    </w:p>
    <w:p>
      <w:pPr>
        <w:pStyle w:val="nHeading2"/>
      </w:pPr>
      <w:bookmarkStart w:id="83" w:name="_Toc339360105"/>
      <w:bookmarkStart w:id="84" w:name="_Toc339360509"/>
      <w:r>
        <w:t>Notes</w:t>
      </w:r>
      <w:bookmarkEnd w:id="76"/>
      <w:bookmarkEnd w:id="77"/>
      <w:bookmarkEnd w:id="78"/>
      <w:bookmarkEnd w:id="79"/>
      <w:bookmarkEnd w:id="80"/>
      <w:bookmarkEnd w:id="81"/>
      <w:bookmarkEnd w:id="82"/>
      <w:bookmarkEnd w:id="83"/>
      <w:bookmarkEnd w:id="84"/>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(Scales of Fees) Regulations 1998</w:t>
      </w:r>
      <w:r>
        <w:rPr>
          <w:snapToGrid w:val="0"/>
        </w:rPr>
        <w:t xml:space="preserve"> and includes the amendments made by the other written laws referred to in the following table</w:t>
      </w:r>
      <w:r>
        <w:rPr>
          <w:snapToGrid w:val="0"/>
          <w:vertAlign w:val="superscript"/>
        </w:rPr>
        <w:t xml:space="preserve"> 2</w:t>
      </w:r>
      <w:r>
        <w:rPr>
          <w:snapToGrid w:val="0"/>
        </w:rPr>
        <w:t>.  The table also contains information about any reprint.</w:t>
      </w:r>
    </w:p>
    <w:p>
      <w:pPr>
        <w:pStyle w:val="nHeading3"/>
      </w:pPr>
      <w:bookmarkStart w:id="85" w:name="_Toc339360510"/>
      <w:r>
        <w:t>Compilation table</w:t>
      </w:r>
      <w:bookmarkEnd w:id="8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Workers’ Compensation and Rehabilitation (Scales of Fees) Regulations 1998</w:t>
            </w:r>
            <w:r>
              <w:rPr>
                <w:sz w:val="19"/>
                <w:vertAlign w:val="superscript"/>
              </w:rPr>
              <w:t> 3</w:t>
            </w:r>
          </w:p>
        </w:tc>
        <w:tc>
          <w:tcPr>
            <w:tcW w:w="1276" w:type="dxa"/>
            <w:tcBorders>
              <w:top w:val="single" w:sz="8" w:space="0" w:color="auto"/>
            </w:tcBorders>
          </w:tcPr>
          <w:p>
            <w:pPr>
              <w:pStyle w:val="nTable"/>
              <w:spacing w:after="40"/>
              <w:rPr>
                <w:sz w:val="19"/>
              </w:rPr>
            </w:pPr>
            <w:r>
              <w:rPr>
                <w:sz w:val="19"/>
              </w:rPr>
              <w:t>13 Oct 1998 p. 5709</w:t>
            </w:r>
            <w:r>
              <w:rPr>
                <w:sz w:val="19"/>
              </w:rPr>
              <w:noBreakHyphen/>
              <w:t>25</w:t>
            </w:r>
          </w:p>
        </w:tc>
        <w:tc>
          <w:tcPr>
            <w:tcW w:w="2693" w:type="dxa"/>
            <w:tcBorders>
              <w:top w:val="single" w:sz="8" w:space="0" w:color="auto"/>
            </w:tcBorders>
          </w:tcPr>
          <w:p>
            <w:pPr>
              <w:pStyle w:val="nTable"/>
              <w:spacing w:after="40"/>
              <w:rPr>
                <w:sz w:val="19"/>
              </w:rPr>
            </w:pPr>
            <w:r>
              <w:rPr>
                <w:sz w:val="19"/>
              </w:rPr>
              <w:t>13 Oct 1998</w:t>
            </w:r>
          </w:p>
        </w:tc>
      </w:tr>
      <w:tr>
        <w:trPr>
          <w:cantSplit/>
        </w:trPr>
        <w:tc>
          <w:tcPr>
            <w:tcW w:w="3119" w:type="dxa"/>
          </w:tcPr>
          <w:p>
            <w:pPr>
              <w:pStyle w:val="nTable"/>
              <w:spacing w:after="40"/>
              <w:ind w:right="113"/>
              <w:rPr>
                <w:i/>
                <w:sz w:val="19"/>
              </w:rPr>
            </w:pPr>
            <w:r>
              <w:rPr>
                <w:i/>
                <w:sz w:val="19"/>
              </w:rPr>
              <w:t>Workers’ Compensation and Rehabilitation (Scales of Fees) Amendment Regulations 1999</w:t>
            </w:r>
          </w:p>
        </w:tc>
        <w:tc>
          <w:tcPr>
            <w:tcW w:w="1276" w:type="dxa"/>
          </w:tcPr>
          <w:p>
            <w:pPr>
              <w:pStyle w:val="nTable"/>
              <w:spacing w:after="40"/>
              <w:rPr>
                <w:sz w:val="19"/>
              </w:rPr>
            </w:pPr>
            <w:r>
              <w:rPr>
                <w:sz w:val="19"/>
              </w:rPr>
              <w:t>20 Jul 1999 p. 3249</w:t>
            </w:r>
            <w:r>
              <w:rPr>
                <w:sz w:val="19"/>
              </w:rPr>
              <w:noBreakHyphen/>
              <w:t>77</w:t>
            </w:r>
          </w:p>
        </w:tc>
        <w:tc>
          <w:tcPr>
            <w:tcW w:w="2693" w:type="dxa"/>
          </w:tcPr>
          <w:p>
            <w:pPr>
              <w:pStyle w:val="nTable"/>
              <w:spacing w:after="40"/>
              <w:rPr>
                <w:sz w:val="19"/>
              </w:rPr>
            </w:pPr>
            <w:r>
              <w:rPr>
                <w:sz w:val="19"/>
              </w:rPr>
              <w:t>20 Jul 1999</w:t>
            </w:r>
          </w:p>
        </w:tc>
      </w:tr>
      <w:tr>
        <w:trPr>
          <w:cantSplit/>
        </w:trPr>
        <w:tc>
          <w:tcPr>
            <w:tcW w:w="3119" w:type="dxa"/>
          </w:tcPr>
          <w:p>
            <w:pPr>
              <w:pStyle w:val="nTable"/>
              <w:spacing w:after="40"/>
              <w:ind w:right="113"/>
              <w:rPr>
                <w:sz w:val="19"/>
              </w:rPr>
            </w:pPr>
            <w:r>
              <w:rPr>
                <w:i/>
                <w:sz w:val="19"/>
              </w:rPr>
              <w:t>Workers’ Compensation and Rehabilitation (Scales of Fees) Amendment Regulations (No. 2) 1999</w:t>
            </w:r>
          </w:p>
        </w:tc>
        <w:tc>
          <w:tcPr>
            <w:tcW w:w="1276" w:type="dxa"/>
          </w:tcPr>
          <w:p>
            <w:pPr>
              <w:pStyle w:val="nTable"/>
              <w:spacing w:after="40"/>
              <w:rPr>
                <w:sz w:val="19"/>
              </w:rPr>
            </w:pPr>
            <w:r>
              <w:rPr>
                <w:sz w:val="19"/>
              </w:rPr>
              <w:t>31 Aug 1999 p. 4264</w:t>
            </w:r>
            <w:r>
              <w:rPr>
                <w:sz w:val="19"/>
              </w:rPr>
              <w:noBreakHyphen/>
              <w:t>5</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sz w:val="19"/>
              </w:rPr>
            </w:pPr>
            <w:r>
              <w:rPr>
                <w:i/>
                <w:sz w:val="19"/>
              </w:rPr>
              <w:t>Workers’ Compensation and Rehabilitation (Scales of Fees) Amendment Regulations 2000</w:t>
            </w:r>
          </w:p>
        </w:tc>
        <w:tc>
          <w:tcPr>
            <w:tcW w:w="1276" w:type="dxa"/>
          </w:tcPr>
          <w:p>
            <w:pPr>
              <w:pStyle w:val="nTable"/>
              <w:spacing w:after="40"/>
              <w:rPr>
                <w:sz w:val="19"/>
              </w:rPr>
            </w:pPr>
            <w:r>
              <w:rPr>
                <w:sz w:val="19"/>
              </w:rPr>
              <w:t>21 Dec 2000 p. 7623</w:t>
            </w:r>
            <w:r>
              <w:rPr>
                <w:sz w:val="19"/>
              </w:rPr>
              <w:noBreakHyphen/>
              <w:t>51</w:t>
            </w:r>
            <w:r>
              <w:rPr>
                <w:sz w:val="19"/>
              </w:rPr>
              <w:br/>
              <w:t>(correction 6 Feb 2001 p. 743)</w:t>
            </w:r>
          </w:p>
        </w:tc>
        <w:tc>
          <w:tcPr>
            <w:tcW w:w="2693" w:type="dxa"/>
          </w:tcPr>
          <w:p>
            <w:pPr>
              <w:pStyle w:val="nTable"/>
              <w:spacing w:after="40"/>
              <w:rPr>
                <w:sz w:val="19"/>
              </w:rPr>
            </w:pPr>
            <w:r>
              <w:rPr>
                <w:sz w:val="19"/>
              </w:rPr>
              <w:t>21 Dec 2000</w:t>
            </w:r>
          </w:p>
        </w:tc>
      </w:tr>
      <w:tr>
        <w:trPr>
          <w:cantSplit/>
        </w:trPr>
        <w:tc>
          <w:tcPr>
            <w:tcW w:w="3119" w:type="dxa"/>
          </w:tcPr>
          <w:p>
            <w:pPr>
              <w:pStyle w:val="nTable"/>
              <w:spacing w:after="40"/>
              <w:ind w:right="113"/>
              <w:rPr>
                <w:i/>
                <w:sz w:val="19"/>
              </w:rPr>
            </w:pPr>
            <w:r>
              <w:rPr>
                <w:i/>
                <w:sz w:val="19"/>
              </w:rPr>
              <w:t>Workers’ Compensation and Rehabilitation (Scales of Fees) Amendment Regulations 2001</w:t>
            </w:r>
          </w:p>
        </w:tc>
        <w:tc>
          <w:tcPr>
            <w:tcW w:w="1276" w:type="dxa"/>
          </w:tcPr>
          <w:p>
            <w:pPr>
              <w:pStyle w:val="nTable"/>
              <w:spacing w:after="40"/>
              <w:rPr>
                <w:sz w:val="19"/>
              </w:rPr>
            </w:pPr>
            <w:r>
              <w:rPr>
                <w:sz w:val="19"/>
              </w:rPr>
              <w:t>14 Dec 2001 p. 6416</w:t>
            </w:r>
            <w:r>
              <w:rPr>
                <w:sz w:val="19"/>
              </w:rPr>
              <w:noBreakHyphen/>
              <w:t>17</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2001</w:t>
            </w:r>
          </w:p>
        </w:tc>
        <w:tc>
          <w:tcPr>
            <w:tcW w:w="1276" w:type="dxa"/>
          </w:tcPr>
          <w:p>
            <w:pPr>
              <w:pStyle w:val="nTable"/>
              <w:spacing w:after="40"/>
              <w:rPr>
                <w:sz w:val="19"/>
              </w:rPr>
            </w:pPr>
            <w:r>
              <w:rPr>
                <w:sz w:val="19"/>
              </w:rPr>
              <w:t>28 Dec 2001 p. 6691</w:t>
            </w:r>
            <w:r>
              <w:rPr>
                <w:sz w:val="19"/>
              </w:rPr>
              <w:noBreakHyphen/>
              <w:t>710</w:t>
            </w:r>
          </w:p>
        </w:tc>
        <w:tc>
          <w:tcPr>
            <w:tcW w:w="2693" w:type="dxa"/>
          </w:tcPr>
          <w:p>
            <w:pPr>
              <w:pStyle w:val="nTable"/>
              <w:spacing w:after="40"/>
              <w:rPr>
                <w:sz w:val="19"/>
              </w:rPr>
            </w:pPr>
            <w:r>
              <w:rPr>
                <w:sz w:val="19"/>
              </w:rPr>
              <w:t>28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2002</w:t>
            </w:r>
          </w:p>
        </w:tc>
        <w:tc>
          <w:tcPr>
            <w:tcW w:w="1276" w:type="dxa"/>
          </w:tcPr>
          <w:p>
            <w:pPr>
              <w:pStyle w:val="nTable"/>
              <w:spacing w:after="40"/>
              <w:rPr>
                <w:sz w:val="19"/>
              </w:rPr>
            </w:pPr>
            <w:r>
              <w:rPr>
                <w:sz w:val="19"/>
              </w:rPr>
              <w:t>21 May 2002 p. 2593</w:t>
            </w:r>
            <w:r>
              <w:rPr>
                <w:sz w:val="19"/>
              </w:rPr>
              <w:noBreakHyphen/>
              <w:t>4</w:t>
            </w:r>
          </w:p>
        </w:tc>
        <w:tc>
          <w:tcPr>
            <w:tcW w:w="2693" w:type="dxa"/>
          </w:tcPr>
          <w:p>
            <w:pPr>
              <w:pStyle w:val="nTable"/>
              <w:spacing w:after="40"/>
              <w:rPr>
                <w:sz w:val="19"/>
              </w:rPr>
            </w:pPr>
            <w:r>
              <w:rPr>
                <w:sz w:val="19"/>
              </w:rPr>
              <w:t>21 May 2002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Workers’ Compensation and Rehabilitation (Scales of Fees) Regulations 1998 </w:t>
            </w:r>
            <w:r>
              <w:rPr>
                <w:b/>
                <w:sz w:val="19"/>
              </w:rPr>
              <w:t>as at 24 May 2002</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2002</w:t>
            </w:r>
          </w:p>
        </w:tc>
        <w:tc>
          <w:tcPr>
            <w:tcW w:w="1276" w:type="dxa"/>
          </w:tcPr>
          <w:p>
            <w:pPr>
              <w:pStyle w:val="nTable"/>
              <w:spacing w:after="40"/>
              <w:rPr>
                <w:sz w:val="19"/>
              </w:rPr>
            </w:pPr>
            <w:r>
              <w:rPr>
                <w:sz w:val="19"/>
              </w:rPr>
              <w:t>10 Sep 2002 p. 4602</w:t>
            </w:r>
            <w:r>
              <w:rPr>
                <w:sz w:val="19"/>
              </w:rPr>
              <w:noBreakHyphen/>
              <w:t>3</w:t>
            </w:r>
          </w:p>
        </w:tc>
        <w:tc>
          <w:tcPr>
            <w:tcW w:w="2693" w:type="dxa"/>
          </w:tcPr>
          <w:p>
            <w:pPr>
              <w:pStyle w:val="nTable"/>
              <w:spacing w:after="40"/>
              <w:rPr>
                <w:sz w:val="19"/>
              </w:rPr>
            </w:pPr>
            <w:r>
              <w:rPr>
                <w:sz w:val="19"/>
              </w:rPr>
              <w:t>10 Sep 2002</w:t>
            </w:r>
          </w:p>
        </w:tc>
      </w:tr>
      <w:tr>
        <w:trPr>
          <w:cantSplit/>
        </w:trPr>
        <w:tc>
          <w:tcPr>
            <w:tcW w:w="3119" w:type="dxa"/>
          </w:tcPr>
          <w:p>
            <w:pPr>
              <w:pStyle w:val="nTable"/>
              <w:spacing w:after="40"/>
              <w:ind w:right="113"/>
              <w:rPr>
                <w:i/>
                <w:sz w:val="19"/>
              </w:rPr>
            </w:pPr>
            <w:r>
              <w:rPr>
                <w:i/>
                <w:sz w:val="19"/>
              </w:rPr>
              <w:t>Workers’ Compensation and Rehabilitation (Scales of Fees) Amendment Regulations 2003</w:t>
            </w:r>
          </w:p>
        </w:tc>
        <w:tc>
          <w:tcPr>
            <w:tcW w:w="1276" w:type="dxa"/>
          </w:tcPr>
          <w:p>
            <w:pPr>
              <w:pStyle w:val="nTable"/>
              <w:spacing w:after="40"/>
              <w:rPr>
                <w:sz w:val="19"/>
              </w:rPr>
            </w:pPr>
            <w:r>
              <w:rPr>
                <w:sz w:val="19"/>
              </w:rPr>
              <w:t>7 Mar 2003 p. 741</w:t>
            </w:r>
            <w:r>
              <w:rPr>
                <w:sz w:val="19"/>
              </w:rPr>
              <w:noBreakHyphen/>
              <w:t>2</w:t>
            </w:r>
          </w:p>
        </w:tc>
        <w:tc>
          <w:tcPr>
            <w:tcW w:w="2693" w:type="dxa"/>
          </w:tcPr>
          <w:p>
            <w:pPr>
              <w:pStyle w:val="nTable"/>
              <w:spacing w:after="40"/>
              <w:rPr>
                <w:sz w:val="19"/>
              </w:rPr>
            </w:pPr>
            <w:r>
              <w:rPr>
                <w:sz w:val="19"/>
              </w:rPr>
              <w:t>7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2003</w:t>
            </w:r>
          </w:p>
        </w:tc>
        <w:tc>
          <w:tcPr>
            <w:tcW w:w="1276" w:type="dxa"/>
          </w:tcPr>
          <w:p>
            <w:pPr>
              <w:pStyle w:val="nTable"/>
              <w:spacing w:after="40"/>
              <w:rPr>
                <w:sz w:val="19"/>
              </w:rPr>
            </w:pPr>
            <w:r>
              <w:rPr>
                <w:sz w:val="19"/>
              </w:rPr>
              <w:t>25 Mar 2003 p. 922</w:t>
            </w:r>
            <w:r>
              <w:rPr>
                <w:sz w:val="19"/>
              </w:rPr>
              <w:noBreakHyphen/>
              <w:t>3</w:t>
            </w:r>
          </w:p>
        </w:tc>
        <w:tc>
          <w:tcPr>
            <w:tcW w:w="2693" w:type="dxa"/>
          </w:tcPr>
          <w:p>
            <w:pPr>
              <w:pStyle w:val="nTable"/>
              <w:spacing w:after="40"/>
              <w:rPr>
                <w:sz w:val="19"/>
              </w:rPr>
            </w:pPr>
            <w:r>
              <w:rPr>
                <w:sz w:val="19"/>
              </w:rPr>
              <w:t>25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3) 2003</w:t>
            </w:r>
          </w:p>
        </w:tc>
        <w:tc>
          <w:tcPr>
            <w:tcW w:w="1276" w:type="dxa"/>
          </w:tcPr>
          <w:p>
            <w:pPr>
              <w:pStyle w:val="nTable"/>
              <w:spacing w:after="40"/>
              <w:rPr>
                <w:sz w:val="19"/>
              </w:rPr>
            </w:pPr>
            <w:r>
              <w:rPr>
                <w:sz w:val="19"/>
              </w:rPr>
              <w:t>9 May 2003 p. 1626</w:t>
            </w:r>
          </w:p>
        </w:tc>
        <w:tc>
          <w:tcPr>
            <w:tcW w:w="2693" w:type="dxa"/>
          </w:tcPr>
          <w:p>
            <w:pPr>
              <w:pStyle w:val="nTable"/>
              <w:spacing w:after="40"/>
              <w:rPr>
                <w:sz w:val="19"/>
              </w:rPr>
            </w:pPr>
            <w:r>
              <w:rPr>
                <w:sz w:val="19"/>
              </w:rPr>
              <w:t>9 May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4) 2003</w:t>
            </w:r>
          </w:p>
        </w:tc>
        <w:tc>
          <w:tcPr>
            <w:tcW w:w="1276" w:type="dxa"/>
          </w:tcPr>
          <w:p>
            <w:pPr>
              <w:pStyle w:val="nTable"/>
              <w:spacing w:after="40"/>
              <w:rPr>
                <w:sz w:val="19"/>
              </w:rPr>
            </w:pPr>
            <w:r>
              <w:rPr>
                <w:sz w:val="19"/>
              </w:rPr>
              <w:t>12 Sep 2003 p. 4081</w:t>
            </w:r>
            <w:r>
              <w:rPr>
                <w:sz w:val="19"/>
              </w:rPr>
              <w:noBreakHyphen/>
              <w:t>2</w:t>
            </w:r>
          </w:p>
        </w:tc>
        <w:tc>
          <w:tcPr>
            <w:tcW w:w="2693" w:type="dxa"/>
          </w:tcPr>
          <w:p>
            <w:pPr>
              <w:pStyle w:val="nTable"/>
              <w:spacing w:after="40"/>
              <w:rPr>
                <w:sz w:val="19"/>
              </w:rPr>
            </w:pPr>
            <w:r>
              <w:rPr>
                <w:sz w:val="19"/>
              </w:rPr>
              <w:t>12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5) 2003</w:t>
            </w:r>
          </w:p>
        </w:tc>
        <w:tc>
          <w:tcPr>
            <w:tcW w:w="1276" w:type="dxa"/>
          </w:tcPr>
          <w:p>
            <w:pPr>
              <w:pStyle w:val="nTable"/>
              <w:spacing w:after="40"/>
              <w:rPr>
                <w:sz w:val="19"/>
              </w:rPr>
            </w:pPr>
            <w:r>
              <w:rPr>
                <w:sz w:val="19"/>
              </w:rPr>
              <w:t>23 Sep 2003 p. 4173</w:t>
            </w:r>
            <w:r>
              <w:rPr>
                <w:sz w:val="19"/>
              </w:rPr>
              <w:noBreakHyphen/>
              <w:t>86</w:t>
            </w:r>
          </w:p>
        </w:tc>
        <w:tc>
          <w:tcPr>
            <w:tcW w:w="2693" w:type="dxa"/>
          </w:tcPr>
          <w:p>
            <w:pPr>
              <w:pStyle w:val="nTable"/>
              <w:spacing w:after="40"/>
              <w:rPr>
                <w:sz w:val="19"/>
              </w:rPr>
            </w:pPr>
            <w:r>
              <w:rPr>
                <w:sz w:val="19"/>
              </w:rPr>
              <w:t>23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6) 2003</w:t>
            </w:r>
          </w:p>
        </w:tc>
        <w:tc>
          <w:tcPr>
            <w:tcW w:w="1276" w:type="dxa"/>
          </w:tcPr>
          <w:p>
            <w:pPr>
              <w:pStyle w:val="nTable"/>
              <w:spacing w:after="40"/>
              <w:rPr>
                <w:sz w:val="19"/>
              </w:rPr>
            </w:pPr>
            <w:r>
              <w:rPr>
                <w:sz w:val="19"/>
              </w:rPr>
              <w:t>9 Jan 2004 p. 98</w:t>
            </w:r>
            <w:r>
              <w:rPr>
                <w:sz w:val="19"/>
              </w:rPr>
              <w:noBreakHyphen/>
              <w:t>100</w:t>
            </w:r>
          </w:p>
        </w:tc>
        <w:tc>
          <w:tcPr>
            <w:tcW w:w="2693" w:type="dxa"/>
          </w:tcPr>
          <w:p>
            <w:pPr>
              <w:pStyle w:val="nTable"/>
              <w:spacing w:after="40"/>
              <w:rPr>
                <w:sz w:val="19"/>
              </w:rPr>
            </w:pPr>
            <w:r>
              <w:rPr>
                <w:sz w:val="19"/>
              </w:rPr>
              <w:t>9 Jan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2004</w:t>
            </w:r>
          </w:p>
        </w:tc>
        <w:tc>
          <w:tcPr>
            <w:tcW w:w="1276" w:type="dxa"/>
          </w:tcPr>
          <w:p>
            <w:pPr>
              <w:pStyle w:val="nTable"/>
              <w:spacing w:after="40"/>
              <w:rPr>
                <w:sz w:val="19"/>
              </w:rPr>
            </w:pPr>
            <w:r>
              <w:rPr>
                <w:sz w:val="19"/>
              </w:rPr>
              <w:t>19 Mar 2004 p. 861</w:t>
            </w:r>
            <w:r>
              <w:rPr>
                <w:sz w:val="19"/>
              </w:rPr>
              <w:noBreakHyphen/>
              <w:t>910</w:t>
            </w:r>
          </w:p>
        </w:tc>
        <w:tc>
          <w:tcPr>
            <w:tcW w:w="2693" w:type="dxa"/>
          </w:tcPr>
          <w:p>
            <w:pPr>
              <w:pStyle w:val="nTable"/>
              <w:spacing w:after="40"/>
              <w:rPr>
                <w:sz w:val="19"/>
              </w:rPr>
            </w:pPr>
            <w:r>
              <w:rPr>
                <w:sz w:val="19"/>
              </w:rPr>
              <w:t xml:space="preserve">19 Mar 2004 </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2004</w:t>
            </w:r>
          </w:p>
        </w:tc>
        <w:tc>
          <w:tcPr>
            <w:tcW w:w="1276" w:type="dxa"/>
          </w:tcPr>
          <w:p>
            <w:pPr>
              <w:pStyle w:val="nTable"/>
              <w:spacing w:after="40"/>
              <w:rPr>
                <w:sz w:val="19"/>
              </w:rPr>
            </w:pPr>
            <w:r>
              <w:rPr>
                <w:sz w:val="19"/>
              </w:rPr>
              <w:t>29 Oct 2004 p. 4940</w:t>
            </w:r>
            <w:r>
              <w:rPr>
                <w:sz w:val="19"/>
              </w:rPr>
              <w:noBreakHyphen/>
              <w:t>2</w:t>
            </w:r>
          </w:p>
        </w:tc>
        <w:tc>
          <w:tcPr>
            <w:tcW w:w="2693" w:type="dxa"/>
          </w:tcPr>
          <w:p>
            <w:pPr>
              <w:pStyle w:val="nTable"/>
              <w:spacing w:after="40"/>
              <w:rPr>
                <w:sz w:val="19"/>
              </w:rPr>
            </w:pPr>
            <w:r>
              <w:rPr>
                <w:sz w:val="19"/>
              </w:rPr>
              <w:t>29 Oct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2005</w:t>
            </w:r>
          </w:p>
        </w:tc>
        <w:tc>
          <w:tcPr>
            <w:tcW w:w="1276" w:type="dxa"/>
          </w:tcPr>
          <w:p>
            <w:pPr>
              <w:pStyle w:val="nTable"/>
              <w:spacing w:after="40"/>
              <w:rPr>
                <w:sz w:val="19"/>
              </w:rPr>
            </w:pPr>
            <w:r>
              <w:rPr>
                <w:sz w:val="19"/>
              </w:rPr>
              <w:t>21 Jan 2005 p. 278</w:t>
            </w:r>
            <w:r>
              <w:rPr>
                <w:sz w:val="19"/>
              </w:rPr>
              <w:noBreakHyphen/>
              <w:t>86</w:t>
            </w:r>
          </w:p>
        </w:tc>
        <w:tc>
          <w:tcPr>
            <w:tcW w:w="2693" w:type="dxa"/>
          </w:tcPr>
          <w:p>
            <w:pPr>
              <w:pStyle w:val="nTable"/>
              <w:spacing w:after="40"/>
              <w:rPr>
                <w:sz w:val="19"/>
              </w:rPr>
            </w:pPr>
            <w:r>
              <w:rPr>
                <w:sz w:val="19"/>
              </w:rPr>
              <w:t>21 Jan 2005</w:t>
            </w:r>
          </w:p>
        </w:tc>
      </w:tr>
      <w:tr>
        <w:trPr>
          <w:cantSplit/>
        </w:trPr>
        <w:tc>
          <w:tcPr>
            <w:tcW w:w="3119" w:type="dxa"/>
          </w:tcPr>
          <w:p>
            <w:pPr>
              <w:pStyle w:val="nTable"/>
              <w:spacing w:after="40"/>
              <w:ind w:right="113"/>
              <w:rPr>
                <w:sz w:val="19"/>
              </w:rPr>
            </w:pPr>
            <w:r>
              <w:rPr>
                <w:i/>
                <w:sz w:val="19"/>
              </w:rPr>
              <w:t>Workers’ Compensation and Rehabilitation (Scales of Fees) Amendment Regulations (No. 2) 2005</w:t>
            </w:r>
          </w:p>
        </w:tc>
        <w:tc>
          <w:tcPr>
            <w:tcW w:w="1276" w:type="dxa"/>
          </w:tcPr>
          <w:p>
            <w:pPr>
              <w:pStyle w:val="nTable"/>
              <w:spacing w:after="40"/>
              <w:rPr>
                <w:sz w:val="19"/>
              </w:rPr>
            </w:pPr>
            <w:r>
              <w:rPr>
                <w:sz w:val="19"/>
              </w:rPr>
              <w:t>1 Nov 2005 p. 4976</w:t>
            </w:r>
            <w:r>
              <w:rPr>
                <w:sz w:val="19"/>
              </w:rPr>
              <w:noBreakHyphen/>
              <w:t>84</w:t>
            </w:r>
          </w:p>
        </w:tc>
        <w:tc>
          <w:tcPr>
            <w:tcW w:w="2693" w:type="dxa"/>
          </w:tcPr>
          <w:p>
            <w:pPr>
              <w:pStyle w:val="nTable"/>
              <w:spacing w:after="40"/>
              <w:rPr>
                <w:sz w:val="19"/>
              </w:rPr>
            </w:pPr>
            <w:r>
              <w:rPr>
                <w:sz w:val="19"/>
              </w:rPr>
              <w:t>1 Nov 2005</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3) 2005</w:t>
            </w:r>
          </w:p>
        </w:tc>
        <w:tc>
          <w:tcPr>
            <w:tcW w:w="1276" w:type="dxa"/>
          </w:tcPr>
          <w:p>
            <w:pPr>
              <w:pStyle w:val="nTable"/>
              <w:spacing w:after="40"/>
              <w:rPr>
                <w:sz w:val="19"/>
              </w:rPr>
            </w:pPr>
            <w:r>
              <w:rPr>
                <w:sz w:val="19"/>
              </w:rPr>
              <w:t>11 Nov 2005 p. 5567</w:t>
            </w:r>
            <w:r>
              <w:rPr>
                <w:sz w:val="19"/>
              </w:rPr>
              <w:noBreakHyphen/>
              <w:t>70</w:t>
            </w:r>
          </w:p>
        </w:tc>
        <w:tc>
          <w:tcPr>
            <w:tcW w:w="2693" w:type="dxa"/>
          </w:tcPr>
          <w:p>
            <w:pPr>
              <w:pStyle w:val="nTable"/>
              <w:spacing w:after="40"/>
              <w:rPr>
                <w:sz w:val="19"/>
              </w:rPr>
            </w:pPr>
            <w:r>
              <w:rPr>
                <w:sz w:val="19"/>
              </w:rPr>
              <w:t xml:space="preserve">14 Nov 2005 (see r. 2 and </w:t>
            </w:r>
            <w:r>
              <w:rPr>
                <w:i/>
                <w:sz w:val="19"/>
              </w:rPr>
              <w:t>Gazette</w:t>
            </w:r>
            <w:r>
              <w:rPr>
                <w:sz w:val="19"/>
              </w:rPr>
              <w:t xml:space="preserve"> 31 Dec 2004 p. 7131 and 17 Jun 2005 p. 2657) </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2006</w:t>
            </w:r>
          </w:p>
        </w:tc>
        <w:tc>
          <w:tcPr>
            <w:tcW w:w="1276" w:type="dxa"/>
          </w:tcPr>
          <w:p>
            <w:pPr>
              <w:pStyle w:val="nTable"/>
              <w:spacing w:after="40"/>
              <w:rPr>
                <w:sz w:val="19"/>
              </w:rPr>
            </w:pPr>
            <w:r>
              <w:rPr>
                <w:sz w:val="19"/>
              </w:rPr>
              <w:t>10 Jan 2006 p. 41</w:t>
            </w:r>
            <w:r>
              <w:rPr>
                <w:sz w:val="19"/>
              </w:rPr>
              <w:noBreakHyphen/>
              <w:t>71</w:t>
            </w:r>
          </w:p>
        </w:tc>
        <w:tc>
          <w:tcPr>
            <w:tcW w:w="2693" w:type="dxa"/>
          </w:tcPr>
          <w:p>
            <w:pPr>
              <w:pStyle w:val="nTable"/>
              <w:spacing w:after="40"/>
              <w:rPr>
                <w:sz w:val="19"/>
              </w:rPr>
            </w:pPr>
            <w:r>
              <w:rPr>
                <w:sz w:val="19"/>
              </w:rPr>
              <w:t>10 Jan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Workers’ Compensation and Injury Management (Scales of Fees) Regulations 1998 </w:t>
            </w:r>
            <w:r>
              <w:rPr>
                <w:b/>
                <w:bCs/>
                <w:sz w:val="19"/>
              </w:rPr>
              <w:t>as at 3 Mar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2) 2006</w:t>
            </w:r>
          </w:p>
        </w:tc>
        <w:tc>
          <w:tcPr>
            <w:tcW w:w="1276" w:type="dxa"/>
          </w:tcPr>
          <w:p>
            <w:pPr>
              <w:pStyle w:val="nTable"/>
              <w:spacing w:after="40"/>
              <w:rPr>
                <w:sz w:val="19"/>
              </w:rPr>
            </w:pPr>
            <w:r>
              <w:rPr>
                <w:sz w:val="19"/>
              </w:rPr>
              <w:t>28 Apr 2006 p. 1660</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3) 2006</w:t>
            </w:r>
          </w:p>
        </w:tc>
        <w:tc>
          <w:tcPr>
            <w:tcW w:w="1276" w:type="dxa"/>
          </w:tcPr>
          <w:p>
            <w:pPr>
              <w:pStyle w:val="nTable"/>
              <w:spacing w:after="40"/>
              <w:rPr>
                <w:sz w:val="19"/>
              </w:rPr>
            </w:pPr>
            <w:r>
              <w:rPr>
                <w:sz w:val="19"/>
              </w:rPr>
              <w:t>22 Dec 2006 p. 5755-94</w:t>
            </w:r>
          </w:p>
        </w:tc>
        <w:tc>
          <w:tcPr>
            <w:tcW w:w="2693" w:type="dxa"/>
          </w:tcPr>
          <w:p>
            <w:pPr>
              <w:pStyle w:val="nTable"/>
              <w:spacing w:after="40"/>
              <w:rPr>
                <w:sz w:val="19"/>
              </w:rPr>
            </w:pPr>
            <w:r>
              <w:rPr>
                <w:sz w:val="19"/>
              </w:rPr>
              <w:t>22 Dec 2006</w:t>
            </w:r>
          </w:p>
        </w:tc>
      </w:tr>
      <w:tr>
        <w:trPr>
          <w:cantSplit/>
        </w:trPr>
        <w:tc>
          <w:tcPr>
            <w:tcW w:w="7088" w:type="dxa"/>
            <w:gridSpan w:val="3"/>
          </w:tcPr>
          <w:p>
            <w:pPr>
              <w:pStyle w:val="nTable"/>
              <w:spacing w:after="40"/>
              <w:rPr>
                <w:sz w:val="19"/>
              </w:rPr>
            </w:pPr>
            <w:r>
              <w:rPr>
                <w:b/>
                <w:bCs/>
                <w:sz w:val="19"/>
              </w:rPr>
              <w:t xml:space="preserve">Reprint 3: The </w:t>
            </w:r>
            <w:r>
              <w:rPr>
                <w:b/>
                <w:bCs/>
                <w:i/>
                <w:sz w:val="19"/>
              </w:rPr>
              <w:t xml:space="preserve">Workers’ Compensation and Injury Management (Scales of Fees) Regulations 1998 </w:t>
            </w:r>
            <w:r>
              <w:rPr>
                <w:b/>
                <w:bCs/>
                <w:sz w:val="19"/>
              </w:rPr>
              <w:t>as at 2 Mar 2007</w:t>
            </w:r>
            <w:r>
              <w:rPr>
                <w:sz w:val="19"/>
              </w:rPr>
              <w:t xml:space="preserve"> (includes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2007</w:t>
            </w:r>
          </w:p>
        </w:tc>
        <w:tc>
          <w:tcPr>
            <w:tcW w:w="1276" w:type="dxa"/>
          </w:tcPr>
          <w:p>
            <w:pPr>
              <w:pStyle w:val="nTable"/>
              <w:spacing w:after="40"/>
              <w:rPr>
                <w:rFonts w:ascii="Times" w:hAnsi="Times"/>
                <w:sz w:val="19"/>
              </w:rPr>
            </w:pPr>
            <w:r>
              <w:rPr>
                <w:rFonts w:ascii="Times" w:hAnsi="Times"/>
                <w:sz w:val="19"/>
              </w:rPr>
              <w:t>7 Dec 2007 p. 6031</w:t>
            </w:r>
            <w:r>
              <w:rPr>
                <w:rFonts w:ascii="Times" w:hAnsi="Times"/>
                <w:sz w:val="19"/>
              </w:rPr>
              <w:noBreakHyphen/>
              <w:t>71</w:t>
            </w:r>
          </w:p>
        </w:tc>
        <w:tc>
          <w:tcPr>
            <w:tcW w:w="2693" w:type="dxa"/>
          </w:tcPr>
          <w:p>
            <w:pPr>
              <w:pStyle w:val="nTable"/>
              <w:spacing w:after="40"/>
              <w:rPr>
                <w:rFonts w:ascii="Times" w:hAnsi="Times"/>
                <w:sz w:val="19"/>
              </w:rPr>
            </w:pPr>
            <w:r>
              <w:rPr>
                <w:rFonts w:ascii="Times" w:hAnsi="Times"/>
                <w:sz w:val="19"/>
              </w:rPr>
              <w:t>r. 1 and 2: 7 Dec 2007 (see r. 2(a));</w:t>
            </w:r>
            <w:r>
              <w:rPr>
                <w:rFonts w:ascii="Times" w:hAnsi="Times"/>
                <w:sz w:val="19"/>
              </w:rPr>
              <w:br/>
              <w:t>Regulations other than r. 1 and 2: 8 Dec 2007 (see r. 2(b))</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2008</w:t>
            </w:r>
          </w:p>
        </w:tc>
        <w:tc>
          <w:tcPr>
            <w:tcW w:w="1276" w:type="dxa"/>
          </w:tcPr>
          <w:p>
            <w:pPr>
              <w:pStyle w:val="nTable"/>
              <w:spacing w:after="40"/>
              <w:rPr>
                <w:rFonts w:ascii="Times" w:hAnsi="Times"/>
                <w:sz w:val="19"/>
              </w:rPr>
            </w:pPr>
            <w:r>
              <w:rPr>
                <w:rFonts w:ascii="Times" w:hAnsi="Times"/>
                <w:sz w:val="19"/>
              </w:rPr>
              <w:t>17 Dec 2008 p. 5287</w:t>
            </w:r>
            <w:r>
              <w:rPr>
                <w:rFonts w:ascii="Times" w:hAnsi="Times"/>
                <w:sz w:val="19"/>
              </w:rPr>
              <w:noBreakHyphen/>
              <w:t>330</w:t>
            </w:r>
          </w:p>
        </w:tc>
        <w:tc>
          <w:tcPr>
            <w:tcW w:w="2693" w:type="dxa"/>
          </w:tcPr>
          <w:p>
            <w:pPr>
              <w:pStyle w:val="nTable"/>
              <w:spacing w:after="40"/>
              <w:rPr>
                <w:rFonts w:ascii="Times" w:hAnsi="Times"/>
                <w:sz w:val="19"/>
              </w:rPr>
            </w:pPr>
            <w:r>
              <w:rPr>
                <w:rFonts w:ascii="Times" w:hAnsi="Times"/>
                <w:sz w:val="19"/>
              </w:rPr>
              <w:t>r. 1 and 2: 17 Dec 2008 (see r. 2(a));</w:t>
            </w:r>
            <w:r>
              <w:rPr>
                <w:rFonts w:ascii="Times" w:hAnsi="Times"/>
                <w:sz w:val="19"/>
              </w:rPr>
              <w:br/>
              <w:t>Regulations other than r. 1 and 2: 18 Dec 2008 (see r. 2(b))</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2009</w:t>
            </w:r>
          </w:p>
        </w:tc>
        <w:tc>
          <w:tcPr>
            <w:tcW w:w="1276" w:type="dxa"/>
          </w:tcPr>
          <w:p>
            <w:pPr>
              <w:pStyle w:val="nTable"/>
              <w:spacing w:after="40"/>
              <w:rPr>
                <w:rFonts w:ascii="Times" w:hAnsi="Times"/>
                <w:sz w:val="19"/>
              </w:rPr>
            </w:pPr>
            <w:r>
              <w:rPr>
                <w:rFonts w:ascii="Times" w:hAnsi="Times"/>
                <w:sz w:val="19"/>
              </w:rPr>
              <w:t>30 Oct 2009 p. 4343</w:t>
            </w:r>
            <w:r>
              <w:rPr>
                <w:rFonts w:ascii="Times" w:hAnsi="Times"/>
                <w:sz w:val="19"/>
              </w:rPr>
              <w:noBreakHyphen/>
              <w:t>91</w:t>
            </w:r>
          </w:p>
        </w:tc>
        <w:tc>
          <w:tcPr>
            <w:tcW w:w="2693" w:type="dxa"/>
          </w:tcPr>
          <w:p>
            <w:pPr>
              <w:pStyle w:val="nTable"/>
              <w:spacing w:after="40"/>
              <w:rPr>
                <w:rFonts w:ascii="Times" w:hAnsi="Times"/>
                <w:sz w:val="19"/>
              </w:rPr>
            </w:pPr>
            <w:r>
              <w:rPr>
                <w:rFonts w:ascii="Times" w:hAnsi="Times"/>
                <w:sz w:val="19"/>
              </w:rPr>
              <w:t>r. 1 and 2: 30 Oct 2009 (see r. 2(a));</w:t>
            </w:r>
            <w:r>
              <w:rPr>
                <w:rFonts w:ascii="Times" w:hAnsi="Times"/>
                <w:sz w:val="19"/>
              </w:rPr>
              <w:br/>
              <w:t>Regulations other than r. 1 and 2: 1 Nov 2009 (see r. 2(b))</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(No. 2) 2009</w:t>
            </w:r>
          </w:p>
        </w:tc>
        <w:tc>
          <w:tcPr>
            <w:tcW w:w="1276" w:type="dxa"/>
          </w:tcPr>
          <w:p>
            <w:pPr>
              <w:pStyle w:val="nTable"/>
              <w:spacing w:after="40"/>
              <w:rPr>
                <w:rFonts w:ascii="Times" w:hAnsi="Times"/>
                <w:sz w:val="19"/>
              </w:rPr>
            </w:pPr>
            <w:r>
              <w:rPr>
                <w:rFonts w:ascii="Times" w:hAnsi="Times"/>
                <w:sz w:val="19"/>
              </w:rPr>
              <w:t>22 Dec 2009 p. 5276</w:t>
            </w:r>
            <w:r>
              <w:rPr>
                <w:rFonts w:ascii="Times" w:hAnsi="Times"/>
                <w:sz w:val="19"/>
              </w:rPr>
              <w:noBreakHyphen/>
              <w:t>7</w:t>
            </w:r>
          </w:p>
        </w:tc>
        <w:tc>
          <w:tcPr>
            <w:tcW w:w="2693" w:type="dxa"/>
          </w:tcPr>
          <w:p>
            <w:pPr>
              <w:pStyle w:val="nTable"/>
              <w:spacing w:after="40"/>
              <w:rPr>
                <w:rFonts w:ascii="Times" w:hAnsi="Times"/>
                <w:sz w:val="19"/>
              </w:rPr>
            </w:pPr>
            <w:r>
              <w:rPr>
                <w:rFonts w:ascii="Times" w:hAnsi="Times"/>
                <w:snapToGrid w:val="0"/>
                <w:sz w:val="19"/>
                <w:lang w:val="en-US"/>
              </w:rPr>
              <w:t>r. 1 and 2: 22 Dec 2009 (see r. 2(a));</w:t>
            </w:r>
            <w:r>
              <w:rPr>
                <w:rFonts w:ascii="Times" w:hAnsi="Times"/>
                <w:snapToGrid w:val="0"/>
                <w:sz w:val="19"/>
                <w:lang w:val="en-US"/>
              </w:rPr>
              <w:br/>
              <w:t>Regulations other than r. 1 and 2: 23 Dec 2009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4: The </w:t>
            </w:r>
            <w:r>
              <w:rPr>
                <w:b/>
                <w:bCs/>
                <w:i/>
                <w:sz w:val="19"/>
              </w:rPr>
              <w:t xml:space="preserve">Workers’ Compensation and Injury Management (Scales of Fees) Regulations 1998 </w:t>
            </w:r>
            <w:r>
              <w:rPr>
                <w:b/>
                <w:bCs/>
                <w:sz w:val="19"/>
              </w:rPr>
              <w:t>as at 7 May 2010</w:t>
            </w:r>
            <w:r>
              <w:rPr>
                <w:sz w:val="19"/>
              </w:rPr>
              <w:t xml:space="preserve"> (includes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2010</w:t>
            </w:r>
          </w:p>
        </w:tc>
        <w:tc>
          <w:tcPr>
            <w:tcW w:w="1276" w:type="dxa"/>
          </w:tcPr>
          <w:p>
            <w:pPr>
              <w:pStyle w:val="nTable"/>
              <w:spacing w:after="40"/>
              <w:rPr>
                <w:rFonts w:ascii="Times" w:hAnsi="Times"/>
                <w:sz w:val="19"/>
              </w:rPr>
            </w:pPr>
            <w:r>
              <w:rPr>
                <w:rFonts w:ascii="Times" w:hAnsi="Times"/>
                <w:sz w:val="19"/>
              </w:rPr>
              <w:t>29 Oct 2010 p. 5347-92</w:t>
            </w:r>
          </w:p>
        </w:tc>
        <w:tc>
          <w:tcPr>
            <w:tcW w:w="2693" w:type="dxa"/>
          </w:tcPr>
          <w:p>
            <w:pPr>
              <w:pStyle w:val="nTable"/>
              <w:spacing w:after="40"/>
              <w:rPr>
                <w:rFonts w:ascii="Times" w:hAnsi="Times"/>
                <w:sz w:val="19"/>
              </w:rPr>
            </w:pPr>
            <w:r>
              <w:rPr>
                <w:rFonts w:ascii="Times" w:hAnsi="Times"/>
                <w:snapToGrid w:val="0"/>
                <w:sz w:val="19"/>
                <w:lang w:val="en-US"/>
              </w:rPr>
              <w:t xml:space="preserve">r. 1 and 2: </w:t>
            </w:r>
            <w:r>
              <w:rPr>
                <w:rFonts w:ascii="Times" w:hAnsi="Times"/>
                <w:sz w:val="19"/>
              </w:rPr>
              <w:t>29 Oct 2010</w:t>
            </w:r>
            <w:r>
              <w:rPr>
                <w:rFonts w:ascii="Times" w:hAnsi="Times"/>
                <w:snapToGrid w:val="0"/>
                <w:sz w:val="19"/>
                <w:lang w:val="en-US"/>
              </w:rPr>
              <w:t xml:space="preserve"> (see r. 2(a));</w:t>
            </w:r>
            <w:r>
              <w:rPr>
                <w:rFonts w:ascii="Times" w:hAnsi="Times"/>
                <w:snapToGrid w:val="0"/>
                <w:sz w:val="19"/>
                <w:lang w:val="en-US"/>
              </w:rPr>
              <w:br/>
              <w:t>Regulations other than r. 1 and 2: 1 Nov 2010 (see r. 2(b))</w:t>
            </w:r>
          </w:p>
        </w:tc>
      </w:tr>
      <w:tr>
        <w:trPr>
          <w:cantSplit/>
        </w:trPr>
        <w:tc>
          <w:tcPr>
            <w:tcW w:w="3119" w:type="dxa"/>
          </w:tcPr>
          <w:p>
            <w:pPr>
              <w:pStyle w:val="nTable"/>
              <w:spacing w:after="40"/>
              <w:ind w:right="113"/>
              <w:rPr>
                <w:rFonts w:ascii="Times" w:hAnsi="Times"/>
                <w:i/>
                <w:sz w:val="19"/>
              </w:rPr>
            </w:pPr>
            <w:r>
              <w:rPr>
                <w:rFonts w:ascii="Times" w:hAnsi="Times"/>
                <w:i/>
                <w:sz w:val="19"/>
              </w:rPr>
              <w:t>Workers’ Compensation and Injury Management (Scales of Fees) Amendment Regulations 2011</w:t>
            </w:r>
          </w:p>
        </w:tc>
        <w:tc>
          <w:tcPr>
            <w:tcW w:w="1276" w:type="dxa"/>
          </w:tcPr>
          <w:p>
            <w:pPr>
              <w:pStyle w:val="nTable"/>
              <w:spacing w:after="40"/>
              <w:rPr>
                <w:rFonts w:ascii="Times" w:hAnsi="Times"/>
                <w:sz w:val="19"/>
              </w:rPr>
            </w:pPr>
            <w:r>
              <w:rPr>
                <w:rFonts w:ascii="Times" w:hAnsi="Times"/>
                <w:sz w:val="19"/>
              </w:rPr>
              <w:t>30 Sep 2011 p. 3913</w:t>
            </w:r>
            <w:r>
              <w:rPr>
                <w:rFonts w:ascii="Times" w:hAnsi="Times"/>
                <w:sz w:val="19"/>
              </w:rPr>
              <w:noBreakHyphen/>
              <w:t>41</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30 Sep 2011 (see r. 2(a));</w:t>
            </w:r>
            <w:r>
              <w:rPr>
                <w:rFonts w:ascii="Times" w:hAnsi="Times"/>
                <w:snapToGrid w:val="0"/>
                <w:sz w:val="19"/>
                <w:lang w:val="en-US"/>
              </w:rPr>
              <w:br/>
              <w:t>Regulations other than r. 1 and 2: 1 Nov 2011 (see r. 2(b))</w:t>
            </w:r>
          </w:p>
        </w:tc>
      </w:tr>
      <w:tr>
        <w:trPr>
          <w:cantSplit/>
        </w:trPr>
        <w:tc>
          <w:tcPr>
            <w:tcW w:w="3119" w:type="dxa"/>
            <w:tcBorders>
              <w:bottom w:val="single" w:sz="4" w:space="0" w:color="auto"/>
            </w:tcBorders>
          </w:tcPr>
          <w:p>
            <w:pPr>
              <w:pStyle w:val="nTable"/>
              <w:spacing w:after="40"/>
              <w:ind w:right="113"/>
              <w:rPr>
                <w:rFonts w:ascii="Times" w:hAnsi="Times"/>
                <w:sz w:val="19"/>
              </w:rPr>
            </w:pPr>
            <w:r>
              <w:rPr>
                <w:rFonts w:ascii="Times" w:hAnsi="Times"/>
                <w:i/>
                <w:sz w:val="19"/>
              </w:rPr>
              <w:t>Workers’ Compensation and Injury Management (Scales of Fees) Amendment Regulations 2012</w:t>
            </w:r>
            <w:r>
              <w:rPr>
                <w:rFonts w:ascii="Times" w:hAnsi="Times"/>
                <w:sz w:val="19"/>
              </w:rPr>
              <w:t xml:space="preserve"> </w:t>
            </w:r>
          </w:p>
        </w:tc>
        <w:tc>
          <w:tcPr>
            <w:tcW w:w="1276" w:type="dxa"/>
            <w:tcBorders>
              <w:bottom w:val="single" w:sz="4" w:space="0" w:color="auto"/>
            </w:tcBorders>
          </w:tcPr>
          <w:p>
            <w:pPr>
              <w:pStyle w:val="nTable"/>
              <w:spacing w:after="40"/>
              <w:rPr>
                <w:rFonts w:ascii="Times" w:hAnsi="Times"/>
                <w:sz w:val="19"/>
              </w:rPr>
            </w:pPr>
            <w:r>
              <w:rPr>
                <w:rFonts w:ascii="Times" w:hAnsi="Times"/>
                <w:sz w:val="19"/>
              </w:rPr>
              <w:t>25 Sep 2012 p. 4447</w:t>
            </w:r>
            <w:r>
              <w:rPr>
                <w:rFonts w:ascii="Times" w:hAnsi="Times"/>
                <w:sz w:val="19"/>
              </w:rPr>
              <w:noBreakHyphen/>
              <w:t>96</w:t>
            </w:r>
          </w:p>
        </w:tc>
        <w:tc>
          <w:tcPr>
            <w:tcW w:w="2693" w:type="dxa"/>
            <w:tcBorders>
              <w:bottom w:val="single" w:sz="4" w:space="0" w:color="auto"/>
            </w:tcBorders>
          </w:tcPr>
          <w:p>
            <w:pPr>
              <w:pStyle w:val="nTable"/>
              <w:spacing w:after="40"/>
              <w:rPr>
                <w:rFonts w:ascii="Times" w:hAnsi="Times"/>
                <w:snapToGrid w:val="0"/>
                <w:sz w:val="19"/>
                <w:lang w:val="en-US"/>
              </w:rPr>
            </w:pPr>
            <w:r>
              <w:rPr>
                <w:rFonts w:ascii="Times" w:hAnsi="Times"/>
                <w:snapToGrid w:val="0"/>
                <w:sz w:val="19"/>
                <w:lang w:val="en-US"/>
              </w:rPr>
              <w:t>r. 1 and 2: 25 Sep 2012 (see r. 2(a));</w:t>
            </w:r>
            <w:r>
              <w:rPr>
                <w:rFonts w:ascii="Times" w:hAnsi="Times"/>
                <w:snapToGrid w:val="0"/>
                <w:sz w:val="19"/>
                <w:lang w:val="en-US"/>
              </w:rPr>
              <w:br/>
              <w:t>Regulations other than r. 1 and 2: 1 Nov 2012 (see r. 2(b))</w:t>
            </w:r>
          </w:p>
        </w:tc>
      </w:tr>
    </w:tbl>
    <w:p>
      <w:pPr>
        <w:pStyle w:val="nSubsection"/>
        <w:spacing w:before="120"/>
      </w:pPr>
      <w:r>
        <w:rPr>
          <w:vertAlign w:val="superscript"/>
        </w:rPr>
        <w:t>2</w:t>
      </w:r>
      <w:r>
        <w:tab/>
        <w:t xml:space="preserve">The amendments in the </w:t>
      </w:r>
      <w:r>
        <w:rPr>
          <w:i/>
          <w:iCs/>
        </w:rPr>
        <w:t>Workers’ Compensation and Rehabilitation (Scales of Fees) Amendment Regulations (No. 3) 2004</w:t>
      </w:r>
      <w:r>
        <w:t xml:space="preserve"> published in </w:t>
      </w:r>
      <w:r>
        <w:rPr>
          <w:i/>
          <w:iCs/>
        </w:rPr>
        <w:t>Gazette</w:t>
      </w:r>
      <w:r>
        <w:t xml:space="preserve"> 4 Jan 2005</w:t>
      </w:r>
      <w:r>
        <w:br/>
        <w:t>p. 6-14 have no effect because of an error in the reference to the principal regulations to be amended.</w:t>
      </w:r>
    </w:p>
    <w:p>
      <w:pPr>
        <w:pStyle w:val="nSubsection"/>
      </w:pPr>
      <w:r>
        <w:rPr>
          <w:vertAlign w:val="superscript"/>
        </w:rPr>
        <w:t>3</w:t>
      </w:r>
      <w:r>
        <w:tab/>
        <w:t>Now known as the Workers’ Compensation and Injury Management (Scales of Fees) Regulations 1998; citation changed (see note under r. 1).</w:t>
      </w:r>
      <w:bookmarkStart w:id="86" w:name="_Toc276382386"/>
      <w:bookmarkStart w:id="87" w:name="_Toc305149082"/>
      <w:bookmarkStart w:id="88" w:name="_Toc306890344"/>
      <w:bookmarkStart w:id="89" w:name="_Toc306961515"/>
      <w:bookmarkStart w:id="90" w:name="_Toc306967205"/>
      <w:bookmarkStart w:id="91" w:name="_Toc306977085"/>
      <w:bookmarkStart w:id="92" w:name="_Toc336245225"/>
    </w:p>
    <w:p>
      <w:pPr>
        <w:pStyle w:val="nSubsection"/>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93" w:name="_Toc339360107"/>
      <w:bookmarkStart w:id="94" w:name="_Toc339360511"/>
      <w:r>
        <w:rPr>
          <w:sz w:val="28"/>
        </w:rPr>
        <w:t>Defined Terms</w:t>
      </w:r>
      <w:bookmarkEnd w:id="86"/>
      <w:bookmarkEnd w:id="87"/>
      <w:bookmarkEnd w:id="88"/>
      <w:bookmarkEnd w:id="89"/>
      <w:bookmarkEnd w:id="90"/>
      <w:bookmarkEnd w:id="91"/>
      <w:bookmarkEnd w:id="92"/>
      <w:bookmarkEnd w:id="93"/>
      <w:bookmarkEnd w:id="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5" w:name="DefinedTerms"/>
      <w:bookmarkEnd w:id="95"/>
      <w:r>
        <w:t>After</w:t>
      </w:r>
      <w:r>
        <w:noBreakHyphen/>
        <w:t>hours</w:t>
      </w:r>
      <w:r>
        <w:tab/>
        <w:t>Sch. 1</w:t>
      </w:r>
    </w:p>
    <w:p>
      <w:pPr>
        <w:pStyle w:val="DefinedTerms"/>
      </w:pPr>
      <w:r>
        <w:t>assessor</w:t>
      </w:r>
      <w:r>
        <w:tab/>
        <w:t>9(2)</w:t>
      </w:r>
    </w:p>
    <w:p>
      <w:pPr>
        <w:pStyle w:val="DefinedTerms"/>
      </w:pPr>
      <w:r>
        <w:t>closed reduction</w:t>
      </w:r>
      <w:r>
        <w:tab/>
        <w:t>Sch. 1 Pt. 1</w:t>
      </w:r>
    </w:p>
    <w:p>
      <w:pPr>
        <w:pStyle w:val="DefinedTerms"/>
      </w:pPr>
      <w:r>
        <w:t>GST</w:t>
      </w:r>
      <w:r>
        <w:tab/>
        <w:t>10(1)</w:t>
      </w:r>
    </w:p>
    <w:p>
      <w:pPr>
        <w:pStyle w:val="DefinedTerms"/>
      </w:pPr>
      <w:r>
        <w:t>MBS item number</w:t>
      </w:r>
      <w:r>
        <w:tab/>
        <w:t>2(2)</w:t>
      </w:r>
    </w:p>
    <w:p>
      <w:pPr>
        <w:pStyle w:val="DefinedTerms"/>
      </w:pPr>
      <w:r>
        <w:t>open reduction</w:t>
      </w:r>
      <w:r>
        <w:tab/>
        <w:t>Sch. 1 Pt. 1</w:t>
      </w:r>
    </w:p>
    <w:p>
      <w:pPr>
        <w:pStyle w:val="DefinedTerms"/>
      </w:pPr>
      <w:r>
        <w:t>other</w:t>
      </w:r>
      <w:r>
        <w:tab/>
        <w:t>Sch. 1 Pt. 1</w:t>
      </w:r>
    </w:p>
    <w:p>
      <w:pPr>
        <w:pStyle w:val="DefinedTerms"/>
      </w:pPr>
      <w:r>
        <w:t>report and certificate</w:t>
      </w:r>
      <w:r>
        <w:tab/>
        <w:t>9(2)</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(Scales of Fees) Regulations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tcPr>
        <w:p>
          <w:pPr>
            <w:pStyle w:val="HeaderTextLeft"/>
          </w:pPr>
          <w:fldSimple w:instr=" styleref CharSDivText ">
            <w:r>
              <w:rPr>
                <w:noProof/>
              </w:rPr>
              <w:t>Medical specialists and other medical practitioners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Medical specialists and other medical practitioners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328"/>
            <w:rPr>
              <w:spacing w:val="-3"/>
            </w:rPr>
          </w:pPr>
          <w:r>
            <w:rPr>
              <w:spacing w:val="-3"/>
            </w:rPr>
            <w:fldChar w:fldCharType="begin"/>
          </w:r>
          <w:r>
            <w:rPr>
              <w:spacing w:val="-3"/>
            </w:rPr>
            <w:instrText xml:space="preserve"> Styleref "Name of Act/Reg" </w:instrText>
          </w:r>
          <w:r>
            <w:rPr>
              <w:spacing w:val="-3"/>
            </w:rPr>
            <w:fldChar w:fldCharType="separate"/>
          </w:r>
          <w:r>
            <w:rPr>
              <w:noProof/>
              <w:spacing w:val="-3"/>
            </w:rPr>
            <w:t>Workers’ Compensation and Injury Management (Scales of Fees) Regulations 1998</w:t>
          </w:r>
          <w:r>
            <w:rPr>
              <w:spacing w:val="-3"/>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Workers’ Compensation and Injury Management (Scales of Fees)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92A1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780C5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906E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1269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46C20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FAF4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E24A3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2325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AF264D4"/>
    <w:lvl w:ilvl="0">
      <w:start w:val="1"/>
      <w:numFmt w:val="decimal"/>
      <w:pStyle w:val="ListNumber"/>
      <w:lvlText w:val="%1."/>
      <w:lvlJc w:val="left"/>
      <w:pPr>
        <w:tabs>
          <w:tab w:val="num" w:pos="360"/>
        </w:tabs>
        <w:ind w:left="360" w:hanging="360"/>
      </w:pPr>
    </w:lvl>
  </w:abstractNum>
  <w:abstractNum w:abstractNumId="9">
    <w:nsid w:val="FFFFFF89"/>
    <w:multiLevelType w:val="singleLevel"/>
    <w:tmpl w:val="483A6A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5">
    <w:nsid w:val="0B40546A"/>
    <w:multiLevelType w:val="hybridMultilevel"/>
    <w:tmpl w:val="6854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D0C3F24"/>
    <w:multiLevelType w:val="hybridMultilevel"/>
    <w:tmpl w:val="13864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83501A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51305B6"/>
    <w:multiLevelType w:val="hybridMultilevel"/>
    <w:tmpl w:val="980CA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C2808C0"/>
    <w:multiLevelType w:val="singleLevel"/>
    <w:tmpl w:val="DE8C34E2"/>
    <w:lvl w:ilvl="0">
      <w:start w:val="1"/>
      <w:numFmt w:val="bullet"/>
      <w:pStyle w:val="NotesPerm2"/>
      <w:lvlText w:val=""/>
      <w:lvlJc w:val="left"/>
      <w:pPr>
        <w:tabs>
          <w:tab w:val="num" w:pos="1446"/>
        </w:tabs>
        <w:ind w:left="1446" w:hanging="567"/>
      </w:pPr>
      <w:rPr>
        <w:rFonts w:ascii="Symbol" w:hAnsi="Symbol" w:hint="default"/>
      </w:rPr>
    </w:lvl>
  </w:abstractNum>
  <w:abstractNum w:abstractNumId="28">
    <w:nsid w:val="420E60B1"/>
    <w:multiLevelType w:val="hybridMultilevel"/>
    <w:tmpl w:val="980CA42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CC03303"/>
    <w:multiLevelType w:val="singleLevel"/>
    <w:tmpl w:val="0809000F"/>
    <w:lvl w:ilvl="0">
      <w:start w:val="1"/>
      <w:numFmt w:val="decimal"/>
      <w:lvlText w:val="%1."/>
      <w:lvlJc w:val="left"/>
      <w:pPr>
        <w:tabs>
          <w:tab w:val="num" w:pos="360"/>
        </w:tabs>
        <w:ind w:left="360" w:hanging="360"/>
      </w:pPr>
    </w:lvl>
  </w:abstractNum>
  <w:abstractNum w:abstractNumId="3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2">
    <w:nsid w:val="585B762F"/>
    <w:multiLevelType w:val="hybridMultilevel"/>
    <w:tmpl w:val="60AE8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nsid w:val="69F82C98"/>
    <w:multiLevelType w:val="multilevel"/>
    <w:tmpl w:val="70E2189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21"/>
  </w:num>
  <w:num w:numId="14">
    <w:abstractNumId w:val="15"/>
  </w:num>
  <w:num w:numId="15">
    <w:abstractNumId w:val="28"/>
  </w:num>
  <w:num w:numId="16">
    <w:abstractNumId w:val="30"/>
  </w:num>
  <w:num w:numId="17">
    <w:abstractNumId w:val="18"/>
  </w:num>
  <w:num w:numId="18">
    <w:abstractNumId w:val="14"/>
  </w:num>
  <w:num w:numId="19">
    <w:abstractNumId w:val="35"/>
  </w:num>
  <w:num w:numId="20">
    <w:abstractNumId w:val="16"/>
  </w:num>
  <w:num w:numId="21">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13278</Words>
  <Characters>73694</Characters>
  <Application>Microsoft Office Word</Application>
  <DocSecurity>0</DocSecurity>
  <Lines>4334</Lines>
  <Paragraphs>3478</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vt:lpstr>
    </vt:vector>
  </TitlesOfParts>
  <Manager/>
  <Company/>
  <LinksUpToDate>false</LinksUpToDate>
  <CharactersWithSpaces>83494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1998 - 04-f0-01</dc:title>
  <dc:subject/>
  <dc:creator/>
  <cp:keywords/>
  <dc:description/>
  <cp:lastModifiedBy>svcMRProcess</cp:lastModifiedBy>
  <cp:revision>4</cp:revision>
  <cp:lastPrinted>2010-04-30T05:20:00Z</cp:lastPrinted>
  <dcterms:created xsi:type="dcterms:W3CDTF">2018-09-17T03:25:00Z</dcterms:created>
  <dcterms:modified xsi:type="dcterms:W3CDTF">2018-09-17T03:25:00Z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CommencementDate">
    <vt:lpwstr>20121101</vt:lpwstr>
  </property>
  <property fmtid="{D5CDD505-2E9C-101B-9397-08002B2CF9AE}" pid="4" name="DocumentType">
    <vt:lpwstr>Reg</vt:lpwstr>
  </property>
  <property fmtid="{D5CDD505-2E9C-101B-9397-08002B2CF9AE}" pid="5" name="OwlsUID">
    <vt:i4>101</vt:i4>
  </property>
  <property fmtid="{D5CDD505-2E9C-101B-9397-08002B2CF9AE}" pid="6" name="ReprintNo">
    <vt:lpwstr>4</vt:lpwstr>
  </property>
  <property fmtid="{D5CDD505-2E9C-101B-9397-08002B2CF9AE}" pid="7" name="AsAtDate">
    <vt:lpwstr>01 Nov 2012</vt:lpwstr>
  </property>
  <property fmtid="{D5CDD505-2E9C-101B-9397-08002B2CF9AE}" pid="8" name="Suffix">
    <vt:lpwstr>04-f0-01</vt:lpwstr>
  </property>
</Properties>
</file>