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_Toc342300823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_Toc342300824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_Toc342300825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_Toc342300826 \h </w:instrText>
      </w:r>
      <w:r>
        <w:fldChar w:fldCharType="separate"/>
      </w:r>
      <w:r>
        <w:t>2</w:t>
      </w:r>
      <w:r>
        <w:fldChar w:fldCharType="end"/>
      </w:r>
    </w:p>
    <w:p>
      <w:pPr>
        <w:pStyle w:val="TOC8"/>
        <w:rPr>
          <w:sz w:val="24"/>
          <w:szCs w:val="24"/>
          <w:lang w:val="en-US"/>
        </w:rPr>
      </w:pPr>
      <w:r>
        <w:t>5.</w:t>
      </w:r>
      <w:r>
        <w:tab/>
      </w:r>
      <w:r>
        <w:rPr>
          <w:snapToGrid w:val="0"/>
        </w:rPr>
        <w:t>Exemptions</w:t>
      </w:r>
      <w:r>
        <w:tab/>
      </w:r>
      <w:r>
        <w:fldChar w:fldCharType="begin"/>
      </w:r>
      <w:r>
        <w:instrText xml:space="preserve"> PAGEREF _Toc342300827 \h </w:instrText>
      </w:r>
      <w:r>
        <w:fldChar w:fldCharType="separate"/>
      </w:r>
      <w:r>
        <w:t>5</w:t>
      </w:r>
      <w:r>
        <w:fldChar w:fldCharType="end"/>
      </w:r>
    </w:p>
    <w:p>
      <w:pPr>
        <w:pStyle w:val="TOC8"/>
        <w:rPr>
          <w:sz w:val="24"/>
          <w:szCs w:val="24"/>
          <w:lang w:val="en-US"/>
        </w:rPr>
      </w:pPr>
      <w:r>
        <w:t>5A.</w:t>
      </w:r>
      <w:r>
        <w:tab/>
        <w:t>Disputes regarding fees</w:t>
      </w:r>
      <w:r>
        <w:tab/>
      </w:r>
      <w:r>
        <w:fldChar w:fldCharType="begin"/>
      </w:r>
      <w:r>
        <w:instrText xml:space="preserve"> PAGEREF _Toc342300828 \h </w:instrText>
      </w:r>
      <w:r>
        <w:fldChar w:fldCharType="separate"/>
      </w:r>
      <w:r>
        <w:t>6</w:t>
      </w:r>
      <w:r>
        <w:fldChar w:fldCharType="end"/>
      </w:r>
    </w:p>
    <w:p>
      <w:pPr>
        <w:pStyle w:val="TOC8"/>
        <w:rPr>
          <w:sz w:val="24"/>
          <w:szCs w:val="24"/>
          <w:lang w:val="en-US"/>
        </w:rPr>
      </w:pPr>
      <w:r>
        <w:t>6.</w:t>
      </w:r>
      <w:r>
        <w:tab/>
      </w:r>
      <w:r>
        <w:rPr>
          <w:snapToGrid w:val="0"/>
        </w:rPr>
        <w:t>Fees to be paid before documents filed or other things done</w:t>
      </w:r>
      <w:r>
        <w:tab/>
      </w:r>
      <w:r>
        <w:fldChar w:fldCharType="begin"/>
      </w:r>
      <w:r>
        <w:instrText xml:space="preserve"> PAGEREF _Toc342300829 \h </w:instrText>
      </w:r>
      <w:r>
        <w:fldChar w:fldCharType="separate"/>
      </w:r>
      <w:r>
        <w:t>6</w:t>
      </w:r>
      <w:r>
        <w:fldChar w:fldCharType="end"/>
      </w:r>
    </w:p>
    <w:p>
      <w:pPr>
        <w:pStyle w:val="TOC8"/>
        <w:rPr>
          <w:sz w:val="24"/>
          <w:szCs w:val="24"/>
          <w:lang w:val="en-US"/>
        </w:rPr>
      </w:pPr>
      <w:r>
        <w:t>7.</w:t>
      </w:r>
      <w:r>
        <w:tab/>
      </w:r>
      <w:r>
        <w:rPr>
          <w:snapToGrid w:val="0"/>
        </w:rPr>
        <w:t>Court or registrar may remit fees</w:t>
      </w:r>
      <w:r>
        <w:tab/>
      </w:r>
      <w:r>
        <w:fldChar w:fldCharType="begin"/>
      </w:r>
      <w:r>
        <w:instrText xml:space="preserve"> PAGEREF _Toc342300830 \h </w:instrText>
      </w:r>
      <w:r>
        <w:fldChar w:fldCharType="separate"/>
      </w:r>
      <w:r>
        <w:t>6</w:t>
      </w:r>
      <w:r>
        <w:fldChar w:fldCharType="end"/>
      </w:r>
    </w:p>
    <w:p>
      <w:pPr>
        <w:pStyle w:val="TOC8"/>
        <w:rPr>
          <w:sz w:val="24"/>
          <w:szCs w:val="24"/>
          <w:lang w:val="en-US"/>
        </w:rPr>
      </w:pPr>
      <w:r>
        <w:t>8.</w:t>
      </w:r>
      <w:r>
        <w:tab/>
      </w:r>
      <w:r>
        <w:rPr>
          <w:snapToGrid w:val="0"/>
        </w:rPr>
        <w:t>Conventions</w:t>
      </w:r>
      <w:r>
        <w:tab/>
      </w:r>
      <w:r>
        <w:fldChar w:fldCharType="begin"/>
      </w:r>
      <w:r>
        <w:instrText xml:space="preserve"> PAGEREF _Toc342300831 \h </w:instrText>
      </w:r>
      <w:r>
        <w:fldChar w:fldCharType="separate"/>
      </w:r>
      <w:r>
        <w:t>9</w:t>
      </w:r>
      <w:r>
        <w:fldChar w:fldCharType="end"/>
      </w:r>
    </w:p>
    <w:p>
      <w:pPr>
        <w:pStyle w:val="TOC8"/>
        <w:rPr>
          <w:sz w:val="24"/>
          <w:szCs w:val="24"/>
          <w:lang w:val="en-US"/>
        </w:rPr>
      </w:pPr>
      <w:r>
        <w:t>9.</w:t>
      </w:r>
      <w:r>
        <w:tab/>
        <w:t>Allocation of hearing date — Schedule 1 Division 1 item 5</w:t>
      </w:r>
      <w:r>
        <w:tab/>
      </w:r>
      <w:r>
        <w:fldChar w:fldCharType="begin"/>
      </w:r>
      <w:r>
        <w:instrText xml:space="preserve"> PAGEREF _Toc342300832 \h </w:instrText>
      </w:r>
      <w:r>
        <w:fldChar w:fldCharType="separate"/>
      </w:r>
      <w:r>
        <w:t>9</w:t>
      </w:r>
      <w:r>
        <w:fldChar w:fldCharType="end"/>
      </w:r>
    </w:p>
    <w:p>
      <w:pPr>
        <w:pStyle w:val="TOC8"/>
        <w:rPr>
          <w:sz w:val="24"/>
          <w:szCs w:val="24"/>
          <w:lang w:val="en-US"/>
        </w:rPr>
      </w:pPr>
      <w:r>
        <w:t>9A.</w:t>
      </w:r>
      <w:r>
        <w:tab/>
        <w:t>Court of Appeal allocation of hearing date — Schedule 1 Division 2 item 5</w:t>
      </w:r>
      <w:r>
        <w:tab/>
      </w:r>
      <w:r>
        <w:fldChar w:fldCharType="begin"/>
      </w:r>
      <w:r>
        <w:instrText xml:space="preserve"> PAGEREF _Toc342300833 \h </w:instrText>
      </w:r>
      <w:r>
        <w:fldChar w:fldCharType="separate"/>
      </w:r>
      <w:r>
        <w:t>11</w:t>
      </w:r>
      <w:r>
        <w:fldChar w:fldCharType="end"/>
      </w:r>
    </w:p>
    <w:p>
      <w:pPr>
        <w:pStyle w:val="TOC8"/>
        <w:rPr>
          <w:sz w:val="24"/>
          <w:szCs w:val="24"/>
          <w:lang w:val="en-US"/>
        </w:rPr>
      </w:pPr>
      <w:r>
        <w:t>10.</w:t>
      </w:r>
      <w:r>
        <w:tab/>
        <w:t>Schedule 1 Division 2 item 6 or Division 2 item 7 fee</w:t>
      </w:r>
      <w:r>
        <w:tab/>
      </w:r>
      <w:r>
        <w:fldChar w:fldCharType="begin"/>
      </w:r>
      <w:r>
        <w:instrText xml:space="preserve"> PAGEREF _Toc342300834 \h </w:instrText>
      </w:r>
      <w:r>
        <w:fldChar w:fldCharType="separate"/>
      </w:r>
      <w:r>
        <w:t>12</w:t>
      </w:r>
      <w:r>
        <w:fldChar w:fldCharType="end"/>
      </w:r>
    </w:p>
    <w:p>
      <w:pPr>
        <w:pStyle w:val="TOC8"/>
        <w:rPr>
          <w:sz w:val="24"/>
          <w:szCs w:val="24"/>
          <w:lang w:val="en-US"/>
        </w:rPr>
      </w:pPr>
      <w:r>
        <w:t>11.</w:t>
      </w:r>
      <w:r>
        <w:tab/>
        <w:t>Recovery of unpaid fees</w:t>
      </w:r>
      <w:r>
        <w:tab/>
      </w:r>
      <w:r>
        <w:fldChar w:fldCharType="begin"/>
      </w:r>
      <w:r>
        <w:instrText xml:space="preserve"> PAGEREF _Toc342300835 \h </w:instrText>
      </w:r>
      <w:r>
        <w:fldChar w:fldCharType="separate"/>
      </w:r>
      <w:r>
        <w:t>13</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 Division fees</w:t>
      </w:r>
    </w:p>
    <w:p>
      <w:pPr>
        <w:pStyle w:val="TOC4"/>
        <w:tabs>
          <w:tab w:val="right" w:leader="dot" w:pos="7086"/>
        </w:tabs>
        <w:rPr>
          <w:b w:val="0"/>
          <w:sz w:val="24"/>
          <w:szCs w:val="24"/>
          <w:lang w:val="en-US"/>
        </w:rPr>
      </w:pPr>
      <w:r>
        <w:t>Division 2</w:t>
      </w:r>
      <w:r>
        <w:rPr>
          <w:b w:val="0"/>
        </w:rPr>
        <w:t> — </w:t>
      </w:r>
      <w:r>
        <w:t>Court of Appeal fees</w:t>
      </w:r>
    </w:p>
    <w:p>
      <w:pPr>
        <w:pStyle w:val="TOC2"/>
        <w:tabs>
          <w:tab w:val="right" w:leader="dot" w:pos="7086"/>
        </w:tabs>
        <w:rPr>
          <w:b w:val="0"/>
          <w:sz w:val="24"/>
          <w:szCs w:val="24"/>
          <w:lang w:val="en-US"/>
        </w:rPr>
      </w:pPr>
      <w:r>
        <w:t>Schedule 2 — Sheriff’s fees</w:t>
      </w:r>
    </w:p>
    <w:p>
      <w:pPr>
        <w:pStyle w:val="TOC2"/>
        <w:tabs>
          <w:tab w:val="right" w:leader="dot" w:pos="7086"/>
        </w:tabs>
        <w:rPr>
          <w:b w:val="0"/>
          <w:sz w:val="24"/>
          <w:szCs w:val="24"/>
          <w:lang w:val="en-US"/>
        </w:rPr>
      </w:pPr>
      <w:r>
        <w:t>Schedule 3 — Probate fees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_Toc342300843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342300823"/>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34230082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342300825"/>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342300826"/>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342300827"/>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 27 Mar 2012 p. 1508.]</w:t>
      </w:r>
    </w:p>
    <w:p>
      <w:pPr>
        <w:pStyle w:val="Heading5"/>
      </w:pPr>
      <w:bookmarkStart w:id="60" w:name="_Toc342300828"/>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342300829"/>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342300830"/>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82" w:name="_Toc107626238"/>
      <w:bookmarkStart w:id="83" w:name="_Toc145814158"/>
      <w:bookmarkStart w:id="84" w:name="_Toc342300831"/>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342300832"/>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342300833"/>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342300834"/>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342300835"/>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268173680"/>
      <w:bookmarkStart w:id="108" w:name="_Toc287360182"/>
      <w:bookmarkStart w:id="109" w:name="_Toc312141663"/>
      <w:bookmarkStart w:id="110" w:name="_Toc320525375"/>
      <w:bookmarkStart w:id="111" w:name="_Toc320531621"/>
      <w:bookmarkStart w:id="112" w:name="_Toc341883155"/>
      <w:bookmarkStart w:id="113" w:name="_Toc341959555"/>
      <w:bookmarkStart w:id="114" w:name="_Toc341962846"/>
      <w:bookmarkStart w:id="115" w:name="_Toc342300836"/>
      <w:bookmarkStart w:id="116" w:name="_Toc533218894"/>
      <w:bookmarkStart w:id="117" w:name="_Toc533480360"/>
      <w:bookmarkStart w:id="118" w:name="_Toc107626249"/>
      <w:bookmarkStart w:id="119" w:name="_Toc139175209"/>
      <w:bookmarkStart w:id="120" w:name="_Toc139365940"/>
      <w:bookmarkStart w:id="121" w:name="_Toc141847811"/>
      <w:bookmarkStart w:id="122" w:name="_Toc142382645"/>
      <w:bookmarkStart w:id="123" w:name="_Toc144009328"/>
      <w:bookmarkStart w:id="124" w:name="_Toc144009444"/>
      <w:bookmarkStart w:id="125" w:name="_Toc144010742"/>
      <w:bookmarkStart w:id="126" w:name="_Toc144616506"/>
      <w:bookmarkStart w:id="127" w:name="_Toc145814169"/>
      <w:bookmarkStart w:id="128" w:name="_Toc170790395"/>
      <w:bookmarkStart w:id="129" w:name="_Toc171051025"/>
      <w:bookmarkStart w:id="130" w:name="_Toc202265391"/>
      <w:bookmarkStart w:id="131" w:name="_Toc232310903"/>
      <w:bookmarkStart w:id="132" w:name="_Toc233086412"/>
      <w:bookmarkStart w:id="133" w:name="_Toc233519305"/>
      <w:bookmarkStart w:id="134" w:name="_Toc233526464"/>
      <w:bookmarkEnd w:id="102"/>
      <w:r>
        <w:rPr>
          <w:rStyle w:val="CharSchNo"/>
        </w:rPr>
        <w:t>Schedule 1</w:t>
      </w:r>
      <w:r>
        <w:t> — </w:t>
      </w:r>
      <w:r>
        <w:rPr>
          <w:rStyle w:val="CharSchText"/>
        </w:rPr>
        <w:t>Fees</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ShoulderClause"/>
      </w:pPr>
      <w:r>
        <w:t>[r. 4]</w:t>
      </w:r>
    </w:p>
    <w:p>
      <w:pPr>
        <w:pStyle w:val="yFootnoteheading"/>
        <w:spacing w:before="100"/>
      </w:pPr>
      <w:r>
        <w:tab/>
        <w:t>[Heading inserted in Gazette 4 Sep 2009 p. 3462.]</w:t>
      </w:r>
    </w:p>
    <w:p>
      <w:pPr>
        <w:pStyle w:val="yHeading3"/>
      </w:pPr>
      <w:bookmarkStart w:id="135" w:name="_Toc239758529"/>
      <w:bookmarkStart w:id="136" w:name="_Toc239761853"/>
      <w:bookmarkStart w:id="137" w:name="_Toc244333852"/>
      <w:bookmarkStart w:id="138" w:name="_Toc245873244"/>
      <w:bookmarkStart w:id="139" w:name="_Toc268173681"/>
      <w:bookmarkStart w:id="140" w:name="_Toc287360183"/>
      <w:bookmarkStart w:id="141" w:name="_Toc312141664"/>
      <w:bookmarkStart w:id="142" w:name="_Toc320525376"/>
      <w:bookmarkStart w:id="143" w:name="_Toc320531622"/>
      <w:bookmarkStart w:id="144" w:name="_Toc341883156"/>
      <w:bookmarkStart w:id="145" w:name="_Toc341959556"/>
      <w:bookmarkStart w:id="146" w:name="_Toc341962847"/>
      <w:bookmarkStart w:id="147" w:name="_Toc342300837"/>
      <w:r>
        <w:rPr>
          <w:rStyle w:val="CharSDivNo"/>
        </w:rPr>
        <w:t>Division 1</w:t>
      </w:r>
      <w:r>
        <w:rPr>
          <w:b w:val="0"/>
        </w:rPr>
        <w:t> — </w:t>
      </w:r>
      <w:r>
        <w:rPr>
          <w:rStyle w:val="CharSDivText"/>
        </w:rPr>
        <w:t>General Division fees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831.00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1 619.00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831.00</w:t>
            </w:r>
          </w:p>
          <w:p>
            <w:pPr>
              <w:pStyle w:val="yTableNAm"/>
              <w:tabs>
                <w:tab w:val="clear" w:pos="567"/>
              </w:tabs>
              <w:ind w:right="206"/>
              <w:jc w:val="right"/>
            </w:pPr>
            <w:r>
              <w:rPr>
                <w:szCs w:val="22"/>
              </w:rPr>
              <w:br/>
              <w:t>831.00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277.00</w:t>
            </w:r>
          </w:p>
          <w:p>
            <w:pPr>
              <w:pStyle w:val="yTableNAm"/>
              <w:tabs>
                <w:tab w:val="clear" w:pos="567"/>
              </w:tabs>
              <w:ind w:right="206"/>
              <w:jc w:val="right"/>
            </w:pPr>
            <w:r>
              <w:br/>
            </w:r>
            <w:r>
              <w:br/>
            </w:r>
            <w:r>
              <w:rPr>
                <w:szCs w:val="22"/>
              </w:rPr>
              <w:t>277.00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1 619.00</w:t>
            </w:r>
          </w:p>
          <w:p>
            <w:pPr>
              <w:pStyle w:val="yTableNAm"/>
              <w:tabs>
                <w:tab w:val="clear" w:pos="567"/>
              </w:tabs>
              <w:ind w:right="203"/>
              <w:jc w:val="right"/>
            </w:pPr>
            <w:r>
              <w:rPr>
                <w:szCs w:val="22"/>
              </w:rPr>
              <w:br/>
              <w:t>1 619.00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542.00</w:t>
            </w:r>
          </w:p>
          <w:p>
            <w:pPr>
              <w:pStyle w:val="yTableNAm"/>
              <w:tabs>
                <w:tab w:val="clear" w:pos="567"/>
              </w:tabs>
              <w:ind w:right="203"/>
              <w:jc w:val="right"/>
            </w:pPr>
            <w:r>
              <w:br/>
            </w:r>
            <w:r>
              <w:br/>
            </w:r>
            <w:r>
              <w:rPr>
                <w:szCs w:val="22"/>
              </w:rPr>
              <w:t>542.00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1 084.00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831.00</w:t>
            </w:r>
          </w:p>
        </w:tc>
        <w:tc>
          <w:tcPr>
            <w:tcW w:w="1239" w:type="dxa"/>
          </w:tcPr>
          <w:p>
            <w:pPr>
              <w:pStyle w:val="yTableNAm"/>
              <w:tabs>
                <w:tab w:val="clear" w:pos="567"/>
              </w:tabs>
              <w:ind w:right="203"/>
              <w:jc w:val="right"/>
            </w:pPr>
            <w:r>
              <w:br/>
            </w:r>
            <w:r>
              <w:br/>
            </w:r>
            <w:r>
              <w:rPr>
                <w:szCs w:val="22"/>
              </w:rPr>
              <w:t>1 619.00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556.00</w:t>
            </w:r>
          </w:p>
        </w:tc>
        <w:tc>
          <w:tcPr>
            <w:tcW w:w="1239" w:type="dxa"/>
          </w:tcPr>
          <w:p>
            <w:pPr>
              <w:pStyle w:val="yTableNAm"/>
              <w:tabs>
                <w:tab w:val="clear" w:pos="567"/>
              </w:tabs>
              <w:ind w:right="203"/>
              <w:jc w:val="right"/>
            </w:pPr>
            <w:r>
              <w:br/>
            </w:r>
            <w:r>
              <w:rPr>
                <w:szCs w:val="22"/>
              </w:rPr>
              <w:t>1 444.00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556.00</w:t>
            </w:r>
          </w:p>
        </w:tc>
        <w:tc>
          <w:tcPr>
            <w:tcW w:w="1239" w:type="dxa"/>
          </w:tcPr>
          <w:p>
            <w:pPr>
              <w:pStyle w:val="yTableNAm"/>
              <w:keepNext/>
              <w:tabs>
                <w:tab w:val="clear" w:pos="567"/>
              </w:tabs>
              <w:ind w:right="203"/>
              <w:jc w:val="right"/>
            </w:pPr>
            <w:r>
              <w:br/>
            </w:r>
            <w:r>
              <w:br/>
            </w:r>
            <w:r>
              <w:rPr>
                <w:szCs w:val="22"/>
              </w:rPr>
              <w:t>1 444.00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195.50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379.00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rPr>
                <w:szCs w:val="22"/>
              </w:rPr>
              <w:t>195.50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rPr>
                <w:szCs w:val="22"/>
              </w:rPr>
              <w:t>379.00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$1.25.</w:t>
            </w:r>
          </w:p>
        </w:tc>
        <w:tc>
          <w:tcPr>
            <w:tcW w:w="1276" w:type="dxa"/>
          </w:tcPr>
          <w:p>
            <w:pPr>
              <w:pStyle w:val="yTableNAm"/>
              <w:tabs>
                <w:tab w:val="clear" w:pos="567"/>
              </w:tabs>
              <w:spacing w:before="100"/>
              <w:ind w:right="204"/>
              <w:jc w:val="right"/>
            </w:pPr>
            <w:r>
              <w:br/>
            </w:r>
            <w:r>
              <w:br/>
              <w:t>28.10</w:t>
            </w:r>
          </w:p>
        </w:tc>
        <w:tc>
          <w:tcPr>
            <w:tcW w:w="1239" w:type="dxa"/>
          </w:tcPr>
          <w:p>
            <w:pPr>
              <w:pStyle w:val="yTableNAm"/>
              <w:tabs>
                <w:tab w:val="clear" w:pos="567"/>
              </w:tabs>
              <w:spacing w:before="100"/>
              <w:ind w:right="204"/>
              <w:jc w:val="right"/>
            </w:pPr>
            <w:r>
              <w:br/>
            </w:r>
            <w:r>
              <w:br/>
              <w:t>28.10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c>
          <w:tcPr>
            <w:tcW w:w="1239" w:type="dxa"/>
          </w:tcPr>
          <w:p>
            <w:pPr>
              <w:pStyle w:val="yTableNAm"/>
              <w:tabs>
                <w:tab w:val="clear" w:pos="567"/>
              </w:tabs>
              <w:spacing w:before="100"/>
              <w:ind w:right="204"/>
              <w:jc w:val="right"/>
            </w:pPr>
            <w:r>
              <w:br/>
            </w:r>
            <w:r>
              <w:br/>
            </w:r>
            <w:r>
              <w:br/>
            </w:r>
            <w:r>
              <w:br/>
            </w:r>
            <w:r>
              <w:rPr>
                <w:szCs w:val="22"/>
              </w:rPr>
              <w:t>41.30</w:t>
            </w:r>
          </w:p>
          <w:p>
            <w:pPr>
              <w:pStyle w:val="yTableNAm"/>
              <w:tabs>
                <w:tab w:val="clear" w:pos="567"/>
              </w:tabs>
              <w:spacing w:before="60"/>
              <w:ind w:right="204"/>
              <w:jc w:val="right"/>
            </w:pPr>
            <w:r>
              <w:br/>
            </w:r>
            <w:r>
              <w:br/>
            </w:r>
            <w:r>
              <w:br/>
            </w:r>
            <w:r>
              <w:br/>
            </w:r>
            <w:r>
              <w:br/>
            </w:r>
            <w:r>
              <w:br/>
            </w:r>
            <w:r>
              <w:br/>
            </w:r>
            <w:r>
              <w:rPr>
                <w:szCs w:val="22"/>
              </w:rPr>
              <w:t>69.50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9.75</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p>
            <w:pPr>
              <w:pStyle w:val="yTableNAm"/>
              <w:tabs>
                <w:tab w:val="clear" w:pos="567"/>
              </w:tabs>
              <w:ind w:right="206"/>
              <w:jc w:val="right"/>
            </w:pPr>
            <w:r>
              <w:br/>
            </w:r>
            <w:r>
              <w:br/>
            </w:r>
            <w:r>
              <w:br/>
            </w:r>
            <w:r>
              <w:br/>
            </w:r>
            <w:r>
              <w:rPr>
                <w:szCs w:val="22"/>
              </w:rPr>
              <w:t>55.50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9.75</w:t>
            </w:r>
          </w:p>
          <w:p>
            <w:pPr>
              <w:pStyle w:val="yTableNAm"/>
              <w:tabs>
                <w:tab w:val="clear" w:pos="567"/>
              </w:tabs>
              <w:ind w:right="203"/>
              <w:jc w:val="right"/>
            </w:pPr>
            <w:r>
              <w:br/>
            </w:r>
            <w:r>
              <w:br/>
            </w:r>
            <w:r>
              <w:rPr>
                <w:szCs w:val="22"/>
              </w:rPr>
              <w:t>1.25</w:t>
            </w:r>
          </w:p>
          <w:p>
            <w:pPr>
              <w:pStyle w:val="yTableNAm"/>
              <w:tabs>
                <w:tab w:val="clear" w:pos="567"/>
              </w:tabs>
              <w:ind w:right="203"/>
              <w:jc w:val="right"/>
            </w:pPr>
            <w:r>
              <w:br/>
            </w:r>
            <w:r>
              <w:br/>
            </w:r>
            <w:r>
              <w:rPr>
                <w:szCs w:val="22"/>
              </w:rPr>
              <w:t>13.50</w:t>
            </w:r>
          </w:p>
          <w:p>
            <w:pPr>
              <w:pStyle w:val="yTableNAm"/>
              <w:tabs>
                <w:tab w:val="clear" w:pos="567"/>
              </w:tabs>
              <w:ind w:right="203"/>
              <w:jc w:val="right"/>
            </w:pPr>
            <w:r>
              <w:rPr>
                <w:szCs w:val="22"/>
              </w:rPr>
              <w:br/>
              <w:t>29.10</w:t>
            </w:r>
          </w:p>
          <w:p>
            <w:pPr>
              <w:pStyle w:val="yTableNAm"/>
              <w:tabs>
                <w:tab w:val="clear" w:pos="567"/>
              </w:tabs>
              <w:ind w:right="203"/>
              <w:jc w:val="right"/>
            </w:pPr>
            <w:r>
              <w:br/>
            </w:r>
            <w:r>
              <w:br/>
            </w:r>
            <w:r>
              <w:br/>
            </w:r>
            <w:r>
              <w:br/>
            </w:r>
            <w:r>
              <w:rPr>
                <w:szCs w:val="22"/>
              </w:rPr>
              <w:t>55.50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rPr>
                <w:szCs w:val="22"/>
              </w:rPr>
              <w:t>13.50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5.45</w:t>
            </w:r>
          </w:p>
          <w:p>
            <w:pPr>
              <w:pStyle w:val="yTableNAm"/>
              <w:tabs>
                <w:tab w:val="clear" w:pos="567"/>
              </w:tabs>
              <w:ind w:right="203"/>
              <w:jc w:val="right"/>
            </w:pPr>
            <w:r>
              <w:br/>
            </w:r>
            <w:r>
              <w:br/>
            </w:r>
            <w:r>
              <w:br/>
            </w:r>
            <w:r>
              <w:br/>
            </w:r>
            <w:r>
              <w:rPr>
                <w:szCs w:val="22"/>
              </w:rPr>
              <w:t>13.50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233.00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w:t>
      </w:r>
    </w:p>
    <w:p>
      <w:pPr>
        <w:pStyle w:val="yHeading3"/>
      </w:pPr>
      <w:bookmarkStart w:id="148" w:name="_Toc239758530"/>
      <w:bookmarkStart w:id="149" w:name="_Toc239761854"/>
      <w:bookmarkStart w:id="150" w:name="_Toc244333853"/>
      <w:bookmarkStart w:id="151" w:name="_Toc245873245"/>
      <w:bookmarkStart w:id="152" w:name="_Toc268173682"/>
      <w:bookmarkStart w:id="153" w:name="_Toc287360184"/>
      <w:bookmarkStart w:id="154" w:name="_Toc312141665"/>
      <w:bookmarkStart w:id="155" w:name="_Toc320525377"/>
      <w:bookmarkStart w:id="156" w:name="_Toc320531623"/>
      <w:bookmarkStart w:id="157" w:name="_Toc341883157"/>
      <w:bookmarkStart w:id="158" w:name="_Toc341959557"/>
      <w:bookmarkStart w:id="159" w:name="_Toc341962848"/>
      <w:bookmarkStart w:id="160" w:name="_Toc342300838"/>
      <w:r>
        <w:rPr>
          <w:rStyle w:val="CharSDivNo"/>
        </w:rPr>
        <w:t>Division 2</w:t>
      </w:r>
      <w:r>
        <w:rPr>
          <w:b w:val="0"/>
        </w:rPr>
        <w:t> — </w:t>
      </w:r>
      <w:r>
        <w:rPr>
          <w:rStyle w:val="CharSDivText"/>
        </w:rPr>
        <w:t>Court of Appeal fees</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138.50</w:t>
            </w:r>
          </w:p>
        </w:tc>
        <w:tc>
          <w:tcPr>
            <w:tcW w:w="1240" w:type="dxa"/>
          </w:tcPr>
          <w:p>
            <w:pPr>
              <w:pStyle w:val="yTableNAm"/>
              <w:tabs>
                <w:tab w:val="clear" w:pos="567"/>
              </w:tabs>
              <w:ind w:right="204"/>
              <w:jc w:val="right"/>
            </w:pPr>
            <w:r>
              <w:rPr>
                <w:szCs w:val="22"/>
              </w:rPr>
              <w:t>359.00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2 088.00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5 427.00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277.00</w:t>
            </w:r>
          </w:p>
        </w:tc>
        <w:tc>
          <w:tcPr>
            <w:tcW w:w="1240" w:type="dxa"/>
          </w:tcPr>
          <w:p>
            <w:pPr>
              <w:pStyle w:val="yTableNAm"/>
              <w:tabs>
                <w:tab w:val="clear" w:pos="567"/>
              </w:tabs>
              <w:ind w:right="204"/>
              <w:jc w:val="right"/>
            </w:pPr>
            <w:r>
              <w:br/>
            </w:r>
            <w:r>
              <w:br/>
            </w:r>
            <w:r>
              <w:br/>
            </w:r>
            <w:r>
              <w:br/>
            </w:r>
            <w:r>
              <w:rPr>
                <w:szCs w:val="22"/>
              </w:rPr>
              <w:t>542.00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195.50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379.00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696.00</w:t>
            </w:r>
          </w:p>
        </w:tc>
        <w:tc>
          <w:tcPr>
            <w:tcW w:w="1240" w:type="dxa"/>
          </w:tcPr>
          <w:p>
            <w:pPr>
              <w:pStyle w:val="yTableNAm"/>
              <w:keepNext/>
              <w:tabs>
                <w:tab w:val="clear" w:pos="567"/>
              </w:tabs>
              <w:ind w:right="204"/>
              <w:jc w:val="right"/>
            </w:pPr>
            <w:r>
              <w:rPr>
                <w:szCs w:val="22"/>
              </w:rPr>
              <w:t>1 355.00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556.00</w:t>
            </w:r>
          </w:p>
        </w:tc>
        <w:tc>
          <w:tcPr>
            <w:tcW w:w="1240" w:type="dxa"/>
          </w:tcPr>
          <w:p>
            <w:pPr>
              <w:pStyle w:val="yTableNAm"/>
              <w:tabs>
                <w:tab w:val="clear" w:pos="567"/>
              </w:tabs>
              <w:ind w:right="204"/>
              <w:jc w:val="right"/>
            </w:pPr>
            <w:r>
              <w:br/>
            </w:r>
            <w:r>
              <w:rPr>
                <w:szCs w:val="22"/>
              </w:rPr>
              <w:t>1 444.00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556.00</w:t>
            </w:r>
          </w:p>
        </w:tc>
        <w:tc>
          <w:tcPr>
            <w:tcW w:w="1240" w:type="dxa"/>
          </w:tcPr>
          <w:p>
            <w:pPr>
              <w:pStyle w:val="yTableNAm"/>
              <w:tabs>
                <w:tab w:val="clear" w:pos="567"/>
              </w:tabs>
              <w:ind w:right="204"/>
              <w:jc w:val="right"/>
            </w:pPr>
            <w:r>
              <w:rPr>
                <w:szCs w:val="22"/>
              </w:rPr>
              <w:t>1 444.00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$1.25.</w:t>
            </w:r>
          </w:p>
        </w:tc>
        <w:tc>
          <w:tcPr>
            <w:tcW w:w="1276" w:type="dxa"/>
          </w:tcPr>
          <w:p>
            <w:pPr>
              <w:pStyle w:val="yTableNAm"/>
              <w:tabs>
                <w:tab w:val="clear" w:pos="567"/>
              </w:tabs>
              <w:ind w:right="206"/>
              <w:jc w:val="right"/>
            </w:pPr>
            <w:r>
              <w:br/>
            </w:r>
            <w:r>
              <w:br/>
              <w:t>28.10</w:t>
            </w:r>
          </w:p>
        </w:tc>
        <w:tc>
          <w:tcPr>
            <w:tcW w:w="1240" w:type="dxa"/>
          </w:tcPr>
          <w:p>
            <w:pPr>
              <w:pStyle w:val="yTableNAm"/>
              <w:tabs>
                <w:tab w:val="clear" w:pos="567"/>
              </w:tabs>
              <w:ind w:right="204"/>
              <w:jc w:val="right"/>
            </w:pPr>
            <w:r>
              <w:br/>
            </w:r>
            <w:r>
              <w:br/>
              <w:t>28.10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9.80</w:t>
            </w:r>
          </w:p>
          <w:p>
            <w:pPr>
              <w:pStyle w:val="yTableNAm"/>
              <w:tabs>
                <w:tab w:val="clear" w:pos="567"/>
              </w:tabs>
              <w:ind w:right="206"/>
              <w:jc w:val="right"/>
            </w:pPr>
            <w:r>
              <w:br/>
            </w:r>
            <w:r>
              <w:br/>
            </w:r>
            <w:r>
              <w:rPr>
                <w:szCs w:val="22"/>
              </w:rPr>
              <w:t>1.25</w:t>
            </w:r>
          </w:p>
          <w:p>
            <w:pPr>
              <w:pStyle w:val="yTableNAm"/>
              <w:tabs>
                <w:tab w:val="clear" w:pos="567"/>
              </w:tabs>
              <w:ind w:right="206"/>
              <w:jc w:val="right"/>
            </w:pPr>
            <w:r>
              <w:br/>
            </w:r>
            <w:r>
              <w:br/>
            </w:r>
            <w:r>
              <w:rPr>
                <w:szCs w:val="22"/>
              </w:rPr>
              <w:t>13.50</w:t>
            </w:r>
          </w:p>
          <w:p>
            <w:pPr>
              <w:pStyle w:val="yTableNAm"/>
              <w:tabs>
                <w:tab w:val="clear" w:pos="567"/>
              </w:tabs>
              <w:ind w:right="206"/>
              <w:jc w:val="right"/>
            </w:pPr>
            <w:r>
              <w:rPr>
                <w:szCs w:val="22"/>
              </w:rPr>
              <w:br/>
              <w:t>29.10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9.80</w:t>
            </w:r>
          </w:p>
          <w:p>
            <w:pPr>
              <w:pStyle w:val="yTableNAm"/>
              <w:tabs>
                <w:tab w:val="clear" w:pos="567"/>
              </w:tabs>
              <w:ind w:right="204"/>
              <w:jc w:val="right"/>
            </w:pPr>
            <w:r>
              <w:br/>
            </w:r>
            <w:r>
              <w:br/>
            </w:r>
            <w:r>
              <w:rPr>
                <w:szCs w:val="22"/>
              </w:rPr>
              <w:t>1.25</w:t>
            </w:r>
          </w:p>
          <w:p>
            <w:pPr>
              <w:pStyle w:val="yTableNAm"/>
              <w:tabs>
                <w:tab w:val="clear" w:pos="567"/>
              </w:tabs>
              <w:ind w:right="204"/>
              <w:jc w:val="right"/>
            </w:pPr>
            <w:r>
              <w:br/>
            </w:r>
            <w:r>
              <w:br/>
            </w:r>
            <w:r>
              <w:rPr>
                <w:szCs w:val="22"/>
              </w:rPr>
              <w:t>13.50</w:t>
            </w:r>
          </w:p>
          <w:p>
            <w:pPr>
              <w:pStyle w:val="yTableNAm"/>
              <w:tabs>
                <w:tab w:val="clear" w:pos="567"/>
              </w:tabs>
              <w:ind w:right="204"/>
              <w:jc w:val="right"/>
            </w:pPr>
            <w:r>
              <w:rPr>
                <w:szCs w:val="22"/>
              </w:rPr>
              <w:br/>
              <w:t>29.10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5.45</w:t>
            </w:r>
          </w:p>
          <w:p>
            <w:pPr>
              <w:pStyle w:val="yTableNAm"/>
              <w:tabs>
                <w:tab w:val="clear" w:pos="567"/>
              </w:tabs>
              <w:ind w:right="206"/>
              <w:jc w:val="right"/>
            </w:pPr>
            <w:r>
              <w:br/>
            </w:r>
            <w:r>
              <w:br/>
            </w:r>
            <w:r>
              <w:br/>
            </w:r>
            <w:r>
              <w:br/>
            </w:r>
            <w:r>
              <w:br/>
            </w:r>
            <w:r>
              <w:rPr>
                <w:szCs w:val="22"/>
              </w:rPr>
              <w:t>13.50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5.45</w:t>
            </w:r>
          </w:p>
          <w:p>
            <w:pPr>
              <w:pStyle w:val="yTableNAm"/>
              <w:tabs>
                <w:tab w:val="clear" w:pos="567"/>
              </w:tabs>
              <w:ind w:right="204"/>
              <w:jc w:val="right"/>
            </w:pPr>
            <w:r>
              <w:br/>
            </w:r>
            <w:r>
              <w:br/>
            </w:r>
            <w:r>
              <w:br/>
            </w:r>
            <w:r>
              <w:br/>
            </w:r>
            <w:r>
              <w:br/>
            </w:r>
            <w:r>
              <w:rPr>
                <w:szCs w:val="22"/>
              </w:rPr>
              <w:t>13.50</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w:t>
      </w:r>
    </w:p>
    <w:p>
      <w:pPr>
        <w:pStyle w:val="yScheduleHeading"/>
      </w:pPr>
      <w:bookmarkStart w:id="161" w:name="_Toc239758531"/>
      <w:bookmarkStart w:id="162" w:name="_Toc239761855"/>
      <w:bookmarkStart w:id="163" w:name="_Toc244333854"/>
      <w:bookmarkStart w:id="164" w:name="_Toc245873246"/>
      <w:bookmarkStart w:id="165" w:name="_Toc268173683"/>
      <w:bookmarkStart w:id="166" w:name="_Toc287360185"/>
      <w:bookmarkStart w:id="167" w:name="_Toc312141666"/>
      <w:bookmarkStart w:id="168" w:name="_Toc320525378"/>
      <w:bookmarkStart w:id="169" w:name="_Toc320531624"/>
      <w:bookmarkStart w:id="170" w:name="_Toc341883158"/>
      <w:bookmarkStart w:id="171" w:name="_Toc341959558"/>
      <w:bookmarkStart w:id="172" w:name="_Toc341962849"/>
      <w:bookmarkStart w:id="173" w:name="_Toc342300839"/>
      <w:r>
        <w:rPr>
          <w:rStyle w:val="CharSchNo"/>
        </w:rPr>
        <w:t>Schedule 2</w:t>
      </w:r>
      <w:r>
        <w:rPr>
          <w:rStyle w:val="CharSDivNo"/>
        </w:rPr>
        <w:t> </w:t>
      </w:r>
      <w:r>
        <w:t>—</w:t>
      </w:r>
      <w:r>
        <w:rPr>
          <w:rStyle w:val="CharSDivText"/>
        </w:rPr>
        <w:t> </w:t>
      </w:r>
      <w:r>
        <w:rPr>
          <w:rStyle w:val="CharSchText"/>
        </w:rPr>
        <w:t>Sheriff’s fees</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87.90</w:t>
            </w:r>
          </w:p>
          <w:p>
            <w:pPr>
              <w:pStyle w:val="yTableNAm"/>
              <w:tabs>
                <w:tab w:val="clear" w:pos="567"/>
              </w:tabs>
              <w:spacing w:before="80"/>
              <w:ind w:right="241"/>
              <w:jc w:val="right"/>
            </w:pPr>
            <w:r>
              <w:br/>
            </w:r>
            <w:r>
              <w:br/>
            </w:r>
            <w:r>
              <w:rPr>
                <w:szCs w:val="22"/>
              </w:rPr>
              <w:t>87.90</w:t>
            </w:r>
          </w:p>
          <w:p>
            <w:pPr>
              <w:pStyle w:val="yTableNAm"/>
              <w:tabs>
                <w:tab w:val="clear" w:pos="567"/>
              </w:tabs>
              <w:spacing w:before="80"/>
              <w:ind w:right="241"/>
              <w:jc w:val="right"/>
              <w:rPr>
                <w:b/>
              </w:rPr>
            </w:pPr>
            <w:r>
              <w:br/>
            </w:r>
            <w:r>
              <w:br/>
            </w:r>
            <w:r>
              <w:br/>
            </w:r>
            <w:r>
              <w:br/>
            </w:r>
            <w:r>
              <w:rPr>
                <w:szCs w:val="22"/>
              </w:rPr>
              <w:t>23.30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48.20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1.25</w:t>
            </w:r>
          </w:p>
          <w:p>
            <w:pPr>
              <w:pStyle w:val="yTableNAm"/>
              <w:ind w:right="246"/>
              <w:jc w:val="right"/>
            </w:pPr>
            <w:r>
              <w:br/>
            </w:r>
            <w:r>
              <w:rPr>
                <w:szCs w:val="22"/>
              </w:rPr>
              <w:t>1.35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46.60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149.50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w:t>
      </w:r>
    </w:p>
    <w:p>
      <w:pPr>
        <w:pStyle w:val="yScheduleHeading"/>
      </w:pPr>
      <w:bookmarkStart w:id="174" w:name="_Toc239758532"/>
      <w:bookmarkStart w:id="175" w:name="_Toc239761856"/>
      <w:bookmarkStart w:id="176" w:name="_Toc244333855"/>
      <w:bookmarkStart w:id="177" w:name="_Toc245873247"/>
      <w:bookmarkStart w:id="178" w:name="_Toc268173684"/>
      <w:bookmarkStart w:id="179" w:name="_Toc287360186"/>
      <w:bookmarkStart w:id="180" w:name="_Toc312141667"/>
      <w:bookmarkStart w:id="181" w:name="_Toc320525379"/>
      <w:bookmarkStart w:id="182" w:name="_Toc320531625"/>
      <w:bookmarkStart w:id="183" w:name="_Toc341883159"/>
      <w:bookmarkStart w:id="184" w:name="_Toc341959559"/>
      <w:bookmarkStart w:id="185" w:name="_Toc341962850"/>
      <w:bookmarkStart w:id="186" w:name="_Toc342300840"/>
      <w:r>
        <w:rPr>
          <w:rStyle w:val="CharSchNo"/>
        </w:rPr>
        <w:t>Schedule 3</w:t>
      </w:r>
      <w:r>
        <w:t> — </w:t>
      </w:r>
      <w:r>
        <w:rPr>
          <w:rStyle w:val="CharSchText"/>
        </w:rPr>
        <w:t>Probate fees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55.50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55.50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69.50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28.10</w:t>
            </w:r>
          </w:p>
        </w:tc>
      </w:tr>
    </w:tbl>
    <w:p>
      <w:pPr>
        <w:pStyle w:val="yFootnotesection"/>
      </w:pPr>
      <w:r>
        <w:tab/>
        <w:t>[Schedule 3 inserted in Gazette 4 Sep 2009 p. 3471-2; amended in Gazette 8 Mar 2011 p. 784; 20 Dec 2011 p. 5379; 30 Nov 2012 p. 5787</w:t>
      </w:r>
      <w:r>
        <w:noBreakHyphen/>
        <w:t>8.]</w:t>
      </w:r>
    </w:p>
    <w:p>
      <w:pPr>
        <w:pStyle w:val="yScheduleHeading"/>
      </w:pPr>
      <w:bookmarkStart w:id="187" w:name="_Toc244333856"/>
      <w:bookmarkStart w:id="188" w:name="_Toc245873248"/>
      <w:bookmarkStart w:id="189" w:name="_Toc268173685"/>
      <w:bookmarkStart w:id="190" w:name="_Toc287360187"/>
      <w:bookmarkStart w:id="191" w:name="_Toc312141668"/>
      <w:bookmarkStart w:id="192" w:name="_Toc320525380"/>
      <w:bookmarkStart w:id="193" w:name="_Toc320531626"/>
      <w:bookmarkStart w:id="194" w:name="_Toc341883160"/>
      <w:bookmarkStart w:id="195" w:name="_Toc341959560"/>
      <w:bookmarkStart w:id="196" w:name="_Toc341962851"/>
      <w:bookmarkStart w:id="197" w:name="_Toc342300841"/>
      <w:r>
        <w:rPr>
          <w:rStyle w:val="CharSchNo"/>
        </w:rPr>
        <w:t>Schedule 4</w:t>
      </w:r>
      <w:r>
        <w:t xml:space="preserve"> — </w:t>
      </w:r>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87"/>
      <w:bookmarkEnd w:id="188"/>
      <w:bookmarkEnd w:id="189"/>
      <w:bookmarkEnd w:id="190"/>
      <w:bookmarkEnd w:id="191"/>
      <w:bookmarkEnd w:id="192"/>
      <w:bookmarkEnd w:id="193"/>
      <w:bookmarkEnd w:id="194"/>
      <w:bookmarkEnd w:id="195"/>
      <w:bookmarkEnd w:id="196"/>
      <w:bookmarkEnd w:id="197"/>
    </w:p>
    <w:p>
      <w:pPr>
        <w:pStyle w:val="yShoulderClause"/>
        <w:spacing w:after="120"/>
      </w:pPr>
      <w:r>
        <w:t xml:space="preserve">[r. </w:t>
      </w:r>
      <w:bookmarkStart w:id="198" w:name="_Hlt533327436"/>
      <w:r>
        <w:t>4(7)</w:t>
      </w:r>
      <w:bookmarkEnd w:id="198"/>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9" w:name="_Toc102891015"/>
      <w:bookmarkStart w:id="200" w:name="_Toc107626250"/>
      <w:bookmarkStart w:id="201" w:name="_Toc139175210"/>
      <w:bookmarkStart w:id="202" w:name="_Toc139365941"/>
      <w:bookmarkStart w:id="203" w:name="_Toc141847812"/>
      <w:bookmarkStart w:id="204" w:name="_Toc142382646"/>
      <w:bookmarkStart w:id="205" w:name="_Toc144009329"/>
      <w:bookmarkStart w:id="206" w:name="_Toc144009445"/>
      <w:bookmarkStart w:id="207" w:name="_Toc144010743"/>
      <w:bookmarkStart w:id="208" w:name="_Toc144616507"/>
      <w:bookmarkStart w:id="209" w:name="_Toc145814170"/>
      <w:bookmarkStart w:id="210" w:name="_Toc170790396"/>
      <w:bookmarkStart w:id="211" w:name="_Toc171051026"/>
      <w:bookmarkStart w:id="212" w:name="_Toc202265392"/>
      <w:bookmarkStart w:id="213" w:name="_Toc232310904"/>
      <w:bookmarkStart w:id="214" w:name="_Toc233086413"/>
      <w:bookmarkStart w:id="215" w:name="_Toc233519306"/>
      <w:bookmarkStart w:id="216" w:name="_Toc233526465"/>
      <w:bookmarkStart w:id="217" w:name="_Toc244333857"/>
      <w:bookmarkStart w:id="218" w:name="_Toc245873249"/>
      <w:bookmarkStart w:id="219" w:name="_Toc268173686"/>
      <w:bookmarkStart w:id="220" w:name="_Toc287360188"/>
      <w:bookmarkStart w:id="221" w:name="_Toc312141669"/>
      <w:bookmarkStart w:id="222" w:name="_Toc320525381"/>
      <w:bookmarkStart w:id="223" w:name="_Toc320531627"/>
      <w:bookmarkStart w:id="224" w:name="_Toc341883161"/>
      <w:bookmarkStart w:id="225" w:name="_Toc341959561"/>
      <w:bookmarkStart w:id="226" w:name="_Toc341962852"/>
      <w:bookmarkStart w:id="227" w:name="_Toc342300842"/>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28" w:name="_Toc342300843"/>
      <w:r>
        <w:t>Compilation table</w:t>
      </w:r>
      <w:bookmarkEnd w:id="228"/>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30 Jul 2010</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31 Jul 2010</w:t>
            </w:r>
            <w:r>
              <w:rPr>
                <w:rFonts w:ascii="Times" w:hAnsi="Times"/>
                <w:snapToGrid w:val="0"/>
                <w:sz w:val="19"/>
                <w:lang w:val="en-US"/>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rPr>
          <w:cantSplit/>
        </w:trPr>
        <w:tc>
          <w:tcPr>
            <w:tcW w:w="3122" w:type="dxa"/>
            <w:tcBorders>
              <w:bottom w:val="single" w:sz="4" w:space="0" w:color="auto"/>
            </w:tcBorders>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Borders>
              <w:bottom w:val="single" w:sz="4" w:space="0" w:color="auto"/>
            </w:tcBorders>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229" w:name="_Toc233526467"/>
      <w:bookmarkStart w:id="230" w:name="_Toc244333859"/>
      <w:bookmarkStart w:id="231" w:name="_Toc245873251"/>
      <w:bookmarkStart w:id="232" w:name="_Toc268173688"/>
      <w:bookmarkStart w:id="233" w:name="_Toc287360190"/>
      <w:bookmarkStart w:id="234" w:name="_Toc312141671"/>
      <w:bookmarkStart w:id="235" w:name="_Toc320525383"/>
      <w:bookmarkStart w:id="236" w:name="_Toc320531629"/>
      <w:bookmarkStart w:id="237" w:name="_Toc341883163"/>
      <w:bookmarkStart w:id="238" w:name="_Toc341959563"/>
      <w:bookmarkStart w:id="239" w:name="_Toc341962854"/>
      <w:bookmarkStart w:id="240" w:name="_Toc342300844"/>
      <w:r>
        <w:rPr>
          <w:sz w:val="28"/>
        </w:rPr>
        <w:t>Defined Terms</w:t>
      </w:r>
      <w:bookmarkEnd w:id="229"/>
      <w:bookmarkEnd w:id="230"/>
      <w:bookmarkEnd w:id="231"/>
      <w:bookmarkEnd w:id="232"/>
      <w:bookmarkEnd w:id="233"/>
      <w:bookmarkEnd w:id="234"/>
      <w:bookmarkEnd w:id="235"/>
      <w:bookmarkEnd w:id="236"/>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1" w:name="DefinedTerms"/>
      <w:bookmarkEnd w:id="241"/>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8086</Words>
  <Characters>41078</Characters>
  <Application>Microsoft Office Word</Application>
  <DocSecurity>0</DocSecurity>
  <Lines>1867</Lines>
  <Paragraphs>963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2002 - 02-f0-02</dc:title>
  <dc:subject/>
  <dc:creator/>
  <cp:keywords/>
  <dc:description/>
  <cp:lastModifiedBy>svcMRProcess</cp:lastModifiedBy>
  <cp:revision>4</cp:revision>
  <cp:lastPrinted>2009-11-13T03:17:00Z</cp:lastPrinted>
  <dcterms:created xsi:type="dcterms:W3CDTF">2018-09-16T22:09:00Z</dcterms:created>
  <dcterms:modified xsi:type="dcterms:W3CDTF">2018-09-16T22:09:00Z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01 Dec 2012</vt:lpwstr>
  </property>
  <property fmtid="{D5CDD505-2E9C-101B-9397-08002B2CF9AE}" pid="8" name="Suffix">
    <vt:lpwstr>02-f0-02</vt:lpwstr>
  </property>
</Properties>
</file>