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_Toc379891959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_Toc379891960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_Toc379891961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_Toc379891964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_Toc379891965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_Toc379891966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_Toc379891967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_Toc379891969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_Toc379891970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_Toc379891971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_Toc379891972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_Toc379891973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_Toc379891974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_Toc379891977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_Toc379891978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_Toc379891979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_Toc379891980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_Toc379891982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_Toc379891983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_Toc379891984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_Toc379891986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Public Sector Commissioner</w:t>
      </w:r>
      <w:r>
        <w:tab/>
      </w:r>
      <w:r>
        <w:fldChar w:fldCharType="begin"/>
      </w:r>
      <w:r>
        <w:instrText xml:space="preserve"> PAGEREF _Toc379891987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_Toc379891989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_Toc379891990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_Toc379891991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_Toc379891993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_Toc379891995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_Toc379891996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_Toc379891997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_Toc379891998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_Toc379891999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Public Sector Commissioner</w:t>
      </w:r>
      <w:r>
        <w:tab/>
      </w:r>
      <w:r>
        <w:fldChar w:fldCharType="begin"/>
      </w:r>
      <w:r>
        <w:instrText xml:space="preserve"> PAGEREF _Toc379892000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_Toc379892001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_Toc379892005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_Toc379892007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_Toc379892008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_Toc379892009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_Toc379892010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_Toc379892011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_Toc379892012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_Toc379892014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_Toc379892015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_Toc379892016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_Toc379892018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_Toc379892019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_Toc379892020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_Toc379892021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_Toc379892022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_Toc379892023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_Toc379892025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_Toc379892026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_Toc379892027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_Toc379892029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_Toc379892031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_Toc379892032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_Toc379892034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_Toc379892035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_Toc379892036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_Toc379892037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_Toc379892038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_Toc379892039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_Toc379892040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_Toc379892041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_Toc379892042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_Toc379892043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_Toc379892044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_Toc379892045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_Toc379892046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_Toc379892047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_Toc379892048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_Toc379892049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_Toc379892051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_Toc379892052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_Toc379892053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_Toc379892055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_Toc379892057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_Toc379892058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_Toc379892059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_Toc379892060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_Toc379892062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_Toc379892063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_Toc379892064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_Toc379892065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_Toc379892066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_Toc379892067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_Toc379892068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_Toc379892069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_Toc379892072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_Toc379892073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_Toc379892074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_Toc379892075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_Toc379892076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_Toc379892077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_Toc379892078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_Toc379892079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_Toc379892080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_Toc379892082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_Toc379892083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_Toc379892084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_Toc379892085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_Toc379892086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_Toc379892087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_Toc379892088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_Toc379892089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_Toc379892090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_Toc379892092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_Toc379892093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_Toc379892094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_Toc379892095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_Toc379892097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_Toc379892098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_Toc379892099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_Toc379892100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_Toc379892101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_Toc379892103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_Toc379892104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_Toc379892105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_Toc379892106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_Toc379892107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_Toc379892109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_Toc379892112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_Toc379892113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_Toc379892114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_Toc379892116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_Toc379892117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_Toc379892118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_Toc379892120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_Toc379892121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_Toc379892122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_Toc379892124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_Toc379892125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_Toc379892127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_Toc379892128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_Toc379892130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_Toc379892131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_Toc379892132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_Toc379892133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_Toc379892134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_Toc379892136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_Toc379892137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_Toc379892140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_Toc379892141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_Toc379892142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_Toc379892144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_Toc379892145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_Toc379892146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_Toc379892149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_Toc379892150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_Toc379892151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_Toc379892152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_Toc379892153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_Toc379892154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_Toc379892155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_Toc379892157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_Toc379892158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_Toc379892159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_Toc379892160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_Toc379892161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_Toc379892162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_Toc379892164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_Toc379892165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_Toc379892166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_Toc379892168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_Toc379892169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_Toc379892170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_Toc379892172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_Toc379892173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_Toc379892174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_Toc379892176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_Toc379892177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_Toc379892178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_Toc379892179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_Toc379892181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_Toc379892182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_Toc379892183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_Toc379892184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_Toc379892185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_Toc379892186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_Toc379892188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_Toc379892189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_Toc379892191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_Toc379892193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_Toc379892194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_Toc379892195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_Toc379892196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_Toc379892197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_Toc379892198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_Toc379892199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_Toc379892201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_Toc379892202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_Toc379892203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_Toc379892205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_Toc379892207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_Toc379892208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_Toc379892209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_Toc379892210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_Toc379892211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_Toc379892212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_Toc379892213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_Toc379892214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_Toc379892215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_Toc379892216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_Toc379892217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_Toc379892220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_Toc379892222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_Toc379892223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_Toc379892224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_Toc379892225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_Toc379892226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_Toc379892228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_Toc379892229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_Toc379892231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_Toc379892232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_Toc379892233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_Toc379892235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_Toc379892236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_Toc379892238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_Toc379892239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_Toc379892240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_Toc379892242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_Toc379892243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_Toc379892244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_Toc379892245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_Toc379892248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_Toc379892250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_Toc379892251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_Toc379892252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_Toc379892253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_Toc379892256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_Toc379892257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_Toc379892258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_Toc379892259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_Toc379892260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_Toc379892261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_Toc379892262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_Toc379892263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_Toc379892264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_Toc379892266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_Toc379892267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_Toc379892268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_Toc379892269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_Toc379892271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_Toc379892272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_Toc379892273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_Toc379892274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_Toc379892276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_Toc379892278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_Toc379892279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_Toc379892280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_Toc379892281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_Toc379892283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_Toc379892284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_Toc379892285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_Toc379892287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_Toc379892289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_Toc379892290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_Toc379892291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_Toc379892292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_Toc379892295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_Toc379892296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_Toc379892298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_Toc379892299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1958"/>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1959"/>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1960"/>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1961"/>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1962"/>
      <w:r>
        <w:rPr>
          <w:rStyle w:val="CharPartNo"/>
        </w:rPr>
        <w:t>Part 2</w:t>
      </w:r>
      <w:r>
        <w:t> — </w:t>
      </w:r>
      <w:r>
        <w:rPr>
          <w:rStyle w:val="CharPartText"/>
        </w:rPr>
        <w:t>Electricity Corporations</w:t>
      </w:r>
      <w:bookmarkEnd w:id="6"/>
    </w:p>
    <w:p>
      <w:pPr>
        <w:pStyle w:val="Heading3"/>
      </w:pPr>
      <w:bookmarkStart w:id="7" w:name="_Toc379891963"/>
      <w:r>
        <w:rPr>
          <w:rStyle w:val="CharDivNo"/>
        </w:rPr>
        <w:t>Division 1</w:t>
      </w:r>
      <w:r>
        <w:t> — </w:t>
      </w:r>
      <w:r>
        <w:rPr>
          <w:rStyle w:val="CharDivText"/>
        </w:rPr>
        <w:t>Establishment of corporations</w:t>
      </w:r>
      <w:bookmarkEnd w:id="7"/>
    </w:p>
    <w:p>
      <w:pPr>
        <w:pStyle w:val="Heading5"/>
      </w:pPr>
      <w:bookmarkStart w:id="8" w:name="_Toc379891964"/>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1965"/>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1966"/>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1967"/>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1968"/>
      <w:r>
        <w:rPr>
          <w:rStyle w:val="CharDivNo"/>
        </w:rPr>
        <w:t>Division 2</w:t>
      </w:r>
      <w:r>
        <w:t> — </w:t>
      </w:r>
      <w:r>
        <w:rPr>
          <w:rStyle w:val="CharDivText"/>
        </w:rPr>
        <w:t>Boards of directors</w:t>
      </w:r>
      <w:bookmarkEnd w:id="12"/>
    </w:p>
    <w:p>
      <w:pPr>
        <w:pStyle w:val="Heading5"/>
        <w:spacing w:before="180"/>
        <w:rPr>
          <w:snapToGrid w:val="0"/>
        </w:rPr>
      </w:pPr>
      <w:bookmarkStart w:id="13" w:name="_Toc379891969"/>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1970"/>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1971"/>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1972"/>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1973"/>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1974"/>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1975"/>
      <w:r>
        <w:rPr>
          <w:rStyle w:val="CharDivNo"/>
        </w:rPr>
        <w:t>Division 3</w:t>
      </w:r>
      <w:r>
        <w:t> — </w:t>
      </w:r>
      <w:r>
        <w:rPr>
          <w:rStyle w:val="CharDivText"/>
        </w:rPr>
        <w:t>Staff</w:t>
      </w:r>
      <w:bookmarkEnd w:id="19"/>
    </w:p>
    <w:p>
      <w:pPr>
        <w:pStyle w:val="Heading4"/>
      </w:pPr>
      <w:bookmarkStart w:id="20" w:name="_Toc379891976"/>
      <w:r>
        <w:t>Subdivision 1 — Chief executive officer</w:t>
      </w:r>
      <w:bookmarkEnd w:id="20"/>
    </w:p>
    <w:p>
      <w:pPr>
        <w:pStyle w:val="Heading5"/>
        <w:rPr>
          <w:snapToGrid w:val="0"/>
        </w:rPr>
      </w:pPr>
      <w:bookmarkStart w:id="21" w:name="_Toc379891977"/>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1978"/>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1979"/>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1980"/>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1981"/>
      <w:r>
        <w:t>Subdivision 2 — Other staff</w:t>
      </w:r>
      <w:bookmarkEnd w:id="25"/>
    </w:p>
    <w:p>
      <w:pPr>
        <w:pStyle w:val="Heading5"/>
        <w:rPr>
          <w:snapToGrid w:val="0"/>
        </w:rPr>
      </w:pPr>
      <w:bookmarkStart w:id="26" w:name="_Toc379891982"/>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1983"/>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1984"/>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1985"/>
      <w:r>
        <w:t xml:space="preserve">Subdivision 3 — </w:t>
      </w:r>
      <w:r>
        <w:rPr>
          <w:snapToGrid w:val="0"/>
        </w:rPr>
        <w:t>Minimum standards for staff management</w:t>
      </w:r>
      <w:bookmarkEnd w:id="29"/>
    </w:p>
    <w:p>
      <w:pPr>
        <w:pStyle w:val="Heading5"/>
        <w:rPr>
          <w:snapToGrid w:val="0"/>
        </w:rPr>
      </w:pPr>
      <w:bookmarkStart w:id="30" w:name="_Toc379891986"/>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1987"/>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1988"/>
      <w:r>
        <w:t>Subdivision 4 — Joint policy on staff transfers</w:t>
      </w:r>
      <w:bookmarkEnd w:id="32"/>
    </w:p>
    <w:p>
      <w:pPr>
        <w:pStyle w:val="Heading5"/>
      </w:pPr>
      <w:bookmarkStart w:id="33" w:name="_Toc379891989"/>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1990"/>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1991"/>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1992"/>
      <w:r>
        <w:t>Subdivision 5 — General</w:t>
      </w:r>
      <w:bookmarkEnd w:id="36"/>
    </w:p>
    <w:p>
      <w:pPr>
        <w:pStyle w:val="Heading5"/>
        <w:rPr>
          <w:snapToGrid w:val="0"/>
        </w:rPr>
      </w:pPr>
      <w:bookmarkStart w:id="37" w:name="_Toc379891993"/>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1994"/>
      <w:r>
        <w:rPr>
          <w:rStyle w:val="CharDivNo"/>
        </w:rPr>
        <w:t>Division 4</w:t>
      </w:r>
      <w:r>
        <w:t> — </w:t>
      </w:r>
      <w:r>
        <w:rPr>
          <w:rStyle w:val="CharDivText"/>
        </w:rPr>
        <w:t>Duties of, and relating to, directors and staff</w:t>
      </w:r>
      <w:bookmarkEnd w:id="38"/>
    </w:p>
    <w:p>
      <w:pPr>
        <w:pStyle w:val="Heading5"/>
        <w:rPr>
          <w:snapToGrid w:val="0"/>
        </w:rPr>
      </w:pPr>
      <w:bookmarkStart w:id="39" w:name="_Toc379891995"/>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1996"/>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1997"/>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1998"/>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1999"/>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000"/>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001"/>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002"/>
      <w:r>
        <w:rPr>
          <w:rStyle w:val="CharPartNo"/>
        </w:rPr>
        <w:t>Part 3</w:t>
      </w:r>
      <w:r>
        <w:t> — </w:t>
      </w:r>
      <w:r>
        <w:rPr>
          <w:rStyle w:val="CharPartText"/>
        </w:rPr>
        <w:t>Functions and powers of corporations</w:t>
      </w:r>
      <w:bookmarkEnd w:id="46"/>
    </w:p>
    <w:p>
      <w:pPr>
        <w:pStyle w:val="Heading3"/>
      </w:pPr>
      <w:bookmarkStart w:id="47" w:name="_Toc379892003"/>
      <w:r>
        <w:rPr>
          <w:rStyle w:val="CharDivNo"/>
        </w:rPr>
        <w:t>Division 1</w:t>
      </w:r>
      <w:r>
        <w:t> — </w:t>
      </w:r>
      <w:r>
        <w:rPr>
          <w:rStyle w:val="CharDivText"/>
        </w:rPr>
        <w:t>Functions, powers and related provisions</w:t>
      </w:r>
      <w:bookmarkEnd w:id="47"/>
    </w:p>
    <w:p>
      <w:pPr>
        <w:pStyle w:val="Heading4"/>
      </w:pPr>
      <w:bookmarkStart w:id="48" w:name="_Toc379892004"/>
      <w:r>
        <w:t>Subdivision 1 — Preliminary</w:t>
      </w:r>
      <w:bookmarkEnd w:id="48"/>
    </w:p>
    <w:p>
      <w:pPr>
        <w:pStyle w:val="Heading5"/>
      </w:pPr>
      <w:bookmarkStart w:id="49" w:name="_Toc379892005"/>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006"/>
      <w:r>
        <w:t>Subdivision 2 — Electricity Generation Corporation</w:t>
      </w:r>
      <w:bookmarkEnd w:id="50"/>
    </w:p>
    <w:p>
      <w:pPr>
        <w:pStyle w:val="Heading5"/>
      </w:pPr>
      <w:bookmarkStart w:id="51" w:name="_Toc379892007"/>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008"/>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009"/>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010"/>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w:t>
      </w:r>
      <w:r>
        <w:rPr>
          <w:vertAlign w:val="superscript"/>
        </w:rPr>
        <w:t>6</w:t>
      </w:r>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2011"/>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2012"/>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2013"/>
      <w:r>
        <w:t>Subdivision 3 — Electricity Networks Corporation</w:t>
      </w:r>
      <w:bookmarkEnd w:id="57"/>
    </w:p>
    <w:p>
      <w:pPr>
        <w:pStyle w:val="Heading5"/>
        <w:rPr>
          <w:snapToGrid w:val="0"/>
        </w:rPr>
      </w:pPr>
      <w:bookmarkStart w:id="58" w:name="_Toc379892014"/>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2015"/>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2016"/>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2017"/>
      <w:r>
        <w:t>Subdivision 4 — Electricity Retail Corporation</w:t>
      </w:r>
      <w:bookmarkEnd w:id="61"/>
    </w:p>
    <w:p>
      <w:pPr>
        <w:pStyle w:val="Heading5"/>
        <w:rPr>
          <w:snapToGrid w:val="0"/>
        </w:rPr>
      </w:pPr>
      <w:bookmarkStart w:id="62" w:name="_Toc379892018"/>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2019"/>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2020"/>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2021"/>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w:t>
      </w:r>
      <w:r>
        <w:rPr>
          <w:vertAlign w:val="superscript"/>
        </w:rPr>
        <w:t>6</w:t>
      </w:r>
      <w:r>
        <w:t>, the period of 10 years,</w:t>
      </w:r>
    </w:p>
    <w:p>
      <w:pPr>
        <w:pStyle w:val="Defstart"/>
      </w:pPr>
      <w:r>
        <w:tab/>
        <w:t>after the commencement of this section.</w:t>
      </w:r>
    </w:p>
    <w:p>
      <w:pPr>
        <w:pStyle w:val="Heading5"/>
      </w:pPr>
      <w:bookmarkStart w:id="66" w:name="_Toc379892022"/>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2023"/>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2024"/>
      <w:r>
        <w:t>Subdivision 5 — Regional Power Corporation</w:t>
      </w:r>
      <w:bookmarkEnd w:id="68"/>
    </w:p>
    <w:p>
      <w:pPr>
        <w:pStyle w:val="Heading5"/>
        <w:rPr>
          <w:snapToGrid w:val="0"/>
        </w:rPr>
      </w:pPr>
      <w:bookmarkStart w:id="69" w:name="_Toc379892025"/>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2026"/>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2027"/>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2028"/>
      <w:r>
        <w:t>Subdivision 6 — Special function in respect of certain assets and liabilities</w:t>
      </w:r>
      <w:bookmarkEnd w:id="72"/>
    </w:p>
    <w:p>
      <w:pPr>
        <w:pStyle w:val="Heading5"/>
      </w:pPr>
      <w:bookmarkStart w:id="73" w:name="_Toc379892029"/>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2030"/>
      <w:r>
        <w:t>Subdivision 7 — Use of distribution systems for the retail supply of electricity</w:t>
      </w:r>
      <w:bookmarkEnd w:id="74"/>
    </w:p>
    <w:p>
      <w:pPr>
        <w:pStyle w:val="Heading5"/>
      </w:pPr>
      <w:bookmarkStart w:id="75" w:name="_Toc379892031"/>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2032"/>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2033"/>
      <w:r>
        <w:t>Subdivision 8 — Provisions applying to functions of all corporations</w:t>
      </w:r>
      <w:bookmarkEnd w:id="77"/>
    </w:p>
    <w:p>
      <w:pPr>
        <w:pStyle w:val="Heading5"/>
      </w:pPr>
      <w:bookmarkStart w:id="78" w:name="_Toc379892034"/>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2035"/>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2036"/>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2037"/>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2038"/>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2039"/>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2040"/>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2041"/>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2042"/>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2043"/>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2044"/>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2045"/>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2046"/>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2047"/>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2048"/>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2049"/>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2050"/>
      <w:r>
        <w:rPr>
          <w:rStyle w:val="CharDivNo"/>
        </w:rPr>
        <w:t>Division 2</w:t>
      </w:r>
      <w:r>
        <w:t> — </w:t>
      </w:r>
      <w:r>
        <w:rPr>
          <w:rStyle w:val="CharDivText"/>
        </w:rPr>
        <w:t>Role of Economic Regulation Authority</w:t>
      </w:r>
      <w:bookmarkEnd w:id="94"/>
    </w:p>
    <w:p>
      <w:pPr>
        <w:pStyle w:val="Heading5"/>
      </w:pPr>
      <w:bookmarkStart w:id="95" w:name="_Toc379892051"/>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2052"/>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2053"/>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2054"/>
      <w:r>
        <w:rPr>
          <w:rStyle w:val="CharDivNo"/>
        </w:rPr>
        <w:t>Division 3</w:t>
      </w:r>
      <w:r>
        <w:t> — </w:t>
      </w:r>
      <w:r>
        <w:rPr>
          <w:rStyle w:val="CharDivText"/>
        </w:rPr>
        <w:t>Arrangements authorised or approved by Governor</w:t>
      </w:r>
      <w:bookmarkEnd w:id="98"/>
    </w:p>
    <w:p>
      <w:pPr>
        <w:pStyle w:val="Heading5"/>
        <w:rPr>
          <w:snapToGrid w:val="0"/>
        </w:rPr>
      </w:pPr>
      <w:bookmarkStart w:id="99" w:name="_Toc379892055"/>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2056"/>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2057"/>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2058"/>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2059"/>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2060"/>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2061"/>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2062"/>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2063"/>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2064"/>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2065"/>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2066"/>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2067"/>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2068"/>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2069"/>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2070"/>
      <w:r>
        <w:rPr>
          <w:rStyle w:val="CharPartNo"/>
        </w:rPr>
        <w:t>Part 5</w:t>
      </w:r>
      <w:r>
        <w:t> — </w:t>
      </w:r>
      <w:r>
        <w:rPr>
          <w:rStyle w:val="CharPartText"/>
        </w:rPr>
        <w:t>Provisions about accountability</w:t>
      </w:r>
      <w:bookmarkEnd w:id="114"/>
    </w:p>
    <w:p>
      <w:pPr>
        <w:pStyle w:val="Heading3"/>
      </w:pPr>
      <w:bookmarkStart w:id="115" w:name="_Toc379892071"/>
      <w:r>
        <w:rPr>
          <w:rStyle w:val="CharDivNo"/>
        </w:rPr>
        <w:t>Division 1</w:t>
      </w:r>
      <w:r>
        <w:t> — </w:t>
      </w:r>
      <w:r>
        <w:rPr>
          <w:rStyle w:val="CharDivText"/>
        </w:rPr>
        <w:t>Strategic development plans</w:t>
      </w:r>
      <w:bookmarkEnd w:id="115"/>
    </w:p>
    <w:p>
      <w:pPr>
        <w:pStyle w:val="Heading5"/>
        <w:rPr>
          <w:snapToGrid w:val="0"/>
        </w:rPr>
      </w:pPr>
      <w:bookmarkStart w:id="116" w:name="_Toc379892072"/>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2073"/>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2074"/>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2075"/>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2076"/>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2077"/>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2078"/>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2079"/>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2080"/>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2081"/>
      <w:r>
        <w:rPr>
          <w:rStyle w:val="CharDivNo"/>
        </w:rPr>
        <w:t>Division 2</w:t>
      </w:r>
      <w:r>
        <w:t> — </w:t>
      </w:r>
      <w:r>
        <w:rPr>
          <w:rStyle w:val="CharDivText"/>
        </w:rPr>
        <w:t>Statement of corporate intent</w:t>
      </w:r>
      <w:bookmarkEnd w:id="125"/>
    </w:p>
    <w:p>
      <w:pPr>
        <w:pStyle w:val="Heading5"/>
        <w:rPr>
          <w:snapToGrid w:val="0"/>
        </w:rPr>
      </w:pPr>
      <w:bookmarkStart w:id="126" w:name="_Toc379892082"/>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2083"/>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2084"/>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2085"/>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2086"/>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2087"/>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2088"/>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2089"/>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2090"/>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2091"/>
      <w:r>
        <w:rPr>
          <w:rStyle w:val="CharDivNo"/>
        </w:rPr>
        <w:t>Division 3</w:t>
      </w:r>
      <w:r>
        <w:t> — </w:t>
      </w:r>
      <w:r>
        <w:rPr>
          <w:rStyle w:val="CharDivText"/>
        </w:rPr>
        <w:t>Quarterly and annual reports</w:t>
      </w:r>
      <w:bookmarkEnd w:id="135"/>
    </w:p>
    <w:p>
      <w:pPr>
        <w:pStyle w:val="Heading5"/>
        <w:rPr>
          <w:snapToGrid w:val="0"/>
        </w:rPr>
      </w:pPr>
      <w:bookmarkStart w:id="136" w:name="_Toc379892092"/>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2093"/>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2094"/>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2095"/>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2096"/>
      <w:r>
        <w:rPr>
          <w:rStyle w:val="CharDivNo"/>
        </w:rPr>
        <w:t>Division 4</w:t>
      </w:r>
      <w:r>
        <w:t> — </w:t>
      </w:r>
      <w:r>
        <w:rPr>
          <w:rStyle w:val="CharDivText"/>
        </w:rPr>
        <w:t>Ministerial directions</w:t>
      </w:r>
      <w:bookmarkEnd w:id="140"/>
    </w:p>
    <w:p>
      <w:pPr>
        <w:pStyle w:val="Heading5"/>
        <w:rPr>
          <w:snapToGrid w:val="0"/>
        </w:rPr>
      </w:pPr>
      <w:bookmarkStart w:id="141" w:name="_Toc379892097"/>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2098"/>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2099"/>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2100"/>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2101"/>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2102"/>
      <w:r>
        <w:rPr>
          <w:rStyle w:val="CharDivNo"/>
        </w:rPr>
        <w:t>Division 5</w:t>
      </w:r>
      <w:r>
        <w:t> — </w:t>
      </w:r>
      <w:r>
        <w:rPr>
          <w:rStyle w:val="CharDivText"/>
        </w:rPr>
        <w:t>Consultation and provision of information</w:t>
      </w:r>
      <w:bookmarkEnd w:id="146"/>
    </w:p>
    <w:p>
      <w:pPr>
        <w:pStyle w:val="Heading5"/>
        <w:rPr>
          <w:snapToGrid w:val="0"/>
        </w:rPr>
      </w:pPr>
      <w:bookmarkStart w:id="147" w:name="_Toc379892103"/>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2104"/>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2105"/>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2106"/>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2107"/>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2108"/>
      <w:r>
        <w:rPr>
          <w:rStyle w:val="CharDivNo"/>
        </w:rPr>
        <w:t>Division 6</w:t>
      </w:r>
      <w:r>
        <w:t> — </w:t>
      </w:r>
      <w:r>
        <w:rPr>
          <w:rStyle w:val="CharDivText"/>
        </w:rPr>
        <w:t>Protection from liability</w:t>
      </w:r>
      <w:bookmarkEnd w:id="152"/>
    </w:p>
    <w:p>
      <w:pPr>
        <w:pStyle w:val="Heading5"/>
        <w:rPr>
          <w:snapToGrid w:val="0"/>
        </w:rPr>
      </w:pPr>
      <w:bookmarkStart w:id="153" w:name="_Toc379892109"/>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2110"/>
      <w:r>
        <w:rPr>
          <w:rStyle w:val="CharPartNo"/>
        </w:rPr>
        <w:t>Part 6</w:t>
      </w:r>
      <w:r>
        <w:t> — </w:t>
      </w:r>
      <w:r>
        <w:rPr>
          <w:rStyle w:val="CharPartText"/>
        </w:rPr>
        <w:t>Financial provisions</w:t>
      </w:r>
      <w:bookmarkEnd w:id="154"/>
    </w:p>
    <w:p>
      <w:pPr>
        <w:pStyle w:val="Heading3"/>
      </w:pPr>
      <w:bookmarkStart w:id="155" w:name="_Toc379892111"/>
      <w:r>
        <w:rPr>
          <w:rStyle w:val="CharDivNo"/>
        </w:rPr>
        <w:t>Division 1</w:t>
      </w:r>
      <w:r>
        <w:t> — </w:t>
      </w:r>
      <w:r>
        <w:rPr>
          <w:rStyle w:val="CharDivText"/>
        </w:rPr>
        <w:t>General</w:t>
      </w:r>
      <w:bookmarkEnd w:id="155"/>
    </w:p>
    <w:p>
      <w:pPr>
        <w:pStyle w:val="Heading5"/>
        <w:rPr>
          <w:snapToGrid w:val="0"/>
        </w:rPr>
      </w:pPr>
      <w:bookmarkStart w:id="156" w:name="_Toc379892112"/>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2113"/>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2114"/>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2115"/>
      <w:r>
        <w:rPr>
          <w:rStyle w:val="CharDivNo"/>
        </w:rPr>
        <w:t>Division 2</w:t>
      </w:r>
      <w:r>
        <w:t> — </w:t>
      </w:r>
      <w:r>
        <w:rPr>
          <w:rStyle w:val="CharDivText"/>
        </w:rPr>
        <w:t>Payments to State</w:t>
      </w:r>
      <w:bookmarkEnd w:id="159"/>
    </w:p>
    <w:p>
      <w:pPr>
        <w:pStyle w:val="Heading5"/>
        <w:rPr>
          <w:snapToGrid w:val="0"/>
        </w:rPr>
      </w:pPr>
      <w:bookmarkStart w:id="160" w:name="_Toc379892116"/>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2117"/>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2118"/>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2119"/>
      <w:r>
        <w:rPr>
          <w:rStyle w:val="CharDivNo"/>
        </w:rPr>
        <w:t>Division 3</w:t>
      </w:r>
      <w:r>
        <w:t> — </w:t>
      </w:r>
      <w:r>
        <w:rPr>
          <w:rStyle w:val="CharDivText"/>
        </w:rPr>
        <w:t>Borrowing</w:t>
      </w:r>
      <w:bookmarkEnd w:id="163"/>
    </w:p>
    <w:p>
      <w:pPr>
        <w:pStyle w:val="Heading5"/>
        <w:rPr>
          <w:snapToGrid w:val="0"/>
        </w:rPr>
      </w:pPr>
      <w:bookmarkStart w:id="164" w:name="_Toc379892120"/>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2121"/>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2122"/>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2123"/>
      <w:r>
        <w:rPr>
          <w:rStyle w:val="CharDivNo"/>
        </w:rPr>
        <w:t>Division 4</w:t>
      </w:r>
      <w:r>
        <w:t> — </w:t>
      </w:r>
      <w:r>
        <w:rPr>
          <w:rStyle w:val="CharDivText"/>
        </w:rPr>
        <w:t>Guarantees</w:t>
      </w:r>
      <w:bookmarkEnd w:id="167"/>
    </w:p>
    <w:p>
      <w:pPr>
        <w:pStyle w:val="Heading5"/>
        <w:rPr>
          <w:snapToGrid w:val="0"/>
        </w:rPr>
      </w:pPr>
      <w:bookmarkStart w:id="168" w:name="_Toc379892124"/>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2125"/>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2126"/>
      <w:r>
        <w:rPr>
          <w:rStyle w:val="CharDivNo"/>
        </w:rPr>
        <w:t>Division 5</w:t>
      </w:r>
      <w:r>
        <w:t> — </w:t>
      </w:r>
      <w:r>
        <w:rPr>
          <w:rStyle w:val="CharDivText"/>
        </w:rPr>
        <w:t>Financial administration and audit</w:t>
      </w:r>
      <w:bookmarkEnd w:id="170"/>
    </w:p>
    <w:p>
      <w:pPr>
        <w:pStyle w:val="Heading5"/>
        <w:rPr>
          <w:snapToGrid w:val="0"/>
        </w:rPr>
      </w:pPr>
      <w:bookmarkStart w:id="171" w:name="_Toc37989212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2128"/>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2129"/>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2130"/>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2131"/>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2132"/>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2133"/>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2134"/>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2135"/>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2136"/>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2137"/>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2138"/>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2139"/>
      <w:r>
        <w:rPr>
          <w:rStyle w:val="CharDivNo"/>
        </w:rPr>
        <w:t>Division 1</w:t>
      </w:r>
      <w:r>
        <w:t> — </w:t>
      </w:r>
      <w:r>
        <w:rPr>
          <w:rStyle w:val="CharDivText"/>
        </w:rPr>
        <w:t>Preliminary</w:t>
      </w:r>
      <w:bookmarkEnd w:id="183"/>
    </w:p>
    <w:p>
      <w:pPr>
        <w:pStyle w:val="Heading5"/>
      </w:pPr>
      <w:bookmarkStart w:id="184" w:name="_Toc379892140"/>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2141"/>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2142"/>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2143"/>
      <w:r>
        <w:rPr>
          <w:rStyle w:val="CharDivNo"/>
        </w:rPr>
        <w:t>Division 2</w:t>
      </w:r>
      <w:r>
        <w:t> — </w:t>
      </w:r>
      <w:r>
        <w:rPr>
          <w:rStyle w:val="CharDivText"/>
        </w:rPr>
        <w:t>Powers conferred on Minister</w:t>
      </w:r>
      <w:bookmarkEnd w:id="191"/>
    </w:p>
    <w:p>
      <w:pPr>
        <w:pStyle w:val="Heading5"/>
      </w:pPr>
      <w:bookmarkStart w:id="192" w:name="_Toc379892144"/>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2145"/>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2146"/>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2147"/>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2148"/>
      <w:r>
        <w:t>Subdivision 1 — Making of transfer orders</w:t>
      </w:r>
      <w:bookmarkEnd w:id="199"/>
    </w:p>
    <w:p>
      <w:pPr>
        <w:pStyle w:val="Heading5"/>
      </w:pPr>
      <w:bookmarkStart w:id="200" w:name="_Hlt51740178"/>
      <w:bookmarkStart w:id="201" w:name="_Toc379892149"/>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2150"/>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2151"/>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2152"/>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2153"/>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2154"/>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2155"/>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2156"/>
      <w:r>
        <w:t>Subdivision 2 — Operation of transfer orders</w:t>
      </w:r>
      <w:bookmarkEnd w:id="226"/>
      <w:r>
        <w:t xml:space="preserve"> </w:t>
      </w:r>
    </w:p>
    <w:p>
      <w:pPr>
        <w:pStyle w:val="Heading5"/>
      </w:pPr>
      <w:bookmarkStart w:id="227" w:name="_Hlt51742557"/>
      <w:bookmarkStart w:id="228" w:name="_Toc379892157"/>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2158"/>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2159"/>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2160"/>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2161"/>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2162"/>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2163"/>
      <w:r>
        <w:t>Subdivision 3 — Re</w:t>
      </w:r>
      <w:r>
        <w:noBreakHyphen/>
        <w:t>allocation of assets, rights and liabilities</w:t>
      </w:r>
      <w:bookmarkEnd w:id="248"/>
    </w:p>
    <w:p>
      <w:pPr>
        <w:pStyle w:val="Heading5"/>
      </w:pPr>
      <w:bookmarkStart w:id="249" w:name="_Hlt55105718"/>
      <w:bookmarkStart w:id="250" w:name="_Toc379892164"/>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2165"/>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2166"/>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2167"/>
      <w:r>
        <w:t>Subdivision 4 — Order that allocated assets or liabilities pass instead to the State</w:t>
      </w:r>
      <w:bookmarkEnd w:id="255"/>
    </w:p>
    <w:p>
      <w:pPr>
        <w:pStyle w:val="Heading5"/>
      </w:pPr>
      <w:bookmarkStart w:id="256" w:name="_Toc379892168"/>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2169"/>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2170"/>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2171"/>
      <w:r>
        <w:t>Subdivision 5 — Replacement of party in proceedings</w:t>
      </w:r>
      <w:bookmarkEnd w:id="259"/>
    </w:p>
    <w:p>
      <w:pPr>
        <w:pStyle w:val="Heading5"/>
      </w:pPr>
      <w:bookmarkStart w:id="260" w:name="_Hlt51740089"/>
      <w:bookmarkStart w:id="261" w:name="_Toc379892172"/>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2173"/>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2174"/>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2175"/>
      <w:r>
        <w:t>Subdivision 6 — Assets, liabilities and proceedings not otherwise provided for</w:t>
      </w:r>
      <w:bookmarkEnd w:id="264"/>
    </w:p>
    <w:p>
      <w:pPr>
        <w:pStyle w:val="Heading5"/>
      </w:pPr>
      <w:bookmarkStart w:id="265" w:name="_Toc379892176"/>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2177"/>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2178"/>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2179"/>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2180"/>
      <w:r>
        <w:t>Subdivision 7 — Other matters relating to passing of assets and liabilities</w:t>
      </w:r>
      <w:bookmarkEnd w:id="273"/>
    </w:p>
    <w:p>
      <w:pPr>
        <w:pStyle w:val="Heading5"/>
      </w:pPr>
      <w:bookmarkStart w:id="274" w:name="_Toc379892181"/>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2182"/>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2183"/>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2184"/>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2185"/>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2186"/>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2187"/>
      <w:r>
        <w:rPr>
          <w:rStyle w:val="CharDivNo"/>
        </w:rPr>
        <w:t>Division 4</w:t>
      </w:r>
      <w:r>
        <w:t> — </w:t>
      </w:r>
      <w:r>
        <w:rPr>
          <w:rStyle w:val="CharDivText"/>
        </w:rPr>
        <w:t>Staff</w:t>
      </w:r>
      <w:bookmarkEnd w:id="292"/>
    </w:p>
    <w:p>
      <w:pPr>
        <w:pStyle w:val="Heading5"/>
      </w:pPr>
      <w:bookmarkStart w:id="293" w:name="_Hlt55026443"/>
      <w:bookmarkStart w:id="294" w:name="_Toc379892188"/>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2189"/>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2190"/>
      <w:r>
        <w:rPr>
          <w:rStyle w:val="CharDivNo"/>
        </w:rPr>
        <w:t>Division 5</w:t>
      </w:r>
      <w:r>
        <w:t> — </w:t>
      </w:r>
      <w:r>
        <w:rPr>
          <w:rStyle w:val="CharDivText"/>
        </w:rPr>
        <w:t>Contracts with tariff customers</w:t>
      </w:r>
      <w:bookmarkEnd w:id="296"/>
    </w:p>
    <w:p>
      <w:pPr>
        <w:pStyle w:val="Heading5"/>
        <w:spacing w:before="180"/>
      </w:pPr>
      <w:bookmarkStart w:id="297" w:name="_Toc379892191"/>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2192"/>
      <w:r>
        <w:rPr>
          <w:rStyle w:val="CharDivNo"/>
        </w:rPr>
        <w:t>Division 6</w:t>
      </w:r>
      <w:r>
        <w:t> — </w:t>
      </w:r>
      <w:r>
        <w:rPr>
          <w:rStyle w:val="CharDivText"/>
        </w:rPr>
        <w:t>Other transitional provisions</w:t>
      </w:r>
      <w:bookmarkEnd w:id="298"/>
    </w:p>
    <w:p>
      <w:pPr>
        <w:pStyle w:val="Heading5"/>
        <w:spacing w:before="180"/>
      </w:pPr>
      <w:bookmarkStart w:id="299" w:name="_Toc379892193"/>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2194"/>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2195"/>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2196"/>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2197"/>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2198"/>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2199"/>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2200"/>
      <w:r>
        <w:rPr>
          <w:rStyle w:val="CharDivNo"/>
        </w:rPr>
        <w:t>Division 7</w:t>
      </w:r>
      <w:r>
        <w:t> — </w:t>
      </w:r>
      <w:r>
        <w:rPr>
          <w:rStyle w:val="CharDivText"/>
        </w:rPr>
        <w:t>Making of further provision by regulation</w:t>
      </w:r>
      <w:bookmarkEnd w:id="306"/>
    </w:p>
    <w:p>
      <w:pPr>
        <w:pStyle w:val="Heading5"/>
        <w:spacing w:before="120"/>
      </w:pPr>
      <w:bookmarkStart w:id="307" w:name="_Toc379892201"/>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2202"/>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2203"/>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2204"/>
      <w:r>
        <w:rPr>
          <w:rStyle w:val="CharDivNo"/>
        </w:rPr>
        <w:t>Division 8</w:t>
      </w:r>
      <w:r>
        <w:t> — </w:t>
      </w:r>
      <w:r>
        <w:rPr>
          <w:rStyle w:val="CharDivText"/>
        </w:rPr>
        <w:t>Indemnities and guarantees</w:t>
      </w:r>
      <w:bookmarkEnd w:id="310"/>
    </w:p>
    <w:p>
      <w:pPr>
        <w:pStyle w:val="Heading5"/>
      </w:pPr>
      <w:bookmarkStart w:id="311" w:name="_Toc379892205"/>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2206"/>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2207"/>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2208"/>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2209"/>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2210"/>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2211"/>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2212"/>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2213"/>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2214"/>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2215"/>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2216"/>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2217"/>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2218"/>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2219"/>
      <w:r>
        <w:rPr>
          <w:rStyle w:val="CharSDivNo"/>
        </w:rPr>
        <w:t>Division 1</w:t>
      </w:r>
      <w:r>
        <w:t> — </w:t>
      </w:r>
      <w:r>
        <w:rPr>
          <w:rStyle w:val="CharSDivText"/>
        </w:rPr>
        <w:t>Preliminary</w:t>
      </w:r>
      <w:bookmarkEnd w:id="325"/>
    </w:p>
    <w:p>
      <w:pPr>
        <w:pStyle w:val="yHeading5"/>
        <w:outlineLvl w:val="0"/>
      </w:pPr>
      <w:bookmarkStart w:id="326" w:name="_Toc379892220"/>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2221"/>
      <w:r>
        <w:rPr>
          <w:rStyle w:val="CharSDivNo"/>
        </w:rPr>
        <w:t>Division 2</w:t>
      </w:r>
      <w:r>
        <w:t> — </w:t>
      </w:r>
      <w:r>
        <w:rPr>
          <w:rStyle w:val="CharSDivText"/>
        </w:rPr>
        <w:t>Certain duties stated</w:t>
      </w:r>
      <w:bookmarkEnd w:id="327"/>
    </w:p>
    <w:p>
      <w:pPr>
        <w:pStyle w:val="yHeading5"/>
        <w:outlineLvl w:val="0"/>
      </w:pPr>
      <w:bookmarkStart w:id="328" w:name="_Toc379892222"/>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2223"/>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2224"/>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2225"/>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2226"/>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2227"/>
      <w:r>
        <w:rPr>
          <w:rStyle w:val="CharSDivNo"/>
        </w:rPr>
        <w:t>Division 3</w:t>
      </w:r>
      <w:r>
        <w:t> — </w:t>
      </w:r>
      <w:r>
        <w:rPr>
          <w:rStyle w:val="CharSDivText"/>
        </w:rPr>
        <w:t>Recovery from director</w:t>
      </w:r>
      <w:bookmarkEnd w:id="333"/>
    </w:p>
    <w:p>
      <w:pPr>
        <w:pStyle w:val="yHeading5"/>
        <w:outlineLvl w:val="0"/>
      </w:pPr>
      <w:bookmarkStart w:id="334" w:name="_Toc379892228"/>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2229"/>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2230"/>
      <w:r>
        <w:rPr>
          <w:rStyle w:val="CharSDivNo"/>
        </w:rPr>
        <w:t>Division 4</w:t>
      </w:r>
      <w:r>
        <w:t> — </w:t>
      </w:r>
      <w:r>
        <w:rPr>
          <w:rStyle w:val="CharSDivText"/>
        </w:rPr>
        <w:t>Relief from liability</w:t>
      </w:r>
      <w:bookmarkEnd w:id="336"/>
    </w:p>
    <w:p>
      <w:pPr>
        <w:pStyle w:val="yHeading5"/>
        <w:outlineLvl w:val="0"/>
      </w:pPr>
      <w:bookmarkStart w:id="337" w:name="_Toc379892231"/>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2232"/>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2233"/>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2234"/>
      <w:r>
        <w:rPr>
          <w:rStyle w:val="CharSDivNo"/>
        </w:rPr>
        <w:t>Division 5</w:t>
      </w:r>
      <w:r>
        <w:t> — </w:t>
      </w:r>
      <w:r>
        <w:rPr>
          <w:rStyle w:val="CharSDivText"/>
        </w:rPr>
        <w:t>Personal interests of directors, disclosure and voting</w:t>
      </w:r>
      <w:bookmarkEnd w:id="340"/>
    </w:p>
    <w:p>
      <w:pPr>
        <w:pStyle w:val="yHeading5"/>
        <w:outlineLvl w:val="0"/>
      </w:pPr>
      <w:bookmarkStart w:id="341" w:name="_Toc379892235"/>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2236"/>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2237"/>
      <w:r>
        <w:rPr>
          <w:rStyle w:val="CharSDivNo"/>
        </w:rPr>
        <w:t>Division 6</w:t>
      </w:r>
      <w:r>
        <w:t> — </w:t>
      </w:r>
      <w:r>
        <w:rPr>
          <w:rStyle w:val="CharSDivText"/>
        </w:rPr>
        <w:t>Other prohibited conduct</w:t>
      </w:r>
      <w:bookmarkEnd w:id="343"/>
    </w:p>
    <w:p>
      <w:pPr>
        <w:pStyle w:val="yHeading5"/>
        <w:outlineLvl w:val="0"/>
      </w:pPr>
      <w:bookmarkStart w:id="344" w:name="_Toc379892238"/>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2239"/>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2240"/>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2241"/>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2242"/>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2243"/>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2244"/>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2245"/>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2246"/>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2247"/>
      <w:r>
        <w:rPr>
          <w:rStyle w:val="CharSDivNo"/>
        </w:rPr>
        <w:t>Division 1</w:t>
      </w:r>
      <w:r>
        <w:t> — </w:t>
      </w:r>
      <w:r>
        <w:rPr>
          <w:rStyle w:val="CharSDivText"/>
        </w:rPr>
        <w:t>Preliminary</w:t>
      </w:r>
      <w:bookmarkEnd w:id="353"/>
    </w:p>
    <w:p>
      <w:pPr>
        <w:pStyle w:val="yHeading5"/>
        <w:outlineLvl w:val="9"/>
      </w:pPr>
      <w:bookmarkStart w:id="354" w:name="_Toc379892248"/>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2249"/>
      <w:r>
        <w:rPr>
          <w:rStyle w:val="CharSDivNo"/>
        </w:rPr>
        <w:t>Division 2</w:t>
      </w:r>
      <w:r>
        <w:t> — </w:t>
      </w:r>
      <w:r>
        <w:rPr>
          <w:rStyle w:val="CharSDivText"/>
        </w:rPr>
        <w:t>Financial records</w:t>
      </w:r>
      <w:bookmarkEnd w:id="355"/>
    </w:p>
    <w:p>
      <w:pPr>
        <w:pStyle w:val="yHeading5"/>
        <w:outlineLvl w:val="9"/>
      </w:pPr>
      <w:bookmarkStart w:id="356" w:name="_Toc379892250"/>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2251"/>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2252"/>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2253"/>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2254"/>
      <w:r>
        <w:rPr>
          <w:rStyle w:val="CharSDivNo"/>
        </w:rPr>
        <w:t>Division 3</w:t>
      </w:r>
      <w:r>
        <w:t> — </w:t>
      </w:r>
      <w:r>
        <w:rPr>
          <w:rStyle w:val="CharSDivText"/>
        </w:rPr>
        <w:t>Financial reporting</w:t>
      </w:r>
      <w:bookmarkEnd w:id="360"/>
    </w:p>
    <w:p>
      <w:pPr>
        <w:pStyle w:val="yHeading4"/>
      </w:pPr>
      <w:bookmarkStart w:id="361" w:name="_Toc379892255"/>
      <w:r>
        <w:t>Subdivision 1 — Annual financial reports and directors’ reports</w:t>
      </w:r>
      <w:bookmarkEnd w:id="361"/>
    </w:p>
    <w:p>
      <w:pPr>
        <w:pStyle w:val="yHeading5"/>
        <w:outlineLvl w:val="9"/>
      </w:pPr>
      <w:bookmarkStart w:id="362" w:name="_Toc379892256"/>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2257"/>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2258"/>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2259"/>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2260"/>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2261"/>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2262"/>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2263"/>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2264"/>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2265"/>
      <w:r>
        <w:t>Subdivision 2 — Audit and auditor’s report</w:t>
      </w:r>
      <w:bookmarkEnd w:id="371"/>
    </w:p>
    <w:p>
      <w:pPr>
        <w:pStyle w:val="yHeading5"/>
        <w:outlineLvl w:val="9"/>
      </w:pPr>
      <w:bookmarkStart w:id="372" w:name="_Toc379892266"/>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2267"/>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2268"/>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2269"/>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2270"/>
      <w:r>
        <w:t>Subdivision 3 — Special provisions about consolidated financial statements</w:t>
      </w:r>
      <w:bookmarkEnd w:id="376"/>
    </w:p>
    <w:p>
      <w:pPr>
        <w:pStyle w:val="yHeading5"/>
        <w:outlineLvl w:val="9"/>
      </w:pPr>
      <w:bookmarkStart w:id="377" w:name="_Toc379892271"/>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2272"/>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2273"/>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2274"/>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2275"/>
      <w:r>
        <w:t>Subdivision 4 — Financial years of the corporation and the entities it controls</w:t>
      </w:r>
      <w:bookmarkEnd w:id="381"/>
    </w:p>
    <w:p>
      <w:pPr>
        <w:pStyle w:val="yHeading5"/>
        <w:spacing w:before="180"/>
        <w:outlineLvl w:val="9"/>
      </w:pPr>
      <w:bookmarkStart w:id="382" w:name="_Toc379892276"/>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2277"/>
      <w:r>
        <w:rPr>
          <w:rStyle w:val="CharSDivNo"/>
        </w:rPr>
        <w:t>Division 4</w:t>
      </w:r>
      <w:r>
        <w:t> — </w:t>
      </w:r>
      <w:r>
        <w:rPr>
          <w:rStyle w:val="CharSDivText"/>
        </w:rPr>
        <w:t>Accounting standards</w:t>
      </w:r>
      <w:bookmarkEnd w:id="383"/>
    </w:p>
    <w:p>
      <w:pPr>
        <w:pStyle w:val="yHeading5"/>
        <w:outlineLvl w:val="9"/>
      </w:pPr>
      <w:bookmarkStart w:id="384" w:name="_Toc379892278"/>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2279"/>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2280"/>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2281"/>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2282"/>
      <w:r>
        <w:rPr>
          <w:rStyle w:val="CharSDivNo"/>
        </w:rPr>
        <w:t>Division 5</w:t>
      </w:r>
      <w:r>
        <w:t> — </w:t>
      </w:r>
      <w:r>
        <w:rPr>
          <w:rStyle w:val="CharSDivText"/>
        </w:rPr>
        <w:t>Exemptions and modifications</w:t>
      </w:r>
      <w:bookmarkEnd w:id="388"/>
    </w:p>
    <w:p>
      <w:pPr>
        <w:pStyle w:val="yHeading5"/>
        <w:outlineLvl w:val="9"/>
      </w:pPr>
      <w:bookmarkStart w:id="389" w:name="_Toc379892283"/>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2284"/>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2285"/>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2286"/>
      <w:r>
        <w:rPr>
          <w:rStyle w:val="CharSDivNo"/>
        </w:rPr>
        <w:t>Division 6</w:t>
      </w:r>
      <w:r>
        <w:t> — </w:t>
      </w:r>
      <w:r>
        <w:rPr>
          <w:rStyle w:val="CharSDivText"/>
        </w:rPr>
        <w:t>Sanctions for contraventions of this Schedule</w:t>
      </w:r>
      <w:bookmarkEnd w:id="392"/>
    </w:p>
    <w:p>
      <w:pPr>
        <w:pStyle w:val="yHeading5"/>
        <w:outlineLvl w:val="9"/>
      </w:pPr>
      <w:bookmarkStart w:id="393" w:name="_Toc379892287"/>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2288"/>
      <w:r>
        <w:rPr>
          <w:rStyle w:val="CharSDivNo"/>
        </w:rPr>
        <w:t>Division 7</w:t>
      </w:r>
      <w:r>
        <w:t> — </w:t>
      </w:r>
      <w:r>
        <w:rPr>
          <w:rStyle w:val="CharSDivText"/>
        </w:rPr>
        <w:t>Miscellaneous</w:t>
      </w:r>
      <w:bookmarkEnd w:id="394"/>
    </w:p>
    <w:p>
      <w:pPr>
        <w:pStyle w:val="yHeading5"/>
        <w:outlineLvl w:val="9"/>
      </w:pPr>
      <w:bookmarkStart w:id="395" w:name="_Toc379892289"/>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2290"/>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2291"/>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2292"/>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2293"/>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2294"/>
      <w:r>
        <w:rPr>
          <w:rStyle w:val="CharSDivNo"/>
        </w:rPr>
        <w:t>Division 4</w:t>
      </w:r>
      <w:r>
        <w:t> — </w:t>
      </w:r>
      <w:r>
        <w:rPr>
          <w:rStyle w:val="CharSDivText"/>
          <w:i/>
        </w:rPr>
        <w:t>Electricity Corporation Act 1994</w:t>
      </w:r>
      <w:bookmarkEnd w:id="400"/>
    </w:p>
    <w:p>
      <w:pPr>
        <w:pStyle w:val="yHeading5"/>
        <w:outlineLvl w:val="0"/>
      </w:pPr>
      <w:bookmarkStart w:id="401" w:name="_Toc379892295"/>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2296"/>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2297"/>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404" w:name="_Toc379892298"/>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single" w:sz="4" w:space="0" w:color="auto"/>
            </w:tcBorders>
          </w:tcPr>
          <w:p>
            <w:pPr>
              <w:pStyle w:val="nTable"/>
              <w:spacing w:after="40"/>
              <w:rPr>
                <w:snapToGrid w:val="0"/>
                <w:sz w:val="19"/>
                <w:lang w:val="en-US"/>
              </w:rPr>
            </w:pPr>
            <w:r>
              <w:rPr>
                <w:sz w:val="19"/>
              </w:rPr>
              <w:t>1 Oct 2010</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5" w:name="_Toc379892299"/>
      <w:r>
        <w:rPr>
          <w:snapToGrid w:val="0"/>
        </w:rPr>
        <w:t>Provisions that have not come into operation</w:t>
      </w:r>
      <w:bookmarkEnd w:id="4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2 </w:t>
            </w:r>
            <w:r>
              <w:rPr>
                <w:snapToGrid w:val="0"/>
                <w:sz w:val="19"/>
                <w:szCs w:val="19"/>
                <w:vertAlign w:val="superscript"/>
              </w:rPr>
              <w:t>5</w:t>
            </w:r>
          </w:p>
        </w:tc>
        <w:tc>
          <w:tcPr>
            <w:tcW w:w="1118"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single" w:sz="4" w:space="0" w:color="auto"/>
              <w:bottom w:val="single" w:sz="4" w:space="0" w:color="auto"/>
            </w:tcBorders>
          </w:tcPr>
          <w:p>
            <w:pPr>
              <w:pStyle w:val="nTable"/>
              <w:spacing w:after="40"/>
              <w:rPr>
                <w:sz w:val="19"/>
                <w:szCs w:val="19"/>
              </w:rPr>
            </w:pPr>
            <w:r>
              <w:rPr>
                <w:sz w:val="19"/>
                <w:szCs w:val="19"/>
              </w:rPr>
              <w:t>29 Nov 2012</w:t>
            </w:r>
          </w:p>
        </w:tc>
        <w:tc>
          <w:tcPr>
            <w:tcW w:w="2552"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6" w:name="_Hlt50948796"/>
      <w:bookmarkStart w:id="407" w:name="_Hlt50864972"/>
      <w:bookmarkStart w:id="408" w:name="_Hlt50773385"/>
      <w:bookmarkStart w:id="409" w:name="_Hlt50860623"/>
      <w:bookmarkStart w:id="410" w:name="_Hlt50861589"/>
      <w:bookmarkStart w:id="411" w:name="_Hlt50861960"/>
      <w:bookmarkStart w:id="412" w:name="_Hlt50861626"/>
      <w:bookmarkStart w:id="413" w:name="_Hlt50862118"/>
      <w:bookmarkStart w:id="414" w:name="_Hlt50862126"/>
      <w:bookmarkStart w:id="415" w:name="_Hlt50950915"/>
      <w:bookmarkStart w:id="416" w:name="_Hlt50950904"/>
      <w:bookmarkStart w:id="417" w:name="_Hlt50860576"/>
      <w:bookmarkStart w:id="418" w:name="_Hlt50860584"/>
      <w:bookmarkStart w:id="419" w:name="_Hlt50951779"/>
      <w:bookmarkStart w:id="420" w:name="_Hlt50864678"/>
      <w:bookmarkStart w:id="421" w:name="_Hlt50861203"/>
      <w:bookmarkStart w:id="422" w:name="_Hlt55120013"/>
      <w:bookmarkStart w:id="423" w:name="_Hlt50865060"/>
      <w:bookmarkStart w:id="424" w:name="_Hlt50865332"/>
      <w:bookmarkStart w:id="425" w:name="_Hlt50862226"/>
      <w:bookmarkStart w:id="426" w:name="_Hlt50949702"/>
      <w:bookmarkStart w:id="427" w:name="_Hlt53999016"/>
      <w:bookmarkStart w:id="428" w:name="_Hlt53999020"/>
      <w:bookmarkStart w:id="429" w:name="_Hlt51743108"/>
      <w:bookmarkStart w:id="430" w:name="_Hlt50948646"/>
      <w:bookmarkStart w:id="431" w:name="_Hlt50948671"/>
      <w:bookmarkStart w:id="432" w:name="_Hlt50861808"/>
      <w:bookmarkStart w:id="433" w:name="_Hlt50861893"/>
      <w:bookmarkStart w:id="434" w:name="_Hlt50861818"/>
      <w:bookmarkStart w:id="435" w:name="_Hlt50861823"/>
      <w:bookmarkStart w:id="436" w:name="_Hlt50861827"/>
      <w:bookmarkStart w:id="437" w:name="_Hlt50803226"/>
      <w:bookmarkStart w:id="438" w:name="_Hlt50802534"/>
      <w:bookmarkStart w:id="439" w:name="_Hlt50802538"/>
      <w:bookmarkStart w:id="440" w:name="_Hlt50804504"/>
      <w:bookmarkStart w:id="441" w:name="_Hlt50954985"/>
      <w:bookmarkStart w:id="442" w:name="_Hlt50954995"/>
      <w:bookmarkStart w:id="443" w:name="_Hlt5080437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2 had not come into operation.  It reads as follows:</w:t>
      </w:r>
    </w:p>
    <w:p>
      <w:pPr>
        <w:pStyle w:val="BlankOpen"/>
        <w:rPr>
          <w:snapToGrid w:val="0"/>
        </w:rPr>
      </w:pPr>
    </w:p>
    <w:p>
      <w:pPr>
        <w:pStyle w:val="nzHeading3"/>
      </w:pPr>
      <w:r>
        <w:rPr>
          <w:rStyle w:val="CharDivNo"/>
        </w:rPr>
        <w:t>Division 2</w:t>
      </w:r>
      <w:r>
        <w:t> — </w:t>
      </w:r>
      <w:r>
        <w:rPr>
          <w:i/>
        </w:rPr>
        <w:t xml:space="preserve">Electricity Corporations Act 2005 </w:t>
      </w:r>
      <w:r>
        <w:rPr>
          <w:rStyle w:val="CharDivText"/>
        </w:rPr>
        <w:t>amended</w:t>
      </w:r>
    </w:p>
    <w:p>
      <w:pPr>
        <w:pStyle w:val="nzHeading5"/>
      </w:pPr>
      <w:r>
        <w:rPr>
          <w:rStyle w:val="CharSectno"/>
        </w:rPr>
        <w:t>57</w:t>
      </w:r>
      <w:r>
        <w:t>.</w:t>
      </w:r>
      <w:r>
        <w:tab/>
        <w:t>Act amended</w:t>
      </w:r>
    </w:p>
    <w:p>
      <w:pPr>
        <w:pStyle w:val="nzSubsection"/>
      </w:pPr>
      <w:r>
        <w:tab/>
      </w:r>
      <w:r>
        <w:tab/>
        <w:t xml:space="preserve">This Division amends the </w:t>
      </w:r>
      <w:r>
        <w:rPr>
          <w:i/>
        </w:rPr>
        <w:t>Electricity Corporations Act 2005</w:t>
      </w:r>
      <w:r>
        <w:t>.</w:t>
      </w:r>
    </w:p>
    <w:p>
      <w:pPr>
        <w:pStyle w:val="nzHeading5"/>
      </w:pPr>
      <w:r>
        <w:rPr>
          <w:rStyle w:val="CharSectno"/>
        </w:rPr>
        <w:t>58</w:t>
      </w:r>
      <w:r>
        <w:t>.</w:t>
      </w:r>
      <w:r>
        <w:tab/>
        <w:t>Section 50A inserted</w:t>
      </w:r>
    </w:p>
    <w:p>
      <w:pPr>
        <w:pStyle w:val="nzSubsection"/>
      </w:pPr>
      <w:r>
        <w:tab/>
      </w:r>
      <w:r>
        <w:tab/>
        <w:t>At the end of Part 3 Division 1 Subdivision 4 insert:</w:t>
      </w:r>
    </w:p>
    <w:p>
      <w:pPr>
        <w:pStyle w:val="BlankOpen"/>
      </w:pPr>
    </w:p>
    <w:p>
      <w:pPr>
        <w:pStyle w:val="nzHeading5"/>
      </w:pPr>
      <w:r>
        <w:t>50A.</w:t>
      </w:r>
      <w:r>
        <w:tab/>
        <w:t>Disclosure of information to fines Registrar</w:t>
      </w:r>
    </w:p>
    <w:p>
      <w:pPr>
        <w:pStyle w:val="nz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nz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nzSubsection"/>
      </w:pPr>
      <w:r>
        <w:tab/>
        <w:t>(3)</w:t>
      </w:r>
      <w:r>
        <w:tab/>
        <w:t>The disclosure of information under subsection (1) is to be free of charge.</w:t>
      </w:r>
    </w:p>
    <w:p>
      <w:pPr>
        <w:pStyle w:val="BlankClose"/>
      </w:pPr>
    </w:p>
    <w:p>
      <w:pPr>
        <w:pStyle w:val="nSubsection"/>
        <w:keepNext/>
        <w:rPr>
          <w:snapToGrid w:val="0"/>
        </w:rPr>
      </w:pPr>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44" w:name="_Toc379892300"/>
      <w:r>
        <w:rPr>
          <w:sz w:val="28"/>
        </w:rPr>
        <w:t>Defined Terms</w:t>
      </w:r>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5" w:name="DefinedTerms"/>
      <w:bookmarkEnd w:id="445"/>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12"/>
    <w:docVar w:name="WAFER_20151203163812" w:val="RemoveTrackChanges"/>
    <w:docVar w:name="WAFER_20151203163812_GUID" w:val="620f864a-368e-48f2-85e3-d3555d112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39895</Words>
  <Characters>197085</Characters>
  <Application>Microsoft Office Word</Application>
  <DocSecurity>0</DocSecurity>
  <Lines>5326</Lines>
  <Paragraphs>3434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2005 - 01-h0-04</dc:title>
  <dc:subject/>
  <dc:creator/>
  <cp:keywords/>
  <dc:description/>
  <cp:lastModifiedBy>svcMRProcess</cp:lastModifiedBy>
  <cp:revision>4</cp:revision>
  <cp:lastPrinted>2010-06-10T01:28:00Z</cp:lastPrinted>
  <dcterms:created xsi:type="dcterms:W3CDTF">2018-08-28T08:32:00Z</dcterms:created>
  <dcterms:modified xsi:type="dcterms:W3CDTF">2018-08-28T08:32:00Z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9387</vt:i4>
  </property>
  <property fmtid="{D5CDD505-2E9C-101B-9397-08002B2CF9AE}" pid="6" name="AsAtDate">
    <vt:lpwstr>29 Nov 2012</vt:lpwstr>
  </property>
  <property fmtid="{D5CDD505-2E9C-101B-9397-08002B2CF9AE}" pid="7" name="Suffix">
    <vt:lpwstr>01-h0-04</vt:lpwstr>
  </property>
  <property fmtid="{D5CDD505-2E9C-101B-9397-08002B2CF9AE}" pid="8" name="ReprintNo">
    <vt:lpwstr>1</vt:lpwstr>
  </property>
</Properties>
</file>