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_Toc343238768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_Toc343238769 \h </w:instrText>
      </w:r>
      <w:r>
        <w:fldChar w:fldCharType="separate"/>
      </w:r>
      <w:r>
        <w:t>1</w:t>
      </w:r>
      <w:r>
        <w:fldChar w:fldCharType="end"/>
      </w:r>
    </w:p>
    <w:p>
      <w:pPr>
        <w:pStyle w:val="TOC8"/>
        <w:rPr>
          <w:sz w:val="24"/>
          <w:szCs w:val="24"/>
          <w:lang w:val="en-US"/>
        </w:rPr>
      </w:pPr>
      <w:r>
        <w:t>3A.</w:t>
      </w:r>
      <w:r>
        <w:tab/>
        <w:t>Terms used</w:t>
      </w:r>
      <w:r>
        <w:tab/>
      </w:r>
      <w:r>
        <w:fldChar w:fldCharType="begin"/>
      </w:r>
      <w:r>
        <w:instrText xml:space="preserve"> PAGEREF _Toc343238770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_Toc343238771 \h </w:instrText>
      </w:r>
      <w:r>
        <w:fldChar w:fldCharType="separate"/>
      </w:r>
      <w:r>
        <w:t>1</w:t>
      </w:r>
      <w:r>
        <w:fldChar w:fldCharType="end"/>
      </w:r>
    </w:p>
    <w:p>
      <w:pPr>
        <w:pStyle w:val="TOC8"/>
        <w:rPr>
          <w:sz w:val="24"/>
          <w:szCs w:val="24"/>
          <w:lang w:val="en-US"/>
        </w:rPr>
      </w:pPr>
      <w:r>
        <w:t>4A.</w:t>
      </w:r>
      <w:r>
        <w:tab/>
        <w:t>Exemptions for supply to commercial premises on which generating works are located</w:t>
      </w:r>
      <w:r>
        <w:tab/>
      </w:r>
      <w:r>
        <w:fldChar w:fldCharType="begin"/>
      </w:r>
      <w:r>
        <w:instrText xml:space="preserve"> PAGEREF _Toc343238772 \h </w:instrText>
      </w:r>
      <w:r>
        <w:fldChar w:fldCharType="separate"/>
      </w:r>
      <w:r>
        <w:t>2</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_Toc343238773 \h </w:instrText>
      </w:r>
      <w:r>
        <w:fldChar w:fldCharType="separate"/>
      </w:r>
      <w:r>
        <w:t>3</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_Toc343238774 \h </w:instrText>
      </w:r>
      <w:r>
        <w:fldChar w:fldCharType="separate"/>
      </w:r>
      <w:r>
        <w:t>4</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_Toc343238775 \h </w:instrText>
      </w:r>
      <w:r>
        <w:fldChar w:fldCharType="separate"/>
      </w:r>
      <w:r>
        <w:t>5</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_Toc343238776 \h </w:instrText>
      </w:r>
      <w:r>
        <w:fldChar w:fldCharType="separate"/>
      </w:r>
      <w:r>
        <w:t>7</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_Toc343238777 \h </w:instrText>
      </w:r>
      <w:r>
        <w:fldChar w:fldCharType="separate"/>
      </w:r>
      <w:r>
        <w:t>8</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_Toc343238778 \h </w:instrText>
      </w:r>
      <w:r>
        <w:fldChar w:fldCharType="separate"/>
      </w:r>
      <w:r>
        <w:t>9</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_Toc343238779 \h </w:instrText>
      </w:r>
      <w:r>
        <w:fldChar w:fldCharType="separate"/>
      </w:r>
      <w:r>
        <w:t>9</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_Toc343238780 \h </w:instrText>
      </w:r>
      <w:r>
        <w:fldChar w:fldCharType="separate"/>
      </w:r>
      <w:r>
        <w:t>10</w:t>
      </w:r>
      <w:r>
        <w:fldChar w:fldCharType="end"/>
      </w:r>
    </w:p>
    <w:p>
      <w:pPr>
        <w:pStyle w:val="TOC8"/>
        <w:rPr>
          <w:sz w:val="24"/>
          <w:szCs w:val="24"/>
          <w:lang w:val="en-US"/>
        </w:rPr>
      </w:pPr>
      <w:r>
        <w:t>12.</w:t>
      </w:r>
      <w:r>
        <w:tab/>
        <w:t>Exemptions for operations in DBNGP corridor</w:t>
      </w:r>
      <w:r>
        <w:tab/>
      </w:r>
      <w:r>
        <w:fldChar w:fldCharType="begin"/>
      </w:r>
      <w:r>
        <w:instrText xml:space="preserve"> PAGEREF _Toc343238781 \h </w:instrText>
      </w:r>
      <w:r>
        <w:fldChar w:fldCharType="separate"/>
      </w:r>
      <w:r>
        <w:t>11</w:t>
      </w:r>
      <w:r>
        <w:fldChar w:fldCharType="end"/>
      </w:r>
    </w:p>
    <w:p>
      <w:pPr>
        <w:pStyle w:val="TOC8"/>
        <w:rPr>
          <w:sz w:val="24"/>
          <w:szCs w:val="24"/>
          <w:lang w:val="en-US"/>
        </w:rPr>
      </w:pPr>
      <w:r>
        <w:t>13.</w:t>
      </w:r>
      <w:r>
        <w:tab/>
        <w:t>Exemptions for Electricity Generation Corporation</w:t>
      </w:r>
      <w:r>
        <w:tab/>
      </w:r>
      <w:r>
        <w:fldChar w:fldCharType="begin"/>
      </w:r>
      <w:r>
        <w:instrText xml:space="preserve"> PAGEREF _Toc343238782 \h </w:instrText>
      </w:r>
      <w:r>
        <w:fldChar w:fldCharType="separate"/>
      </w:r>
      <w:r>
        <w:t>12</w:t>
      </w:r>
      <w:r>
        <w:fldChar w:fldCharType="end"/>
      </w:r>
    </w:p>
    <w:p>
      <w:pPr>
        <w:pStyle w:val="TOC8"/>
        <w:rPr>
          <w:sz w:val="24"/>
          <w:szCs w:val="24"/>
          <w:lang w:val="en-US"/>
        </w:rPr>
      </w:pPr>
      <w:r>
        <w:t>13A.</w:t>
      </w:r>
      <w:r>
        <w:tab/>
        <w:t>Further exemptions for Electricity Generation Corporation — supply to Alstom Limited</w:t>
      </w:r>
      <w:r>
        <w:tab/>
      </w:r>
      <w:r>
        <w:fldChar w:fldCharType="begin"/>
      </w:r>
      <w:r>
        <w:instrText xml:space="preserve"> PAGEREF _Toc343238783 \h </w:instrText>
      </w:r>
      <w:r>
        <w:fldChar w:fldCharType="separate"/>
      </w:r>
      <w:r>
        <w:t>13</w:t>
      </w:r>
      <w:r>
        <w:fldChar w:fldCharType="end"/>
      </w:r>
    </w:p>
    <w:p>
      <w:pPr>
        <w:pStyle w:val="TOC8"/>
        <w:rPr>
          <w:sz w:val="24"/>
          <w:szCs w:val="24"/>
          <w:lang w:val="en-US"/>
        </w:rPr>
      </w:pPr>
      <w:r>
        <w:t>14.</w:t>
      </w:r>
      <w:r>
        <w:tab/>
        <w:t>Exemptions for Fremantle Port Authority</w:t>
      </w:r>
      <w:r>
        <w:tab/>
      </w:r>
      <w:r>
        <w:fldChar w:fldCharType="begin"/>
      </w:r>
      <w:r>
        <w:instrText xml:space="preserve"> PAGEREF _Toc343238784 \h </w:instrText>
      </w:r>
      <w:r>
        <w:fldChar w:fldCharType="separate"/>
      </w:r>
      <w:r>
        <w:t>14</w:t>
      </w:r>
      <w:r>
        <w:fldChar w:fldCharType="end"/>
      </w:r>
    </w:p>
    <w:p>
      <w:pPr>
        <w:pStyle w:val="TOC8"/>
        <w:rPr>
          <w:sz w:val="24"/>
          <w:szCs w:val="24"/>
          <w:lang w:val="en-US"/>
        </w:rPr>
      </w:pPr>
      <w:r>
        <w:t>15.</w:t>
      </w:r>
      <w:r>
        <w:tab/>
        <w:t>Exemptions for supply in Eucla</w:t>
      </w:r>
      <w:r>
        <w:tab/>
      </w:r>
      <w:r>
        <w:fldChar w:fldCharType="begin"/>
      </w:r>
      <w:r>
        <w:instrText xml:space="preserve"> PAGEREF _Toc343238785 \h </w:instrText>
      </w:r>
      <w:r>
        <w:fldChar w:fldCharType="separate"/>
      </w:r>
      <w:r>
        <w:t>14</w:t>
      </w:r>
      <w:r>
        <w:fldChar w:fldCharType="end"/>
      </w:r>
    </w:p>
    <w:p>
      <w:pPr>
        <w:pStyle w:val="TOC8"/>
        <w:rPr>
          <w:sz w:val="24"/>
          <w:szCs w:val="24"/>
          <w:lang w:val="en-US"/>
        </w:rPr>
      </w:pPr>
      <w:r>
        <w:t>16.</w:t>
      </w:r>
      <w:r>
        <w:tab/>
        <w:t>Exemption for distribution systems of less than 1 km connecting to network other than SWIS</w:t>
      </w:r>
      <w:r>
        <w:tab/>
      </w:r>
      <w:r>
        <w:fldChar w:fldCharType="begin"/>
      </w:r>
      <w:r>
        <w:instrText xml:space="preserve"> PAGEREF _Toc343238786 \h </w:instrText>
      </w:r>
      <w:r>
        <w:fldChar w:fldCharType="separate"/>
      </w:r>
      <w:r>
        <w:t>14</w:t>
      </w:r>
      <w:r>
        <w:fldChar w:fldCharType="end"/>
      </w:r>
    </w:p>
    <w:p>
      <w:pPr>
        <w:pStyle w:val="TOC8"/>
        <w:rPr>
          <w:sz w:val="24"/>
          <w:szCs w:val="24"/>
          <w:lang w:val="en-US"/>
        </w:rPr>
      </w:pPr>
      <w:r>
        <w:t>17.</w:t>
      </w:r>
      <w:r>
        <w:tab/>
        <w:t>Exemptions for holders of generation licence connecting to SWIS</w:t>
      </w:r>
      <w:r>
        <w:tab/>
      </w:r>
      <w:r>
        <w:fldChar w:fldCharType="begin"/>
      </w:r>
      <w:r>
        <w:instrText xml:space="preserve"> PAGEREF _Toc343238787 \h </w:instrText>
      </w:r>
      <w:r>
        <w:fldChar w:fldCharType="separate"/>
      </w:r>
      <w:r>
        <w:t>15</w:t>
      </w:r>
      <w:r>
        <w:fldChar w:fldCharType="end"/>
      </w:r>
    </w:p>
    <w:p>
      <w:pPr>
        <w:pStyle w:val="TOC8"/>
        <w:rPr>
          <w:sz w:val="24"/>
          <w:szCs w:val="24"/>
          <w:lang w:val="en-US"/>
        </w:rPr>
      </w:pPr>
      <w:r>
        <w:t>18.</w:t>
      </w:r>
      <w:r>
        <w:tab/>
        <w:t>Exemption for EDL NGD (WA)</w:t>
      </w:r>
      <w:r>
        <w:tab/>
      </w:r>
      <w:r>
        <w:fldChar w:fldCharType="begin"/>
      </w:r>
      <w:r>
        <w:instrText xml:space="preserve"> PAGEREF _Toc343238788 \h </w:instrText>
      </w:r>
      <w:r>
        <w:fldChar w:fldCharType="separate"/>
      </w:r>
      <w:r>
        <w:t>15</w:t>
      </w:r>
      <w:r>
        <w:fldChar w:fldCharType="end"/>
      </w:r>
    </w:p>
    <w:p>
      <w:pPr>
        <w:pStyle w:val="TOC8"/>
        <w:rPr>
          <w:sz w:val="24"/>
          <w:szCs w:val="24"/>
          <w:lang w:val="en-US"/>
        </w:rPr>
      </w:pPr>
      <w:r>
        <w:t>19.</w:t>
      </w:r>
      <w:r>
        <w:tab/>
        <w:t>Exemptions for electric vehicle charging stations</w:t>
      </w:r>
      <w:r>
        <w:tab/>
      </w:r>
      <w:r>
        <w:fldChar w:fldCharType="begin"/>
      </w:r>
      <w:r>
        <w:instrText xml:space="preserve"> PAGEREF _Toc343238789 \h </w:instrText>
      </w:r>
      <w:r>
        <w:fldChar w:fldCharType="separate"/>
      </w:r>
      <w:r>
        <w:t>16</w:t>
      </w:r>
      <w:r>
        <w:fldChar w:fldCharType="end"/>
      </w:r>
    </w:p>
    <w:p>
      <w:pPr>
        <w:pStyle w:val="TOC8"/>
        <w:rPr>
          <w:sz w:val="24"/>
          <w:szCs w:val="24"/>
          <w:lang w:val="en-US"/>
        </w:rPr>
      </w:pPr>
      <w:r>
        <w:t>20.</w:t>
      </w:r>
      <w:r>
        <w:tab/>
        <w:t>Exemptions for Blair Fox — Karakin Wind Farm</w:t>
      </w:r>
      <w:r>
        <w:tab/>
      </w:r>
      <w:r>
        <w:fldChar w:fldCharType="begin"/>
      </w:r>
      <w:r>
        <w:instrText xml:space="preserve"> PAGEREF _Toc343238790 \h </w:instrText>
      </w:r>
      <w:r>
        <w:fldChar w:fldCharType="separate"/>
      </w:r>
      <w:r>
        <w:t>16</w:t>
      </w:r>
      <w:r>
        <w:fldChar w:fldCharType="end"/>
      </w:r>
    </w:p>
    <w:p>
      <w:pPr>
        <w:pStyle w:val="TOC8"/>
        <w:rPr>
          <w:sz w:val="24"/>
          <w:szCs w:val="24"/>
          <w:lang w:val="en-US"/>
        </w:rPr>
      </w:pPr>
      <w:r>
        <w:t>21.</w:t>
      </w:r>
      <w:r>
        <w:tab/>
        <w:t>Exemptions for MMG Golden Grove — supply to Minjar Gold</w:t>
      </w:r>
      <w:r>
        <w:tab/>
      </w:r>
      <w:r>
        <w:fldChar w:fldCharType="begin"/>
      </w:r>
      <w:r>
        <w:instrText xml:space="preserve"> PAGEREF _Toc343238791 \h </w:instrText>
      </w:r>
      <w:r>
        <w:fldChar w:fldCharType="separate"/>
      </w:r>
      <w:r>
        <w:t>17</w:t>
      </w:r>
      <w:r>
        <w:fldChar w:fldCharType="end"/>
      </w:r>
    </w:p>
    <w:p>
      <w:pPr>
        <w:pStyle w:val="TOC2"/>
        <w:tabs>
          <w:tab w:val="right" w:leader="dot" w:pos="7086"/>
        </w:tabs>
        <w:rPr>
          <w:b w:val="0"/>
          <w:sz w:val="24"/>
          <w:szCs w:val="24"/>
          <w:lang w:val="en-US"/>
        </w:rPr>
      </w:pPr>
      <w:r>
        <w:t>Schedule 1 — Depiction of EDL NGD (WA) exempt distribution system</w:t>
      </w:r>
    </w:p>
    <w:p>
      <w:pPr>
        <w:pStyle w:val="TOC4"/>
        <w:tabs>
          <w:tab w:val="right" w:leader="dot" w:pos="7086"/>
        </w:tabs>
        <w:rPr>
          <w:b w:val="0"/>
          <w:sz w:val="24"/>
          <w:szCs w:val="24"/>
          <w:lang w:val="en-US"/>
        </w:rPr>
      </w:pPr>
      <w:r>
        <w:t>EDL NGD (WA) — HV Cabling Route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_Toc343238795 \h </w:instrText>
      </w:r>
      <w:r>
        <w:fldChar w:fldCharType="separate"/>
      </w:r>
      <w:r>
        <w:t>19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3238768"/>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4323876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43238770"/>
      <w:r>
        <w:rPr>
          <w:rStyle w:val="CharSectno"/>
        </w:rPr>
        <w:t>3A</w:t>
      </w:r>
      <w:r>
        <w:t>.</w:t>
      </w:r>
      <w:r>
        <w:tab/>
        <w:t>Terms used</w:t>
      </w:r>
      <w:bookmarkEnd w:id="18"/>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9" w:name="_Toc343238771"/>
      <w:r>
        <w:rPr>
          <w:rStyle w:val="CharSectno"/>
        </w:rPr>
        <w:t>3</w:t>
      </w:r>
      <w:r>
        <w:t>.</w:t>
      </w:r>
      <w:r>
        <w:tab/>
        <w:t>Exemption for generating works under 30 MW</w:t>
      </w:r>
      <w:bookmarkEnd w:id="19"/>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20" w:name="_Toc343238772"/>
      <w:r>
        <w:rPr>
          <w:rStyle w:val="CharSectno"/>
        </w:rPr>
        <w:t>4A</w:t>
      </w:r>
      <w:r>
        <w:t>.</w:t>
      </w:r>
      <w:r>
        <w:tab/>
        <w:t>Exemptions for supply to commercial premises on which generating works are located</w:t>
      </w:r>
      <w:bookmarkEnd w:id="20"/>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21" w:name="_Toc343238773"/>
      <w:r>
        <w:rPr>
          <w:rStyle w:val="CharSectno"/>
        </w:rPr>
        <w:t>4</w:t>
      </w:r>
      <w:r>
        <w:t>.</w:t>
      </w:r>
      <w:r>
        <w:tab/>
        <w:t>Exemptions for on</w:t>
      </w:r>
      <w:r>
        <w:noBreakHyphen/>
        <w:t>supply to commercial premises</w:t>
      </w:r>
      <w:bookmarkEnd w:id="21"/>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22" w:name="_Toc343238774"/>
      <w:r>
        <w:rPr>
          <w:rStyle w:val="CharSectno"/>
        </w:rPr>
        <w:t>5</w:t>
      </w:r>
      <w:r>
        <w:t>.</w:t>
      </w:r>
      <w:r>
        <w:tab/>
        <w:t>Exemptions for on</w:t>
      </w:r>
      <w:r>
        <w:noBreakHyphen/>
        <w:t>supply to residential premises</w:t>
      </w:r>
      <w:bookmarkEnd w:id="22"/>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3" w:name="_Toc343238775"/>
      <w:r>
        <w:rPr>
          <w:rStyle w:val="CharSectno"/>
        </w:rPr>
        <w:t>6</w:t>
      </w:r>
      <w:r>
        <w:t>.</w:t>
      </w:r>
      <w:r>
        <w:tab/>
        <w:t>Conditions applying to exemptions under clause 5</w:t>
      </w:r>
      <w:bookmarkEnd w:id="23"/>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p>
    <w:p>
      <w:pPr>
        <w:pStyle w:val="Heading5"/>
      </w:pPr>
      <w:bookmarkStart w:id="24" w:name="_Toc343238776"/>
      <w:r>
        <w:rPr>
          <w:rStyle w:val="CharSectno"/>
        </w:rPr>
        <w:t>7</w:t>
      </w:r>
      <w:r>
        <w:t>.</w:t>
      </w:r>
      <w:r>
        <w:tab/>
        <w:t>Exemptions for supply to Aboriginal communities</w:t>
      </w:r>
      <w:bookmarkEnd w:id="2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25" w:name="_Toc343238777"/>
      <w:r>
        <w:rPr>
          <w:rStyle w:val="CharSectno"/>
        </w:rPr>
        <w:t>8</w:t>
      </w:r>
      <w:r>
        <w:t>.</w:t>
      </w:r>
      <w:r>
        <w:tab/>
        <w:t>Exemptions for operations under Pilbara Energy Project Agreement</w:t>
      </w:r>
      <w:bookmarkEnd w:id="2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6" w:name="_Toc343238778"/>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7" w:name="_Toc343238779"/>
      <w:r>
        <w:rPr>
          <w:rStyle w:val="CharSectno"/>
        </w:rPr>
        <w:t>10</w:t>
      </w:r>
      <w:r>
        <w:t>.</w:t>
      </w:r>
      <w:r>
        <w:tab/>
        <w:t>Exemptions for operations under various government agreements</w:t>
      </w:r>
      <w:bookmarkEnd w:id="2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8" w:name="_Toc343238780"/>
      <w:r>
        <w:rPr>
          <w:rStyle w:val="CharSectno"/>
        </w:rPr>
        <w:t>11</w:t>
      </w:r>
      <w:r>
        <w:t>.</w:t>
      </w:r>
      <w:r>
        <w:tab/>
        <w:t>Conditions applying to exemptions under clause 10</w:t>
      </w:r>
      <w:bookmarkEnd w:id="2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29" w:name="_Toc343238781"/>
      <w:r>
        <w:rPr>
          <w:rStyle w:val="CharSectno"/>
        </w:rPr>
        <w:t>12</w:t>
      </w:r>
      <w:r>
        <w:t>.</w:t>
      </w:r>
      <w:r>
        <w:tab/>
        <w:t>Exemptions for operations in DBNGP corridor</w:t>
      </w:r>
      <w:bookmarkEnd w:id="2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0" w:name="_Toc343238782"/>
      <w:r>
        <w:rPr>
          <w:rStyle w:val="CharSectno"/>
        </w:rPr>
        <w:t>13</w:t>
      </w:r>
      <w:r>
        <w:t>.</w:t>
      </w:r>
      <w:r>
        <w:tab/>
        <w:t>Exemptions for Electricity Generation Corporation</w:t>
      </w:r>
      <w:bookmarkEnd w:id="30"/>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31" w:name="_Toc343238783"/>
      <w:r>
        <w:rPr>
          <w:rStyle w:val="CharSectno"/>
        </w:rPr>
        <w:t>13A</w:t>
      </w:r>
      <w:r>
        <w:t>.</w:t>
      </w:r>
      <w:r>
        <w:tab/>
        <w:t>Further exemptions for Electricity Generation Corporation — supply to Alstom Limited</w:t>
      </w:r>
      <w:bookmarkEnd w:id="31"/>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32" w:name="_Toc343238784"/>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2"/>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3" w:name="_Toc343238785"/>
      <w:r>
        <w:rPr>
          <w:rStyle w:val="CharSectno"/>
        </w:rPr>
        <w:t>15</w:t>
      </w:r>
      <w:r>
        <w:t>.</w:t>
      </w:r>
      <w:r>
        <w:tab/>
        <w:t>Exemptions for supply in Eucla</w:t>
      </w:r>
      <w:bookmarkEnd w:id="33"/>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4" w:name="_Toc343238786"/>
      <w:r>
        <w:rPr>
          <w:rStyle w:val="CharSectno"/>
        </w:rPr>
        <w:t>16</w:t>
      </w:r>
      <w:r>
        <w:t>.</w:t>
      </w:r>
      <w:r>
        <w:tab/>
        <w:t>Exemption for distribution systems of less than 1 km connecting to network other than SWIS</w:t>
      </w:r>
      <w:bookmarkEnd w:id="34"/>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35" w:name="_Toc343238787"/>
      <w:r>
        <w:rPr>
          <w:rStyle w:val="CharSectno"/>
        </w:rPr>
        <w:t>17</w:t>
      </w:r>
      <w:r>
        <w:t>.</w:t>
      </w:r>
      <w:r>
        <w:tab/>
        <w:t>Exemptions for holders of generation licence connecting to SWIS</w:t>
      </w:r>
      <w:bookmarkEnd w:id="35"/>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36" w:name="_Toc343238788"/>
      <w:r>
        <w:rPr>
          <w:rStyle w:val="CharSectno"/>
        </w:rPr>
        <w:t>18</w:t>
      </w:r>
      <w:r>
        <w:t>.</w:t>
      </w:r>
      <w:r>
        <w:tab/>
        <w:t>Exemption for EDL NGD (WA)</w:t>
      </w:r>
      <w:bookmarkEnd w:id="36"/>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37" w:name="_Toc343238789"/>
      <w:r>
        <w:rPr>
          <w:rStyle w:val="CharSectno"/>
        </w:rPr>
        <w:t>19</w:t>
      </w:r>
      <w:r>
        <w:t>.</w:t>
      </w:r>
      <w:r>
        <w:tab/>
        <w:t>Exemptions for electric vehicle charging stations</w:t>
      </w:r>
      <w:bookmarkEnd w:id="37"/>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38" w:name="_Toc343238790"/>
      <w:r>
        <w:rPr>
          <w:rStyle w:val="CharSectno"/>
        </w:rPr>
        <w:t>20</w:t>
      </w:r>
      <w:r>
        <w:t>.</w:t>
      </w:r>
      <w:r>
        <w:tab/>
        <w:t>Exemptions for Blair Fox — Karakin Wind Farm</w:t>
      </w:r>
      <w:bookmarkEnd w:id="3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39" w:name="_Toc343238791"/>
      <w:r>
        <w:rPr>
          <w:rStyle w:val="CharSectno"/>
        </w:rPr>
        <w:t>21</w:t>
      </w:r>
      <w:r>
        <w:t>.</w:t>
      </w:r>
      <w:r>
        <w:tab/>
        <w:t>Exemptions for MMG Golden Grove — supply to Minjar Gold</w:t>
      </w:r>
      <w:bookmarkEnd w:id="39"/>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0" w:name="_Toc317862477"/>
      <w:bookmarkStart w:id="41" w:name="_Toc320862641"/>
      <w:bookmarkStart w:id="42" w:name="_Toc328654389"/>
      <w:bookmarkStart w:id="43" w:name="_Toc343238792"/>
      <w:bookmarkStart w:id="44" w:name="_Toc113695922"/>
      <w:bookmarkStart w:id="45" w:name="_Toc320799991"/>
      <w:bookmarkStart w:id="46" w:name="_Toc320801968"/>
      <w:bookmarkStart w:id="47" w:name="_Toc320861411"/>
      <w:bookmarkStart w:id="48" w:name="_Toc320861929"/>
      <w:r>
        <w:rPr>
          <w:rStyle w:val="CharSchNo"/>
        </w:rPr>
        <w:t>Schedule 1</w:t>
      </w:r>
      <w:r>
        <w:rPr>
          <w:rStyle w:val="CharSDivNo"/>
        </w:rPr>
        <w:t> </w:t>
      </w:r>
      <w:r>
        <w:t>—</w:t>
      </w:r>
      <w:r>
        <w:rPr>
          <w:rStyle w:val="CharSDivText"/>
        </w:rPr>
        <w:t> </w:t>
      </w:r>
      <w:r>
        <w:rPr>
          <w:rStyle w:val="CharSchText"/>
        </w:rPr>
        <w:t>Depiction of EDL NGD (WA) exempt distribution system</w:t>
      </w:r>
      <w:bookmarkEnd w:id="40"/>
      <w:bookmarkEnd w:id="41"/>
      <w:bookmarkEnd w:id="42"/>
      <w:bookmarkEnd w:id="43"/>
    </w:p>
    <w:p>
      <w:pPr>
        <w:pStyle w:val="yShoulderClause"/>
      </w:pPr>
      <w:r>
        <w:t>[cl. 18]</w:t>
      </w:r>
    </w:p>
    <w:p>
      <w:pPr>
        <w:pStyle w:val="yFootnoteheading"/>
      </w:pPr>
      <w:r>
        <w:tab/>
        <w:t>[Heading inserted in Gazette 9 Oct 2009 p. 3994.]</w:t>
      </w:r>
    </w:p>
    <w:p>
      <w:pPr>
        <w:pStyle w:val="yHeading3"/>
      </w:pPr>
      <w:bookmarkStart w:id="49" w:name="_Toc317862478"/>
      <w:bookmarkStart w:id="50" w:name="_Toc320862642"/>
      <w:bookmarkStart w:id="51" w:name="_Toc328654390"/>
      <w:bookmarkStart w:id="52" w:name="_Toc343238793"/>
      <w:r>
        <w:t>EDL NGD (WA) — HV Cabling Route</w:t>
      </w:r>
      <w:bookmarkEnd w:id="49"/>
      <w:bookmarkEnd w:id="50"/>
      <w:bookmarkEnd w:id="51"/>
      <w:bookmarkEnd w:id="52"/>
    </w:p>
    <w:p>
      <w:pPr>
        <w:pStyle w:val="Graphics"/>
        <w:spacing w:before="120"/>
        <w:jc w:val="center"/>
      </w:pPr>
      <w:r>
        <w:rPr>
          <w:lang w:eastAsia="en-AU"/>
        </w:rP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3" w:name="_Toc320862643"/>
      <w:bookmarkStart w:id="54" w:name="_Toc328654391"/>
      <w:bookmarkStart w:id="55" w:name="_Toc343238794"/>
      <w:r>
        <w:t>Notes</w:t>
      </w:r>
      <w:bookmarkEnd w:id="44"/>
      <w:bookmarkEnd w:id="45"/>
      <w:bookmarkEnd w:id="46"/>
      <w:bookmarkEnd w:id="47"/>
      <w:bookmarkEnd w:id="48"/>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56" w:name="_Toc70311430"/>
      <w:bookmarkStart w:id="57" w:name="_Toc113695923"/>
      <w:bookmarkStart w:id="58" w:name="_Toc343238795"/>
      <w:r>
        <w:t>Compilation table</w:t>
      </w:r>
      <w:bookmarkEnd w:id="56"/>
      <w:bookmarkEnd w:id="57"/>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c>
          <w:tcPr>
            <w:tcW w:w="3118" w:type="dxa"/>
            <w:tcBorders>
              <w:top w:val="nil"/>
              <w:bottom w:val="nil"/>
            </w:tcBorders>
          </w:tcPr>
          <w:p>
            <w:pPr>
              <w:pStyle w:val="nTable"/>
              <w:spacing w:after="40"/>
              <w:rPr>
                <w:i/>
                <w:sz w:val="19"/>
              </w:rPr>
            </w:pPr>
            <w:r>
              <w:rPr>
                <w:i/>
                <w:sz w:val="19"/>
              </w:rPr>
              <w:t>Electricity Industry Exemption Amendment Order 2009</w:t>
            </w:r>
          </w:p>
        </w:tc>
        <w:tc>
          <w:tcPr>
            <w:tcW w:w="1276" w:type="dxa"/>
            <w:tcBorders>
              <w:top w:val="nil"/>
              <w:bottom w:val="nil"/>
            </w:tcBorders>
          </w:tcPr>
          <w:p>
            <w:pPr>
              <w:pStyle w:val="nTable"/>
              <w:spacing w:after="40"/>
              <w:rPr>
                <w:sz w:val="19"/>
              </w:rPr>
            </w:pPr>
            <w:r>
              <w:rPr>
                <w:sz w:val="19"/>
              </w:rPr>
              <w:t>9 Oct 2009 p. 3992-4</w:t>
            </w:r>
          </w:p>
        </w:tc>
        <w:tc>
          <w:tcPr>
            <w:tcW w:w="2693" w:type="dxa"/>
            <w:tcBorders>
              <w:top w:val="nil"/>
              <w:bottom w:val="nil"/>
            </w:tcBorders>
          </w:tcPr>
          <w:p>
            <w:pPr>
              <w:pStyle w:val="nTable"/>
              <w:spacing w:after="40"/>
              <w:rPr>
                <w:sz w:val="19"/>
              </w:rPr>
            </w:pPr>
            <w:r>
              <w:rPr>
                <w:sz w:val="19"/>
              </w:rPr>
              <w:t>cl. 1 and 2: 9 Oct 2009 (see cl. 2(a));</w:t>
            </w:r>
            <w:r>
              <w:rPr>
                <w:sz w:val="19"/>
              </w:rPr>
              <w:br/>
              <w:t>Order other than cl. 1 and 2: 10 Oct 2009 (see cl. 2(b))</w:t>
            </w:r>
          </w:p>
        </w:tc>
      </w:tr>
      <w:tr>
        <w:tc>
          <w:tcPr>
            <w:tcW w:w="3118" w:type="dxa"/>
            <w:tcBorders>
              <w:top w:val="nil"/>
              <w:bottom w:val="nil"/>
            </w:tcBorders>
          </w:tcPr>
          <w:p>
            <w:pPr>
              <w:pStyle w:val="nTable"/>
              <w:spacing w:after="40"/>
              <w:rPr>
                <w:i/>
                <w:sz w:val="19"/>
              </w:rPr>
            </w:pPr>
            <w:r>
              <w:rPr>
                <w:i/>
                <w:sz w:val="19"/>
              </w:rPr>
              <w:t>Electricity Industry Exemption Amendment Order 2012</w:t>
            </w:r>
          </w:p>
        </w:tc>
        <w:tc>
          <w:tcPr>
            <w:tcW w:w="1276" w:type="dxa"/>
            <w:tcBorders>
              <w:top w:val="nil"/>
              <w:bottom w:val="nil"/>
            </w:tcBorders>
          </w:tcPr>
          <w:p>
            <w:pPr>
              <w:pStyle w:val="nTable"/>
              <w:spacing w:after="40"/>
              <w:rPr>
                <w:sz w:val="19"/>
              </w:rPr>
            </w:pPr>
            <w:r>
              <w:rPr>
                <w:sz w:val="19"/>
              </w:rPr>
              <w:t>29 Jun 2012 p. 2933</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cl. 1 and 2: 29 Jun 2012 (see cl. 2(a));</w:t>
            </w:r>
            <w:r>
              <w:rPr>
                <w:snapToGrid w:val="0"/>
                <w:spacing w:val="-2"/>
                <w:sz w:val="19"/>
                <w:lang w:val="en-US"/>
              </w:rPr>
              <w:br/>
              <w:t>Order other than cl. 1 and 2: 30 Jun 2012 (see cl. 2(b))</w:t>
            </w:r>
          </w:p>
        </w:tc>
      </w:tr>
      <w:tr>
        <w:tc>
          <w:tcPr>
            <w:tcW w:w="3118" w:type="dxa"/>
            <w:tcBorders>
              <w:top w:val="nil"/>
              <w:bottom w:val="single" w:sz="4" w:space="0" w:color="auto"/>
            </w:tcBorders>
          </w:tcPr>
          <w:p>
            <w:pPr>
              <w:pStyle w:val="nTable"/>
              <w:spacing w:after="40"/>
              <w:rPr>
                <w:i/>
                <w:sz w:val="19"/>
              </w:rPr>
            </w:pPr>
            <w:r>
              <w:rPr>
                <w:i/>
              </w:rPr>
              <w:t>Electricity Industry Exemption Amendment Order (No. 2) 2012</w:t>
            </w:r>
          </w:p>
        </w:tc>
        <w:tc>
          <w:tcPr>
            <w:tcW w:w="1276" w:type="dxa"/>
            <w:tcBorders>
              <w:top w:val="nil"/>
              <w:bottom w:val="single" w:sz="4" w:space="0" w:color="auto"/>
            </w:tcBorders>
          </w:tcPr>
          <w:p>
            <w:pPr>
              <w:pStyle w:val="nTable"/>
              <w:spacing w:after="40"/>
              <w:rPr>
                <w:sz w:val="19"/>
              </w:rPr>
            </w:pPr>
            <w:r>
              <w:rPr>
                <w:sz w:val="19"/>
              </w:rPr>
              <w:t>14 Dec 2012 p. 6198</w:t>
            </w:r>
            <w:r>
              <w:rPr>
                <w:sz w:val="19"/>
              </w:rPr>
              <w:noBreakHyphen/>
              <w:t>9</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cl. 1 and 2: 14 Dec 2012 (see cl. 2(a));</w:t>
            </w:r>
            <w:r>
              <w:rPr>
                <w:snapToGrid w:val="0"/>
                <w:spacing w:val="-2"/>
                <w:sz w:val="19"/>
                <w:lang w:val="en-US"/>
              </w:rPr>
              <w:br/>
              <w:t>Order other than cl. 1 and 2: 15 Dec 2012 (see cl.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59" w:name="_Toc320799993"/>
      <w:bookmarkStart w:id="60" w:name="_Toc320801970"/>
      <w:bookmarkStart w:id="61" w:name="_Toc320861413"/>
      <w:bookmarkStart w:id="62" w:name="_Toc320861931"/>
      <w:bookmarkStart w:id="63" w:name="_Toc320862645"/>
      <w:bookmarkStart w:id="64" w:name="_Toc328654393"/>
      <w:bookmarkStart w:id="65" w:name="_Toc343238796"/>
      <w:r>
        <w:rPr>
          <w:sz w:val="28"/>
        </w:rPr>
        <w:t>Defined Terms</w:t>
      </w:r>
      <w:bookmarkEnd w:id="59"/>
      <w:bookmarkEnd w:id="60"/>
      <w:bookmarkEnd w:id="61"/>
      <w:bookmarkEnd w:id="62"/>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Alstom</w:t>
      </w:r>
      <w:r>
        <w:tab/>
        <w:t>13A(1)</w:t>
      </w:r>
    </w:p>
    <w:p>
      <w:pPr>
        <w:pStyle w:val="DefinedTerms"/>
      </w:pPr>
      <w:r>
        <w:t>Blair Fox</w:t>
      </w:r>
      <w:r>
        <w:tab/>
        <w:t>20</w:t>
      </w:r>
    </w:p>
    <w:p>
      <w:pPr>
        <w:pStyle w:val="DefinedTerms"/>
        <w:rPr>
          <w:lang w:val="fr-FR"/>
        </w:rPr>
      </w:pPr>
      <w:r>
        <w:rPr>
          <w:lang w:val="fr-FR"/>
        </w:rPr>
        <w:t>code provision</w:t>
      </w:r>
      <w:r>
        <w:rPr>
          <w:lang w:val="fr-FR"/>
        </w:rPr>
        <w:tab/>
        <w:t>11(1)</w:t>
      </w:r>
    </w:p>
    <w:p>
      <w:pPr>
        <w:pStyle w:val="DefinedTerms"/>
        <w:rPr>
          <w:lang w:val="fr-FR"/>
        </w:rPr>
      </w:pPr>
      <w:r>
        <w:rPr>
          <w:lang w:val="fr-FR"/>
        </w:rPr>
        <w:t>commercial premises</w:t>
      </w:r>
      <w:r>
        <w:rPr>
          <w:lang w:val="fr-FR"/>
        </w:rPr>
        <w:tab/>
        <w:t xml:space="preserve">3A, </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 vehicle</w:t>
      </w:r>
      <w:r>
        <w:tab/>
        <w:t>19</w:t>
      </w:r>
    </w:p>
    <w:p>
      <w:pPr>
        <w:pStyle w:val="DefinedTerms"/>
      </w:pPr>
      <w:r>
        <w:t>electricity reticulation system</w:t>
      </w:r>
      <w:r>
        <w:tab/>
        <w:t>6(1)</w:t>
      </w:r>
    </w:p>
    <w:p>
      <w:pPr>
        <w:pStyle w:val="DefinedTerms"/>
      </w:pPr>
      <w:r>
        <w:t>Eucla</w:t>
      </w:r>
      <w:r>
        <w:tab/>
        <w:t>15(1)</w:t>
      </w:r>
    </w:p>
    <w:p>
      <w:pPr>
        <w:pStyle w:val="DefinedTerms"/>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r>
        <w:tab/>
        <w:t>14(1)</w:t>
      </w:r>
    </w:p>
    <w:p>
      <w:pPr>
        <w:pStyle w:val="DefinedTerms"/>
      </w:pPr>
      <w:r>
        <w:t>generation capacity</w:t>
      </w:r>
      <w:r>
        <w:tab/>
        <w:t>3(1)</w:t>
      </w:r>
    </w:p>
    <w:p>
      <w:pPr>
        <w:pStyle w:val="DefinedTerms"/>
      </w:pPr>
      <w:r>
        <w:t>Karakin Wind Farm</w:t>
      </w:r>
      <w:r>
        <w:tab/>
        <w:t>20</w:t>
      </w:r>
    </w:p>
    <w:p>
      <w:pPr>
        <w:pStyle w:val="DefinedTerms"/>
      </w:pPr>
      <w:r>
        <w:t>Minjar Gold</w:t>
      </w:r>
      <w:r>
        <w:tab/>
        <w:t>21</w:t>
      </w:r>
    </w:p>
    <w:p>
      <w:pPr>
        <w:pStyle w:val="DefinedTerms"/>
      </w:pPr>
      <w:r>
        <w:t>MMG Golden Grove</w:t>
      </w:r>
      <w:r>
        <w:tab/>
        <w:t>21</w:t>
      </w:r>
    </w:p>
    <w:p>
      <w:pPr>
        <w:pStyle w:val="DefinedTerms"/>
      </w:pPr>
      <w:r>
        <w:t>NewGen power station site</w:t>
      </w:r>
      <w:r>
        <w:tab/>
        <w:t>13A(1)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4A, 4(2), 4(3), 4(4), 5(2), 5(3)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54"/>
    <w:docVar w:name="WAFER_20151207122054" w:val="RemoveTrackChanges"/>
    <w:docVar w:name="WAFER_20151207122054_GUID" w:val="6d305206-55df-45ed-89e5-35189bfd7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5062</Words>
  <Characters>25617</Characters>
  <Application>Microsoft Office Word</Application>
  <DocSecurity>0</DocSecurity>
  <Lines>711</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2005 - 00-h0-02</dc:title>
  <dc:subject/>
  <dc:creator/>
  <cp:keywords/>
  <dc:description/>
  <cp:lastModifiedBy>svcMRProcess</cp:lastModifiedBy>
  <cp:revision>4</cp:revision>
  <cp:lastPrinted>2012-03-29T07:14:00Z</cp:lastPrinted>
  <dcterms:created xsi:type="dcterms:W3CDTF">2018-09-19T00:01:00Z</dcterms:created>
  <dcterms:modified xsi:type="dcterms:W3CDTF">2018-09-19T00:01:00Z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20121215</vt:lpwstr>
  </property>
  <property fmtid="{D5CDD505-2E9C-101B-9397-08002B2CF9AE}" pid="4" name="AsAtDate">
    <vt:lpwstr>15 Dec 2012</vt:lpwstr>
  </property>
  <property fmtid="{D5CDD505-2E9C-101B-9397-08002B2CF9AE}" pid="5" name="Suffix">
    <vt:lpwstr>00-h0-02</vt:lpwstr>
  </property>
  <property fmtid="{D5CDD505-2E9C-101B-9397-08002B2CF9AE}" pid="6" name="DocumentType">
    <vt:lpwstr>Reg</vt:lpwstr>
  </property>
</Properties>
</file>