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_Toc415650235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_Toc415650236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_Toc415650237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Exhibiting a film in a public place, defined</w:t>
      </w:r>
      <w:r>
        <w:tab/>
      </w:r>
      <w:r>
        <w:fldChar w:fldCharType="begin"/>
      </w:r>
      <w:r>
        <w:instrText xml:space="preserve"> PAGEREF _Toc415650238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Sound recordings, general provisions about</w:t>
      </w:r>
      <w:r>
        <w:tab/>
      </w:r>
      <w:r>
        <w:fldChar w:fldCharType="begin"/>
      </w:r>
      <w:r>
        <w:instrText xml:space="preserve"> PAGEREF _Toc415650239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_Toc415650240 \h </w:instrText>
      </w:r>
      <w:r>
        <w:fldChar w:fldCharType="separate"/>
      </w:r>
      <w:r>
        <w:t>6</w:t>
      </w:r>
      <w:r>
        <w:fldChar w:fldCharType="end"/>
      </w:r>
    </w:p>
    <w:p>
      <w:pPr>
        <w:pStyle w:val="TOC8"/>
        <w:rPr>
          <w:rFonts w:asciiTheme="minorHAnsi" w:eastAsiaTheme="minorEastAsia" w:hAnsiTheme="minorHAnsi" w:cstheme="minorBidi"/>
          <w:szCs w:val="22"/>
        </w:rPr>
      </w:pPr>
      <w:r>
        <w:t>7.</w:t>
      </w:r>
      <w:r>
        <w:tab/>
        <w:t>Films consisting only of classified films</w:t>
      </w:r>
      <w:r>
        <w:tab/>
      </w:r>
      <w:r>
        <w:fldChar w:fldCharType="begin"/>
      </w:r>
      <w:r>
        <w:instrText xml:space="preserve"> PAGEREF _Toc415650241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7 — Offences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Indecent or obscene articles</w:t>
      </w:r>
    </w:p>
    <w:p>
      <w:pPr>
        <w:pStyle w:val="TOC8"/>
        <w:rPr>
          <w:rFonts w:asciiTheme="minorHAnsi" w:eastAsiaTheme="minorEastAsia" w:hAnsiTheme="minorHAnsi" w:cstheme="minorBidi"/>
          <w:szCs w:val="22"/>
        </w:rPr>
      </w:pPr>
      <w:r>
        <w:t>57</w:t>
      </w:r>
      <w:r>
        <w:rPr>
          <w:snapToGrid w:val="0"/>
        </w:rPr>
        <w:t>.</w:t>
      </w:r>
      <w:r>
        <w:rPr>
          <w:snapToGrid w:val="0"/>
        </w:rPr>
        <w:tab/>
        <w:t>Division does not apply to certain articles</w:t>
      </w:r>
      <w:r>
        <w:tab/>
      </w:r>
      <w:r>
        <w:fldChar w:fldCharType="begin"/>
      </w:r>
      <w:r>
        <w:instrText xml:space="preserve"> PAGEREF _Toc415650244 \h </w:instrText>
      </w:r>
      <w:r>
        <w:fldChar w:fldCharType="separate"/>
      </w:r>
      <w:r>
        <w:t>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 xml:space="preserve">Literary etc. merit or </w:t>
      </w:r>
      <w:r>
        <w:rPr>
          <w:i/>
          <w:snapToGrid w:val="0"/>
        </w:rPr>
        <w:t>bona fide</w:t>
      </w:r>
      <w:r>
        <w:rPr>
          <w:snapToGrid w:val="0"/>
        </w:rPr>
        <w:t xml:space="preserve"> medical article, defence of</w:t>
      </w:r>
      <w:r>
        <w:tab/>
      </w:r>
      <w:r>
        <w:fldChar w:fldCharType="begin"/>
      </w:r>
      <w:r>
        <w:instrText xml:space="preserve"> PAGEREF _Toc415650245 \h </w:instrText>
      </w:r>
      <w:r>
        <w:fldChar w:fldCharType="separate"/>
      </w:r>
      <w:r>
        <w:t>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Indecent or obscene articles, offences as to</w:t>
      </w:r>
      <w:r>
        <w:tab/>
      </w:r>
      <w:r>
        <w:fldChar w:fldCharType="begin"/>
      </w:r>
      <w:r>
        <w:instrText xml:space="preserve"> PAGEREF _Toc415650246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Publications</w:t>
      </w:r>
    </w:p>
    <w:p>
      <w:pPr>
        <w:pStyle w:val="TOC8"/>
        <w:rPr>
          <w:rFonts w:asciiTheme="minorHAnsi" w:eastAsiaTheme="minorEastAsia" w:hAnsiTheme="minorHAnsi" w:cstheme="minorBidi"/>
          <w:szCs w:val="22"/>
        </w:rPr>
      </w:pPr>
      <w:r>
        <w:t>61.</w:t>
      </w:r>
      <w:r>
        <w:tab/>
        <w:t>Sale or supply of submittable or RC publications</w:t>
      </w:r>
      <w:r>
        <w:tab/>
      </w:r>
      <w:r>
        <w:fldChar w:fldCharType="begin"/>
      </w:r>
      <w:r>
        <w:instrText xml:space="preserve"> PAGEREF _Toc415650248 \h </w:instrText>
      </w:r>
      <w:r>
        <w:fldChar w:fldCharType="separate"/>
      </w:r>
      <w:r>
        <w:t>8</w:t>
      </w:r>
      <w:r>
        <w:fldChar w:fldCharType="end"/>
      </w:r>
    </w:p>
    <w:p>
      <w:pPr>
        <w:pStyle w:val="TOC8"/>
        <w:rPr>
          <w:rFonts w:asciiTheme="minorHAnsi" w:eastAsiaTheme="minorEastAsia" w:hAnsiTheme="minorHAnsi" w:cstheme="minorBidi"/>
          <w:szCs w:val="22"/>
        </w:rPr>
      </w:pPr>
      <w:r>
        <w:t>62.</w:t>
      </w:r>
      <w:r>
        <w:tab/>
        <w:t>Possession or copying of RC publications</w:t>
      </w:r>
      <w:r>
        <w:tab/>
      </w:r>
      <w:r>
        <w:fldChar w:fldCharType="begin"/>
      </w:r>
      <w:r>
        <w:instrText xml:space="preserve"> PAGEREF _Toc415650249 \h </w:instrText>
      </w:r>
      <w:r>
        <w:fldChar w:fldCharType="separate"/>
      </w:r>
      <w:r>
        <w:t>9</w:t>
      </w:r>
      <w:r>
        <w:fldChar w:fldCharType="end"/>
      </w:r>
    </w:p>
    <w:p>
      <w:pPr>
        <w:pStyle w:val="TOC8"/>
        <w:rPr>
          <w:rFonts w:asciiTheme="minorHAnsi" w:eastAsiaTheme="minorEastAsia" w:hAnsiTheme="minorHAnsi" w:cstheme="minorBidi"/>
          <w:szCs w:val="22"/>
        </w:rPr>
      </w:pPr>
      <w:r>
        <w:t>63.</w:t>
      </w:r>
      <w:r>
        <w:tab/>
        <w:t>Possession or copying of submittable publications with intention of selling</w:t>
      </w:r>
      <w:r>
        <w:tab/>
      </w:r>
      <w:r>
        <w:fldChar w:fldCharType="begin"/>
      </w:r>
      <w:r>
        <w:instrText xml:space="preserve"> PAGEREF _Toc415650250 \h </w:instrText>
      </w:r>
      <w:r>
        <w:fldChar w:fldCharType="separate"/>
      </w:r>
      <w:r>
        <w:t>9</w:t>
      </w:r>
      <w:r>
        <w:fldChar w:fldCharType="end"/>
      </w:r>
    </w:p>
    <w:p>
      <w:pPr>
        <w:pStyle w:val="TOC8"/>
        <w:rPr>
          <w:rFonts w:asciiTheme="minorHAnsi" w:eastAsiaTheme="minorEastAsia" w:hAnsiTheme="minorHAnsi" w:cstheme="minorBidi"/>
          <w:szCs w:val="22"/>
        </w:rPr>
      </w:pPr>
      <w:r>
        <w:t>64.</w:t>
      </w:r>
      <w:r>
        <w:tab/>
        <w:t>Category 1 restricted publications, offences as to</w:t>
      </w:r>
      <w:r>
        <w:tab/>
      </w:r>
      <w:r>
        <w:fldChar w:fldCharType="begin"/>
      </w:r>
      <w:r>
        <w:instrText xml:space="preserve"> PAGEREF _Toc415650251 \h </w:instrText>
      </w:r>
      <w:r>
        <w:fldChar w:fldCharType="separate"/>
      </w:r>
      <w:r>
        <w:t>10</w:t>
      </w:r>
      <w:r>
        <w:fldChar w:fldCharType="end"/>
      </w:r>
    </w:p>
    <w:p>
      <w:pPr>
        <w:pStyle w:val="TOC8"/>
        <w:rPr>
          <w:rFonts w:asciiTheme="minorHAnsi" w:eastAsiaTheme="minorEastAsia" w:hAnsiTheme="minorHAnsi" w:cstheme="minorBidi"/>
          <w:szCs w:val="22"/>
        </w:rPr>
      </w:pPr>
      <w:r>
        <w:t>65.</w:t>
      </w:r>
      <w:r>
        <w:tab/>
        <w:t>Category 2 restricted publications, offences as to</w:t>
      </w:r>
      <w:r>
        <w:tab/>
      </w:r>
      <w:r>
        <w:fldChar w:fldCharType="begin"/>
      </w:r>
      <w:r>
        <w:instrText xml:space="preserve"> PAGEREF _Toc415650252 \h </w:instrText>
      </w:r>
      <w:r>
        <w:fldChar w:fldCharType="separate"/>
      </w:r>
      <w:r>
        <w:t>11</w:t>
      </w:r>
      <w:r>
        <w:fldChar w:fldCharType="end"/>
      </w:r>
    </w:p>
    <w:p>
      <w:pPr>
        <w:pStyle w:val="TOC8"/>
        <w:rPr>
          <w:rFonts w:asciiTheme="minorHAnsi" w:eastAsiaTheme="minorEastAsia" w:hAnsiTheme="minorHAnsi" w:cstheme="minorBidi"/>
          <w:szCs w:val="22"/>
        </w:rPr>
      </w:pPr>
      <w:r>
        <w:t>65A.</w:t>
      </w:r>
      <w:r>
        <w:tab/>
        <w:t>Sale or supply of publications contrary to conditions</w:t>
      </w:r>
      <w:r>
        <w:tab/>
      </w:r>
      <w:r>
        <w:fldChar w:fldCharType="begin"/>
      </w:r>
      <w:r>
        <w:instrText xml:space="preserve"> PAGEREF _Toc415650253 \h </w:instrText>
      </w:r>
      <w:r>
        <w:fldChar w:fldCharType="separate"/>
      </w:r>
      <w:r>
        <w:t>12</w:t>
      </w:r>
      <w:r>
        <w:fldChar w:fldCharType="end"/>
      </w:r>
    </w:p>
    <w:p>
      <w:pPr>
        <w:pStyle w:val="TOC8"/>
        <w:rPr>
          <w:rFonts w:asciiTheme="minorHAnsi" w:eastAsiaTheme="minorEastAsia" w:hAnsiTheme="minorHAnsi" w:cstheme="minorBidi"/>
          <w:szCs w:val="22"/>
        </w:rPr>
      </w:pPr>
      <w:r>
        <w:t>65B.</w:t>
      </w:r>
      <w:r>
        <w:tab/>
        <w:t>Consumer advice for Unrestricted publications</w:t>
      </w:r>
      <w:r>
        <w:tab/>
      </w:r>
      <w:r>
        <w:fldChar w:fldCharType="begin"/>
      </w:r>
      <w:r>
        <w:instrText xml:space="preserve"> PAGEREF _Toc415650254 \h </w:instrText>
      </w:r>
      <w:r>
        <w:fldChar w:fldCharType="separate"/>
      </w:r>
      <w:r>
        <w:t>12</w:t>
      </w:r>
      <w:r>
        <w:fldChar w:fldCharType="end"/>
      </w:r>
    </w:p>
    <w:p>
      <w:pPr>
        <w:pStyle w:val="TOC8"/>
        <w:rPr>
          <w:rFonts w:asciiTheme="minorHAnsi" w:eastAsiaTheme="minorEastAsia" w:hAnsiTheme="minorHAnsi" w:cstheme="minorBidi"/>
          <w:szCs w:val="22"/>
        </w:rPr>
      </w:pPr>
      <w:r>
        <w:t>65C.</w:t>
      </w:r>
      <w:r>
        <w:tab/>
        <w:t>Misleading or deceptive markings</w:t>
      </w:r>
      <w:r>
        <w:tab/>
      </w:r>
      <w:r>
        <w:fldChar w:fldCharType="begin"/>
      </w:r>
      <w:r>
        <w:instrText xml:space="preserve"> PAGEREF _Toc415650255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65D.</w:t>
      </w:r>
      <w:r>
        <w:tab/>
        <w:t>Sale of restricted publications to minors</w:t>
      </w:r>
      <w:r>
        <w:tab/>
      </w:r>
      <w:r>
        <w:fldChar w:fldCharType="begin"/>
      </w:r>
      <w:r>
        <w:instrText xml:space="preserve"> PAGEREF _Toc415650256 \h </w:instrText>
      </w:r>
      <w:r>
        <w:fldChar w:fldCharType="separate"/>
      </w:r>
      <w:r>
        <w:t>13</w:t>
      </w:r>
      <w:r>
        <w:fldChar w:fldCharType="end"/>
      </w:r>
    </w:p>
    <w:p>
      <w:pPr>
        <w:pStyle w:val="TOC8"/>
        <w:rPr>
          <w:rFonts w:asciiTheme="minorHAnsi" w:eastAsiaTheme="minorEastAsia" w:hAnsiTheme="minorHAnsi" w:cstheme="minorBidi"/>
          <w:szCs w:val="22"/>
        </w:rPr>
      </w:pPr>
      <w:r>
        <w:t>65E.</w:t>
      </w:r>
      <w:r>
        <w:tab/>
        <w:t>Leaving certain publications in certain places</w:t>
      </w:r>
      <w:r>
        <w:tab/>
      </w:r>
      <w:r>
        <w:fldChar w:fldCharType="begin"/>
      </w:r>
      <w:r>
        <w:instrText xml:space="preserve"> PAGEREF _Toc415650257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Films</w:t>
      </w:r>
    </w:p>
    <w:p>
      <w:pPr>
        <w:pStyle w:val="TOC8"/>
        <w:rPr>
          <w:rFonts w:asciiTheme="minorHAnsi" w:eastAsiaTheme="minorEastAsia" w:hAnsiTheme="minorHAnsi" w:cstheme="minorBidi"/>
          <w:szCs w:val="22"/>
        </w:rPr>
      </w:pPr>
      <w:r>
        <w:t>66</w:t>
      </w:r>
      <w:r>
        <w:rPr>
          <w:snapToGrid w:val="0"/>
        </w:rPr>
        <w:t>.</w:t>
      </w:r>
      <w:r>
        <w:rPr>
          <w:snapToGrid w:val="0"/>
        </w:rPr>
        <w:tab/>
        <w:t>Exhibition of film in public place, offences as to</w:t>
      </w:r>
      <w:r>
        <w:tab/>
      </w:r>
      <w:r>
        <w:fldChar w:fldCharType="begin"/>
      </w:r>
      <w:r>
        <w:instrText xml:space="preserve"> PAGEREF _Toc415650259 \h </w:instrText>
      </w:r>
      <w:r>
        <w:fldChar w:fldCharType="separate"/>
      </w:r>
      <w:r>
        <w:t>15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Notice about classifications for films to be displayed at cinemas etc.</w:t>
      </w:r>
      <w:r>
        <w:tab/>
      </w:r>
      <w:r>
        <w:fldChar w:fldCharType="begin"/>
      </w:r>
      <w:r>
        <w:instrText xml:space="preserve"> PAGEREF _Toc415650260 \h </w:instrText>
      </w:r>
      <w:r>
        <w:fldChar w:fldCharType="separate"/>
      </w:r>
      <w:r>
        <w:t>16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RC films not to be exhibited</w:t>
      </w:r>
      <w:r>
        <w:tab/>
      </w:r>
      <w:r>
        <w:fldChar w:fldCharType="begin"/>
      </w:r>
      <w:r>
        <w:instrText xml:space="preserve"> PAGEREF _Toc415650261 \h </w:instrText>
      </w:r>
      <w:r>
        <w:fldChar w:fldCharType="separate"/>
      </w:r>
      <w:r>
        <w:t>16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X 18+ films, exhibition of</w:t>
      </w:r>
      <w:r>
        <w:tab/>
      </w:r>
      <w:r>
        <w:fldChar w:fldCharType="begin"/>
      </w:r>
      <w:r>
        <w:instrText xml:space="preserve"> PAGEREF _Toc415650262 \h </w:instrText>
      </w:r>
      <w:r>
        <w:fldChar w:fldCharType="separate"/>
      </w:r>
      <w:r>
        <w:t>16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 18+ and MA 15+ films, exhibition of</w:t>
      </w:r>
      <w:r>
        <w:tab/>
      </w:r>
      <w:r>
        <w:fldChar w:fldCharType="begin"/>
      </w:r>
      <w:r>
        <w:instrText xml:space="preserve"> PAGEREF _Toc415650263 \h </w:instrText>
      </w:r>
      <w:r>
        <w:fldChar w:fldCharType="separate"/>
      </w:r>
      <w:r>
        <w:t>17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Attendance of minor at RC, X 18+ or R 18+ films</w:t>
      </w:r>
      <w:r>
        <w:tab/>
      </w:r>
      <w:r>
        <w:fldChar w:fldCharType="begin"/>
      </w:r>
      <w:r>
        <w:instrText xml:space="preserve"> PAGEREF _Toc415650264 \h </w:instrText>
      </w:r>
      <w:r>
        <w:fldChar w:fldCharType="separate"/>
      </w:r>
      <w:r>
        <w:t>18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Attendance of minor at MA 15+ film</w:t>
      </w:r>
      <w:r>
        <w:tab/>
      </w:r>
      <w:r>
        <w:fldChar w:fldCharType="begin"/>
      </w:r>
      <w:r>
        <w:instrText xml:space="preserve"> PAGEREF _Toc415650265 \h </w:instrText>
      </w:r>
      <w:r>
        <w:fldChar w:fldCharType="separate"/>
      </w:r>
      <w:r>
        <w:t>18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Unclassified, RC and X 18+ films, sale of</w:t>
      </w:r>
      <w:r>
        <w:tab/>
      </w:r>
      <w:r>
        <w:fldChar w:fldCharType="begin"/>
      </w:r>
      <w:r>
        <w:instrText xml:space="preserve"> PAGEREF _Toc415650266 \h </w:instrText>
      </w:r>
      <w:r>
        <w:fldChar w:fldCharType="separate"/>
      </w:r>
      <w:r>
        <w:t>19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Classified films, sale of</w:t>
      </w:r>
      <w:r>
        <w:tab/>
      </w:r>
      <w:r>
        <w:fldChar w:fldCharType="begin"/>
      </w:r>
      <w:r>
        <w:instrText xml:space="preserve"> PAGEREF _Toc415650267 \h </w:instrText>
      </w:r>
      <w:r>
        <w:fldChar w:fldCharType="separate"/>
      </w:r>
      <w:r>
        <w:t>20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about classifications for films to be displayed at place of sale</w:t>
      </w:r>
      <w:r>
        <w:tab/>
      </w:r>
      <w:r>
        <w:fldChar w:fldCharType="begin"/>
      </w:r>
      <w:r>
        <w:instrText xml:space="preserve"> PAGEREF _Toc415650268 \h </w:instrText>
      </w:r>
      <w:r>
        <w:fldChar w:fldCharType="separate"/>
      </w:r>
      <w:r>
        <w:t>20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Markings etc. on films for sale, offences as to</w:t>
      </w:r>
      <w:r>
        <w:tab/>
      </w:r>
      <w:r>
        <w:fldChar w:fldCharType="begin"/>
      </w:r>
      <w:r>
        <w:instrText xml:space="preserve"> PAGEREF _Toc415650269 \h </w:instrText>
      </w:r>
      <w:r>
        <w:fldChar w:fldCharType="separate"/>
      </w:r>
      <w:r>
        <w:t>20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Unclassified, RC or X 18+ films not to be kept where classified films are sold</w:t>
      </w:r>
      <w:r>
        <w:tab/>
      </w:r>
      <w:r>
        <w:fldChar w:fldCharType="begin"/>
      </w:r>
      <w:r>
        <w:instrText xml:space="preserve"> PAGEREF _Toc415650270 \h </w:instrText>
      </w:r>
      <w:r>
        <w:fldChar w:fldCharType="separate"/>
      </w:r>
      <w:r>
        <w:t>21</w:t>
      </w:r>
      <w:r>
        <w:fldChar w:fldCharType="end"/>
      </w:r>
    </w:p>
    <w:p>
      <w:pPr>
        <w:pStyle w:val="TOC8"/>
        <w:rPr>
          <w:rFonts w:asciiTheme="minorHAnsi" w:eastAsiaTheme="minorEastAsia" w:hAnsiTheme="minorHAnsi" w:cstheme="minorBidi"/>
          <w:szCs w:val="22"/>
        </w:rPr>
      </w:pPr>
      <w:r>
        <w:t>78.</w:t>
      </w:r>
      <w:r>
        <w:tab/>
        <w:t>R</w:t>
      </w:r>
      <w:r>
        <w:rPr>
          <w:snapToGrid w:val="0"/>
        </w:rPr>
        <w:t> 18+ films, containers etc., display of in public</w:t>
      </w:r>
      <w:r>
        <w:tab/>
      </w:r>
      <w:r>
        <w:fldChar w:fldCharType="begin"/>
      </w:r>
      <w:r>
        <w:instrText xml:space="preserve"> PAGEREF _Toc415650271 \h </w:instrText>
      </w:r>
      <w:r>
        <w:fldChar w:fldCharType="separate"/>
      </w:r>
      <w:r>
        <w:t>22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Sale or supply of certain films to minors</w:t>
      </w:r>
      <w:r>
        <w:tab/>
      </w:r>
      <w:r>
        <w:fldChar w:fldCharType="begin"/>
      </w:r>
      <w:r>
        <w:instrText xml:space="preserve"> PAGEREF _Toc415650272 \h </w:instrText>
      </w:r>
      <w:r>
        <w:fldChar w:fldCharType="separate"/>
      </w:r>
      <w:r>
        <w:t>22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Leaving certain films in certain places</w:t>
      </w:r>
      <w:r>
        <w:tab/>
      </w:r>
      <w:r>
        <w:fldChar w:fldCharType="begin"/>
      </w:r>
      <w:r>
        <w:instrText xml:space="preserve"> PAGEREF _Toc415650273 \h </w:instrText>
      </w:r>
      <w:r>
        <w:fldChar w:fldCharType="separate"/>
      </w:r>
      <w:r>
        <w:t>23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Possessing or copying certain films</w:t>
      </w:r>
      <w:r>
        <w:tab/>
      </w:r>
      <w:r>
        <w:fldChar w:fldCharType="begin"/>
      </w:r>
      <w:r>
        <w:instrText xml:space="preserve"> PAGEREF _Toc415650274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Computer games</w:t>
      </w:r>
    </w:p>
    <w:p>
      <w:pPr>
        <w:pStyle w:val="TOC8"/>
        <w:rPr>
          <w:rFonts w:asciiTheme="minorHAnsi" w:eastAsiaTheme="minorEastAsia" w:hAnsiTheme="minorHAnsi" w:cstheme="minorBidi"/>
          <w:szCs w:val="22"/>
        </w:rPr>
      </w:pPr>
      <w:r>
        <w:t>82</w:t>
      </w:r>
      <w:r>
        <w:rPr>
          <w:snapToGrid w:val="0"/>
        </w:rPr>
        <w:t>.</w:t>
      </w:r>
      <w:r>
        <w:rPr>
          <w:snapToGrid w:val="0"/>
        </w:rPr>
        <w:tab/>
        <w:t>Selling or demonstrating computer games in public place</w:t>
      </w:r>
      <w:r>
        <w:tab/>
      </w:r>
      <w:r>
        <w:fldChar w:fldCharType="begin"/>
      </w:r>
      <w:r>
        <w:instrText xml:space="preserve"> PAGEREF _Toc415650276 \h </w:instrText>
      </w:r>
      <w:r>
        <w:fldChar w:fldCharType="separate"/>
      </w:r>
      <w:r>
        <w:t>24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Notice about classifications for computer games to be displayed at place of sale etc.</w:t>
      </w:r>
      <w:r>
        <w:tab/>
      </w:r>
      <w:r>
        <w:fldChar w:fldCharType="begin"/>
      </w:r>
      <w:r>
        <w:instrText xml:space="preserve"> PAGEREF _Toc415650277 \h </w:instrText>
      </w:r>
      <w:r>
        <w:fldChar w:fldCharType="separate"/>
      </w:r>
      <w:r>
        <w:t>24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RC and R 18+ computer games, sale etc. of</w:t>
      </w:r>
      <w:r>
        <w:tab/>
      </w:r>
      <w:r>
        <w:fldChar w:fldCharType="begin"/>
      </w:r>
      <w:r>
        <w:instrText xml:space="preserve"> PAGEREF _Toc415650278 \h </w:instrText>
      </w:r>
      <w:r>
        <w:fldChar w:fldCharType="separate"/>
      </w:r>
      <w:r>
        <w:t>25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R 18+ and MA 15+ computer games, demonstration of</w:t>
      </w:r>
      <w:r>
        <w:tab/>
      </w:r>
      <w:r>
        <w:fldChar w:fldCharType="begin"/>
      </w:r>
      <w:r>
        <w:instrText xml:space="preserve"> PAGEREF _Toc415650279 \h </w:instrText>
      </w:r>
      <w:r>
        <w:fldChar w:fldCharType="separate"/>
      </w:r>
      <w:r>
        <w:t>25</w:t>
      </w:r>
      <w:r>
        <w:fldChar w:fldCharType="end"/>
      </w:r>
    </w:p>
    <w:p>
      <w:pPr>
        <w:pStyle w:val="TOC8"/>
        <w:rPr>
          <w:rFonts w:asciiTheme="minorHAnsi" w:eastAsiaTheme="minorEastAsia" w:hAnsiTheme="minorHAnsi" w:cstheme="minorBidi"/>
          <w:szCs w:val="22"/>
        </w:rPr>
      </w:pPr>
      <w:r>
        <w:t>85A.</w:t>
      </w:r>
      <w:r>
        <w:tab/>
        <w:t>R 18+ and MA 15+ computer games, containers etc., display of in public</w:t>
      </w:r>
      <w:r>
        <w:tab/>
      </w:r>
      <w:r>
        <w:fldChar w:fldCharType="begin"/>
      </w:r>
      <w:r>
        <w:instrText xml:space="preserve"> PAGEREF _Toc415650280 \h </w:instrText>
      </w:r>
      <w:r>
        <w:fldChar w:fldCharType="separate"/>
      </w:r>
      <w:r>
        <w:t>26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Markings etc. on computer games, offences as to</w:t>
      </w:r>
      <w:r>
        <w:tab/>
      </w:r>
      <w:r>
        <w:fldChar w:fldCharType="begin"/>
      </w:r>
      <w:r>
        <w:instrText xml:space="preserve"> PAGEREF _Toc415650281 \h </w:instrText>
      </w:r>
      <w:r>
        <w:fldChar w:fldCharType="separate"/>
      </w:r>
      <w:r>
        <w:t>27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Unclassified or RC computer games not to be kept where classified computer games are sold etc.</w:t>
      </w:r>
      <w:r>
        <w:tab/>
      </w:r>
      <w:r>
        <w:fldChar w:fldCharType="begin"/>
      </w:r>
      <w:r>
        <w:instrText xml:space="preserve"> PAGEREF _Toc415650282 \h </w:instrText>
      </w:r>
      <w:r>
        <w:fldChar w:fldCharType="separate"/>
      </w:r>
      <w:r>
        <w:t>28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Sale or supply of certain computer games to minors</w:t>
      </w:r>
      <w:r>
        <w:tab/>
      </w:r>
      <w:r>
        <w:fldChar w:fldCharType="begin"/>
      </w:r>
      <w:r>
        <w:instrText xml:space="preserve"> PAGEREF _Toc415650283 \h </w:instrText>
      </w:r>
      <w:r>
        <w:fldChar w:fldCharType="separate"/>
      </w:r>
      <w:r>
        <w:t>28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Possessing or copying certain computer games</w:t>
      </w:r>
      <w:r>
        <w:tab/>
      </w:r>
      <w:r>
        <w:fldChar w:fldCharType="begin"/>
      </w:r>
      <w:r>
        <w:instrText xml:space="preserve"> PAGEREF _Toc415650284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Advertisements</w:t>
      </w:r>
    </w:p>
    <w:p>
      <w:pPr>
        <w:pStyle w:val="TOC8"/>
        <w:rPr>
          <w:rFonts w:asciiTheme="minorHAnsi" w:eastAsiaTheme="minorEastAsia" w:hAnsiTheme="minorHAnsi" w:cstheme="minorBidi"/>
          <w:szCs w:val="22"/>
        </w:rPr>
      </w:pPr>
      <w:r>
        <w:t>90</w:t>
      </w:r>
      <w:r>
        <w:rPr>
          <w:snapToGrid w:val="0"/>
        </w:rPr>
        <w:t>.</w:t>
      </w:r>
      <w:r>
        <w:rPr>
          <w:snapToGrid w:val="0"/>
        </w:rPr>
        <w:tab/>
        <w:t>Certain advertisements not to be published</w:t>
      </w:r>
      <w:r>
        <w:tab/>
      </w:r>
      <w:r>
        <w:fldChar w:fldCharType="begin"/>
      </w:r>
      <w:r>
        <w:instrText xml:space="preserve"> PAGEREF _Toc415650286 \h </w:instrText>
      </w:r>
      <w:r>
        <w:fldChar w:fldCharType="separate"/>
      </w:r>
      <w:r>
        <w:t>30</w:t>
      </w:r>
      <w:r>
        <w:fldChar w:fldCharType="end"/>
      </w:r>
    </w:p>
    <w:p>
      <w:pPr>
        <w:pStyle w:val="TOC8"/>
        <w:rPr>
          <w:rFonts w:asciiTheme="minorHAnsi" w:eastAsiaTheme="minorEastAsia" w:hAnsiTheme="minorHAnsi" w:cstheme="minorBidi"/>
          <w:szCs w:val="22"/>
        </w:rPr>
      </w:pPr>
      <w:r>
        <w:t>91.</w:t>
      </w:r>
      <w:r>
        <w:tab/>
        <w:t>Certain films etc. not to be advertised</w:t>
      </w:r>
      <w:r>
        <w:tab/>
      </w:r>
      <w:r>
        <w:fldChar w:fldCharType="begin"/>
      </w:r>
      <w:r>
        <w:instrText xml:space="preserve"> PAGEREF _Toc415650287 \h </w:instrText>
      </w:r>
      <w:r>
        <w:fldChar w:fldCharType="separate"/>
      </w:r>
      <w:r>
        <w:t>31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Which advertisements of films etc. can be screened with feature films</w:t>
      </w:r>
      <w:r>
        <w:tab/>
      </w:r>
      <w:r>
        <w:fldChar w:fldCharType="begin"/>
      </w:r>
      <w:r>
        <w:instrText xml:space="preserve"> PAGEREF _Toc415650288 \h </w:instrText>
      </w:r>
      <w:r>
        <w:fldChar w:fldCharType="separate"/>
      </w:r>
      <w:r>
        <w:t>32</w:t>
      </w:r>
      <w:r>
        <w:fldChar w:fldCharType="end"/>
      </w:r>
    </w:p>
    <w:p>
      <w:pPr>
        <w:pStyle w:val="TOC8"/>
        <w:rPr>
          <w:rFonts w:asciiTheme="minorHAnsi" w:eastAsiaTheme="minorEastAsia" w:hAnsiTheme="minorHAnsi" w:cstheme="minorBidi"/>
          <w:szCs w:val="22"/>
        </w:rPr>
      </w:pPr>
      <w:r>
        <w:t>93</w:t>
      </w:r>
      <w:r>
        <w:rPr>
          <w:spacing w:val="-2"/>
        </w:rPr>
        <w:t>.</w:t>
      </w:r>
      <w:r>
        <w:rPr>
          <w:spacing w:val="-2"/>
        </w:rPr>
        <w:tab/>
        <w:t>A</w:t>
      </w:r>
      <w:r>
        <w:t>dvertisements for R 18+ or MA 15+ films, screening of</w:t>
      </w:r>
      <w:r>
        <w:tab/>
      </w:r>
      <w:r>
        <w:fldChar w:fldCharType="begin"/>
      </w:r>
      <w:r>
        <w:instrText xml:space="preserve"> PAGEREF _Toc415650289 \h </w:instrText>
      </w:r>
      <w:r>
        <w:fldChar w:fldCharType="separate"/>
      </w:r>
      <w:r>
        <w:t>33</w:t>
      </w:r>
      <w:r>
        <w:fldChar w:fldCharType="end"/>
      </w:r>
    </w:p>
    <w:p>
      <w:pPr>
        <w:pStyle w:val="TOC8"/>
        <w:rPr>
          <w:rFonts w:asciiTheme="minorHAnsi" w:eastAsiaTheme="minorEastAsia" w:hAnsiTheme="minorHAnsi" w:cstheme="minorBidi"/>
          <w:szCs w:val="22"/>
        </w:rPr>
      </w:pPr>
      <w:r>
        <w:t>94</w:t>
      </w:r>
      <w:r>
        <w:rPr>
          <w:spacing w:val="-2"/>
        </w:rPr>
        <w:t>.</w:t>
      </w:r>
      <w:r>
        <w:rPr>
          <w:spacing w:val="-2"/>
        </w:rPr>
        <w:tab/>
      </w:r>
      <w:r>
        <w:t>Classified films not to be sold with certain advertisements</w:t>
      </w:r>
      <w:r>
        <w:tab/>
      </w:r>
      <w:r>
        <w:fldChar w:fldCharType="begin"/>
      </w:r>
      <w:r>
        <w:instrText xml:space="preserve"> PAGEREF _Toc415650290 \h </w:instrText>
      </w:r>
      <w:r>
        <w:fldChar w:fldCharType="separate"/>
      </w:r>
      <w:r>
        <w:t>34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Classified computer games not to be sold with certain advertisements</w:t>
      </w:r>
      <w:r>
        <w:tab/>
      </w:r>
      <w:r>
        <w:fldChar w:fldCharType="begin"/>
      </w:r>
      <w:r>
        <w:instrText xml:space="preserve"> PAGEREF _Toc415650291 \h </w:instrText>
      </w:r>
      <w:r>
        <w:fldChar w:fldCharType="separate"/>
      </w:r>
      <w:r>
        <w:t>35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Illegal advertisements for classified articles not to be published</w:t>
      </w:r>
      <w:r>
        <w:tab/>
      </w:r>
      <w:r>
        <w:fldChar w:fldCharType="begin"/>
      </w:r>
      <w:r>
        <w:instrText xml:space="preserve"> PAGEREF _Toc415650292 \h </w:instrText>
      </w:r>
      <w:r>
        <w:fldChar w:fldCharType="separate"/>
      </w:r>
      <w:r>
        <w:t>36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Misleading or deceptive advertisements</w:t>
      </w:r>
      <w:r>
        <w:tab/>
      </w:r>
      <w:r>
        <w:fldChar w:fldCharType="begin"/>
      </w:r>
      <w:r>
        <w:instrText xml:space="preserve"> PAGEREF _Toc415650293 \h </w:instrText>
      </w:r>
      <w:r>
        <w:fldChar w:fldCharType="separate"/>
      </w:r>
      <w:r>
        <w:t>37</w:t>
      </w:r>
      <w:r>
        <w:fldChar w:fldCharType="end"/>
      </w:r>
    </w:p>
    <w:p>
      <w:pPr>
        <w:pStyle w:val="TOC8"/>
        <w:rPr>
          <w:rFonts w:asciiTheme="minorHAnsi" w:eastAsiaTheme="minorEastAsia" w:hAnsiTheme="minorHAnsi" w:cstheme="minorBidi"/>
          <w:szCs w:val="22"/>
        </w:rPr>
      </w:pPr>
      <w:r>
        <w:t>97A.</w:t>
      </w:r>
      <w:r>
        <w:tab/>
        <w:t>Advertising that Category 1 or 2 restricted publications are for sale etc.</w:t>
      </w:r>
      <w:r>
        <w:tab/>
      </w:r>
      <w:r>
        <w:fldChar w:fldCharType="begin"/>
      </w:r>
      <w:r>
        <w:instrText xml:space="preserve"> PAGEREF _Toc415650294 \h </w:instrText>
      </w:r>
      <w:r>
        <w:fldChar w:fldCharType="separate"/>
      </w:r>
      <w:r>
        <w:t>38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Classification symbols etc. to be published with advertisements</w:t>
      </w:r>
      <w:r>
        <w:tab/>
      </w:r>
      <w:r>
        <w:fldChar w:fldCharType="begin"/>
      </w:r>
      <w:r>
        <w:instrText xml:space="preserve"> PAGEREF _Toc415650295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Computer services</w:t>
      </w:r>
    </w:p>
    <w:p>
      <w:pPr>
        <w:pStyle w:val="TOC8"/>
        <w:rPr>
          <w:rFonts w:asciiTheme="minorHAnsi" w:eastAsiaTheme="minorEastAsia" w:hAnsiTheme="minorHAnsi" w:cstheme="minorBidi"/>
          <w:szCs w:val="22"/>
        </w:rPr>
      </w:pPr>
      <w:r>
        <w:t>99</w:t>
      </w:r>
      <w:r>
        <w:rPr>
          <w:snapToGrid w:val="0"/>
        </w:rPr>
        <w:t>.</w:t>
      </w:r>
      <w:r>
        <w:rPr>
          <w:snapToGrid w:val="0"/>
        </w:rPr>
        <w:tab/>
        <w:t>Terms used</w:t>
      </w:r>
      <w:r>
        <w:tab/>
      </w:r>
      <w:r>
        <w:fldChar w:fldCharType="begin"/>
      </w:r>
      <w:r>
        <w:instrText xml:space="preserve"> PAGEREF _Toc415650297 \h </w:instrText>
      </w:r>
      <w:r>
        <w:fldChar w:fldCharType="separate"/>
      </w:r>
      <w:r>
        <w:t>39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Codes of practice, approval of etc.</w:t>
      </w:r>
      <w:r>
        <w:tab/>
      </w:r>
      <w:r>
        <w:fldChar w:fldCharType="begin"/>
      </w:r>
      <w:r>
        <w:instrText xml:space="preserve"> PAGEREF _Toc415650298 \h </w:instrText>
      </w:r>
      <w:r>
        <w:fldChar w:fldCharType="separate"/>
      </w:r>
      <w:r>
        <w:t>40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Objectionable material, offences as to</w:t>
      </w:r>
      <w:r>
        <w:tab/>
      </w:r>
      <w:r>
        <w:fldChar w:fldCharType="begin"/>
      </w:r>
      <w:r>
        <w:instrText xml:space="preserve"> PAGEREF _Toc415650299 \h </w:instrText>
      </w:r>
      <w:r>
        <w:fldChar w:fldCharType="separate"/>
      </w:r>
      <w:r>
        <w:t>41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Restricted material, offences as to</w:t>
      </w:r>
      <w:r>
        <w:tab/>
      </w:r>
      <w:r>
        <w:fldChar w:fldCharType="begin"/>
      </w:r>
      <w:r>
        <w:instrText xml:space="preserve"> PAGEREF _Toc415650300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7A — Call</w:t>
      </w:r>
      <w:r>
        <w:noBreakHyphen/>
        <w:t>in provisions</w:t>
      </w:r>
    </w:p>
    <w:p>
      <w:pPr>
        <w:pStyle w:val="TOC8"/>
        <w:rPr>
          <w:rFonts w:asciiTheme="minorHAnsi" w:eastAsiaTheme="minorEastAsia" w:hAnsiTheme="minorHAnsi" w:cstheme="minorBidi"/>
          <w:szCs w:val="22"/>
        </w:rPr>
      </w:pPr>
      <w:r>
        <w:t>102A.</w:t>
      </w:r>
      <w:r>
        <w:tab/>
        <w:t>Calling in submittable publications etc. for classification</w:t>
      </w:r>
      <w:r>
        <w:tab/>
      </w:r>
      <w:r>
        <w:fldChar w:fldCharType="begin"/>
      </w:r>
      <w:r>
        <w:instrText xml:space="preserve"> PAGEREF _Toc415650302 \h </w:instrText>
      </w:r>
      <w:r>
        <w:fldChar w:fldCharType="separate"/>
      </w:r>
      <w:r>
        <w:t>43</w:t>
      </w:r>
      <w:r>
        <w:fldChar w:fldCharType="end"/>
      </w:r>
    </w:p>
    <w:p>
      <w:pPr>
        <w:pStyle w:val="TOC8"/>
        <w:rPr>
          <w:rFonts w:asciiTheme="minorHAnsi" w:eastAsiaTheme="minorEastAsia" w:hAnsiTheme="minorHAnsi" w:cstheme="minorBidi"/>
          <w:szCs w:val="22"/>
        </w:rPr>
      </w:pPr>
      <w:r>
        <w:t>102B.</w:t>
      </w:r>
      <w:r>
        <w:tab/>
        <w:t>Calling in films for classification</w:t>
      </w:r>
      <w:r>
        <w:tab/>
      </w:r>
      <w:r>
        <w:fldChar w:fldCharType="begin"/>
      </w:r>
      <w:r>
        <w:instrText xml:space="preserve"> PAGEREF _Toc415650303 \h </w:instrText>
      </w:r>
      <w:r>
        <w:fldChar w:fldCharType="separate"/>
      </w:r>
      <w:r>
        <w:t>44</w:t>
      </w:r>
      <w:r>
        <w:fldChar w:fldCharType="end"/>
      </w:r>
    </w:p>
    <w:p>
      <w:pPr>
        <w:pStyle w:val="TOC8"/>
        <w:rPr>
          <w:rFonts w:asciiTheme="minorHAnsi" w:eastAsiaTheme="minorEastAsia" w:hAnsiTheme="minorHAnsi" w:cstheme="minorBidi"/>
          <w:szCs w:val="22"/>
        </w:rPr>
      </w:pPr>
      <w:r>
        <w:t>102C.</w:t>
      </w:r>
      <w:r>
        <w:tab/>
        <w:t>Calling in computer games for classification</w:t>
      </w:r>
      <w:r>
        <w:tab/>
      </w:r>
      <w:r>
        <w:fldChar w:fldCharType="begin"/>
      </w:r>
      <w:r>
        <w:instrText xml:space="preserve"> PAGEREF _Toc415650304 \h </w:instrText>
      </w:r>
      <w:r>
        <w:fldChar w:fldCharType="separate"/>
      </w:r>
      <w:r>
        <w:t>44</w:t>
      </w:r>
      <w:r>
        <w:fldChar w:fldCharType="end"/>
      </w:r>
    </w:p>
    <w:p>
      <w:pPr>
        <w:pStyle w:val="TOC8"/>
        <w:rPr>
          <w:rFonts w:asciiTheme="minorHAnsi" w:eastAsiaTheme="minorEastAsia" w:hAnsiTheme="minorHAnsi" w:cstheme="minorBidi"/>
          <w:szCs w:val="22"/>
        </w:rPr>
      </w:pPr>
      <w:r>
        <w:t>102D.</w:t>
      </w:r>
      <w:r>
        <w:tab/>
        <w:t>Calling in advertisements for submittable publications etc.</w:t>
      </w:r>
      <w:r>
        <w:tab/>
      </w:r>
      <w:r>
        <w:fldChar w:fldCharType="begin"/>
      </w:r>
      <w:r>
        <w:instrText xml:space="preserve"> PAGEREF _Toc415650305 \h </w:instrText>
      </w:r>
      <w:r>
        <w:fldChar w:fldCharType="separate"/>
      </w:r>
      <w:r>
        <w:t>46</w:t>
      </w:r>
      <w:r>
        <w:fldChar w:fldCharType="end"/>
      </w:r>
    </w:p>
    <w:p>
      <w:pPr>
        <w:pStyle w:val="TOC8"/>
        <w:rPr>
          <w:rFonts w:asciiTheme="minorHAnsi" w:eastAsiaTheme="minorEastAsia" w:hAnsiTheme="minorHAnsi" w:cstheme="minorBidi"/>
          <w:szCs w:val="22"/>
        </w:rPr>
      </w:pPr>
      <w:r>
        <w:t>102E.</w:t>
      </w:r>
      <w:r>
        <w:tab/>
        <w:t>Calling in publication, film or computer game for reclassification</w:t>
      </w:r>
      <w:r>
        <w:tab/>
      </w:r>
      <w:r>
        <w:fldChar w:fldCharType="begin"/>
      </w:r>
      <w:r>
        <w:instrText xml:space="preserve"> PAGEREF _Toc415650306 \h </w:instrText>
      </w:r>
      <w:r>
        <w:fldChar w:fldCharType="separate"/>
      </w:r>
      <w:r>
        <w:t>47</w:t>
      </w:r>
      <w:r>
        <w:fldChar w:fldCharType="end"/>
      </w:r>
    </w:p>
    <w:p>
      <w:pPr>
        <w:pStyle w:val="TOC8"/>
        <w:rPr>
          <w:rFonts w:asciiTheme="minorHAnsi" w:eastAsiaTheme="minorEastAsia" w:hAnsiTheme="minorHAnsi" w:cstheme="minorBidi"/>
          <w:szCs w:val="22"/>
        </w:rPr>
      </w:pPr>
      <w:r>
        <w:t>102F.</w:t>
      </w:r>
      <w:r>
        <w:tab/>
        <w:t>Calling in publication, film or computer game for review of classification</w:t>
      </w:r>
      <w:r>
        <w:tab/>
      </w:r>
      <w:r>
        <w:fldChar w:fldCharType="begin"/>
      </w:r>
      <w:r>
        <w:instrText xml:space="preserve"> PAGEREF _Toc415650307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8 — Exemptions and exceptions</w:t>
      </w:r>
    </w:p>
    <w:p>
      <w:pPr>
        <w:pStyle w:val="TOC8"/>
        <w:rPr>
          <w:rFonts w:asciiTheme="minorHAnsi" w:eastAsiaTheme="minorEastAsia" w:hAnsiTheme="minorHAnsi" w:cstheme="minorBidi"/>
          <w:szCs w:val="22"/>
        </w:rPr>
      </w:pPr>
      <w:r>
        <w:t>103</w:t>
      </w:r>
      <w:r>
        <w:rPr>
          <w:snapToGrid w:val="0"/>
        </w:rPr>
        <w:t>.</w:t>
      </w:r>
      <w:r>
        <w:rPr>
          <w:snapToGrid w:val="0"/>
        </w:rPr>
        <w:tab/>
        <w:t>Supply etc. for classification etc. purposes not offence under Part 7</w:t>
      </w:r>
      <w:r>
        <w:tab/>
      </w:r>
      <w:r>
        <w:fldChar w:fldCharType="begin"/>
      </w:r>
      <w:r>
        <w:instrText xml:space="preserve"> PAGEREF _Toc415650309 \h </w:instrText>
      </w:r>
      <w:r>
        <w:fldChar w:fldCharType="separate"/>
      </w:r>
      <w:r>
        <w:t>49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as to possession, defences to</w:t>
      </w:r>
      <w:r>
        <w:tab/>
      </w:r>
      <w:r>
        <w:fldChar w:fldCharType="begin"/>
      </w:r>
      <w:r>
        <w:instrText xml:space="preserve"> PAGEREF _Toc415650310 \h </w:instrText>
      </w:r>
      <w:r>
        <w:fldChar w:fldCharType="separate"/>
      </w:r>
      <w:r>
        <w:t>49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Articles and computer services, exemptions for</w:t>
      </w:r>
      <w:r>
        <w:tab/>
      </w:r>
      <w:r>
        <w:fldChar w:fldCharType="begin"/>
      </w:r>
      <w:r>
        <w:instrText xml:space="preserve"> PAGEREF _Toc415650311 \h </w:instrText>
      </w:r>
      <w:r>
        <w:fldChar w:fldCharType="separate"/>
      </w:r>
      <w:r>
        <w:t>50</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Approved organizations, exemptions for as to specific films etc.</w:t>
      </w:r>
      <w:r>
        <w:tab/>
      </w:r>
      <w:r>
        <w:fldChar w:fldCharType="begin"/>
      </w:r>
      <w:r>
        <w:instrText xml:space="preserve"> PAGEREF _Toc415650312 \h </w:instrText>
      </w:r>
      <w:r>
        <w:fldChar w:fldCharType="separate"/>
      </w:r>
      <w:r>
        <w:t>50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Ministerial directions or guidelines</w:t>
      </w:r>
      <w:r>
        <w:tab/>
      </w:r>
      <w:r>
        <w:fldChar w:fldCharType="begin"/>
      </w:r>
      <w:r>
        <w:instrText xml:space="preserve"> PAGEREF _Toc415650313 \h </w:instrText>
      </w:r>
      <w:r>
        <w:fldChar w:fldCharType="separate"/>
      </w:r>
      <w:r>
        <w:t>51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Organizations, approval of</w:t>
      </w:r>
      <w:r>
        <w:tab/>
      </w:r>
      <w:r>
        <w:fldChar w:fldCharType="begin"/>
      </w:r>
      <w:r>
        <w:instrText xml:space="preserve"> PAGEREF _Toc415650314 \h </w:instrText>
      </w:r>
      <w:r>
        <w:fldChar w:fldCharType="separate"/>
      </w:r>
      <w:r>
        <w:t>51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Appeals against certain decisions of Director</w:t>
      </w:r>
      <w:r>
        <w:tab/>
      </w:r>
      <w:r>
        <w:fldChar w:fldCharType="begin"/>
      </w:r>
      <w:r>
        <w:instrText xml:space="preserve"> PAGEREF _Toc415650315 \h </w:instrText>
      </w:r>
      <w:r>
        <w:fldChar w:fldCharType="separate"/>
      </w:r>
      <w:r>
        <w:t>53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Publication of certain films etc. to prescribed person etc.</w:t>
      </w:r>
      <w:r>
        <w:tab/>
      </w:r>
      <w:r>
        <w:fldChar w:fldCharType="begin"/>
      </w:r>
      <w:r>
        <w:instrText xml:space="preserve"> PAGEREF _Toc415650316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w:t>
      </w:r>
    </w:p>
    <w:p>
      <w:pPr>
        <w:pStyle w:val="TOC4"/>
        <w:tabs>
          <w:tab w:val="right" w:leader="dot" w:pos="7077"/>
        </w:tabs>
        <w:rPr>
          <w:rFonts w:asciiTheme="minorHAnsi" w:eastAsiaTheme="minorEastAsia" w:hAnsiTheme="minorHAnsi" w:cstheme="minorBidi"/>
          <w:b w:val="0"/>
          <w:szCs w:val="22"/>
        </w:rPr>
      </w:pPr>
      <w:r>
        <w:t>Division 1</w:t>
      </w:r>
      <w:r>
        <w:rPr>
          <w:b w:val="0"/>
        </w:rPr>
        <w:t xml:space="preserve"> — </w:t>
      </w:r>
      <w:r>
        <w:t>General matters</w:t>
      </w:r>
    </w:p>
    <w:p>
      <w:pPr>
        <w:pStyle w:val="TOC8"/>
        <w:rPr>
          <w:rFonts w:asciiTheme="minorHAnsi" w:eastAsiaTheme="minorEastAsia" w:hAnsiTheme="minorHAnsi" w:cstheme="minorBidi"/>
          <w:szCs w:val="22"/>
        </w:rPr>
      </w:pPr>
      <w:r>
        <w:t>111</w:t>
      </w:r>
      <w:r>
        <w:rPr>
          <w:snapToGrid w:val="0"/>
        </w:rPr>
        <w:t>.</w:t>
      </w:r>
      <w:r>
        <w:rPr>
          <w:snapToGrid w:val="0"/>
        </w:rPr>
        <w:tab/>
        <w:t>Interpretation</w:t>
      </w:r>
      <w:r>
        <w:tab/>
      </w:r>
      <w:r>
        <w:fldChar w:fldCharType="begin"/>
      </w:r>
      <w:r>
        <w:instrText xml:space="preserve"> PAGEREF _Toc415650319 \h </w:instrText>
      </w:r>
      <w:r>
        <w:fldChar w:fldCharType="separate"/>
      </w:r>
      <w:r>
        <w:t>55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Entry, inspection and seizure without warrant</w:t>
      </w:r>
      <w:r>
        <w:tab/>
      </w:r>
      <w:r>
        <w:fldChar w:fldCharType="begin"/>
      </w:r>
      <w:r>
        <w:instrText xml:space="preserve"> PAGEREF _Toc415650320 \h </w:instrText>
      </w:r>
      <w:r>
        <w:fldChar w:fldCharType="separate"/>
      </w:r>
      <w:r>
        <w:t>55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Obstruction</w:t>
      </w:r>
      <w:r>
        <w:tab/>
      </w:r>
      <w:r>
        <w:fldChar w:fldCharType="begin"/>
      </w:r>
      <w:r>
        <w:instrText xml:space="preserve"> PAGEREF _Toc415650321 \h </w:instrText>
      </w:r>
      <w:r>
        <w:fldChar w:fldCharType="separate"/>
      </w:r>
      <w:r>
        <w:t>56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False or misleading statements</w:t>
      </w:r>
      <w:r>
        <w:tab/>
      </w:r>
      <w:r>
        <w:fldChar w:fldCharType="begin"/>
      </w:r>
      <w:r>
        <w:instrText xml:space="preserve"> PAGEREF _Toc415650322 \h </w:instrText>
      </w:r>
      <w:r>
        <w:fldChar w:fldCharType="separate"/>
      </w:r>
      <w:r>
        <w:t>56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Liability of bodies corporate and their directors etc.</w:t>
      </w:r>
      <w:r>
        <w:tab/>
      </w:r>
      <w:r>
        <w:fldChar w:fldCharType="begin"/>
      </w:r>
      <w:r>
        <w:instrText xml:space="preserve"> PAGEREF _Toc415650323 \h </w:instrText>
      </w:r>
      <w:r>
        <w:fldChar w:fldCharType="separate"/>
      </w:r>
      <w:r>
        <w:t>56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Prosecutions, time for commencing</w:t>
      </w:r>
      <w:r>
        <w:tab/>
      </w:r>
      <w:r>
        <w:fldChar w:fldCharType="begin"/>
      </w:r>
      <w:r>
        <w:instrText xml:space="preserve"> PAGEREF _Toc415650324 \h </w:instrText>
      </w:r>
      <w:r>
        <w:fldChar w:fldCharType="separate"/>
      </w:r>
      <w:r>
        <w:t>57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Forfeiture</w:t>
      </w:r>
      <w:r>
        <w:tab/>
      </w:r>
      <w:r>
        <w:fldChar w:fldCharType="begin"/>
      </w:r>
      <w:r>
        <w:instrText xml:space="preserve"> PAGEREF _Toc415650325 \h </w:instrText>
      </w:r>
      <w:r>
        <w:fldChar w:fldCharType="separate"/>
      </w:r>
      <w:r>
        <w:t>58</w:t>
      </w:r>
      <w:r>
        <w:fldChar w:fldCharType="end"/>
      </w:r>
    </w:p>
    <w:p>
      <w:pPr>
        <w:pStyle w:val="TOC8"/>
        <w:rPr>
          <w:rFonts w:asciiTheme="minorHAnsi" w:eastAsiaTheme="minorEastAsia" w:hAnsiTheme="minorHAnsi" w:cstheme="minorBidi"/>
          <w:szCs w:val="22"/>
        </w:rPr>
      </w:pPr>
      <w:r>
        <w:t>117A.</w:t>
      </w:r>
      <w:r>
        <w:tab/>
        <w:t>Forfeiture of copies of seized publications, films and computer games</w:t>
      </w:r>
      <w:r>
        <w:tab/>
      </w:r>
      <w:r>
        <w:fldChar w:fldCharType="begin"/>
      </w:r>
      <w:r>
        <w:instrText xml:space="preserve"> PAGEREF _Toc415650326 \h </w:instrText>
      </w:r>
      <w:r>
        <w:fldChar w:fldCharType="separate"/>
      </w:r>
      <w:r>
        <w:t>60</w:t>
      </w:r>
      <w:r>
        <w:fldChar w:fldCharType="end"/>
      </w:r>
    </w:p>
    <w:p>
      <w:pPr>
        <w:pStyle w:val="TOC8"/>
        <w:rPr>
          <w:rFonts w:asciiTheme="minorHAnsi" w:eastAsiaTheme="minorEastAsia" w:hAnsiTheme="minorHAnsi" w:cstheme="minorBidi"/>
          <w:szCs w:val="22"/>
        </w:rPr>
      </w:pPr>
      <w:r>
        <w:t>117B.</w:t>
      </w:r>
      <w:r>
        <w:tab/>
        <w:t>Classification of seized items at request of accused</w:t>
      </w:r>
      <w:r>
        <w:tab/>
      </w:r>
      <w:r>
        <w:fldChar w:fldCharType="begin"/>
      </w:r>
      <w:r>
        <w:instrText xml:space="preserve"> PAGEREF _Toc415650327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117C.</w:t>
      </w:r>
      <w:r>
        <w:tab/>
        <w:t>Term used: designated person</w:t>
      </w:r>
      <w:r>
        <w:tab/>
      </w:r>
      <w:r>
        <w:fldChar w:fldCharType="begin"/>
      </w:r>
      <w:r>
        <w:instrText xml:space="preserve"> PAGEREF _Toc415650329 \h </w:instrText>
      </w:r>
      <w:r>
        <w:fldChar w:fldCharType="separate"/>
      </w:r>
      <w:r>
        <w:t>63</w:t>
      </w:r>
      <w:r>
        <w:fldChar w:fldCharType="end"/>
      </w:r>
    </w:p>
    <w:p>
      <w:pPr>
        <w:pStyle w:val="TOC8"/>
        <w:rPr>
          <w:rFonts w:asciiTheme="minorHAnsi" w:eastAsiaTheme="minorEastAsia" w:hAnsiTheme="minorHAnsi" w:cstheme="minorBidi"/>
          <w:szCs w:val="22"/>
        </w:rPr>
      </w:pPr>
      <w:r>
        <w:t>117D.</w:t>
      </w:r>
      <w:r>
        <w:tab/>
        <w:t>Giving of infringement notice</w:t>
      </w:r>
      <w:r>
        <w:tab/>
      </w:r>
      <w:r>
        <w:fldChar w:fldCharType="begin"/>
      </w:r>
      <w:r>
        <w:instrText xml:space="preserve"> PAGEREF _Toc415650330 \h </w:instrText>
      </w:r>
      <w:r>
        <w:fldChar w:fldCharType="separate"/>
      </w:r>
      <w:r>
        <w:t>63</w:t>
      </w:r>
      <w:r>
        <w:fldChar w:fldCharType="end"/>
      </w:r>
    </w:p>
    <w:p>
      <w:pPr>
        <w:pStyle w:val="TOC8"/>
        <w:rPr>
          <w:rFonts w:asciiTheme="minorHAnsi" w:eastAsiaTheme="minorEastAsia" w:hAnsiTheme="minorHAnsi" w:cstheme="minorBidi"/>
          <w:szCs w:val="22"/>
        </w:rPr>
      </w:pPr>
      <w:r>
        <w:t>117E.</w:t>
      </w:r>
      <w:r>
        <w:tab/>
        <w:t>Content of infringement notice</w:t>
      </w:r>
      <w:r>
        <w:tab/>
      </w:r>
      <w:r>
        <w:fldChar w:fldCharType="begin"/>
      </w:r>
      <w:r>
        <w:instrText xml:space="preserve"> PAGEREF _Toc415650331 \h </w:instrText>
      </w:r>
      <w:r>
        <w:fldChar w:fldCharType="separate"/>
      </w:r>
      <w:r>
        <w:t>63</w:t>
      </w:r>
      <w:r>
        <w:fldChar w:fldCharType="end"/>
      </w:r>
    </w:p>
    <w:p>
      <w:pPr>
        <w:pStyle w:val="TOC8"/>
        <w:rPr>
          <w:rFonts w:asciiTheme="minorHAnsi" w:eastAsiaTheme="minorEastAsia" w:hAnsiTheme="minorHAnsi" w:cstheme="minorBidi"/>
          <w:szCs w:val="22"/>
        </w:rPr>
      </w:pPr>
      <w:r>
        <w:t>117F.</w:t>
      </w:r>
      <w:r>
        <w:tab/>
        <w:t>Extension of time to pay modified penalty</w:t>
      </w:r>
      <w:r>
        <w:tab/>
      </w:r>
      <w:r>
        <w:fldChar w:fldCharType="begin"/>
      </w:r>
      <w:r>
        <w:instrText xml:space="preserve"> PAGEREF _Toc415650332 \h </w:instrText>
      </w:r>
      <w:r>
        <w:fldChar w:fldCharType="separate"/>
      </w:r>
      <w:r>
        <w:t>64</w:t>
      </w:r>
      <w:r>
        <w:fldChar w:fldCharType="end"/>
      </w:r>
    </w:p>
    <w:p>
      <w:pPr>
        <w:pStyle w:val="TOC8"/>
        <w:rPr>
          <w:rFonts w:asciiTheme="minorHAnsi" w:eastAsiaTheme="minorEastAsia" w:hAnsiTheme="minorHAnsi" w:cstheme="minorBidi"/>
          <w:szCs w:val="22"/>
        </w:rPr>
      </w:pPr>
      <w:r>
        <w:t>117G.</w:t>
      </w:r>
      <w:r>
        <w:tab/>
        <w:t>Withdrawal of infringement notice</w:t>
      </w:r>
      <w:r>
        <w:tab/>
      </w:r>
      <w:r>
        <w:fldChar w:fldCharType="begin"/>
      </w:r>
      <w:r>
        <w:instrText xml:space="preserve"> PAGEREF _Toc415650333 \h </w:instrText>
      </w:r>
      <w:r>
        <w:fldChar w:fldCharType="separate"/>
      </w:r>
      <w:r>
        <w:t>64</w:t>
      </w:r>
      <w:r>
        <w:fldChar w:fldCharType="end"/>
      </w:r>
    </w:p>
    <w:p>
      <w:pPr>
        <w:pStyle w:val="TOC8"/>
        <w:rPr>
          <w:rFonts w:asciiTheme="minorHAnsi" w:eastAsiaTheme="minorEastAsia" w:hAnsiTheme="minorHAnsi" w:cstheme="minorBidi"/>
          <w:szCs w:val="22"/>
        </w:rPr>
      </w:pPr>
      <w:r>
        <w:t>117H.</w:t>
      </w:r>
      <w:r>
        <w:tab/>
        <w:t>Benefit of paying modified penalty</w:t>
      </w:r>
      <w:r>
        <w:tab/>
      </w:r>
      <w:r>
        <w:fldChar w:fldCharType="begin"/>
      </w:r>
      <w:r>
        <w:instrText xml:space="preserve"> PAGEREF _Toc415650334 \h </w:instrText>
      </w:r>
      <w:r>
        <w:fldChar w:fldCharType="separate"/>
      </w:r>
      <w:r>
        <w:t>64</w:t>
      </w:r>
      <w:r>
        <w:fldChar w:fldCharType="end"/>
      </w:r>
    </w:p>
    <w:p>
      <w:pPr>
        <w:pStyle w:val="TOC8"/>
        <w:rPr>
          <w:rFonts w:asciiTheme="minorHAnsi" w:eastAsiaTheme="minorEastAsia" w:hAnsiTheme="minorHAnsi" w:cstheme="minorBidi"/>
          <w:szCs w:val="22"/>
        </w:rPr>
      </w:pPr>
      <w:r>
        <w:t>117I.</w:t>
      </w:r>
      <w:r>
        <w:tab/>
        <w:t>Application of penalties collected</w:t>
      </w:r>
      <w:r>
        <w:tab/>
      </w:r>
      <w:r>
        <w:fldChar w:fldCharType="begin"/>
      </w:r>
      <w:r>
        <w:instrText xml:space="preserve"> PAGEREF _Toc415650335 \h </w:instrText>
      </w:r>
      <w:r>
        <w:fldChar w:fldCharType="separate"/>
      </w:r>
      <w:r>
        <w:t>65</w:t>
      </w:r>
      <w:r>
        <w:fldChar w:fldCharType="end"/>
      </w:r>
    </w:p>
    <w:p>
      <w:pPr>
        <w:pStyle w:val="TOC8"/>
        <w:rPr>
          <w:rFonts w:asciiTheme="minorHAnsi" w:eastAsiaTheme="minorEastAsia" w:hAnsiTheme="minorHAnsi" w:cstheme="minorBidi"/>
          <w:szCs w:val="22"/>
        </w:rPr>
      </w:pPr>
      <w:r>
        <w:t>117J.</w:t>
      </w:r>
      <w:r>
        <w:tab/>
        <w:t>Designated persons, appointment of</w:t>
      </w:r>
      <w:r>
        <w:tab/>
      </w:r>
      <w:r>
        <w:fldChar w:fldCharType="begin"/>
      </w:r>
      <w:r>
        <w:instrText xml:space="preserve"> PAGEREF _Toc415650336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11 — Registration of persons and premises</w:t>
      </w:r>
    </w:p>
    <w:p>
      <w:pPr>
        <w:pStyle w:val="TOC8"/>
        <w:rPr>
          <w:rFonts w:asciiTheme="minorHAnsi" w:eastAsiaTheme="minorEastAsia" w:hAnsiTheme="minorHAnsi" w:cstheme="minorBidi"/>
          <w:szCs w:val="22"/>
        </w:rPr>
      </w:pPr>
      <w:r>
        <w:t>128A.</w:t>
      </w:r>
      <w:r>
        <w:tab/>
        <w:t>Registrar</w:t>
      </w:r>
      <w:r>
        <w:tab/>
      </w:r>
      <w:r>
        <w:fldChar w:fldCharType="begin"/>
      </w:r>
      <w:r>
        <w:instrText xml:space="preserve"> PAGEREF _Toc415650338 \h </w:instrText>
      </w:r>
      <w:r>
        <w:fldChar w:fldCharType="separate"/>
      </w:r>
      <w:r>
        <w:t>67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Registering publishers of Category 1 or 2 restricted publications</w:t>
      </w:r>
      <w:r>
        <w:tab/>
      </w:r>
      <w:r>
        <w:fldChar w:fldCharType="begin"/>
      </w:r>
      <w:r>
        <w:instrText xml:space="preserve"> PAGEREF _Toc415650339 \h </w:instrText>
      </w:r>
      <w:r>
        <w:fldChar w:fldCharType="separate"/>
      </w:r>
      <w:r>
        <w:t>67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Registering premises where Category 1 or 2 restricted publications are published</w:t>
      </w:r>
      <w:r>
        <w:tab/>
      </w:r>
      <w:r>
        <w:fldChar w:fldCharType="begin"/>
      </w:r>
      <w:r>
        <w:instrText xml:space="preserve"> PAGEREF _Toc415650340 \h </w:instrText>
      </w:r>
      <w:r>
        <w:fldChar w:fldCharType="separate"/>
      </w:r>
      <w:r>
        <w:t>68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Applications for registration or renewal, form of</w:t>
      </w:r>
      <w:r>
        <w:tab/>
      </w:r>
      <w:r>
        <w:fldChar w:fldCharType="begin"/>
      </w:r>
      <w:r>
        <w:instrText xml:space="preserve"> PAGEREF _Toc415650341 \h </w:instrText>
      </w:r>
      <w:r>
        <w:fldChar w:fldCharType="separate"/>
      </w:r>
      <w:r>
        <w:t>68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Notice of decision on registration application</w:t>
      </w:r>
      <w:r>
        <w:tab/>
      </w:r>
      <w:r>
        <w:fldChar w:fldCharType="begin"/>
      </w:r>
      <w:r>
        <w:instrText xml:space="preserve"> PAGEREF _Toc415650342 \h </w:instrText>
      </w:r>
      <w:r>
        <w:fldChar w:fldCharType="separate"/>
      </w:r>
      <w:r>
        <w:t>69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Certificates of registration</w:t>
      </w:r>
      <w:r>
        <w:tab/>
      </w:r>
      <w:r>
        <w:fldChar w:fldCharType="begin"/>
      </w:r>
      <w:r>
        <w:instrText xml:space="preserve"> PAGEREF _Toc415650343 \h </w:instrText>
      </w:r>
      <w:r>
        <w:fldChar w:fldCharType="separate"/>
      </w:r>
      <w:r>
        <w:t>69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registration</w:t>
      </w:r>
      <w:r>
        <w:tab/>
      </w:r>
      <w:r>
        <w:fldChar w:fldCharType="begin"/>
      </w:r>
      <w:r>
        <w:instrText xml:space="preserve"> PAGEREF _Toc415650344 \h </w:instrText>
      </w:r>
      <w:r>
        <w:fldChar w:fldCharType="separate"/>
      </w:r>
      <w:r>
        <w:t>69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Register</w:t>
      </w:r>
      <w:r>
        <w:tab/>
      </w:r>
      <w:r>
        <w:fldChar w:fldCharType="begin"/>
      </w:r>
      <w:r>
        <w:instrText xml:space="preserve"> PAGEREF _Toc415650345 \h </w:instrText>
      </w:r>
      <w:r>
        <w:fldChar w:fldCharType="separate"/>
      </w:r>
      <w:r>
        <w:t>70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Change of particulars</w:t>
      </w:r>
      <w:r>
        <w:tab/>
      </w:r>
      <w:r>
        <w:fldChar w:fldCharType="begin"/>
      </w:r>
      <w:r>
        <w:instrText xml:space="preserve"> PAGEREF _Toc415650346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12 — General</w:t>
      </w:r>
    </w:p>
    <w:p>
      <w:pPr>
        <w:pStyle w:val="TOC8"/>
        <w:rPr>
          <w:rFonts w:asciiTheme="minorHAnsi" w:eastAsiaTheme="minorEastAsia" w:hAnsiTheme="minorHAnsi" w:cstheme="minorBidi"/>
          <w:szCs w:val="22"/>
        </w:rPr>
      </w:pPr>
      <w:r>
        <w:t>140</w:t>
      </w:r>
      <w:r>
        <w:rPr>
          <w:snapToGrid w:val="0"/>
        </w:rPr>
        <w:t>.</w:t>
      </w:r>
      <w:r>
        <w:rPr>
          <w:snapToGrid w:val="0"/>
        </w:rPr>
        <w:tab/>
        <w:t>Power to demand name, age and address</w:t>
      </w:r>
      <w:r>
        <w:tab/>
      </w:r>
      <w:r>
        <w:fldChar w:fldCharType="begin"/>
      </w:r>
      <w:r>
        <w:instrText xml:space="preserve"> PAGEREF _Toc415650348 \h </w:instrText>
      </w:r>
      <w:r>
        <w:fldChar w:fldCharType="separate"/>
      </w:r>
      <w:r>
        <w:t>72</w:t>
      </w:r>
      <w:r>
        <w:fldChar w:fldCharType="end"/>
      </w:r>
    </w:p>
    <w:p>
      <w:pPr>
        <w:pStyle w:val="TOC8"/>
        <w:rPr>
          <w:rFonts w:asciiTheme="minorHAnsi" w:eastAsiaTheme="minorEastAsia" w:hAnsiTheme="minorHAnsi" w:cstheme="minorBidi"/>
          <w:szCs w:val="22"/>
        </w:rPr>
      </w:pPr>
      <w:r>
        <w:t>141.</w:t>
      </w:r>
      <w:r>
        <w:tab/>
        <w:t>Evidentiary provisions to facilitate proof</w:t>
      </w:r>
      <w:r>
        <w:tab/>
      </w:r>
      <w:r>
        <w:fldChar w:fldCharType="begin"/>
      </w:r>
      <w:r>
        <w:instrText xml:space="preserve"> PAGEREF _Toc415650349 \h </w:instrText>
      </w:r>
      <w:r>
        <w:fldChar w:fldCharType="separate"/>
      </w:r>
      <w:r>
        <w:t>73</w:t>
      </w:r>
      <w:r>
        <w:fldChar w:fldCharType="end"/>
      </w:r>
    </w:p>
    <w:p>
      <w:pPr>
        <w:pStyle w:val="TOC8"/>
        <w:rPr>
          <w:rFonts w:asciiTheme="minorHAnsi" w:eastAsiaTheme="minorEastAsia" w:hAnsiTheme="minorHAnsi" w:cstheme="minorBidi"/>
          <w:szCs w:val="22"/>
        </w:rPr>
      </w:pPr>
      <w:r>
        <w:t>141A.</w:t>
      </w:r>
      <w:r>
        <w:tab/>
        <w:t>Proof of classification by agreement</w:t>
      </w:r>
      <w:r>
        <w:tab/>
      </w:r>
      <w:r>
        <w:fldChar w:fldCharType="begin"/>
      </w:r>
      <w:r>
        <w:instrText xml:space="preserve"> PAGEREF _Toc415650350 \h </w:instrText>
      </w:r>
      <w:r>
        <w:fldChar w:fldCharType="separate"/>
      </w:r>
      <w:r>
        <w:t>74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Protection from personal liability</w:t>
      </w:r>
      <w:r>
        <w:tab/>
      </w:r>
      <w:r>
        <w:fldChar w:fldCharType="begin"/>
      </w:r>
      <w:r>
        <w:instrText xml:space="preserve"> PAGEREF _Toc415650351 \h </w:instrText>
      </w:r>
      <w:r>
        <w:fldChar w:fldCharType="separate"/>
      </w:r>
      <w:r>
        <w:t>77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Regulations</w:t>
      </w:r>
      <w:r>
        <w:tab/>
      </w:r>
      <w:r>
        <w:fldChar w:fldCharType="begin"/>
      </w:r>
      <w:r>
        <w:instrText xml:space="preserve"> PAGEREF _Toc415650352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savings, consequential amendments and repeals</w:t>
      </w:r>
    </w:p>
    <w:p>
      <w:pPr>
        <w:pStyle w:val="TOC8"/>
        <w:rPr>
          <w:rFonts w:asciiTheme="minorHAnsi" w:eastAsiaTheme="minorEastAsia" w:hAnsiTheme="minorHAnsi" w:cstheme="minorBidi"/>
          <w:szCs w:val="22"/>
        </w:rPr>
      </w:pPr>
      <w:r>
        <w:t>144</w:t>
      </w:r>
      <w:r>
        <w:rPr>
          <w:snapToGrid w:val="0"/>
        </w:rPr>
        <w:t>.</w:t>
      </w:r>
      <w:r>
        <w:rPr>
          <w:snapToGrid w:val="0"/>
        </w:rPr>
        <w:tab/>
        <w:t>Term used: commencement</w:t>
      </w:r>
      <w:r>
        <w:tab/>
      </w:r>
      <w:r>
        <w:fldChar w:fldCharType="begin"/>
      </w:r>
      <w:r>
        <w:instrText xml:space="preserve"> PAGEREF _Toc415650354 \h </w:instrText>
      </w:r>
      <w:r>
        <w:fldChar w:fldCharType="separate"/>
      </w:r>
      <w:r>
        <w:t>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Pending applications</w:t>
      </w:r>
      <w:r>
        <w:tab/>
      </w:r>
      <w:r>
        <w:fldChar w:fldCharType="begin"/>
      </w:r>
      <w:r>
        <w:instrText xml:space="preserve"> PAGEREF _Toc415650355 \h </w:instrText>
      </w:r>
      <w:r>
        <w:fldChar w:fldCharType="separate"/>
      </w:r>
      <w:r>
        <w:t>79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Savings provisions for publications</w:t>
      </w:r>
      <w:r>
        <w:tab/>
      </w:r>
      <w:r>
        <w:fldChar w:fldCharType="begin"/>
      </w:r>
      <w:r>
        <w:instrText xml:space="preserve"> PAGEREF _Toc415650356 \h </w:instrText>
      </w:r>
      <w:r>
        <w:fldChar w:fldCharType="separate"/>
      </w:r>
      <w:r>
        <w:t>79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Transitional and savings provisions for films</w:t>
      </w:r>
      <w:r>
        <w:tab/>
      </w:r>
      <w:r>
        <w:fldChar w:fldCharType="begin"/>
      </w:r>
      <w:r>
        <w:instrText xml:space="preserve"> PAGEREF _Toc415650357 \h </w:instrText>
      </w:r>
      <w:r>
        <w:fldChar w:fldCharType="separate"/>
      </w:r>
      <w:r>
        <w:t>79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Transitional and savings provisions for videos</w:t>
      </w:r>
      <w:r>
        <w:tab/>
      </w:r>
      <w:r>
        <w:fldChar w:fldCharType="begin"/>
      </w:r>
      <w:r>
        <w:instrText xml:space="preserve"> PAGEREF _Toc415650358 \h </w:instrText>
      </w:r>
      <w:r>
        <w:fldChar w:fldCharType="separate"/>
      </w:r>
      <w:r>
        <w:t>80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Transitional provisions for computer games</w:t>
      </w:r>
      <w:r>
        <w:tab/>
      </w:r>
      <w:r>
        <w:fldChar w:fldCharType="begin"/>
      </w:r>
      <w:r>
        <w:instrText xml:space="preserve"> PAGEREF _Toc415650359 \h </w:instrText>
      </w:r>
      <w:r>
        <w:fldChar w:fldCharType="separate"/>
      </w:r>
      <w:r>
        <w:t>81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Savings provisions for registration</w:t>
      </w:r>
      <w:r>
        <w:tab/>
      </w:r>
      <w:r>
        <w:fldChar w:fldCharType="begin"/>
      </w:r>
      <w:r>
        <w:instrText xml:space="preserve"> PAGEREF _Toc415650360 \h </w:instrText>
      </w:r>
      <w:r>
        <w:fldChar w:fldCharType="separate"/>
      </w:r>
      <w:r>
        <w:t>82</w:t>
      </w:r>
      <w:r>
        <w:fldChar w:fldCharType="end"/>
      </w:r>
    </w:p>
    <w:p>
      <w:pPr>
        <w:pStyle w:val="TOC8"/>
        <w:rPr>
          <w:rFonts w:asciiTheme="minorHAnsi" w:eastAsiaTheme="minorEastAsia" w:hAnsiTheme="minorHAnsi" w:cstheme="minorBidi"/>
          <w:szCs w:val="22"/>
        </w:rPr>
      </w:pPr>
      <w:r>
        <w:t>152A.</w:t>
      </w:r>
      <w:r>
        <w:tab/>
        <w:t>Advertisements for unclassified films</w:t>
      </w:r>
      <w:r>
        <w:tab/>
      </w:r>
      <w:r>
        <w:fldChar w:fldCharType="begin"/>
      </w:r>
      <w:r>
        <w:instrText xml:space="preserve"> PAGEREF _Toc415650361 \h </w:instrText>
      </w:r>
      <w:r>
        <w:fldChar w:fldCharType="separate"/>
      </w:r>
      <w:r>
        <w:t>82</w:t>
      </w:r>
      <w:r>
        <w:fldChar w:fldCharType="end"/>
      </w:r>
    </w:p>
    <w:p>
      <w:pPr>
        <w:pStyle w:val="TOC8"/>
        <w:rPr>
          <w:rFonts w:asciiTheme="minorHAnsi" w:eastAsiaTheme="minorEastAsia" w:hAnsiTheme="minorHAnsi" w:cstheme="minorBidi"/>
          <w:szCs w:val="22"/>
        </w:rPr>
      </w:pPr>
      <w:r>
        <w:t>153A.</w:t>
      </w:r>
      <w:r>
        <w:tab/>
        <w:t>Change of classification of computer games from MA 15+ to R 18+</w:t>
      </w:r>
      <w:r>
        <w:tab/>
      </w:r>
      <w:r>
        <w:fldChar w:fldCharType="begin"/>
      </w:r>
      <w:r>
        <w:instrText xml:space="preserve"> PAGEREF _Toc415650362 \h </w:instrText>
      </w:r>
      <w:r>
        <w:fldChar w:fldCharType="separate"/>
      </w:r>
      <w:r>
        <w:t>83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Repeals</w:t>
      </w:r>
      <w:r>
        <w:tab/>
      </w:r>
      <w:r>
        <w:fldChar w:fldCharType="begin"/>
      </w:r>
      <w:r>
        <w:instrText xml:space="preserve"> PAGEREF _Toc415650363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_Toc415650365 \h </w:instrText>
      </w:r>
      <w:r>
        <w:fldChar w:fldCharType="separate"/>
      </w:r>
      <w:r>
        <w:t>85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pPr>
      <w:r>
        <w:rPr>
          <w:iCs/>
        </w:rPr>
        <w:t xml:space="preserve">Classification (Publications, Films and Computer Games) Enforcement </w:t>
      </w:r>
      <w:r>
        <w:t>Act 1996</w:t>
      </w:r>
    </w:p>
    <w:p>
      <w:pPr>
        <w:pStyle w:val="LongTitle"/>
        <w:spacing w:before="600"/>
        <w:rPr>
          <w:snapToGrid w:val="0"/>
        </w:rPr>
      </w:pPr>
      <w:r>
        <w:rPr>
          <w:snapToGrid w:val="0"/>
        </w:rPr>
        <w:t>An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3" w:name="_Toc375052600"/>
      <w:bookmarkStart w:id="4" w:name="_Toc415650234"/>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5052601"/>
      <w:bookmarkStart w:id="6" w:name="_Toc415650235"/>
      <w:r>
        <w:rPr>
          <w:rStyle w:val="CharSectno"/>
        </w:rPr>
        <w:t>1</w:t>
      </w:r>
      <w:r>
        <w:rPr>
          <w:snapToGrid w:val="0"/>
        </w:rPr>
        <w:t>.</w:t>
      </w:r>
      <w:r>
        <w:rPr>
          <w:snapToGrid w:val="0"/>
        </w:rPr>
        <w:tab/>
        <w:t>Short title</w:t>
      </w:r>
      <w:bookmarkEnd w:id="5"/>
      <w:bookmarkEnd w:id="6"/>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7" w:name="_Toc375052602"/>
      <w:bookmarkStart w:id="8" w:name="_Toc415650236"/>
      <w:r>
        <w:rPr>
          <w:rStyle w:val="CharSectno"/>
        </w:rPr>
        <w:t>2</w:t>
      </w:r>
      <w:r>
        <w:rPr>
          <w:snapToGrid w:val="0"/>
        </w:rPr>
        <w:t>.</w:t>
      </w:r>
      <w:r>
        <w:rPr>
          <w:snapToGrid w:val="0"/>
        </w:rPr>
        <w:tab/>
        <w:t>Commencement</w:t>
      </w:r>
      <w:bookmarkEnd w:id="7"/>
      <w:bookmarkEnd w:id="8"/>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9" w:name="_Toc375052603"/>
      <w:bookmarkStart w:id="10" w:name="_Toc415650237"/>
      <w:r>
        <w:rPr>
          <w:rStyle w:val="CharSectno"/>
        </w:rPr>
        <w:t>3</w:t>
      </w:r>
      <w:r>
        <w:rPr>
          <w:snapToGrid w:val="0"/>
        </w:rPr>
        <w:t>.</w:t>
      </w:r>
      <w:r>
        <w:rPr>
          <w:snapToGrid w:val="0"/>
        </w:rPr>
        <w:tab/>
        <w:t>Terms used</w:t>
      </w:r>
      <w:bookmarkEnd w:id="9"/>
      <w:bookmarkEnd w:id="10"/>
    </w:p>
    <w:p>
      <w:pPr>
        <w:pStyle w:val="Subsection"/>
      </w:pPr>
      <w:r>
        <w:tab/>
      </w:r>
      <w:r>
        <w:tab/>
        <w:t>In this Act, unless the contrary intention appears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pPr>
      <w:r>
        <w:tab/>
      </w:r>
      <w:r>
        <w:rPr>
          <w:rStyle w:val="CharDefText"/>
        </w:rPr>
        <w:t>advertising scheme</w:t>
      </w:r>
      <w:r>
        <w:t xml:space="preserve"> means the scheme determined from time to time under section 31(1) of the Commonwealth Act;</w:t>
      </w:r>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under section 8A of the Commonwealth Act;</w:t>
      </w:r>
    </w:p>
    <w:p>
      <w:pPr>
        <w:pStyle w:val="Defstart"/>
      </w:pPr>
      <w:r>
        <w:rPr>
          <w:b/>
        </w:rPr>
        <w:tab/>
      </w:r>
      <w:r>
        <w:rPr>
          <w:rStyle w:val="CharDefText"/>
        </w:rPr>
        <w:t>article</w:t>
      </w:r>
      <w:r>
        <w:t xml:space="preserve"> includes —</w:t>
      </w:r>
    </w:p>
    <w:p>
      <w:pPr>
        <w:pStyle w:val="Defpara"/>
      </w:pPr>
      <w:r>
        <w:tab/>
        <w:t>(a)</w:t>
      </w:r>
      <w:r>
        <w:tab/>
        <w:t>a publication; and</w:t>
      </w:r>
    </w:p>
    <w:p>
      <w:pPr>
        <w:pStyle w:val="Defpara"/>
      </w:pPr>
      <w:r>
        <w:tab/>
        <w:t>(b)</w:t>
      </w:r>
      <w:r>
        <w:tab/>
        <w:t>a film; and</w:t>
      </w:r>
    </w:p>
    <w:p>
      <w:pPr>
        <w:pStyle w:val="Defpara"/>
      </w:pPr>
      <w:r>
        <w:tab/>
        <w:t>(c)</w:t>
      </w:r>
      <w:r>
        <w:tab/>
        <w:t>a computer programme and associated data; and</w:t>
      </w:r>
    </w:p>
    <w:p>
      <w:pPr>
        <w:pStyle w:val="Defpara"/>
      </w:pPr>
      <w:r>
        <w:tab/>
        <w:t>(d)</w:t>
      </w:r>
      <w:r>
        <w:tab/>
        <w:t>a photograph; and</w:t>
      </w:r>
    </w:p>
    <w:p>
      <w:pPr>
        <w:pStyle w:val="Defpara"/>
      </w:pPr>
      <w:r>
        <w:tab/>
        <w:t>(e)</w:t>
      </w:r>
      <w:r>
        <w:tab/>
        <w:t>an object; and</w:t>
      </w:r>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pPr>
      <w:r>
        <w:tab/>
      </w:r>
      <w:r>
        <w:rPr>
          <w:rStyle w:val="CharDefText"/>
        </w:rPr>
        <w:t>classification certificate</w:t>
      </w:r>
      <w:r>
        <w:t xml:space="preserve"> means a certificate issued under section 25 of the Commonwealth Act;</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Australia Gazette</w:t>
          </w:r>
        </w:smartTag>
      </w:smartTag>
      <w:r>
        <w:t>;</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R 18+ or RC;</w:t>
      </w:r>
    </w:p>
    <w:p>
      <w:pPr>
        <w:pStyle w:val="Defstart"/>
      </w:pPr>
      <w:r>
        <w:rPr>
          <w:b/>
        </w:rPr>
        <w:tab/>
      </w:r>
      <w:r>
        <w:rPr>
          <w:rStyle w:val="CharDefText"/>
        </w:rPr>
        <w:t>Convenor</w:t>
      </w:r>
      <w:r>
        <w:t xml:space="preserve"> means the Convenor of the Review Board appointed under section 74 of the Commonwealth Act;</w:t>
      </w:r>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spacing w:before="60"/>
      </w:pPr>
      <w:r>
        <w:tab/>
      </w:r>
      <w:r>
        <w:rPr>
          <w:rStyle w:val="CharDefText"/>
        </w:rPr>
        <w:t>determined markings</w:t>
      </w:r>
      <w:r>
        <w:t xml:space="preserve"> means markings determined under section 8 of the Commonwealth Act;</w:t>
      </w:r>
    </w:p>
    <w:p>
      <w:pPr>
        <w:pStyle w:val="Defstart"/>
        <w:spacing w:before="60"/>
      </w:pPr>
      <w:r>
        <w:tab/>
      </w:r>
      <w:r>
        <w:rPr>
          <w:rStyle w:val="CharDefText"/>
        </w:rPr>
        <w:t>Director</w:t>
      </w:r>
      <w:r>
        <w:t xml:space="preserve"> means Director of the Classification Board appointed under section 48 of the Commonwealth Act;</w:t>
      </w:r>
    </w:p>
    <w:p>
      <w:pPr>
        <w:pStyle w:val="Defstart"/>
        <w:spacing w:before="60"/>
      </w:pPr>
      <w:r>
        <w:tab/>
      </w:r>
      <w:r>
        <w:rPr>
          <w:rStyle w:val="CharDefText"/>
        </w:rPr>
        <w:t>exempt computer game</w:t>
      </w:r>
      <w:r>
        <w:t xml:space="preserve"> has the same meaning as in the Commonwealth Act;</w:t>
      </w:r>
    </w:p>
    <w:p>
      <w:pPr>
        <w:pStyle w:val="Defstart"/>
        <w:spacing w:before="60"/>
      </w:pPr>
      <w:r>
        <w:tab/>
      </w:r>
      <w:r>
        <w:rPr>
          <w:rStyle w:val="CharDefText"/>
        </w:rPr>
        <w:t>exempt film</w:t>
      </w:r>
      <w:r>
        <w:t xml:space="preserve"> has the same meaning as in the Commonwealth Act;</w:t>
      </w:r>
    </w:p>
    <w:p>
      <w:pPr>
        <w:pStyle w:val="Defstart"/>
        <w:spacing w:before="60"/>
      </w:pPr>
      <w:r>
        <w:rPr>
          <w:b/>
        </w:rPr>
        <w:tab/>
      </w:r>
      <w:r>
        <w:rPr>
          <w:rStyle w:val="CharDefText"/>
        </w:rPr>
        <w:t>exhibit</w:t>
      </w:r>
      <w:r>
        <w:t>, in relation to a film, means project or screen;</w:t>
      </w:r>
    </w:p>
    <w:p>
      <w:pPr>
        <w:pStyle w:val="Defstart"/>
        <w:spacing w:before="60"/>
      </w:pPr>
      <w:r>
        <w:tab/>
      </w:r>
      <w:r>
        <w:rPr>
          <w:rStyle w:val="CharDefText"/>
        </w:rPr>
        <w:t>film</w:t>
      </w:r>
      <w:r>
        <w:t xml:space="preserve"> has the same meaning as in the Commonwealth Act;</w:t>
      </w:r>
    </w:p>
    <w:p>
      <w:pPr>
        <w:pStyle w:val="Defstart"/>
        <w:spacing w:before="60"/>
      </w:pPr>
      <w:r>
        <w:tab/>
      </w:r>
      <w:r>
        <w:rPr>
          <w:rStyle w:val="CharDefText"/>
        </w:rPr>
        <w:t>international flight</w:t>
      </w:r>
      <w:r>
        <w:t xml:space="preserve">, in relation to an aircraft, means a flight that passes through the air space over the territory of more than one country and includes any part of the flight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international voyage</w:t>
      </w:r>
      <w:r>
        <w:t xml:space="preserve">, in relation to a vessel, means a voyage, whether direct or indirect, between a place in </w:t>
      </w:r>
      <w:smartTag w:uri="urn:schemas-microsoft-com:office:smarttags" w:element="country-region">
        <w:r>
          <w:t>Australia</w:t>
        </w:r>
      </w:smartTag>
      <w:r>
        <w:t xml:space="preserve"> and a place outside </w:t>
      </w:r>
      <w:smartTag w:uri="urn:schemas-microsoft-com:office:smarttags" w:element="country-region">
        <w:r>
          <w:t>Australia</w:t>
        </w:r>
      </w:smartTag>
      <w:r>
        <w:t xml:space="preserve"> and includes any part of the voyage that may occur within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minor</w:t>
      </w:r>
      <w:r>
        <w:t xml:space="preserve"> means a person who is under 18 years of age;</w:t>
      </w:r>
    </w:p>
    <w:p>
      <w:pPr>
        <w:pStyle w:val="Defstart"/>
        <w:spacing w:before="60"/>
      </w:pPr>
      <w:r>
        <w:tab/>
      </w:r>
      <w:r>
        <w:rPr>
          <w:rStyle w:val="CharDefText"/>
        </w:rPr>
        <w:t>place</w:t>
      </w:r>
      <w:r>
        <w:t xml:space="preserve"> includes vacant land, premises, a vehicle, a vessel and an aircraft (except a vessel on an international voyage or an aircraft on an international flight);</w:t>
      </w:r>
    </w:p>
    <w:p>
      <w:pPr>
        <w:pStyle w:val="Defstart"/>
        <w:spacing w:before="60"/>
      </w:pPr>
      <w:r>
        <w:tab/>
      </w:r>
      <w:r>
        <w:rPr>
          <w:rStyle w:val="CharDefText"/>
        </w:rPr>
        <w:t>publication</w:t>
      </w:r>
      <w:r>
        <w:t xml:space="preserve"> has the same meaning as in the Commonwealth Act;</w:t>
      </w:r>
    </w:p>
    <w:p>
      <w:pPr>
        <w:pStyle w:val="Defstart"/>
        <w:spacing w:before="60"/>
      </w:pPr>
      <w:r>
        <w:rPr>
          <w:b/>
        </w:rPr>
        <w:tab/>
      </w:r>
      <w:r>
        <w:rPr>
          <w:rStyle w:val="CharDefText"/>
        </w:rPr>
        <w:t>public place</w:t>
      </w:r>
      <w:r>
        <w:t xml:space="preserve"> includes —</w:t>
      </w:r>
    </w:p>
    <w:p>
      <w:pPr>
        <w:pStyle w:val="Defpara"/>
        <w:spacing w:before="60"/>
      </w:pPr>
      <w:r>
        <w:tab/>
        <w:t>(a)</w:t>
      </w:r>
      <w:r>
        <w:tab/>
        <w:t>a place to which free access is allowed to the public with the express or implied approval of the owner or occupier of that place; and</w:t>
      </w:r>
    </w:p>
    <w:p>
      <w:pPr>
        <w:pStyle w:val="Defpara"/>
        <w:spacing w:before="60"/>
      </w:pPr>
      <w:r>
        <w:tab/>
        <w:t>(b)</w:t>
      </w:r>
      <w:r>
        <w:tab/>
        <w:t>a place to which the public are admitted on payment of consideration; and</w:t>
      </w:r>
    </w:p>
    <w:p>
      <w:pPr>
        <w:pStyle w:val="Defpara"/>
        <w:spacing w:before="60"/>
      </w:pPr>
      <w:r>
        <w:tab/>
        <w:t>(c)</w:t>
      </w:r>
      <w:r>
        <w:tab/>
        <w:t>a place on private property that the public are allowed to use as a thoroughfare for pedestrians or vehicles, or both; and</w:t>
      </w:r>
    </w:p>
    <w:p>
      <w:pPr>
        <w:pStyle w:val="Defpara"/>
        <w:spacing w:before="60"/>
      </w:pPr>
      <w:r>
        <w:tab/>
        <w:t>(d)</w:t>
      </w:r>
      <w:r>
        <w:tab/>
        <w:t>a public place covered by water; and</w:t>
      </w:r>
    </w:p>
    <w:p>
      <w:pPr>
        <w:pStyle w:val="Defpara"/>
        <w:spacing w:before="60"/>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w:t>
      </w:r>
    </w:p>
    <w:p>
      <w:pPr>
        <w:pStyle w:val="Defpara"/>
        <w:spacing w:before="60"/>
      </w:pPr>
      <w:r>
        <w:tab/>
        <w:t>(a)</w:t>
      </w:r>
      <w:r>
        <w:tab/>
        <w:t>sell, whether by retail or wholesale; and</w:t>
      </w:r>
    </w:p>
    <w:p>
      <w:pPr>
        <w:pStyle w:val="Defpara"/>
        <w:spacing w:before="60"/>
      </w:pPr>
      <w:r>
        <w:tab/>
        <w:t>(b)</w:t>
      </w:r>
      <w:r>
        <w:tab/>
        <w:t>let on hire; and</w:t>
      </w:r>
    </w:p>
    <w:p>
      <w:pPr>
        <w:pStyle w:val="Defpara"/>
        <w:spacing w:before="60"/>
      </w:pPr>
      <w:r>
        <w:tab/>
        <w:t>(c)</w:t>
      </w:r>
      <w:r>
        <w:tab/>
        <w:t>expose for sale or hire; and</w:t>
      </w:r>
    </w:p>
    <w:p>
      <w:pPr>
        <w:pStyle w:val="Defpara"/>
        <w:spacing w:before="60"/>
      </w:pPr>
      <w:r>
        <w:tab/>
        <w:t>(d)</w:t>
      </w:r>
      <w:r>
        <w:tab/>
        <w:t>distribute for sale or letting on hire; and</w:t>
      </w:r>
    </w:p>
    <w:p>
      <w:pPr>
        <w:pStyle w:val="Defpara"/>
        <w:spacing w:before="60"/>
      </w:pPr>
      <w:r>
        <w:tab/>
        <w:t>(e)</w:t>
      </w:r>
      <w:r>
        <w:tab/>
        <w:t>offer or agree to do an act mentioned in paragraphs (a) to (d); and</w:t>
      </w:r>
    </w:p>
    <w:p>
      <w:pPr>
        <w:pStyle w:val="Defpara"/>
        <w:spacing w:before="60"/>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spacing w:before="100"/>
        <w:ind w:left="890" w:hanging="890"/>
      </w:pPr>
      <w:r>
        <w:tab/>
        <w:t>[Section 3 amended by No. 30 of 2003 s. 5; No. 10 of 2006 s. 5 and 12; No. 21 of 2010 s. 7, 17 and 28; No. 53 of 2012 s. 4.]</w:t>
      </w:r>
    </w:p>
    <w:p>
      <w:pPr>
        <w:pStyle w:val="Heading5"/>
        <w:rPr>
          <w:snapToGrid w:val="0"/>
        </w:rPr>
      </w:pPr>
      <w:bookmarkStart w:id="11" w:name="_Toc375052604"/>
      <w:bookmarkStart w:id="12" w:name="_Toc415650238"/>
      <w:r>
        <w:rPr>
          <w:rStyle w:val="CharSectno"/>
        </w:rPr>
        <w:t>4</w:t>
      </w:r>
      <w:r>
        <w:rPr>
          <w:snapToGrid w:val="0"/>
        </w:rPr>
        <w:t>.</w:t>
      </w:r>
      <w:r>
        <w:rPr>
          <w:snapToGrid w:val="0"/>
        </w:rPr>
        <w:tab/>
        <w:t>Exhibiting a film in a public place, defined</w:t>
      </w:r>
      <w:bookmarkEnd w:id="11"/>
      <w:bookmarkEnd w:id="12"/>
    </w:p>
    <w:p>
      <w:pPr>
        <w:pStyle w:val="Subsection"/>
      </w:pPr>
      <w:r>
        <w:tab/>
      </w:r>
      <w:r>
        <w:tab/>
        <w:t>For the purposes of this Act, a person is taken to exhibit a film in a public place if the person —</w:t>
      </w:r>
    </w:p>
    <w:p>
      <w:pPr>
        <w:pStyle w:val="Indenta"/>
        <w:spacing w:before="60"/>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13" w:name="_Toc375052605"/>
      <w:bookmarkStart w:id="14" w:name="_Toc415650239"/>
      <w:r>
        <w:rPr>
          <w:rStyle w:val="CharSectno"/>
        </w:rPr>
        <w:t>5</w:t>
      </w:r>
      <w:r>
        <w:rPr>
          <w:snapToGrid w:val="0"/>
        </w:rPr>
        <w:t>.</w:t>
      </w:r>
      <w:r>
        <w:rPr>
          <w:snapToGrid w:val="0"/>
        </w:rPr>
        <w:tab/>
        <w:t>Sound recordings, general provisions about</w:t>
      </w:r>
      <w:bookmarkEnd w:id="13"/>
      <w:bookmarkEnd w:id="14"/>
    </w:p>
    <w:p>
      <w:pPr>
        <w:pStyle w:val="Subsection"/>
      </w:pPr>
      <w:r>
        <w:tab/>
      </w:r>
      <w:r>
        <w:tab/>
        <w:t>For the purposes of this Act —</w:t>
      </w:r>
    </w:p>
    <w:p>
      <w:pPr>
        <w:pStyle w:val="Indenta"/>
        <w:rPr>
          <w:snapToGrid w:val="0"/>
        </w:rPr>
      </w:pPr>
      <w:r>
        <w:rPr>
          <w:snapToGrid w:val="0"/>
        </w:rPr>
        <w:tab/>
        <w:t>(a)</w:t>
      </w:r>
      <w:r>
        <w:rPr>
          <w:snapToGrid w:val="0"/>
        </w:rPr>
        <w:tab/>
        <w:t>a sound recording is taken to be indecent or obscene if the words or sounds capable of being reproduced from the sound recording are indecent or obscene; and</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15" w:name="_Toc375052606"/>
      <w:bookmarkStart w:id="16" w:name="_Toc415650240"/>
      <w:r>
        <w:rPr>
          <w:rStyle w:val="CharSectno"/>
        </w:rPr>
        <w:t>6</w:t>
      </w:r>
      <w:r>
        <w:t>.</w:t>
      </w:r>
      <w:r>
        <w:tab/>
        <w:t>Application of Act</w:t>
      </w:r>
      <w:bookmarkEnd w:id="15"/>
      <w:bookmarkEnd w:id="16"/>
    </w:p>
    <w:p>
      <w:pPr>
        <w:pStyle w:val="Subsection"/>
      </w:pPr>
      <w:r>
        <w:tab/>
      </w:r>
      <w:r>
        <w:tab/>
        <w:t>This Act does not apply to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Heading5"/>
      </w:pPr>
      <w:bookmarkStart w:id="17" w:name="_Toc375052607"/>
      <w:bookmarkStart w:id="18" w:name="_Toc415650241"/>
      <w:r>
        <w:rPr>
          <w:rStyle w:val="CharSectno"/>
        </w:rPr>
        <w:t>7</w:t>
      </w:r>
      <w:r>
        <w:t>.</w:t>
      </w:r>
      <w:r>
        <w:tab/>
        <w:t>Films consisting only of classified films</w:t>
      </w:r>
      <w:bookmarkEnd w:id="17"/>
      <w:bookmarkEnd w:id="18"/>
    </w:p>
    <w:p>
      <w:pPr>
        <w:pStyle w:val="Subsection"/>
      </w:pPr>
      <w:r>
        <w:tab/>
      </w:r>
      <w:r>
        <w:tab/>
        <w:t>Despite any other provision of this Act, a film —</w:t>
      </w:r>
    </w:p>
    <w:p>
      <w:pPr>
        <w:pStyle w:val="Indenta"/>
      </w:pPr>
      <w:r>
        <w:tab/>
        <w:t>(a)</w:t>
      </w:r>
      <w:r>
        <w:tab/>
        <w:t>that is contained on one device; and</w:t>
      </w:r>
    </w:p>
    <w:p>
      <w:pPr>
        <w:pStyle w:val="Indenta"/>
      </w:pPr>
      <w:r>
        <w:tab/>
        <w:t>(b)</w:t>
      </w:r>
      <w:r>
        <w:tab/>
        <w:t>that consists only of 2 or more classified films,</w:t>
      </w:r>
    </w:p>
    <w:p>
      <w:pPr>
        <w:pStyle w:val="Subsection"/>
      </w:pPr>
      <w:r>
        <w:tab/>
      </w:r>
      <w:r>
        <w:tab/>
        <w:t>is to be treated, for the purposes of this Act, as if each of the classified films were on a separate device.</w:t>
      </w:r>
    </w:p>
    <w:p>
      <w:pPr>
        <w:pStyle w:val="Footnotesection"/>
      </w:pPr>
      <w:r>
        <w:tab/>
        <w:t>[Section 7 inserted by No. 21 of 2010 s. 18.]</w:t>
      </w:r>
    </w:p>
    <w:p>
      <w:pPr>
        <w:pStyle w:val="Ednotepart"/>
        <w:rPr>
          <w:b/>
        </w:rPr>
      </w:pPr>
      <w:r>
        <w:t>[Parts 2</w:t>
      </w:r>
      <w:r>
        <w:noBreakHyphen/>
        <w:t>6 (s. 8</w:t>
      </w:r>
      <w:r>
        <w:noBreakHyphen/>
        <w:t>56) deleted by No. 30 of 2003 s. 7.]</w:t>
      </w:r>
    </w:p>
    <w:p>
      <w:pPr>
        <w:pStyle w:val="Heading2"/>
      </w:pPr>
      <w:bookmarkStart w:id="19" w:name="_Toc375052608"/>
      <w:bookmarkStart w:id="20" w:name="_Toc415650242"/>
      <w:r>
        <w:rPr>
          <w:rStyle w:val="CharPartNo"/>
        </w:rPr>
        <w:t>Part 7</w:t>
      </w:r>
      <w:r>
        <w:t> — </w:t>
      </w:r>
      <w:r>
        <w:rPr>
          <w:rStyle w:val="CharPartText"/>
        </w:rPr>
        <w:t>Offences</w:t>
      </w:r>
      <w:bookmarkEnd w:id="19"/>
      <w:bookmarkEnd w:id="20"/>
    </w:p>
    <w:p>
      <w:pPr>
        <w:pStyle w:val="Heading3"/>
        <w:rPr>
          <w:snapToGrid w:val="0"/>
        </w:rPr>
      </w:pPr>
      <w:bookmarkStart w:id="21" w:name="_Toc375052609"/>
      <w:bookmarkStart w:id="22" w:name="_Toc415650243"/>
      <w:r>
        <w:rPr>
          <w:rStyle w:val="CharDivNo"/>
        </w:rPr>
        <w:t>Division 1</w:t>
      </w:r>
      <w:r>
        <w:rPr>
          <w:snapToGrid w:val="0"/>
        </w:rPr>
        <w:t> — </w:t>
      </w:r>
      <w:r>
        <w:rPr>
          <w:rStyle w:val="CharDivText"/>
        </w:rPr>
        <w:t>Indecent or obscene articles</w:t>
      </w:r>
      <w:bookmarkEnd w:id="21"/>
      <w:bookmarkEnd w:id="22"/>
    </w:p>
    <w:p>
      <w:pPr>
        <w:pStyle w:val="Footnoteheading"/>
        <w:tabs>
          <w:tab w:val="left" w:pos="851"/>
        </w:tabs>
      </w:pPr>
      <w:r>
        <w:tab/>
        <w:t>[Heading amended by No. 21 of 2010 s. 8.]</w:t>
      </w:r>
    </w:p>
    <w:p>
      <w:pPr>
        <w:pStyle w:val="Heading5"/>
        <w:rPr>
          <w:snapToGrid w:val="0"/>
        </w:rPr>
      </w:pPr>
      <w:bookmarkStart w:id="23" w:name="_Toc375052610"/>
      <w:bookmarkStart w:id="24" w:name="_Toc415650244"/>
      <w:r>
        <w:rPr>
          <w:rStyle w:val="CharSectno"/>
        </w:rPr>
        <w:t>57</w:t>
      </w:r>
      <w:r>
        <w:rPr>
          <w:snapToGrid w:val="0"/>
        </w:rPr>
        <w:t>.</w:t>
      </w:r>
      <w:r>
        <w:rPr>
          <w:snapToGrid w:val="0"/>
        </w:rPr>
        <w:tab/>
        <w:t>Division does not apply to certain articles</w:t>
      </w:r>
      <w:bookmarkEnd w:id="23"/>
      <w:bookmarkEnd w:id="24"/>
    </w:p>
    <w:p>
      <w:pPr>
        <w:pStyle w:val="Subsection"/>
      </w:pPr>
      <w:r>
        <w:tab/>
      </w:r>
      <w:r>
        <w:tab/>
        <w:t>This Division does not apply to —</w:t>
      </w:r>
    </w:p>
    <w:p>
      <w:pPr>
        <w:pStyle w:val="Indenta"/>
      </w:pPr>
      <w:r>
        <w:tab/>
        <w:t>(a)</w:t>
      </w:r>
      <w:r>
        <w:tab/>
        <w:t>a publication that is classified Unrestricted, Category 1 restricted or Category 2 restricted; or</w:t>
      </w:r>
    </w:p>
    <w:p>
      <w:pPr>
        <w:pStyle w:val="Indenta"/>
        <w:rPr>
          <w:snapToGrid w:val="0"/>
        </w:rPr>
      </w:pPr>
      <w:r>
        <w:rPr>
          <w:snapToGrid w:val="0"/>
        </w:rPr>
        <w:tab/>
        <w:t>(b)</w:t>
      </w:r>
      <w:r>
        <w:rPr>
          <w:snapToGrid w:val="0"/>
        </w:rPr>
        <w:tab/>
        <w:t>a film that is classified G, PG, M,</w:t>
      </w:r>
      <w:r>
        <w:t xml:space="preserve"> MA 15+, R 18+ or X 18+</w:t>
      </w:r>
      <w:r>
        <w:rPr>
          <w:snapToGrid w:val="0"/>
        </w:rPr>
        <w:t>; or</w:t>
      </w:r>
    </w:p>
    <w:p>
      <w:pPr>
        <w:pStyle w:val="Indenta"/>
        <w:rPr>
          <w:snapToGrid w:val="0"/>
        </w:rPr>
      </w:pPr>
      <w:r>
        <w:rPr>
          <w:snapToGrid w:val="0"/>
        </w:rPr>
        <w:tab/>
        <w:t>(c)</w:t>
      </w:r>
      <w:r>
        <w:rPr>
          <w:snapToGrid w:val="0"/>
        </w:rPr>
        <w:tab/>
        <w:t>a computer game that is classified G,</w:t>
      </w:r>
      <w:r>
        <w:t xml:space="preserve"> PG, M, MA 15+ or R 18+; or</w:t>
      </w:r>
    </w:p>
    <w:p>
      <w:pPr>
        <w:pStyle w:val="Indenta"/>
      </w:pPr>
      <w:r>
        <w:tab/>
        <w:t>(d)</w:t>
      </w:r>
      <w:r>
        <w:tab/>
        <w:t>an approved advertisement.</w:t>
      </w:r>
    </w:p>
    <w:p>
      <w:pPr>
        <w:pStyle w:val="Footnotesection"/>
      </w:pPr>
      <w:r>
        <w:tab/>
        <w:t>[Section 57 amended by No. 30 of 2003 s. 8; No. 10 of 2006 s. 13; No. 53 of 2012 s. 5.]</w:t>
      </w:r>
    </w:p>
    <w:p>
      <w:pPr>
        <w:pStyle w:val="Heading5"/>
        <w:rPr>
          <w:snapToGrid w:val="0"/>
        </w:rPr>
      </w:pPr>
      <w:bookmarkStart w:id="25" w:name="_Toc375052611"/>
      <w:bookmarkStart w:id="26" w:name="_Toc415650245"/>
      <w:r>
        <w:rPr>
          <w:rStyle w:val="CharSectno"/>
        </w:rPr>
        <w:t>58</w:t>
      </w:r>
      <w:r>
        <w:rPr>
          <w:snapToGrid w:val="0"/>
        </w:rPr>
        <w:t>.</w:t>
      </w:r>
      <w:r>
        <w:rPr>
          <w:snapToGrid w:val="0"/>
        </w:rPr>
        <w:tab/>
        <w:t xml:space="preserve">Literary etc. merit or </w:t>
      </w:r>
      <w:r>
        <w:rPr>
          <w:i/>
          <w:snapToGrid w:val="0"/>
        </w:rPr>
        <w:t>bona fide</w:t>
      </w:r>
      <w:r>
        <w:rPr>
          <w:snapToGrid w:val="0"/>
        </w:rPr>
        <w:t xml:space="preserve"> medical article, defence of</w:t>
      </w:r>
      <w:bookmarkEnd w:id="25"/>
      <w:bookmarkEnd w:id="26"/>
    </w:p>
    <w:p>
      <w:pPr>
        <w:pStyle w:val="Subsection"/>
      </w:pPr>
      <w:r>
        <w:tab/>
      </w:r>
      <w:r>
        <w:tab/>
        <w:t>It is a defence to a charge of an offence in this Division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spacing w:before="120"/>
      </w:pPr>
      <w:r>
        <w:tab/>
      </w:r>
      <w:r>
        <w:tab/>
        <w:t>and that publishing the article is justified as being for the public good.</w:t>
      </w:r>
    </w:p>
    <w:p>
      <w:pPr>
        <w:pStyle w:val="Heading5"/>
        <w:rPr>
          <w:snapToGrid w:val="0"/>
        </w:rPr>
      </w:pPr>
      <w:bookmarkStart w:id="27" w:name="_Toc375052612"/>
      <w:bookmarkStart w:id="28" w:name="_Toc415650246"/>
      <w:r>
        <w:rPr>
          <w:rStyle w:val="CharSectno"/>
        </w:rPr>
        <w:t>59</w:t>
      </w:r>
      <w:r>
        <w:rPr>
          <w:snapToGrid w:val="0"/>
        </w:rPr>
        <w:t>.</w:t>
      </w:r>
      <w:r>
        <w:rPr>
          <w:snapToGrid w:val="0"/>
        </w:rPr>
        <w:tab/>
        <w:t>Indecent or obscene articles, offences as to</w:t>
      </w:r>
      <w:bookmarkEnd w:id="27"/>
      <w:bookmarkEnd w:id="28"/>
    </w:p>
    <w:p>
      <w:pPr>
        <w:pStyle w:val="Subsection"/>
      </w:pPr>
      <w:r>
        <w:tab/>
        <w:t>(1)</w:t>
      </w:r>
      <w:r>
        <w:tab/>
        <w:t>A person must not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spacing w:before="120"/>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spacing w:before="150"/>
      </w:pPr>
      <w:r>
        <w:tab/>
        <w:t>(3)</w:t>
      </w:r>
      <w:r>
        <w:tab/>
        <w:t>A person must not display, exhibit or demonstrate an indecent or obscene article in a public place.</w:t>
      </w:r>
    </w:p>
    <w:p>
      <w:pPr>
        <w:pStyle w:val="Subsection"/>
        <w:spacing w:before="150"/>
      </w:pPr>
      <w:r>
        <w:tab/>
        <w:t>(4)</w:t>
      </w:r>
      <w:r>
        <w:tab/>
        <w:t>A person must not display, exhibit or demonstrate an indecent or obscene article so as to be visible in a public place.</w:t>
      </w:r>
    </w:p>
    <w:p>
      <w:pPr>
        <w:pStyle w:val="Subsection"/>
        <w:spacing w:before="150"/>
      </w:pPr>
      <w:r>
        <w:tab/>
        <w:t>(5)</w:t>
      </w:r>
      <w:r>
        <w:tab/>
        <w:t>A person must not possess or copy an indecent or obscene article.</w:t>
      </w:r>
    </w:p>
    <w:p>
      <w:pPr>
        <w:pStyle w:val="Subsection"/>
        <w:spacing w:before="150"/>
      </w:pPr>
      <w:r>
        <w:tab/>
        <w:t>(6)</w:t>
      </w:r>
      <w:r>
        <w:tab/>
        <w:t>A person must not leave in or upon any place an indecent or obscene article.</w:t>
      </w:r>
    </w:p>
    <w:p>
      <w:pPr>
        <w:pStyle w:val="Subsection"/>
        <w:spacing w:before="150"/>
      </w:pPr>
      <w:r>
        <w:tab/>
        <w:t>(7)</w:t>
      </w:r>
      <w:r>
        <w:tab/>
        <w:t>A person who contravenes subsection (1) or (3) commits an offence and is liable to a penalty of $10 000.</w:t>
      </w:r>
    </w:p>
    <w:p>
      <w:pPr>
        <w:pStyle w:val="Subsection"/>
        <w:spacing w:before="150"/>
      </w:pPr>
      <w:r>
        <w:tab/>
        <w:t>(8)</w:t>
      </w:r>
      <w:r>
        <w:tab/>
        <w:t>A person who contravenes subsection (2), (4), (5) or (6) commits an offence and is liable to a penalty of $5 000.</w:t>
      </w:r>
    </w:p>
    <w:p>
      <w:pPr>
        <w:pStyle w:val="Subsection"/>
        <w:spacing w:before="150"/>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spacing w:before="100"/>
        <w:ind w:left="890" w:hanging="890"/>
      </w:pPr>
      <w:r>
        <w:tab/>
        <w:t>[Section 59 amended by No. 30 of 2003 s. 41(1).]</w:t>
      </w:r>
    </w:p>
    <w:p>
      <w:pPr>
        <w:pStyle w:val="Ednotesection"/>
        <w:rPr>
          <w:b/>
        </w:rPr>
      </w:pPr>
      <w:r>
        <w:t>[</w:t>
      </w:r>
      <w:r>
        <w:rPr>
          <w:b/>
          <w:bCs/>
        </w:rPr>
        <w:t>60.</w:t>
      </w:r>
      <w:r>
        <w:tab/>
        <w:t>Deleted by No. 21 of 2010 s. 9.]</w:t>
      </w:r>
    </w:p>
    <w:p>
      <w:pPr>
        <w:pStyle w:val="Heading3"/>
      </w:pPr>
      <w:bookmarkStart w:id="29" w:name="_Toc375052613"/>
      <w:bookmarkStart w:id="30" w:name="_Toc415650247"/>
      <w:r>
        <w:rPr>
          <w:rStyle w:val="CharDivNo"/>
        </w:rPr>
        <w:t>Division 2</w:t>
      </w:r>
      <w:r>
        <w:t xml:space="preserve"> — </w:t>
      </w:r>
      <w:r>
        <w:rPr>
          <w:rStyle w:val="CharDivText"/>
        </w:rPr>
        <w:t>Publications</w:t>
      </w:r>
      <w:bookmarkEnd w:id="29"/>
      <w:bookmarkEnd w:id="30"/>
    </w:p>
    <w:p>
      <w:pPr>
        <w:pStyle w:val="Footnoteheading"/>
        <w:tabs>
          <w:tab w:val="left" w:pos="851"/>
        </w:tabs>
        <w:spacing w:before="100"/>
      </w:pPr>
      <w:r>
        <w:tab/>
        <w:t>[Heading inserted by No. 30 of 2003 s. 9.]</w:t>
      </w:r>
    </w:p>
    <w:p>
      <w:pPr>
        <w:pStyle w:val="Heading5"/>
      </w:pPr>
      <w:bookmarkStart w:id="31" w:name="_Toc375052614"/>
      <w:bookmarkStart w:id="32" w:name="_Toc415650248"/>
      <w:r>
        <w:rPr>
          <w:rStyle w:val="CharSectno"/>
        </w:rPr>
        <w:t>61</w:t>
      </w:r>
      <w:r>
        <w:t>.</w:t>
      </w:r>
      <w:r>
        <w:tab/>
      </w:r>
      <w:smartTag w:uri="urn:schemas-microsoft-com:office:smarttags" w:element="place">
        <w:smartTag w:uri="urn:schemas-microsoft-com:office:smarttags" w:element="City">
          <w:r>
            <w:t>Sale</w:t>
          </w:r>
        </w:smartTag>
      </w:smartTag>
      <w:r>
        <w:t xml:space="preserve"> or supply of submittable or RC publications</w:t>
      </w:r>
      <w:bookmarkEnd w:id="31"/>
      <w:bookmarkEnd w:id="32"/>
    </w:p>
    <w:p>
      <w:pPr>
        <w:pStyle w:val="Subsection"/>
      </w:pPr>
      <w:r>
        <w:tab/>
        <w:t>(1)</w:t>
      </w:r>
      <w:r>
        <w:tab/>
        <w:t>A person must not sell or supply —</w:t>
      </w:r>
    </w:p>
    <w:p>
      <w:pPr>
        <w:pStyle w:val="Indenta"/>
        <w:spacing w:before="60"/>
      </w:pPr>
      <w:r>
        <w:tab/>
        <w:t>(a)</w:t>
      </w:r>
      <w:r>
        <w:tab/>
        <w:t>a submittable publication; or</w:t>
      </w:r>
    </w:p>
    <w:p>
      <w:pPr>
        <w:pStyle w:val="Indenta"/>
        <w:spacing w:before="60"/>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33" w:name="_Toc375052615"/>
      <w:bookmarkStart w:id="34" w:name="_Toc415650249"/>
      <w:r>
        <w:rPr>
          <w:rStyle w:val="CharSectno"/>
        </w:rPr>
        <w:t>62</w:t>
      </w:r>
      <w:r>
        <w:t>.</w:t>
      </w:r>
      <w:r>
        <w:tab/>
        <w:t>Possession or copying of RC publications</w:t>
      </w:r>
      <w:bookmarkEnd w:id="33"/>
      <w:bookmarkEnd w:id="34"/>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35" w:name="_Toc375052616"/>
      <w:bookmarkStart w:id="36" w:name="_Toc415650250"/>
      <w:r>
        <w:rPr>
          <w:rStyle w:val="CharSectno"/>
        </w:rPr>
        <w:t>63</w:t>
      </w:r>
      <w:r>
        <w:t>.</w:t>
      </w:r>
      <w:r>
        <w:tab/>
        <w:t>Possession or copying of submittable publications with intention of selling</w:t>
      </w:r>
      <w:bookmarkEnd w:id="35"/>
      <w:bookmarkEnd w:id="36"/>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37" w:name="_Toc375052617"/>
      <w:bookmarkStart w:id="38" w:name="_Toc415650251"/>
      <w:r>
        <w:rPr>
          <w:rStyle w:val="CharSectno"/>
        </w:rPr>
        <w:t>64</w:t>
      </w:r>
      <w:r>
        <w:t>.</w:t>
      </w:r>
      <w:r>
        <w:tab/>
        <w:t>Category 1 restricted publications, offences as to</w:t>
      </w:r>
      <w:bookmarkEnd w:id="37"/>
      <w:bookmarkEnd w:id="38"/>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Subject to subsection (5), a person must not sell or supply a publication classified Category 1 restricted unless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If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39" w:name="_Toc375052618"/>
      <w:bookmarkStart w:id="40" w:name="_Toc415650252"/>
      <w:r>
        <w:rPr>
          <w:rStyle w:val="CharSectno"/>
        </w:rPr>
        <w:t>65</w:t>
      </w:r>
      <w:r>
        <w:t>.</w:t>
      </w:r>
      <w:r>
        <w:tab/>
        <w:t>Category 2 restricted publications, offences as to</w:t>
      </w:r>
      <w:bookmarkEnd w:id="39"/>
      <w:bookmarkEnd w:id="40"/>
    </w:p>
    <w:p>
      <w:pPr>
        <w:pStyle w:val="Subsection"/>
        <w:spacing w:before="100"/>
      </w:pPr>
      <w:r>
        <w:tab/>
        <w:t>(1)</w:t>
      </w:r>
      <w:r>
        <w:tab/>
        <w:t>A person must not display, sell or supply a publication that is classified Category 2 restricted except in registered premises.</w:t>
      </w:r>
    </w:p>
    <w:p>
      <w:pPr>
        <w:pStyle w:val="Penstart"/>
        <w:spacing w:before="70"/>
      </w:pPr>
      <w:r>
        <w:tab/>
        <w:t>Penalty: $5 000.</w:t>
      </w:r>
    </w:p>
    <w:p>
      <w:pPr>
        <w:pStyle w:val="Subsection"/>
        <w:spacing w:before="100"/>
      </w:pPr>
      <w:r>
        <w:tab/>
        <w:t>(2)</w:t>
      </w:r>
      <w:r>
        <w:tab/>
        <w:t>A person, other than a registered person, must not possess or copy a publication that is classified Category 2 restricted with the intention of selling the publication or copy.</w:t>
      </w:r>
    </w:p>
    <w:p>
      <w:pPr>
        <w:pStyle w:val="Penstart"/>
        <w:spacing w:before="70"/>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spacing w:before="70"/>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spacing w:before="70"/>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spacing w:before="70"/>
      </w:pPr>
      <w:r>
        <w:tab/>
        <w:t>Penalty: $5 000.</w:t>
      </w:r>
    </w:p>
    <w:p>
      <w:pPr>
        <w:pStyle w:val="Subsection"/>
        <w:spacing w:before="100"/>
      </w:pPr>
      <w:r>
        <w:tab/>
        <w:t>(7)</w:t>
      </w:r>
      <w:r>
        <w:tab/>
        <w:t>If —</w:t>
      </w:r>
    </w:p>
    <w:p>
      <w:pPr>
        <w:pStyle w:val="Indenta"/>
        <w:spacing w:before="60"/>
      </w:pPr>
      <w:r>
        <w:tab/>
        <w:t>(a)</w:t>
      </w:r>
      <w:r>
        <w:tab/>
        <w:t>a publication is reclassified under section 39 or 97A of the Commonwealth Act; or</w:t>
      </w:r>
    </w:p>
    <w:p>
      <w:pPr>
        <w:pStyle w:val="Indenta"/>
        <w:spacing w:before="60"/>
      </w:pPr>
      <w:r>
        <w:tab/>
        <w:t>(b)</w:t>
      </w:r>
      <w:r>
        <w:tab/>
        <w:t>the Board revokes a classification for a publication under section 22B(3) of that Act,</w:t>
      </w:r>
    </w:p>
    <w:p>
      <w:pPr>
        <w:pStyle w:val="Subsection"/>
        <w:spacing w:before="8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spacing w:before="80"/>
        <w:ind w:left="890" w:hanging="890"/>
      </w:pPr>
      <w:r>
        <w:tab/>
        <w:t>[Section 65 inserted by No. 30 of 2003 s. 9.]</w:t>
      </w:r>
    </w:p>
    <w:p>
      <w:pPr>
        <w:pStyle w:val="Heading5"/>
        <w:spacing w:before="200"/>
      </w:pPr>
      <w:bookmarkStart w:id="41" w:name="_Toc375052619"/>
      <w:bookmarkStart w:id="42" w:name="_Toc415650253"/>
      <w:r>
        <w:rPr>
          <w:rStyle w:val="CharSectno"/>
        </w:rPr>
        <w:t>65A</w:t>
      </w:r>
      <w:r>
        <w:t>.</w:t>
      </w:r>
      <w:r>
        <w:tab/>
      </w:r>
      <w:smartTag w:uri="urn:schemas-microsoft-com:office:smarttags" w:element="place">
        <w:smartTag w:uri="urn:schemas-microsoft-com:office:smarttags" w:element="City">
          <w:r>
            <w:t>Sale</w:t>
          </w:r>
        </w:smartTag>
      </w:smartTag>
      <w:r>
        <w:t xml:space="preserve"> or supply of publications contrary to conditions</w:t>
      </w:r>
      <w:bookmarkEnd w:id="41"/>
      <w:bookmarkEnd w:id="42"/>
    </w:p>
    <w:p>
      <w:pPr>
        <w:pStyle w:val="Subsection"/>
        <w:spacing w:before="120"/>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spacing w:before="80"/>
        <w:ind w:left="890" w:hanging="890"/>
      </w:pPr>
      <w:r>
        <w:tab/>
        <w:t>[Section 65A inserted by No. 30 of 2003 s. 9.]</w:t>
      </w:r>
    </w:p>
    <w:p>
      <w:pPr>
        <w:pStyle w:val="Heading5"/>
        <w:spacing w:before="200"/>
      </w:pPr>
      <w:bookmarkStart w:id="43" w:name="_Toc375052620"/>
      <w:bookmarkStart w:id="44" w:name="_Toc415650254"/>
      <w:r>
        <w:rPr>
          <w:rStyle w:val="CharSectno"/>
        </w:rPr>
        <w:t>65B</w:t>
      </w:r>
      <w:r>
        <w:t>.</w:t>
      </w:r>
      <w:r>
        <w:tab/>
        <w:t>Consumer advice for Unrestricted publications</w:t>
      </w:r>
      <w:bookmarkEnd w:id="43"/>
      <w:bookmarkEnd w:id="44"/>
    </w:p>
    <w:p>
      <w:pPr>
        <w:pStyle w:val="Subsection"/>
        <w:spacing w:before="120"/>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spacing w:before="80"/>
        <w:ind w:left="890" w:hanging="890"/>
      </w:pPr>
      <w:r>
        <w:tab/>
        <w:t>[Section 65B inserted by No. 30 of 2003 s. 9.]</w:t>
      </w:r>
    </w:p>
    <w:p>
      <w:pPr>
        <w:pStyle w:val="Heading5"/>
        <w:spacing w:before="200"/>
      </w:pPr>
      <w:bookmarkStart w:id="45" w:name="_Toc375052621"/>
      <w:bookmarkStart w:id="46" w:name="_Toc415650255"/>
      <w:r>
        <w:rPr>
          <w:rStyle w:val="CharSectno"/>
        </w:rPr>
        <w:t>65C</w:t>
      </w:r>
      <w:r>
        <w:t>.</w:t>
      </w:r>
      <w:r>
        <w:tab/>
        <w:t>Misleading or deceptive markings</w:t>
      </w:r>
      <w:bookmarkEnd w:id="45"/>
      <w:bookmarkEnd w:id="46"/>
    </w:p>
    <w:p>
      <w:pPr>
        <w:pStyle w:val="Subsection"/>
        <w:spacing w:before="120"/>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spacing w:before="120"/>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spacing w:before="120"/>
      </w:pPr>
      <w:r>
        <w:tab/>
        <w:t>(3)</w:t>
      </w:r>
      <w:r>
        <w:tab/>
        <w:t>If —</w:t>
      </w:r>
    </w:p>
    <w:p>
      <w:pPr>
        <w:pStyle w:val="Indenta"/>
        <w:spacing w:before="60"/>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47" w:name="_Toc375052622"/>
      <w:bookmarkStart w:id="48" w:name="_Toc415650256"/>
      <w:r>
        <w:rPr>
          <w:rStyle w:val="CharSectno"/>
        </w:rPr>
        <w:t>65D</w:t>
      </w:r>
      <w:r>
        <w:t>.</w:t>
      </w:r>
      <w:r>
        <w:tab/>
      </w:r>
      <w:smartTag w:uri="urn:schemas-microsoft-com:office:smarttags" w:element="place">
        <w:smartTag w:uri="urn:schemas-microsoft-com:office:smarttags" w:element="City">
          <w:r>
            <w:t>Sale</w:t>
          </w:r>
        </w:smartTag>
      </w:smartTag>
      <w:r>
        <w:t xml:space="preserve"> of restricted publications to minors</w:t>
      </w:r>
      <w:bookmarkEnd w:id="47"/>
      <w:bookmarkEnd w:id="48"/>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49" w:name="_Toc375052623"/>
      <w:bookmarkStart w:id="50" w:name="_Toc415650257"/>
      <w:r>
        <w:rPr>
          <w:rStyle w:val="CharSectno"/>
        </w:rPr>
        <w:t>65E</w:t>
      </w:r>
      <w:r>
        <w:t>.</w:t>
      </w:r>
      <w:r>
        <w:tab/>
        <w:t>Leaving certain publications in certain places</w:t>
      </w:r>
      <w:bookmarkEnd w:id="49"/>
      <w:bookmarkEnd w:id="50"/>
    </w:p>
    <w:p>
      <w:pPr>
        <w:pStyle w:val="Subsection"/>
      </w:pPr>
      <w:r>
        <w:tab/>
        <w:t>(1)</w:t>
      </w:r>
      <w:r>
        <w:tab/>
        <w:t>A person must not leave in a public place or display in such a manner as to be visible to persons in a public place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It is a defence to a prosecution for an offence against subsection (1) to prove that —</w:t>
      </w:r>
    </w:p>
    <w:p>
      <w:pPr>
        <w:pStyle w:val="Indenta"/>
      </w:pPr>
      <w:r>
        <w:tab/>
        <w:t>(a)</w:t>
      </w:r>
      <w:r>
        <w:tab/>
        <w:t>since the offence was alleged to have been committed, the publication has been classified Unrestricted; or</w:t>
      </w:r>
    </w:p>
    <w:p>
      <w:pPr>
        <w:pStyle w:val="Indenta"/>
      </w:pPr>
      <w:r>
        <w:tab/>
        <w:t>(b)</w:t>
      </w:r>
      <w:r>
        <w:tab/>
        <w:t>the accused believed on reasonable grounds that the publication was not a submittable publication or a publication classified Category 1 restricted, Category 2 restricted or RC, as the case may be; or</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A person must not leave on private premises, without the occupier’s permission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pPr>
      <w:r>
        <w:tab/>
        <w:t>(4)</w:t>
      </w:r>
      <w:r>
        <w:tab/>
        <w:t>It is a defence to a prosecution for an offence against subsection (3)(a) to prove that since the offence was alleged to have been committed, the publication has been classified Unrestricted.</w:t>
      </w:r>
    </w:p>
    <w:p>
      <w:pPr>
        <w:pStyle w:val="Subsection"/>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51" w:name="_Toc375052624"/>
      <w:bookmarkStart w:id="52" w:name="_Toc415650258"/>
      <w:r>
        <w:rPr>
          <w:rStyle w:val="CharDivNo"/>
        </w:rPr>
        <w:t>Division 3</w:t>
      </w:r>
      <w:r>
        <w:rPr>
          <w:snapToGrid w:val="0"/>
        </w:rPr>
        <w:t> — </w:t>
      </w:r>
      <w:r>
        <w:rPr>
          <w:rStyle w:val="CharDivText"/>
        </w:rPr>
        <w:t>Films</w:t>
      </w:r>
      <w:bookmarkEnd w:id="51"/>
      <w:bookmarkEnd w:id="52"/>
    </w:p>
    <w:p>
      <w:pPr>
        <w:pStyle w:val="Heading5"/>
        <w:rPr>
          <w:snapToGrid w:val="0"/>
        </w:rPr>
      </w:pPr>
      <w:bookmarkStart w:id="53" w:name="_Toc375052625"/>
      <w:bookmarkStart w:id="54" w:name="_Toc415650259"/>
      <w:r>
        <w:rPr>
          <w:rStyle w:val="CharSectno"/>
        </w:rPr>
        <w:t>66</w:t>
      </w:r>
      <w:r>
        <w:rPr>
          <w:snapToGrid w:val="0"/>
        </w:rPr>
        <w:t>.</w:t>
      </w:r>
      <w:r>
        <w:rPr>
          <w:snapToGrid w:val="0"/>
        </w:rPr>
        <w:tab/>
        <w:t>Exhibition of film in public place, offences as to</w:t>
      </w:r>
      <w:bookmarkEnd w:id="53"/>
      <w:bookmarkEnd w:id="54"/>
    </w:p>
    <w:p>
      <w:pPr>
        <w:pStyle w:val="Subsection"/>
      </w:pPr>
      <w:r>
        <w:tab/>
        <w:t>(1)</w:t>
      </w:r>
      <w:r>
        <w:tab/>
        <w:t>A person must not exhibit a film in a public place unless the film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Subsection"/>
      </w:pPr>
      <w:r>
        <w:tab/>
        <w:t>(2)</w:t>
      </w:r>
      <w:r>
        <w:tab/>
        <w:t>Subsection (1) is not contravened by reason only of the exhibition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66 amended by No. 30 of 2003 s. 41(2); No. 21 of 2010 s. 19.]</w:t>
      </w:r>
    </w:p>
    <w:p>
      <w:pPr>
        <w:pStyle w:val="Heading5"/>
        <w:rPr>
          <w:snapToGrid w:val="0"/>
        </w:rPr>
      </w:pPr>
      <w:bookmarkStart w:id="55" w:name="_Toc375052626"/>
      <w:bookmarkStart w:id="56" w:name="_Toc415650260"/>
      <w:r>
        <w:rPr>
          <w:rStyle w:val="CharSectno"/>
        </w:rPr>
        <w:t>67</w:t>
      </w:r>
      <w:r>
        <w:rPr>
          <w:snapToGrid w:val="0"/>
        </w:rPr>
        <w:t>.</w:t>
      </w:r>
      <w:r>
        <w:rPr>
          <w:snapToGrid w:val="0"/>
        </w:rPr>
        <w:tab/>
        <w:t>Notice about classifications for films to be displayed at cinemas etc.</w:t>
      </w:r>
      <w:bookmarkEnd w:id="55"/>
      <w:bookmarkEnd w:id="56"/>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by No. 30 of 2003 s. 40 and 41(2).]</w:t>
      </w:r>
    </w:p>
    <w:p>
      <w:pPr>
        <w:pStyle w:val="Heading5"/>
        <w:spacing w:before="200"/>
        <w:rPr>
          <w:snapToGrid w:val="0"/>
        </w:rPr>
      </w:pPr>
      <w:bookmarkStart w:id="57" w:name="_Toc375052627"/>
      <w:bookmarkStart w:id="58" w:name="_Toc415650261"/>
      <w:r>
        <w:rPr>
          <w:rStyle w:val="CharSectno"/>
        </w:rPr>
        <w:t>68</w:t>
      </w:r>
      <w:r>
        <w:rPr>
          <w:snapToGrid w:val="0"/>
        </w:rPr>
        <w:t>.</w:t>
      </w:r>
      <w:r>
        <w:rPr>
          <w:snapToGrid w:val="0"/>
        </w:rPr>
        <w:tab/>
        <w:t>RC films not to be exhibited</w:t>
      </w:r>
      <w:bookmarkEnd w:id="57"/>
      <w:bookmarkEnd w:id="58"/>
    </w:p>
    <w:p>
      <w:pPr>
        <w:pStyle w:val="Subsection"/>
        <w:spacing w:before="100"/>
      </w:pPr>
      <w:r>
        <w:tab/>
      </w:r>
      <w:r>
        <w:tab/>
        <w:t>A person must not exhibit in any place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r>
        <w:tab/>
        <w:t>[Section 68 amended by No. 30 of 2003 s. 41(2).]</w:t>
      </w:r>
    </w:p>
    <w:p>
      <w:pPr>
        <w:pStyle w:val="Heading5"/>
        <w:spacing w:before="200"/>
        <w:rPr>
          <w:snapToGrid w:val="0"/>
        </w:rPr>
      </w:pPr>
      <w:bookmarkStart w:id="59" w:name="_Toc375052628"/>
      <w:bookmarkStart w:id="60" w:name="_Toc415650262"/>
      <w:r>
        <w:rPr>
          <w:rStyle w:val="CharSectno"/>
        </w:rPr>
        <w:t>69</w:t>
      </w:r>
      <w:r>
        <w:rPr>
          <w:snapToGrid w:val="0"/>
        </w:rPr>
        <w:t>.</w:t>
      </w:r>
      <w:r>
        <w:rPr>
          <w:snapToGrid w:val="0"/>
        </w:rPr>
        <w:tab/>
        <w:t>X 18+ films, exhibition of</w:t>
      </w:r>
      <w:bookmarkEnd w:id="59"/>
      <w:bookmarkEnd w:id="60"/>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61" w:name="_Toc375052629"/>
      <w:bookmarkStart w:id="62" w:name="_Toc415650263"/>
      <w:r>
        <w:rPr>
          <w:rStyle w:val="CharSectno"/>
        </w:rPr>
        <w:t>70</w:t>
      </w:r>
      <w:r>
        <w:rPr>
          <w:snapToGrid w:val="0"/>
        </w:rPr>
        <w:t>.</w:t>
      </w:r>
      <w:r>
        <w:rPr>
          <w:snapToGrid w:val="0"/>
        </w:rPr>
        <w:tab/>
        <w:t>R 18+ and MA 15+ films, exhibition of</w:t>
      </w:r>
      <w:bookmarkEnd w:id="61"/>
      <w:bookmarkEnd w:id="62"/>
    </w:p>
    <w:p>
      <w:pPr>
        <w:pStyle w:val="Subsection"/>
      </w:pPr>
      <w:r>
        <w:tab/>
        <w:t>(1)</w:t>
      </w:r>
      <w:r>
        <w:tab/>
        <w:t>A person must not exhibit so that it can be seen from a public place that is outside the place where it is exhibited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pPr>
      <w:r>
        <w:tab/>
        <w:t>(3)</w:t>
      </w:r>
      <w:r>
        <w:tab/>
        <w:t>A person must not exhibit in a place that is not a public place, in the presence of a minor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20"/>
      </w:pPr>
      <w:r>
        <w:tab/>
      </w:r>
      <w:r>
        <w:tab/>
        <w:t>unless the person is a parent or guardian of the minor.</w:t>
      </w:r>
    </w:p>
    <w:p>
      <w:pPr>
        <w:pStyle w:val="Penstart"/>
        <w:rPr>
          <w:snapToGrid w:val="0"/>
        </w:rPr>
      </w:pPr>
      <w:r>
        <w:tab/>
        <w:t>Penalty: $2 000.</w:t>
      </w:r>
    </w:p>
    <w:p>
      <w:pPr>
        <w:pStyle w:val="Subsection"/>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63" w:name="_Toc375052630"/>
      <w:bookmarkStart w:id="64" w:name="_Toc415650264"/>
      <w:r>
        <w:rPr>
          <w:rStyle w:val="CharSectno"/>
        </w:rPr>
        <w:t>71</w:t>
      </w:r>
      <w:r>
        <w:rPr>
          <w:snapToGrid w:val="0"/>
        </w:rPr>
        <w:t>.</w:t>
      </w:r>
      <w:r>
        <w:rPr>
          <w:snapToGrid w:val="0"/>
        </w:rPr>
        <w:tab/>
        <w:t>Attendance of minor at RC, X 18+ or R 18+ films</w:t>
      </w:r>
      <w:bookmarkEnd w:id="63"/>
      <w:bookmarkEnd w:id="64"/>
    </w:p>
    <w:p>
      <w:pPr>
        <w:pStyle w:val="Subsection"/>
      </w:pPr>
      <w:r>
        <w:tab/>
        <w:t>(1)</w:t>
      </w:r>
      <w:r>
        <w:tab/>
        <w:t>Any adult who knows that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65" w:name="_Toc375052631"/>
      <w:bookmarkStart w:id="66" w:name="_Toc415650265"/>
      <w:r>
        <w:rPr>
          <w:rStyle w:val="CharSectno"/>
        </w:rPr>
        <w:t>72</w:t>
      </w:r>
      <w:r>
        <w:rPr>
          <w:snapToGrid w:val="0"/>
        </w:rPr>
        <w:t>.</w:t>
      </w:r>
      <w:r>
        <w:rPr>
          <w:snapToGrid w:val="0"/>
        </w:rPr>
        <w:tab/>
        <w:t>Attendance of minor at MA 15+ film</w:t>
      </w:r>
      <w:bookmarkEnd w:id="65"/>
      <w:bookmarkEnd w:id="66"/>
    </w:p>
    <w:p>
      <w:pPr>
        <w:pStyle w:val="Subsection"/>
      </w:pPr>
      <w:r>
        <w:tab/>
        <w:t>(1)</w:t>
      </w:r>
      <w:r>
        <w:tab/>
        <w:t>A person must not exhibit in a public place a film classified MA 15+ if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 or</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67" w:name="_Toc375052632"/>
      <w:bookmarkStart w:id="68" w:name="_Toc415650266"/>
      <w:r>
        <w:rPr>
          <w:rStyle w:val="CharSectno"/>
        </w:rPr>
        <w:t>73</w:t>
      </w:r>
      <w:r>
        <w:rPr>
          <w:snapToGrid w:val="0"/>
        </w:rPr>
        <w:t>.</w:t>
      </w:r>
      <w:r>
        <w:rPr>
          <w:snapToGrid w:val="0"/>
        </w:rPr>
        <w:tab/>
        <w:t>Unclassified, RC and X 18+ films, sale of</w:t>
      </w:r>
      <w:bookmarkEnd w:id="67"/>
      <w:bookmarkEnd w:id="68"/>
    </w:p>
    <w:p>
      <w:pPr>
        <w:pStyle w:val="Subsection"/>
      </w:pPr>
      <w:r>
        <w:tab/>
      </w:r>
      <w:r>
        <w:tab/>
        <w:t>A person must not sell an unclassified film or a film classified RC or X 18+.</w:t>
      </w:r>
    </w:p>
    <w:p>
      <w:pPr>
        <w:pStyle w:val="Penstart"/>
      </w:pPr>
      <w:r>
        <w:tab/>
        <w:t>Penalty: $15 000 or imprisonment for 18 months.</w:t>
      </w:r>
    </w:p>
    <w:p>
      <w:pPr>
        <w:pStyle w:val="Footnotesection"/>
      </w:pPr>
      <w:r>
        <w:tab/>
        <w:t>[Section 73 amended by No. 30 of 2003 s. 41(2); No. 10 of 2006 s. 18.]</w:t>
      </w:r>
    </w:p>
    <w:p>
      <w:pPr>
        <w:pStyle w:val="Heading5"/>
        <w:rPr>
          <w:snapToGrid w:val="0"/>
        </w:rPr>
      </w:pPr>
      <w:bookmarkStart w:id="69" w:name="_Toc375052633"/>
      <w:bookmarkStart w:id="70" w:name="_Toc415650267"/>
      <w:r>
        <w:rPr>
          <w:rStyle w:val="CharSectno"/>
        </w:rPr>
        <w:t>74</w:t>
      </w:r>
      <w:r>
        <w:rPr>
          <w:snapToGrid w:val="0"/>
        </w:rPr>
        <w:t>.</w:t>
      </w:r>
      <w:r>
        <w:rPr>
          <w:snapToGrid w:val="0"/>
        </w:rPr>
        <w:tab/>
        <w:t>Classified films, sale of</w:t>
      </w:r>
      <w:bookmarkEnd w:id="69"/>
      <w:bookmarkEnd w:id="70"/>
    </w:p>
    <w:p>
      <w:pPr>
        <w:pStyle w:val="Subsection"/>
        <w:spacing w:before="100"/>
      </w:pPr>
      <w:r>
        <w:tab/>
        <w:t>(1)</w:t>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Subsection"/>
        <w:spacing w:before="100"/>
      </w:pPr>
      <w:r>
        <w:tab/>
        <w:t>(2)</w:t>
      </w:r>
      <w:r>
        <w:tab/>
        <w:t>Subsection (1) is not contravened by reason only of the sale of a classified film —</w:t>
      </w:r>
    </w:p>
    <w:p>
      <w:pPr>
        <w:pStyle w:val="Indenta"/>
      </w:pPr>
      <w:r>
        <w:tab/>
        <w:t>(a)</w:t>
      </w:r>
      <w:r>
        <w:tab/>
        <w:t>under a title different from that under which it is classified if it is contained on one device that consists only of 2 or more classified films; or</w:t>
      </w:r>
    </w:p>
    <w:p>
      <w:pPr>
        <w:pStyle w:val="Indenta"/>
      </w:pPr>
      <w:r>
        <w:tab/>
        <w:t>(b)</w:t>
      </w:r>
      <w:r>
        <w:tab/>
        <w:t>with a modification referred to in section 21(2) of the Commonwealth Act.</w:t>
      </w:r>
    </w:p>
    <w:p>
      <w:pPr>
        <w:pStyle w:val="Footnotesection"/>
      </w:pPr>
      <w:r>
        <w:tab/>
        <w:t>[Section 74 amended by No. 30 of 2003 s. 41(2); No. 21 of 2010 s. 20.]</w:t>
      </w:r>
    </w:p>
    <w:p>
      <w:pPr>
        <w:pStyle w:val="Heading5"/>
        <w:rPr>
          <w:snapToGrid w:val="0"/>
        </w:rPr>
      </w:pPr>
      <w:bookmarkStart w:id="71" w:name="_Toc375052634"/>
      <w:bookmarkStart w:id="72" w:name="_Toc415650268"/>
      <w:r>
        <w:rPr>
          <w:rStyle w:val="CharSectno"/>
        </w:rPr>
        <w:t>75</w:t>
      </w:r>
      <w:r>
        <w:rPr>
          <w:snapToGrid w:val="0"/>
        </w:rPr>
        <w:t>.</w:t>
      </w:r>
      <w:r>
        <w:rPr>
          <w:snapToGrid w:val="0"/>
        </w:rPr>
        <w:tab/>
        <w:t>Notice about classifications for films to be displayed at place of sale</w:t>
      </w:r>
      <w:bookmarkEnd w:id="71"/>
      <w:bookmarkEnd w:id="72"/>
    </w:p>
    <w:p>
      <w:pPr>
        <w:pStyle w:val="Subsection"/>
        <w:spacing w:before="100"/>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by No. 30 of 2003 s. 40 and 41(2).]</w:t>
      </w:r>
    </w:p>
    <w:p>
      <w:pPr>
        <w:pStyle w:val="Heading5"/>
        <w:rPr>
          <w:snapToGrid w:val="0"/>
        </w:rPr>
      </w:pPr>
      <w:bookmarkStart w:id="73" w:name="_Toc375052635"/>
      <w:bookmarkStart w:id="74" w:name="_Toc415650269"/>
      <w:r>
        <w:rPr>
          <w:rStyle w:val="CharSectno"/>
        </w:rPr>
        <w:t>76</w:t>
      </w:r>
      <w:r>
        <w:rPr>
          <w:snapToGrid w:val="0"/>
        </w:rPr>
        <w:t>.</w:t>
      </w:r>
      <w:r>
        <w:rPr>
          <w:snapToGrid w:val="0"/>
        </w:rPr>
        <w:tab/>
        <w:t>Markings etc. on films for sale, offences as to</w:t>
      </w:r>
      <w:bookmarkEnd w:id="73"/>
      <w:bookmarkEnd w:id="74"/>
    </w:p>
    <w:p>
      <w:pPr>
        <w:pStyle w:val="Subsection"/>
        <w:spacing w:before="100"/>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spacing w:before="100"/>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If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spacing w:before="100"/>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75" w:name="_Toc375052636"/>
      <w:bookmarkStart w:id="76" w:name="_Toc415650270"/>
      <w:r>
        <w:rPr>
          <w:rStyle w:val="CharSectno"/>
        </w:rPr>
        <w:t>77</w:t>
      </w:r>
      <w:r>
        <w:rPr>
          <w:snapToGrid w:val="0"/>
        </w:rPr>
        <w:t>.</w:t>
      </w:r>
      <w:r>
        <w:rPr>
          <w:snapToGrid w:val="0"/>
        </w:rPr>
        <w:tab/>
        <w:t>Unclassified, RC or X 18+ films not to be kept where classified films are sold</w:t>
      </w:r>
      <w:bookmarkEnd w:id="75"/>
      <w:bookmarkEnd w:id="76"/>
    </w:p>
    <w:p>
      <w:pPr>
        <w:pStyle w:val="Subsection"/>
        <w:spacing w:before="100"/>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spacing w:before="100"/>
      </w:pPr>
      <w:r>
        <w:tab/>
        <w:t>(2)</w:t>
      </w:r>
      <w:r>
        <w:tab/>
        <w:t>It is a defence to a charge of an offence against subsection (1) for the person charged to prove that the person did not know, and could not reasonably have known, that the film was on the premises.</w:t>
      </w:r>
    </w:p>
    <w:p>
      <w:pPr>
        <w:pStyle w:val="Footnotesection"/>
      </w:pPr>
      <w:r>
        <w:tab/>
        <w:t>[Section 77 amended by No. 30 of 2003 s. 41(2); No. 10 of 2006 s. 19.]</w:t>
      </w:r>
    </w:p>
    <w:p>
      <w:pPr>
        <w:pStyle w:val="Heading5"/>
      </w:pPr>
      <w:bookmarkStart w:id="77" w:name="_Toc375052637"/>
      <w:bookmarkStart w:id="78" w:name="_Toc415650271"/>
      <w:r>
        <w:rPr>
          <w:rStyle w:val="CharSectno"/>
        </w:rPr>
        <w:t>78</w:t>
      </w:r>
      <w:r>
        <w:t>.</w:t>
      </w:r>
      <w:r>
        <w:tab/>
        <w:t>R</w:t>
      </w:r>
      <w:r>
        <w:rPr>
          <w:snapToGrid w:val="0"/>
        </w:rPr>
        <w:t> 18+ films, containers etc., display of in public</w:t>
      </w:r>
      <w:bookmarkEnd w:id="77"/>
      <w:bookmarkEnd w:id="78"/>
    </w:p>
    <w:p>
      <w:pPr>
        <w:pStyle w:val="Subsection"/>
      </w:pPr>
      <w:r>
        <w:tab/>
      </w:r>
      <w:r>
        <w:tab/>
        <w:t>A person must not display in a public place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79" w:name="_Toc375052638"/>
      <w:bookmarkStart w:id="80" w:name="_Toc415650272"/>
      <w:r>
        <w:rPr>
          <w:rStyle w:val="CharSectno"/>
        </w:rPr>
        <w:t>79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films to minors</w:t>
      </w:r>
      <w:bookmarkEnd w:id="79"/>
      <w:bookmarkEnd w:id="80"/>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81" w:name="_Toc375052639"/>
      <w:bookmarkStart w:id="82" w:name="_Toc415650273"/>
      <w:r>
        <w:rPr>
          <w:rStyle w:val="CharSectno"/>
        </w:rPr>
        <w:t>80</w:t>
      </w:r>
      <w:r>
        <w:rPr>
          <w:snapToGrid w:val="0"/>
        </w:rPr>
        <w:t>.</w:t>
      </w:r>
      <w:r>
        <w:rPr>
          <w:snapToGrid w:val="0"/>
        </w:rPr>
        <w:tab/>
        <w:t>Leaving certain films in certain places</w:t>
      </w:r>
      <w:bookmarkEnd w:id="81"/>
      <w:bookmarkEnd w:id="82"/>
    </w:p>
    <w:p>
      <w:pPr>
        <w:pStyle w:val="Subsection"/>
      </w:pPr>
      <w:r>
        <w:tab/>
      </w:r>
      <w:r>
        <w:tab/>
        <w:t>A person must not leave in a public place or, without the occupier’s permission, on private premises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20"/>
      </w:pPr>
      <w:r>
        <w:tab/>
      </w:r>
      <w:r>
        <w:tab/>
        <w:t>knowing that the film is, or would be, so classified.</w:t>
      </w:r>
    </w:p>
    <w:p>
      <w:pPr>
        <w:pStyle w:val="Penstart"/>
      </w:pPr>
      <w:r>
        <w:tab/>
        <w:t>Penalty: $5 000.</w:t>
      </w:r>
    </w:p>
    <w:p>
      <w:pPr>
        <w:pStyle w:val="Footnotesection"/>
      </w:pPr>
      <w:r>
        <w:tab/>
        <w:t>[Section 80 amended by No. 30 of 2003 s. 41(2); No. 10 of 2006 s. 22.]</w:t>
      </w:r>
    </w:p>
    <w:p>
      <w:pPr>
        <w:pStyle w:val="Heading5"/>
        <w:rPr>
          <w:snapToGrid w:val="0"/>
        </w:rPr>
      </w:pPr>
      <w:bookmarkStart w:id="83" w:name="_Toc375052640"/>
      <w:bookmarkStart w:id="84" w:name="_Toc415650274"/>
      <w:r>
        <w:rPr>
          <w:rStyle w:val="CharSectno"/>
        </w:rPr>
        <w:t>81</w:t>
      </w:r>
      <w:r>
        <w:rPr>
          <w:snapToGrid w:val="0"/>
        </w:rPr>
        <w:t>.</w:t>
      </w:r>
      <w:r>
        <w:rPr>
          <w:snapToGrid w:val="0"/>
        </w:rPr>
        <w:tab/>
        <w:t>Possessing or copying certain films</w:t>
      </w:r>
      <w:bookmarkEnd w:id="83"/>
      <w:bookmarkEnd w:id="84"/>
    </w:p>
    <w:p>
      <w:pPr>
        <w:pStyle w:val="Subsection"/>
      </w:pPr>
      <w:r>
        <w:tab/>
        <w:t>(1)</w:t>
      </w:r>
      <w:r>
        <w:tab/>
        <w:t>A person must not possess or copy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pPr>
      <w:bookmarkStart w:id="85" w:name="_Toc375052641"/>
      <w:bookmarkStart w:id="86" w:name="_Toc415650275"/>
      <w:r>
        <w:rPr>
          <w:rStyle w:val="CharDivNo"/>
        </w:rPr>
        <w:t>Division 4</w:t>
      </w:r>
      <w:r>
        <w:rPr>
          <w:snapToGrid w:val="0"/>
        </w:rPr>
        <w:t> — </w:t>
      </w:r>
      <w:r>
        <w:rPr>
          <w:rStyle w:val="CharDivText"/>
        </w:rPr>
        <w:t>Computer games</w:t>
      </w:r>
      <w:bookmarkEnd w:id="85"/>
      <w:bookmarkEnd w:id="86"/>
    </w:p>
    <w:p>
      <w:pPr>
        <w:pStyle w:val="Heading5"/>
        <w:spacing w:before="120"/>
        <w:rPr>
          <w:snapToGrid w:val="0"/>
        </w:rPr>
      </w:pPr>
      <w:bookmarkStart w:id="87" w:name="_Toc375052642"/>
      <w:bookmarkStart w:id="88" w:name="_Toc415650276"/>
      <w:r>
        <w:rPr>
          <w:rStyle w:val="CharSectno"/>
        </w:rPr>
        <w:t>82</w:t>
      </w:r>
      <w:r>
        <w:rPr>
          <w:snapToGrid w:val="0"/>
        </w:rPr>
        <w:t>.</w:t>
      </w:r>
      <w:r>
        <w:rPr>
          <w:snapToGrid w:val="0"/>
        </w:rPr>
        <w:tab/>
        <w:t>Selling or demonstrating computer games in public place</w:t>
      </w:r>
      <w:bookmarkEnd w:id="87"/>
      <w:bookmarkEnd w:id="88"/>
    </w:p>
    <w:p>
      <w:pPr>
        <w:pStyle w:val="Subsection"/>
        <w:spacing w:before="100"/>
      </w:pPr>
      <w:r>
        <w:tab/>
      </w:r>
      <w:r>
        <w:tab/>
        <w:t>A person must not sell or demonstrate a computer game in a public place unless the computer game —</w:t>
      </w:r>
    </w:p>
    <w:p>
      <w:pPr>
        <w:pStyle w:val="Indenta"/>
        <w:rPr>
          <w:snapToGrid w:val="0"/>
        </w:rPr>
      </w:pPr>
      <w:r>
        <w:rPr>
          <w:snapToGrid w:val="0"/>
        </w:rPr>
        <w:tab/>
        <w:t>(a)</w:t>
      </w:r>
      <w:r>
        <w:rPr>
          <w:snapToGrid w:val="0"/>
        </w:rPr>
        <w:tab/>
        <w:t>is classified; and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r>
        <w:tab/>
        <w:t>Penalty: $10 000.</w:t>
      </w:r>
    </w:p>
    <w:p>
      <w:pPr>
        <w:pStyle w:val="Footnotesection"/>
      </w:pPr>
      <w:r>
        <w:tab/>
        <w:t>[Section 82 amended by No. 30 of 2003 s. 41(2).]</w:t>
      </w:r>
    </w:p>
    <w:p>
      <w:pPr>
        <w:pStyle w:val="Heading5"/>
        <w:rPr>
          <w:snapToGrid w:val="0"/>
        </w:rPr>
      </w:pPr>
      <w:bookmarkStart w:id="89" w:name="_Toc375052643"/>
      <w:bookmarkStart w:id="90" w:name="_Toc415650277"/>
      <w:r>
        <w:rPr>
          <w:rStyle w:val="CharSectno"/>
        </w:rPr>
        <w:t>83</w:t>
      </w:r>
      <w:r>
        <w:rPr>
          <w:snapToGrid w:val="0"/>
        </w:rPr>
        <w:t>.</w:t>
      </w:r>
      <w:r>
        <w:rPr>
          <w:snapToGrid w:val="0"/>
        </w:rPr>
        <w:tab/>
        <w:t>Notice about classifications for computer games to be displayed at place of sale etc.</w:t>
      </w:r>
      <w:bookmarkEnd w:id="89"/>
      <w:bookmarkEnd w:id="90"/>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by No. 30 of 2003 s. 40 and 41(2).]</w:t>
      </w:r>
    </w:p>
    <w:p>
      <w:pPr>
        <w:pStyle w:val="Heading5"/>
        <w:keepNext w:val="0"/>
        <w:keepLines w:val="0"/>
        <w:rPr>
          <w:snapToGrid w:val="0"/>
        </w:rPr>
      </w:pPr>
      <w:bookmarkStart w:id="91" w:name="_Toc375052644"/>
      <w:bookmarkStart w:id="92" w:name="_Toc415650278"/>
      <w:r>
        <w:rPr>
          <w:rStyle w:val="CharSectno"/>
        </w:rPr>
        <w:t>84</w:t>
      </w:r>
      <w:r>
        <w:rPr>
          <w:snapToGrid w:val="0"/>
        </w:rPr>
        <w:t>.</w:t>
      </w:r>
      <w:r>
        <w:rPr>
          <w:snapToGrid w:val="0"/>
        </w:rPr>
        <w:tab/>
        <w:t>RC and R 18+ computer games, sale etc. of</w:t>
      </w:r>
      <w:bookmarkEnd w:id="91"/>
      <w:bookmarkEnd w:id="92"/>
    </w:p>
    <w:p>
      <w:pPr>
        <w:pStyle w:val="Subsection"/>
      </w:pPr>
      <w:r>
        <w:tab/>
        <w:t>(1)</w:t>
      </w:r>
      <w:r>
        <w:tab/>
        <w:t>A person must not sell or demonstrate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spacing w:before="60"/>
        <w:rPr>
          <w:snapToGrid w:val="0"/>
        </w:rPr>
      </w:pPr>
      <w:r>
        <w:rPr>
          <w:snapToGrid w:val="0"/>
        </w:rPr>
        <w:tab/>
        <w:t>(b)</w:t>
      </w:r>
      <w:r>
        <w:rPr>
          <w:snapToGrid w:val="0"/>
        </w:rPr>
        <w:tab/>
        <w:t>a computer game classified RC.</w:t>
      </w:r>
    </w:p>
    <w:p>
      <w:pPr>
        <w:pStyle w:val="Penstart"/>
        <w:rPr>
          <w:snapToGrid w:val="0"/>
        </w:rPr>
      </w:pPr>
      <w:r>
        <w:tab/>
        <w:t>Penalty: $15 000 or imprisonment for 18 months.</w:t>
      </w:r>
    </w:p>
    <w:p>
      <w:pPr>
        <w:pStyle w:val="Subsection"/>
      </w:pPr>
      <w:r>
        <w:tab/>
        <w:t>(2)</w:t>
      </w:r>
      <w:r>
        <w:tab/>
        <w:t>A minor who is 15 years of age or older must not buy a computer game classified RC or R 18+, knowing that it is so classified.</w:t>
      </w:r>
    </w:p>
    <w:p>
      <w:pPr>
        <w:pStyle w:val="Penstart"/>
        <w:rPr>
          <w:snapToGrid w:val="0"/>
        </w:rPr>
      </w:pPr>
      <w:r>
        <w:rPr>
          <w:snapToGrid w:val="0"/>
        </w:rPr>
        <w:tab/>
        <w:t>Penalty: $200.</w:t>
      </w:r>
    </w:p>
    <w:p>
      <w:pPr>
        <w:pStyle w:val="Footnotesection"/>
      </w:pPr>
      <w:r>
        <w:tab/>
        <w:t>[Section 84 amended by No. 30 of 2003 s. 41(2); No. 53 of 2012 s. 6.]</w:t>
      </w:r>
    </w:p>
    <w:p>
      <w:pPr>
        <w:pStyle w:val="Heading5"/>
        <w:rPr>
          <w:snapToGrid w:val="0"/>
        </w:rPr>
      </w:pPr>
      <w:bookmarkStart w:id="93" w:name="_Toc375052645"/>
      <w:bookmarkStart w:id="94" w:name="_Toc415650279"/>
      <w:r>
        <w:rPr>
          <w:rStyle w:val="CharSectno"/>
        </w:rPr>
        <w:t>85</w:t>
      </w:r>
      <w:r>
        <w:rPr>
          <w:snapToGrid w:val="0"/>
        </w:rPr>
        <w:t>.</w:t>
      </w:r>
      <w:r>
        <w:rPr>
          <w:snapToGrid w:val="0"/>
        </w:rPr>
        <w:tab/>
      </w:r>
      <w:r>
        <w:t>R 18+ and MA 15+ computer games, demonstration of</w:t>
      </w:r>
      <w:bookmarkEnd w:id="93"/>
      <w:bookmarkEnd w:id="94"/>
    </w:p>
    <w:p>
      <w:pPr>
        <w:pStyle w:val="Subsection"/>
      </w:pPr>
      <w:r>
        <w:tab/>
        <w:t>(1)</w:t>
      </w:r>
      <w:r>
        <w:tab/>
        <w:t>A person must not demonstrate a computer game classified R 18+ or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w:t>
      </w:r>
    </w:p>
    <w:p>
      <w:pPr>
        <w:pStyle w:val="Indenta"/>
        <w:spacing w:before="60"/>
        <w:rPr>
          <w:snapToGrid w:val="0"/>
        </w:rPr>
      </w:pPr>
      <w:r>
        <w:rPr>
          <w:snapToGrid w:val="0"/>
        </w:rPr>
        <w:tab/>
        <w:t>(a)</w:t>
      </w:r>
      <w:r>
        <w:rPr>
          <w:snapToGrid w:val="0"/>
        </w:rPr>
        <w:tab/>
        <w:t>an unclassified computer game that would, if classified, be classified</w:t>
      </w:r>
      <w:r>
        <w:t xml:space="preserve"> R 18+ or MA 15+</w:t>
      </w:r>
      <w:r>
        <w:rPr>
          <w:snapToGrid w:val="0"/>
        </w:rPr>
        <w:t>; or</w:t>
      </w:r>
    </w:p>
    <w:p>
      <w:pPr>
        <w:pStyle w:val="Indenta"/>
        <w:spacing w:before="60"/>
        <w:rPr>
          <w:snapToGrid w:val="0"/>
        </w:rPr>
      </w:pPr>
      <w:r>
        <w:rPr>
          <w:snapToGrid w:val="0"/>
        </w:rPr>
        <w:tab/>
        <w:t>(b)</w:t>
      </w:r>
      <w:r>
        <w:rPr>
          <w:snapToGrid w:val="0"/>
        </w:rPr>
        <w:tab/>
        <w:t>a computer game classified</w:t>
      </w:r>
      <w:r>
        <w:t xml:space="preserve"> R 18+ or MA 15+</w:t>
      </w:r>
      <w:r>
        <w:rPr>
          <w:snapToGrid w:val="0"/>
        </w:rPr>
        <w:t>.</w:t>
      </w:r>
    </w:p>
    <w:p>
      <w:pPr>
        <w:pStyle w:val="Penstart"/>
        <w:rPr>
          <w:snapToGrid w:val="0"/>
        </w:rPr>
      </w:pPr>
      <w:r>
        <w:rPr>
          <w:snapToGrid w:val="0"/>
        </w:rPr>
        <w:tab/>
        <w:t>Penalty</w:t>
      </w:r>
      <w:r>
        <w:t>: $2 000.</w:t>
      </w:r>
    </w:p>
    <w:p>
      <w:pPr>
        <w:pStyle w:val="Subsection"/>
      </w:pPr>
      <w:r>
        <w:tab/>
        <w:t>(3A)</w:t>
      </w:r>
      <w:r>
        <w:tab/>
        <w:t>A person must not demonstrate in a place that is not a public place, in the presence of a minor —</w:t>
      </w:r>
    </w:p>
    <w:p>
      <w:pPr>
        <w:pStyle w:val="Indenta"/>
      </w:pPr>
      <w:r>
        <w:tab/>
        <w:t>(a)</w:t>
      </w:r>
      <w:r>
        <w:tab/>
        <w:t>an unclassified computer game that would, if classified, be classified R 18+; or</w:t>
      </w:r>
    </w:p>
    <w:p>
      <w:pPr>
        <w:pStyle w:val="Indenta"/>
      </w:pPr>
      <w:r>
        <w:tab/>
        <w:t>(b)</w:t>
      </w:r>
      <w:r>
        <w:tab/>
        <w:t>a computer game classified R 18+,</w:t>
      </w:r>
    </w:p>
    <w:p>
      <w:pPr>
        <w:pStyle w:val="Subsection"/>
      </w:pPr>
      <w:r>
        <w:tab/>
      </w:r>
      <w:r>
        <w:tab/>
        <w:t>unless that person is a parent or guardian of the minor.</w:t>
      </w:r>
    </w:p>
    <w:p>
      <w:pPr>
        <w:pStyle w:val="Penstart"/>
      </w:pPr>
      <w:r>
        <w:tab/>
        <w:t>Penalty: a fine of $2 000.</w:t>
      </w:r>
    </w:p>
    <w:p>
      <w:pPr>
        <w:pStyle w:val="Subsection"/>
      </w:pPr>
      <w:r>
        <w:tab/>
        <w:t>(3B)</w:t>
      </w:r>
      <w:r>
        <w:tab/>
        <w:t>It is a defence to a charge of an offence against subsection (3A) for the person charged to prove that the person believed on reasonable grounds that the minor was an adult.</w:t>
      </w:r>
    </w:p>
    <w:p>
      <w:pPr>
        <w:pStyle w:val="Subsection"/>
      </w:pPr>
      <w:r>
        <w:tab/>
        <w:t>(3)</w:t>
      </w:r>
      <w:r>
        <w:tab/>
        <w:t>A person must not demonstrate in a place that is not a public place, in the presence of a minor under 15 years of age —</w:t>
      </w:r>
    </w:p>
    <w:p>
      <w:pPr>
        <w:pStyle w:val="Indenta"/>
        <w:spacing w:before="60"/>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 No. 53 of 2012 s. 7.]</w:t>
      </w:r>
    </w:p>
    <w:p>
      <w:pPr>
        <w:pStyle w:val="Heading5"/>
      </w:pPr>
      <w:bookmarkStart w:id="95" w:name="_Toc375052646"/>
      <w:bookmarkStart w:id="96" w:name="_Toc415650280"/>
      <w:r>
        <w:rPr>
          <w:rStyle w:val="CharSectno"/>
        </w:rPr>
        <w:t>85A</w:t>
      </w:r>
      <w:r>
        <w:t>.</w:t>
      </w:r>
      <w:r>
        <w:tab/>
        <w:t>R 18+ and MA 15+ computer games, containers etc., display of in public</w:t>
      </w:r>
      <w:bookmarkEnd w:id="95"/>
      <w:bookmarkEnd w:id="96"/>
    </w:p>
    <w:p>
      <w:pPr>
        <w:pStyle w:val="Subsection"/>
      </w:pPr>
      <w:r>
        <w:tab/>
      </w:r>
      <w:r>
        <w:tab/>
        <w:t>A person must not display in a public place —</w:t>
      </w:r>
    </w:p>
    <w:p>
      <w:pPr>
        <w:pStyle w:val="Indenta"/>
      </w:pPr>
      <w:r>
        <w:tab/>
        <w:t>(a)</w:t>
      </w:r>
      <w:r>
        <w:tab/>
        <w:t>a computer game classified R 18+ or MA 15+; or</w:t>
      </w:r>
    </w:p>
    <w:p>
      <w:pPr>
        <w:pStyle w:val="Indenta"/>
      </w:pPr>
      <w:r>
        <w:tab/>
        <w:t>(b)</w:t>
      </w:r>
      <w:r>
        <w:tab/>
        <w:t>the container, wrapping or casing for a computer game classified R 18+ or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 amended by No. 53 of 2012 s. 8.]</w:t>
      </w:r>
    </w:p>
    <w:p>
      <w:pPr>
        <w:pStyle w:val="Heading5"/>
        <w:rPr>
          <w:snapToGrid w:val="0"/>
        </w:rPr>
      </w:pPr>
      <w:bookmarkStart w:id="97" w:name="_Toc375052647"/>
      <w:bookmarkStart w:id="98" w:name="_Toc415650281"/>
      <w:r>
        <w:rPr>
          <w:rStyle w:val="CharSectno"/>
        </w:rPr>
        <w:t>86</w:t>
      </w:r>
      <w:r>
        <w:rPr>
          <w:snapToGrid w:val="0"/>
        </w:rPr>
        <w:t>.</w:t>
      </w:r>
      <w:r>
        <w:rPr>
          <w:snapToGrid w:val="0"/>
        </w:rPr>
        <w:tab/>
        <w:t>Markings etc. on computer games, offences as to</w:t>
      </w:r>
      <w:bookmarkEnd w:id="97"/>
      <w:bookmarkEnd w:id="98"/>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If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99" w:name="_Toc375052648"/>
      <w:bookmarkStart w:id="100" w:name="_Toc415650282"/>
      <w:r>
        <w:rPr>
          <w:rStyle w:val="CharSectno"/>
        </w:rPr>
        <w:t>87</w:t>
      </w:r>
      <w:r>
        <w:rPr>
          <w:snapToGrid w:val="0"/>
        </w:rPr>
        <w:t>.</w:t>
      </w:r>
      <w:r>
        <w:rPr>
          <w:snapToGrid w:val="0"/>
        </w:rPr>
        <w:tab/>
        <w:t>Unclassified or RC computer games not to be kept where classified computer games are sold etc.</w:t>
      </w:r>
      <w:bookmarkEnd w:id="99"/>
      <w:bookmarkEnd w:id="100"/>
    </w:p>
    <w:p>
      <w:pPr>
        <w:pStyle w:val="Subsection"/>
        <w:spacing w:before="140"/>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did not know, and could not reasonably have known, that the computer game was on the premises.</w:t>
      </w:r>
    </w:p>
    <w:p>
      <w:pPr>
        <w:pStyle w:val="Footnotesection"/>
      </w:pPr>
      <w:r>
        <w:tab/>
        <w:t>[Section 87 amended by No. 30 of 2003 s. 41(2).]</w:t>
      </w:r>
    </w:p>
    <w:p>
      <w:pPr>
        <w:pStyle w:val="Heading5"/>
        <w:rPr>
          <w:snapToGrid w:val="0"/>
        </w:rPr>
      </w:pPr>
      <w:bookmarkStart w:id="101" w:name="_Toc375052649"/>
      <w:bookmarkStart w:id="102" w:name="_Toc415650283"/>
      <w:r>
        <w:rPr>
          <w:rStyle w:val="CharSectno"/>
        </w:rPr>
        <w:t>88</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supply of certain computer games to minors</w:t>
      </w:r>
      <w:bookmarkEnd w:id="101"/>
      <w:bookmarkEnd w:id="102"/>
    </w:p>
    <w:p>
      <w:pPr>
        <w:pStyle w:val="Subsection"/>
      </w:pPr>
      <w:r>
        <w:tab/>
        <w:t>(1A)</w:t>
      </w:r>
      <w:r>
        <w:tab/>
        <w:t>A person must not sell or supply to a minor a computer game classified R 18+ unless the person is a parent or guardian of the minor.</w:t>
      </w:r>
    </w:p>
    <w:p>
      <w:pPr>
        <w:pStyle w:val="Penstart"/>
      </w:pPr>
      <w:r>
        <w:tab/>
        <w:t>Penalty: a fine of $5 000.</w:t>
      </w:r>
    </w:p>
    <w:p>
      <w:pPr>
        <w:pStyle w:val="Subsection"/>
      </w:pPr>
      <w:r>
        <w:tab/>
        <w:t>(1B)</w:t>
      </w:r>
      <w:r>
        <w:tab/>
        <w:t>It is a defence to a charge of an offence against subsection (1A) for the person charged to prove that —</w:t>
      </w:r>
    </w:p>
    <w:p>
      <w:pPr>
        <w:pStyle w:val="Indenta"/>
      </w:pPr>
      <w:r>
        <w:tab/>
        <w:t>(a)</w:t>
      </w:r>
      <w:r>
        <w:tab/>
        <w:t>the minor produced to the person charged or that person’s employee or agent acceptable proof of age before the person charged sold or supplied the computer game to the minor and the person charged or that person’s employee or agent believed on reasonable grounds that the minor was an adult; or</w:t>
      </w:r>
    </w:p>
    <w:p>
      <w:pPr>
        <w:pStyle w:val="Indenta"/>
      </w:pPr>
      <w:r>
        <w:tab/>
        <w:t>(b)</w:t>
      </w:r>
      <w:r>
        <w:tab/>
        <w:t>the minor was employed by the person charged or that person’s employer and the supply took place in the course of that employment.</w:t>
      </w:r>
    </w:p>
    <w:p>
      <w:pPr>
        <w:pStyle w:val="Subsection"/>
        <w:spacing w:before="140"/>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spacing w:before="140"/>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4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 No. 53 of 2012 s. 9.]</w:t>
      </w:r>
    </w:p>
    <w:p>
      <w:pPr>
        <w:pStyle w:val="Heading5"/>
        <w:rPr>
          <w:snapToGrid w:val="0"/>
        </w:rPr>
      </w:pPr>
      <w:bookmarkStart w:id="103" w:name="_Toc375052650"/>
      <w:bookmarkStart w:id="104" w:name="_Toc415650284"/>
      <w:r>
        <w:rPr>
          <w:rStyle w:val="CharSectno"/>
        </w:rPr>
        <w:t>89</w:t>
      </w:r>
      <w:r>
        <w:rPr>
          <w:snapToGrid w:val="0"/>
        </w:rPr>
        <w:t>.</w:t>
      </w:r>
      <w:r>
        <w:rPr>
          <w:snapToGrid w:val="0"/>
        </w:rPr>
        <w:tab/>
        <w:t>Possessing or copying certain computer games</w:t>
      </w:r>
      <w:bookmarkEnd w:id="103"/>
      <w:bookmarkEnd w:id="104"/>
    </w:p>
    <w:p>
      <w:pPr>
        <w:pStyle w:val="Subsection"/>
        <w:spacing w:before="140"/>
      </w:pPr>
      <w:r>
        <w:tab/>
        <w:t>(1)</w:t>
      </w:r>
      <w:r>
        <w:tab/>
        <w:t>A person must not possess or copy —</w:t>
      </w:r>
    </w:p>
    <w:p>
      <w:pPr>
        <w:pStyle w:val="Indenta"/>
        <w:spacing w:before="60"/>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pPr>
      <w:r>
        <w:tab/>
        <w:t>(2)</w:t>
      </w:r>
      <w:r>
        <w:tab/>
        <w:t>A person must not possess or copy an unclassified computer game that would, if classified, be classified R 18+ or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pPr>
      <w:r>
        <w:tab/>
        <w:t>(3)</w:t>
      </w:r>
      <w:r>
        <w:tab/>
        <w:t>A person must not possess or copy a computer game classified R 18+ or MA 15+ with the intention of demonstrating the computer game or the copy in a public place.</w:t>
      </w:r>
    </w:p>
    <w:p>
      <w:pPr>
        <w:pStyle w:val="Penstart"/>
        <w:rPr>
          <w:snapToGrid w:val="0"/>
        </w:rPr>
      </w:pPr>
      <w:r>
        <w:rPr>
          <w:snapToGrid w:val="0"/>
        </w:rPr>
        <w:tab/>
        <w:t>Penalty</w:t>
      </w:r>
      <w:r>
        <w:t>: $5 000.</w:t>
      </w:r>
    </w:p>
    <w:p>
      <w:pPr>
        <w:pStyle w:val="Subsection"/>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 No. 53 of 2012 s. 10.]</w:t>
      </w:r>
    </w:p>
    <w:p>
      <w:pPr>
        <w:pStyle w:val="Heading3"/>
      </w:pPr>
      <w:bookmarkStart w:id="105" w:name="_Toc375052651"/>
      <w:bookmarkStart w:id="106" w:name="_Toc415650285"/>
      <w:r>
        <w:rPr>
          <w:rStyle w:val="CharDivNo"/>
        </w:rPr>
        <w:t>Division 5</w:t>
      </w:r>
      <w:r>
        <w:rPr>
          <w:snapToGrid w:val="0"/>
        </w:rPr>
        <w:t> — </w:t>
      </w:r>
      <w:r>
        <w:rPr>
          <w:rStyle w:val="CharDivText"/>
        </w:rPr>
        <w:t>Advertisements</w:t>
      </w:r>
      <w:bookmarkEnd w:id="105"/>
      <w:bookmarkEnd w:id="106"/>
    </w:p>
    <w:p>
      <w:pPr>
        <w:pStyle w:val="Heading5"/>
        <w:rPr>
          <w:snapToGrid w:val="0"/>
        </w:rPr>
      </w:pPr>
      <w:bookmarkStart w:id="107" w:name="_Toc375052652"/>
      <w:bookmarkStart w:id="108" w:name="_Toc415650286"/>
      <w:r>
        <w:rPr>
          <w:rStyle w:val="CharSectno"/>
        </w:rPr>
        <w:t>90</w:t>
      </w:r>
      <w:r>
        <w:rPr>
          <w:snapToGrid w:val="0"/>
        </w:rPr>
        <w:t>.</w:t>
      </w:r>
      <w:r>
        <w:rPr>
          <w:snapToGrid w:val="0"/>
        </w:rPr>
        <w:tab/>
        <w:t>Certain advertisements not to be published</w:t>
      </w:r>
      <w:bookmarkEnd w:id="107"/>
      <w:bookmarkEnd w:id="108"/>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In subsection (1) —</w:t>
      </w:r>
    </w:p>
    <w:p>
      <w:pPr>
        <w:pStyle w:val="Defstart"/>
      </w:pPr>
      <w:r>
        <w:tab/>
      </w:r>
      <w:r>
        <w:rPr>
          <w:rStyle w:val="CharDefText"/>
        </w:rPr>
        <w:t>unapproved advertisement</w:t>
      </w:r>
      <w:r>
        <w:t xml:space="preserve"> means an advertisement that —</w:t>
      </w:r>
    </w:p>
    <w:p>
      <w:pPr>
        <w:pStyle w:val="Defpara"/>
      </w:pPr>
      <w:r>
        <w:tab/>
        <w:t>(a)</w:t>
      </w:r>
      <w:r>
        <w:tab/>
        <w:t>has not been submitted for approval under section 29 of the Commonwealth Act and, if submitted, would be refused approval; or</w:t>
      </w:r>
    </w:p>
    <w:p>
      <w:pPr>
        <w:pStyle w:val="Defpara"/>
      </w:pPr>
      <w:r>
        <w:tab/>
        <w:t>(b)</w:t>
      </w:r>
      <w:r>
        <w:tab/>
        <w:t>has been refused approval under section 29 of the Commonwealth Act; or</w:t>
      </w:r>
    </w:p>
    <w:p>
      <w:pPr>
        <w:pStyle w:val="Defpara"/>
      </w:pPr>
      <w:r>
        <w:tab/>
        <w:t>(c)</w:t>
      </w:r>
      <w:r>
        <w:tab/>
        <w:t>was approved under section 29 of the Commonwealth Act but the approval was revoked under section 13(5) or 21A of that Act.</w:t>
      </w:r>
    </w:p>
    <w:p>
      <w:pPr>
        <w:pStyle w:val="Subsection"/>
      </w:pPr>
      <w:r>
        <w:tab/>
        <w:t>(3)</w:t>
      </w:r>
      <w:r>
        <w:tab/>
        <w:t>If an advertisement for a film, publication or computer game is approved under section 29 of the Commonwealth Act, a person must not publish the advertisement —</w:t>
      </w:r>
    </w:p>
    <w:p>
      <w:pPr>
        <w:pStyle w:val="Indenta"/>
      </w:pPr>
      <w:r>
        <w:tab/>
        <w:t>(a)</w:t>
      </w:r>
      <w:r>
        <w:tab/>
        <w:t>in an altered form to the form in which it is approved; or</w:t>
      </w:r>
    </w:p>
    <w:p>
      <w:pPr>
        <w:pStyle w:val="Indenta"/>
      </w:pPr>
      <w:r>
        <w:tab/>
        <w:t>(b)</w:t>
      </w:r>
      <w:r>
        <w:tab/>
        <w:t>if it is approved subject to conditions, except in accordance with those conditions.</w:t>
      </w:r>
    </w:p>
    <w:p>
      <w:pPr>
        <w:pStyle w:val="Penstart"/>
      </w:pPr>
      <w:r>
        <w:tab/>
        <w:t>Penalty: a fine of $5 000.</w:t>
      </w:r>
    </w:p>
    <w:p>
      <w:pPr>
        <w:pStyle w:val="Footnotesection"/>
        <w:spacing w:before="100"/>
        <w:ind w:left="890" w:hanging="890"/>
      </w:pPr>
      <w:r>
        <w:tab/>
        <w:t>[Section 90 amended by No. 30 of 2003 s. 15 and 41(2); No. 21 of 2010 s. 29.]</w:t>
      </w:r>
    </w:p>
    <w:p>
      <w:pPr>
        <w:pStyle w:val="Heading5"/>
        <w:spacing w:before="240"/>
      </w:pPr>
      <w:bookmarkStart w:id="109" w:name="_Toc375052653"/>
      <w:bookmarkStart w:id="110" w:name="_Toc415650287"/>
      <w:r>
        <w:rPr>
          <w:rStyle w:val="CharSectno"/>
        </w:rPr>
        <w:t>91</w:t>
      </w:r>
      <w:r>
        <w:t>.</w:t>
      </w:r>
      <w:r>
        <w:tab/>
        <w:t>Certain films etc. not to be advertised</w:t>
      </w:r>
      <w:bookmarkEnd w:id="109"/>
      <w:bookmarkEnd w:id="110"/>
    </w:p>
    <w:p>
      <w:pPr>
        <w:pStyle w:val="Subsection"/>
        <w:keepNext/>
        <w:spacing w:before="180"/>
      </w:pPr>
      <w:r>
        <w:tab/>
        <w:t>(1)</w:t>
      </w:r>
      <w:r>
        <w:tab/>
        <w:t>A person must not publish an advertisement for —</w:t>
      </w:r>
    </w:p>
    <w:p>
      <w:pPr>
        <w:pStyle w:val="Ednotepara"/>
        <w:spacing w:before="60"/>
      </w:pPr>
      <w:r>
        <w:tab/>
        <w:t>[(a)</w:t>
      </w:r>
      <w:r>
        <w:tab/>
        <w:t>deleted]</w:t>
      </w:r>
    </w:p>
    <w:p>
      <w:pPr>
        <w:pStyle w:val="Indenta"/>
        <w:spacing w:before="60"/>
      </w:pPr>
      <w:r>
        <w:tab/>
        <w:t>(b)</w:t>
      </w:r>
      <w:r>
        <w:tab/>
        <w:t>a film classified RC or X 18+; or</w:t>
      </w:r>
    </w:p>
    <w:p>
      <w:pPr>
        <w:pStyle w:val="Ednotepara"/>
        <w:spacing w:before="60"/>
      </w:pPr>
      <w:r>
        <w:tab/>
        <w:t>[(c)</w:t>
      </w:r>
      <w:r>
        <w:tab/>
        <w:t>deleted]</w:t>
      </w:r>
    </w:p>
    <w:p>
      <w:pPr>
        <w:pStyle w:val="Indenta"/>
        <w:spacing w:before="60"/>
      </w:pPr>
      <w:r>
        <w:tab/>
        <w:t>(d)</w:t>
      </w:r>
      <w:r>
        <w:tab/>
        <w:t>a computer game classified RC; or</w:t>
      </w:r>
    </w:p>
    <w:p>
      <w:pPr>
        <w:pStyle w:val="Indenta"/>
        <w:spacing w:before="60"/>
      </w:pPr>
      <w:r>
        <w:tab/>
        <w:t>(e)</w:t>
      </w:r>
      <w:r>
        <w:tab/>
        <w:t>a submittable publication; or</w:t>
      </w:r>
    </w:p>
    <w:p>
      <w:pPr>
        <w:pStyle w:val="Indenta"/>
        <w:spacing w:before="60"/>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spacing w:before="180"/>
      </w:pPr>
      <w:r>
        <w:tab/>
        <w:t>(2A)</w:t>
      </w:r>
      <w:r>
        <w:tab/>
        <w:t>A person must not publish an advertisement for an unclassified film or an unclassified computer game otherwise than in accordance with the advertising scheme.</w:t>
      </w:r>
    </w:p>
    <w:p>
      <w:pPr>
        <w:pStyle w:val="Penstart"/>
      </w:pPr>
      <w:r>
        <w:tab/>
        <w:t>Penalty: a fine of $5 000.</w:t>
      </w:r>
    </w:p>
    <w:p>
      <w:pPr>
        <w:pStyle w:val="Subsection"/>
        <w:keepLines/>
        <w:spacing w:before="120"/>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spacing w:before="80"/>
        <w:ind w:left="890" w:hanging="890"/>
      </w:pPr>
      <w:r>
        <w:tab/>
        <w:t>[Section 91 amended by No. 30 of 2003 s. 16 and 41(2); No. 10 of 2006 s. 27; No. 21 of 2010 s. 30.]</w:t>
      </w:r>
    </w:p>
    <w:p>
      <w:pPr>
        <w:pStyle w:val="Heading5"/>
        <w:rPr>
          <w:snapToGrid w:val="0"/>
        </w:rPr>
      </w:pPr>
      <w:bookmarkStart w:id="111" w:name="_Toc375052654"/>
      <w:bookmarkStart w:id="112" w:name="_Toc415650288"/>
      <w:r>
        <w:rPr>
          <w:rStyle w:val="CharSectno"/>
        </w:rPr>
        <w:t>92</w:t>
      </w:r>
      <w:r>
        <w:rPr>
          <w:snapToGrid w:val="0"/>
        </w:rPr>
        <w:t>.</w:t>
      </w:r>
      <w:r>
        <w:rPr>
          <w:snapToGrid w:val="0"/>
        </w:rPr>
        <w:tab/>
        <w:t>Which advertisements of films etc. can be screened with feature films</w:t>
      </w:r>
      <w:bookmarkEnd w:id="111"/>
      <w:bookmarkEnd w:id="112"/>
    </w:p>
    <w:p>
      <w:pPr>
        <w:pStyle w:val="Subsection"/>
        <w:spacing w:before="180"/>
      </w:pPr>
      <w:r>
        <w:tab/>
        <w:t>(1)</w:t>
      </w:r>
      <w:r>
        <w:tab/>
        <w:t xml:space="preserve">A person must not screen in a public place an advertisement for a classified film during a programme for the exhibition of another classified film (the </w:t>
      </w:r>
      <w:r>
        <w:rPr>
          <w:rStyle w:val="CharDefText"/>
        </w:rPr>
        <w:t>feature film</w:t>
      </w:r>
      <w:r>
        <w:t>) unless the feature film has a classification specified in column 1 of an item in the Table and the advertised film has a classification specified opposite it in column 2 of that item.</w:t>
      </w:r>
    </w:p>
    <w:p>
      <w:pPr>
        <w:pStyle w:val="THeadingNAm"/>
        <w:keepLines/>
        <w:spacing w:after="80"/>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42"/>
        <w:gridCol w:w="3121"/>
      </w:tblGrid>
      <w:tr>
        <w:tc>
          <w:tcPr>
            <w:tcW w:w="880" w:type="dxa"/>
            <w:tcBorders>
              <w:left w:val="nil"/>
              <w:bottom w:val="single" w:sz="4" w:space="0" w:color="auto"/>
              <w:right w:val="nil"/>
            </w:tcBorders>
          </w:tcPr>
          <w:p>
            <w:pPr>
              <w:pStyle w:val="TableNAm"/>
              <w:spacing w:before="60"/>
              <w:rPr>
                <w:b/>
                <w:bCs/>
              </w:rPr>
            </w:pPr>
            <w:r>
              <w:rPr>
                <w:b/>
                <w:bCs/>
              </w:rPr>
              <w:t>Item</w:t>
            </w:r>
          </w:p>
        </w:tc>
        <w:tc>
          <w:tcPr>
            <w:tcW w:w="1542"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Feature film</w:t>
            </w:r>
          </w:p>
        </w:tc>
        <w:tc>
          <w:tcPr>
            <w:tcW w:w="3121"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film</w:t>
            </w:r>
          </w:p>
        </w:tc>
      </w:tr>
      <w:tr>
        <w:tc>
          <w:tcPr>
            <w:tcW w:w="880" w:type="dxa"/>
            <w:tcBorders>
              <w:left w:val="nil"/>
              <w:bottom w:val="nil"/>
              <w:right w:val="nil"/>
            </w:tcBorders>
          </w:tcPr>
          <w:p>
            <w:pPr>
              <w:pStyle w:val="TableNAm"/>
              <w:spacing w:before="60"/>
            </w:pPr>
            <w:r>
              <w:t>1</w:t>
            </w:r>
          </w:p>
        </w:tc>
        <w:tc>
          <w:tcPr>
            <w:tcW w:w="1542"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42"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80" w:type="dxa"/>
            <w:tcBorders>
              <w:top w:val="nil"/>
              <w:left w:val="nil"/>
              <w:bottom w:val="nil"/>
              <w:right w:val="nil"/>
            </w:tcBorders>
          </w:tcPr>
          <w:p>
            <w:pPr>
              <w:pStyle w:val="TableNAm"/>
              <w:spacing w:before="60"/>
            </w:pPr>
            <w:r>
              <w:t>3</w:t>
            </w:r>
          </w:p>
        </w:tc>
        <w:tc>
          <w:tcPr>
            <w:tcW w:w="1542"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80" w:type="dxa"/>
            <w:tcBorders>
              <w:top w:val="nil"/>
              <w:left w:val="nil"/>
              <w:bottom w:val="nil"/>
              <w:right w:val="nil"/>
            </w:tcBorders>
          </w:tcPr>
          <w:p>
            <w:pPr>
              <w:pStyle w:val="TableNAm"/>
              <w:spacing w:before="60"/>
            </w:pPr>
            <w:r>
              <w:t>4</w:t>
            </w:r>
          </w:p>
        </w:tc>
        <w:tc>
          <w:tcPr>
            <w:tcW w:w="1542"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80" w:type="dxa"/>
            <w:tcBorders>
              <w:top w:val="nil"/>
              <w:left w:val="nil"/>
              <w:bottom w:val="single" w:sz="4" w:space="0" w:color="auto"/>
              <w:right w:val="nil"/>
            </w:tcBorders>
          </w:tcPr>
          <w:p>
            <w:pPr>
              <w:pStyle w:val="TableNAm"/>
              <w:spacing w:before="60"/>
            </w:pPr>
            <w:r>
              <w:t>5</w:t>
            </w:r>
          </w:p>
        </w:tc>
        <w:tc>
          <w:tcPr>
            <w:tcW w:w="1542"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spacing w:before="180"/>
      </w:pPr>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p>
    <w:p>
      <w:pPr>
        <w:pStyle w:val="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Film</w:t>
            </w:r>
          </w:p>
        </w:tc>
        <w:tc>
          <w:tcPr>
            <w:tcW w:w="3118"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spacing w:before="60"/>
            </w:pPr>
            <w:r>
              <w:t>G</w:t>
            </w:r>
          </w:p>
        </w:tc>
        <w:tc>
          <w:tcPr>
            <w:tcW w:w="3118" w:type="dxa"/>
            <w:tcBorders>
              <w:left w:val="nil"/>
              <w:bottom w:val="nil"/>
              <w:right w:val="nil"/>
            </w:tcBorders>
          </w:tcPr>
          <w:p>
            <w:pPr>
              <w:pStyle w:val="TableNAm"/>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spacing w:before="60"/>
            </w:pPr>
            <w:r>
              <w:t>PG</w:t>
            </w:r>
          </w:p>
        </w:tc>
        <w:tc>
          <w:tcPr>
            <w:tcW w:w="3118"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keepNext/>
              <w:keepLines/>
              <w:spacing w:before="60"/>
            </w:pPr>
            <w:r>
              <w:t>4</w:t>
            </w:r>
          </w:p>
        </w:tc>
        <w:tc>
          <w:tcPr>
            <w:tcW w:w="1548" w:type="dxa"/>
            <w:tcBorders>
              <w:top w:val="nil"/>
              <w:left w:val="nil"/>
              <w:bottom w:val="nil"/>
              <w:right w:val="nil"/>
            </w:tcBorders>
          </w:tcPr>
          <w:p>
            <w:pPr>
              <w:pStyle w:val="TableNAm"/>
              <w:keepNext/>
              <w:keepLines/>
              <w:spacing w:before="60"/>
            </w:pPr>
            <w:r>
              <w:t>MA 15+</w:t>
            </w:r>
          </w:p>
        </w:tc>
        <w:tc>
          <w:tcPr>
            <w:tcW w:w="3118" w:type="dxa"/>
            <w:tcBorders>
              <w:top w:val="nil"/>
              <w:left w:val="nil"/>
              <w:bottom w:val="nil"/>
              <w:right w:val="nil"/>
            </w:tcBorders>
          </w:tcPr>
          <w:p>
            <w:pPr>
              <w:pStyle w:val="TableNAm"/>
              <w:keepNext/>
              <w:keepLines/>
              <w:spacing w:before="60"/>
            </w:pPr>
            <w:r>
              <w:t>MA 15+, M, PG or G</w:t>
            </w:r>
          </w:p>
        </w:tc>
      </w:tr>
      <w:tr>
        <w:tc>
          <w:tcPr>
            <w:tcW w:w="862" w:type="dxa"/>
            <w:tcBorders>
              <w:top w:val="nil"/>
              <w:left w:val="nil"/>
              <w:right w:val="nil"/>
            </w:tcBorders>
          </w:tcPr>
          <w:p>
            <w:pPr>
              <w:pStyle w:val="TableNAm"/>
              <w:keepNext/>
              <w:keepLines/>
              <w:spacing w:before="60"/>
            </w:pPr>
            <w:r>
              <w:t>5</w:t>
            </w:r>
          </w:p>
        </w:tc>
        <w:tc>
          <w:tcPr>
            <w:tcW w:w="1548" w:type="dxa"/>
            <w:tcBorders>
              <w:top w:val="nil"/>
              <w:left w:val="nil"/>
              <w:right w:val="nil"/>
            </w:tcBorders>
          </w:tcPr>
          <w:p>
            <w:pPr>
              <w:pStyle w:val="TableNAm"/>
              <w:keepNext/>
              <w:keepLines/>
              <w:spacing w:before="60"/>
            </w:pPr>
            <w:r>
              <w:t>R 18+</w:t>
            </w:r>
          </w:p>
        </w:tc>
        <w:tc>
          <w:tcPr>
            <w:tcW w:w="3118" w:type="dxa"/>
            <w:tcBorders>
              <w:top w:val="nil"/>
              <w:left w:val="nil"/>
              <w:right w:val="nil"/>
            </w:tcBorders>
          </w:tcPr>
          <w:p>
            <w:pPr>
              <w:pStyle w:val="TableNAm"/>
              <w:keepNext/>
              <w:keepLines/>
              <w:spacing w:before="60"/>
            </w:pPr>
            <w:r>
              <w:t>R 18+, MA 15+, M, PG or G</w:t>
            </w:r>
          </w:p>
        </w:tc>
      </w:tr>
    </w:tbl>
    <w:p>
      <w:pPr>
        <w:pStyle w:val="Penstart"/>
        <w:spacing w:before="120"/>
      </w:pPr>
      <w:r>
        <w:tab/>
        <w:t>Penalty: $2 000.</w:t>
      </w:r>
    </w:p>
    <w:p>
      <w:pPr>
        <w:pStyle w:val="Subsection"/>
      </w:pPr>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p>
    <w:p>
      <w:pPr>
        <w:pStyle w:val="Penstart"/>
      </w:pPr>
      <w:r>
        <w:tab/>
        <w:t>Penalty: $5 000.</w:t>
      </w:r>
    </w:p>
    <w:p>
      <w:pPr>
        <w:pStyle w:val="Footnotesection"/>
      </w:pPr>
      <w:r>
        <w:tab/>
        <w:t>[Section 92 amended by No. 30 of 2003 s. 41(2); No. 10 of 2006 s. 28; No. 21 of 2010 s. 31; No. 53 of 2012 s. 11.]</w:t>
      </w:r>
    </w:p>
    <w:p>
      <w:pPr>
        <w:pStyle w:val="Heading5"/>
      </w:pPr>
      <w:bookmarkStart w:id="113" w:name="_Toc375052655"/>
      <w:bookmarkStart w:id="114" w:name="_Toc415650289"/>
      <w:r>
        <w:rPr>
          <w:rStyle w:val="CharSectno"/>
        </w:rPr>
        <w:t>93</w:t>
      </w:r>
      <w:r>
        <w:rPr>
          <w:spacing w:val="-2"/>
        </w:rPr>
        <w:t>.</w:t>
      </w:r>
      <w:r>
        <w:rPr>
          <w:spacing w:val="-2"/>
        </w:rPr>
        <w:tab/>
        <w:t>A</w:t>
      </w:r>
      <w:r>
        <w:t>dvertisements for R 18+ or MA 15+ films, screening of</w:t>
      </w:r>
      <w:bookmarkEnd w:id="113"/>
      <w:bookmarkEnd w:id="114"/>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115" w:name="_Toc375052656"/>
      <w:bookmarkStart w:id="116" w:name="_Toc415650290"/>
      <w:r>
        <w:rPr>
          <w:rStyle w:val="CharSectno"/>
        </w:rPr>
        <w:t>94</w:t>
      </w:r>
      <w:r>
        <w:rPr>
          <w:spacing w:val="-2"/>
        </w:rPr>
        <w:t>.</w:t>
      </w:r>
      <w:r>
        <w:rPr>
          <w:b w:val="0"/>
          <w:spacing w:val="-2"/>
        </w:rPr>
        <w:tab/>
      </w:r>
      <w:r>
        <w:t>Classified films not to be sold with certain advertisements</w:t>
      </w:r>
      <w:bookmarkEnd w:id="115"/>
      <w:bookmarkEnd w:id="116"/>
    </w:p>
    <w:p>
      <w:pPr>
        <w:pStyle w:val="Subsection"/>
        <w:keepNext/>
        <w:keepLines/>
      </w:pPr>
      <w:r>
        <w:tab/>
        <w:t>(1)</w:t>
      </w:r>
      <w:r>
        <w:tab/>
        <w:t xml:space="preserve">A person must not sell a classified film (the </w:t>
      </w:r>
      <w:r>
        <w:rPr>
          <w:rStyle w:val="CharDefText"/>
        </w:rPr>
        <w:t>feature film</w:t>
      </w:r>
      <w:r>
        <w:t>) that is accompanied by an advertisement for another classified film unless the feature film has a classification specified in column 1 of an item in the Table and the advertised film has a classification specified opposite it in column 2 of that item.</w:t>
      </w:r>
    </w:p>
    <w:p>
      <w:pPr>
        <w:pStyle w:val="THeadingNAm"/>
        <w:keepLines/>
      </w:pPr>
      <w:r>
        <w:t>Table</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528"/>
        <w:gridCol w:w="3121"/>
      </w:tblGrid>
      <w:tr>
        <w:tc>
          <w:tcPr>
            <w:tcW w:w="866" w:type="dxa"/>
            <w:tcBorders>
              <w:left w:val="nil"/>
              <w:bottom w:val="single" w:sz="4" w:space="0" w:color="auto"/>
              <w:right w:val="nil"/>
            </w:tcBorders>
          </w:tcPr>
          <w:p>
            <w:pPr>
              <w:pStyle w:val="TableNAm"/>
              <w:keepNext/>
              <w:keepLines/>
              <w:spacing w:before="60"/>
              <w:rPr>
                <w:b/>
                <w:bCs/>
              </w:rPr>
            </w:pPr>
            <w:r>
              <w:rPr>
                <w:b/>
                <w:bCs/>
              </w:rPr>
              <w:t>Item</w:t>
            </w:r>
          </w:p>
        </w:tc>
        <w:tc>
          <w:tcPr>
            <w:tcW w:w="152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Feature film</w:t>
            </w:r>
          </w:p>
        </w:tc>
        <w:tc>
          <w:tcPr>
            <w:tcW w:w="3121"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film</w:t>
            </w:r>
          </w:p>
        </w:tc>
      </w:tr>
      <w:tr>
        <w:tc>
          <w:tcPr>
            <w:tcW w:w="866" w:type="dxa"/>
            <w:tcBorders>
              <w:left w:val="nil"/>
              <w:bottom w:val="nil"/>
              <w:right w:val="nil"/>
            </w:tcBorders>
          </w:tcPr>
          <w:p>
            <w:pPr>
              <w:pStyle w:val="TableNAm"/>
              <w:spacing w:before="60"/>
            </w:pPr>
            <w:r>
              <w:t>1</w:t>
            </w:r>
          </w:p>
        </w:tc>
        <w:tc>
          <w:tcPr>
            <w:tcW w:w="1528" w:type="dxa"/>
            <w:tcBorders>
              <w:left w:val="nil"/>
              <w:bottom w:val="nil"/>
              <w:right w:val="nil"/>
            </w:tcBorders>
          </w:tcPr>
          <w:p>
            <w:pPr>
              <w:pStyle w:val="TableNAm"/>
              <w:spacing w:before="60"/>
            </w:pPr>
            <w:r>
              <w:t>G</w:t>
            </w:r>
          </w:p>
        </w:tc>
        <w:tc>
          <w:tcPr>
            <w:tcW w:w="3121" w:type="dxa"/>
            <w:tcBorders>
              <w:left w:val="nil"/>
              <w:bottom w:val="nil"/>
              <w:right w:val="nil"/>
            </w:tcBorders>
          </w:tcPr>
          <w:p>
            <w:pPr>
              <w:pStyle w:val="TableNAm"/>
              <w:spacing w:before="60"/>
            </w:pPr>
            <w:r>
              <w:t>G</w:t>
            </w:r>
          </w:p>
        </w:tc>
      </w:tr>
      <w:tr>
        <w:tc>
          <w:tcPr>
            <w:tcW w:w="866" w:type="dxa"/>
            <w:tcBorders>
              <w:top w:val="nil"/>
              <w:left w:val="nil"/>
              <w:bottom w:val="nil"/>
              <w:right w:val="nil"/>
            </w:tcBorders>
          </w:tcPr>
          <w:p>
            <w:pPr>
              <w:pStyle w:val="TableNAm"/>
              <w:spacing w:before="60"/>
            </w:pPr>
            <w:r>
              <w:t>2</w:t>
            </w:r>
          </w:p>
        </w:tc>
        <w:tc>
          <w:tcPr>
            <w:tcW w:w="1528" w:type="dxa"/>
            <w:tcBorders>
              <w:top w:val="nil"/>
              <w:left w:val="nil"/>
              <w:bottom w:val="nil"/>
              <w:right w:val="nil"/>
            </w:tcBorders>
          </w:tcPr>
          <w:p>
            <w:pPr>
              <w:pStyle w:val="TableNAm"/>
              <w:spacing w:before="60"/>
            </w:pPr>
            <w:r>
              <w:t>PG</w:t>
            </w:r>
          </w:p>
        </w:tc>
        <w:tc>
          <w:tcPr>
            <w:tcW w:w="3121" w:type="dxa"/>
            <w:tcBorders>
              <w:top w:val="nil"/>
              <w:left w:val="nil"/>
              <w:bottom w:val="nil"/>
              <w:right w:val="nil"/>
            </w:tcBorders>
          </w:tcPr>
          <w:p>
            <w:pPr>
              <w:pStyle w:val="TableNAm"/>
              <w:spacing w:before="60"/>
            </w:pPr>
            <w:r>
              <w:t>PG or G</w:t>
            </w:r>
          </w:p>
        </w:tc>
      </w:tr>
      <w:tr>
        <w:tc>
          <w:tcPr>
            <w:tcW w:w="866" w:type="dxa"/>
            <w:tcBorders>
              <w:top w:val="nil"/>
              <w:left w:val="nil"/>
              <w:bottom w:val="nil"/>
              <w:right w:val="nil"/>
            </w:tcBorders>
          </w:tcPr>
          <w:p>
            <w:pPr>
              <w:pStyle w:val="TableNAm"/>
              <w:spacing w:before="60"/>
            </w:pPr>
            <w:r>
              <w:t>3</w:t>
            </w:r>
          </w:p>
        </w:tc>
        <w:tc>
          <w:tcPr>
            <w:tcW w:w="1528" w:type="dxa"/>
            <w:tcBorders>
              <w:top w:val="nil"/>
              <w:left w:val="nil"/>
              <w:bottom w:val="nil"/>
              <w:right w:val="nil"/>
            </w:tcBorders>
          </w:tcPr>
          <w:p>
            <w:pPr>
              <w:pStyle w:val="TableNAm"/>
              <w:spacing w:before="60"/>
            </w:pPr>
            <w:r>
              <w:t>M</w:t>
            </w:r>
          </w:p>
        </w:tc>
        <w:tc>
          <w:tcPr>
            <w:tcW w:w="3121" w:type="dxa"/>
            <w:tcBorders>
              <w:top w:val="nil"/>
              <w:left w:val="nil"/>
              <w:bottom w:val="nil"/>
              <w:right w:val="nil"/>
            </w:tcBorders>
          </w:tcPr>
          <w:p>
            <w:pPr>
              <w:pStyle w:val="TableNAm"/>
              <w:spacing w:before="60"/>
            </w:pPr>
            <w:r>
              <w:t>M, PG or G</w:t>
            </w:r>
          </w:p>
        </w:tc>
      </w:tr>
      <w:tr>
        <w:tc>
          <w:tcPr>
            <w:tcW w:w="866" w:type="dxa"/>
            <w:tcBorders>
              <w:top w:val="nil"/>
              <w:left w:val="nil"/>
              <w:bottom w:val="nil"/>
              <w:right w:val="nil"/>
            </w:tcBorders>
          </w:tcPr>
          <w:p>
            <w:pPr>
              <w:pStyle w:val="TableNAm"/>
              <w:spacing w:before="60"/>
            </w:pPr>
            <w:r>
              <w:t>4</w:t>
            </w:r>
          </w:p>
        </w:tc>
        <w:tc>
          <w:tcPr>
            <w:tcW w:w="1528" w:type="dxa"/>
            <w:tcBorders>
              <w:top w:val="nil"/>
              <w:left w:val="nil"/>
              <w:bottom w:val="nil"/>
              <w:right w:val="nil"/>
            </w:tcBorders>
          </w:tcPr>
          <w:p>
            <w:pPr>
              <w:pStyle w:val="TableNAm"/>
              <w:spacing w:before="60"/>
            </w:pPr>
            <w:r>
              <w:t>MA 15+</w:t>
            </w:r>
          </w:p>
        </w:tc>
        <w:tc>
          <w:tcPr>
            <w:tcW w:w="3121" w:type="dxa"/>
            <w:tcBorders>
              <w:top w:val="nil"/>
              <w:left w:val="nil"/>
              <w:bottom w:val="nil"/>
              <w:right w:val="nil"/>
            </w:tcBorders>
          </w:tcPr>
          <w:p>
            <w:pPr>
              <w:pStyle w:val="TableNAm"/>
              <w:spacing w:before="60"/>
            </w:pPr>
            <w:r>
              <w:t>MA 15+, M, PG or G</w:t>
            </w:r>
          </w:p>
        </w:tc>
      </w:tr>
      <w:tr>
        <w:tc>
          <w:tcPr>
            <w:tcW w:w="866" w:type="dxa"/>
            <w:tcBorders>
              <w:top w:val="nil"/>
              <w:left w:val="nil"/>
              <w:bottom w:val="single" w:sz="4" w:space="0" w:color="auto"/>
              <w:right w:val="nil"/>
            </w:tcBorders>
          </w:tcPr>
          <w:p>
            <w:pPr>
              <w:pStyle w:val="TableNAm"/>
              <w:spacing w:before="60"/>
            </w:pPr>
            <w:r>
              <w:t>5</w:t>
            </w:r>
          </w:p>
        </w:tc>
        <w:tc>
          <w:tcPr>
            <w:tcW w:w="1528" w:type="dxa"/>
            <w:tcBorders>
              <w:top w:val="nil"/>
              <w:left w:val="nil"/>
              <w:bottom w:val="single" w:sz="4" w:space="0" w:color="auto"/>
              <w:right w:val="nil"/>
            </w:tcBorders>
          </w:tcPr>
          <w:p>
            <w:pPr>
              <w:pStyle w:val="TableNAm"/>
              <w:spacing w:before="60"/>
            </w:pPr>
            <w:r>
              <w:t>R 18+</w:t>
            </w:r>
          </w:p>
        </w:tc>
        <w:tc>
          <w:tcPr>
            <w:tcW w:w="3121"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pPr>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548"/>
        <w:gridCol w:w="3118"/>
      </w:tblGrid>
      <w:tr>
        <w:trPr>
          <w:tblHeader/>
        </w:trPr>
        <w:tc>
          <w:tcPr>
            <w:tcW w:w="862" w:type="dxa"/>
            <w:tcBorders>
              <w:left w:val="nil"/>
              <w:bottom w:val="single" w:sz="4" w:space="0" w:color="auto"/>
              <w:right w:val="nil"/>
            </w:tcBorders>
          </w:tcPr>
          <w:p>
            <w:pPr>
              <w:pStyle w:val="TableNAm"/>
              <w:spacing w:before="60"/>
              <w:rPr>
                <w:b/>
                <w:bCs/>
              </w:rPr>
            </w:pPr>
            <w:r>
              <w:rPr>
                <w:b/>
                <w:bCs/>
              </w:rPr>
              <w:t>Item</w:t>
            </w:r>
          </w:p>
        </w:tc>
        <w:tc>
          <w:tcPr>
            <w:tcW w:w="1548" w:type="dxa"/>
            <w:tcBorders>
              <w:left w:val="nil"/>
              <w:bottom w:val="single" w:sz="4" w:space="0" w:color="auto"/>
              <w:right w:val="nil"/>
            </w:tcBorders>
          </w:tcPr>
          <w:p>
            <w:pPr>
              <w:pStyle w:val="TableNAm"/>
              <w:keepNext/>
              <w:keepLines/>
              <w:spacing w:before="60"/>
              <w:rPr>
                <w:b/>
                <w:bCs/>
              </w:rPr>
            </w:pPr>
            <w:r>
              <w:rPr>
                <w:b/>
                <w:bCs/>
              </w:rPr>
              <w:t>Column 1</w:t>
            </w:r>
          </w:p>
          <w:p>
            <w:pPr>
              <w:pStyle w:val="TableNAm"/>
              <w:keepNext/>
              <w:keepLines/>
              <w:spacing w:before="60"/>
              <w:rPr>
                <w:b/>
                <w:bCs/>
              </w:rPr>
            </w:pPr>
            <w:r>
              <w:rPr>
                <w:b/>
                <w:bCs/>
              </w:rPr>
              <w:t>Film</w:t>
            </w:r>
          </w:p>
        </w:tc>
        <w:tc>
          <w:tcPr>
            <w:tcW w:w="3118" w:type="dxa"/>
            <w:tcBorders>
              <w:left w:val="nil"/>
              <w:bottom w:val="single" w:sz="4" w:space="0" w:color="auto"/>
              <w:right w:val="nil"/>
            </w:tcBorders>
          </w:tcPr>
          <w:p>
            <w:pPr>
              <w:pStyle w:val="TableNAm"/>
              <w:keepNext/>
              <w:keepLines/>
              <w:spacing w:before="60"/>
              <w:rPr>
                <w:b/>
                <w:bCs/>
              </w:rPr>
            </w:pPr>
            <w:r>
              <w:rPr>
                <w:b/>
                <w:bCs/>
              </w:rPr>
              <w:t>Column 2</w:t>
            </w:r>
          </w:p>
          <w:p>
            <w:pPr>
              <w:pStyle w:val="TableNAm"/>
              <w:keepNext/>
              <w:keepLines/>
              <w:spacing w:before="60"/>
              <w:rPr>
                <w:b/>
                <w:bCs/>
              </w:rPr>
            </w:pPr>
            <w:r>
              <w:rPr>
                <w:b/>
                <w:bCs/>
              </w:rPr>
              <w:t>Advertised computer game</w:t>
            </w:r>
          </w:p>
        </w:tc>
      </w:tr>
      <w:tr>
        <w:tc>
          <w:tcPr>
            <w:tcW w:w="862" w:type="dxa"/>
            <w:tcBorders>
              <w:left w:val="nil"/>
              <w:bottom w:val="nil"/>
              <w:right w:val="nil"/>
            </w:tcBorders>
          </w:tcPr>
          <w:p>
            <w:pPr>
              <w:pStyle w:val="TableNAm"/>
              <w:spacing w:before="60"/>
            </w:pPr>
            <w:r>
              <w:t>1</w:t>
            </w:r>
          </w:p>
        </w:tc>
        <w:tc>
          <w:tcPr>
            <w:tcW w:w="1548" w:type="dxa"/>
            <w:tcBorders>
              <w:left w:val="nil"/>
              <w:bottom w:val="nil"/>
              <w:right w:val="nil"/>
            </w:tcBorders>
          </w:tcPr>
          <w:p>
            <w:pPr>
              <w:pStyle w:val="TableNAm"/>
              <w:keepNext/>
              <w:keepLines/>
              <w:spacing w:before="60"/>
            </w:pPr>
            <w:r>
              <w:t>G</w:t>
            </w:r>
          </w:p>
        </w:tc>
        <w:tc>
          <w:tcPr>
            <w:tcW w:w="3118"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1548" w:type="dxa"/>
            <w:tcBorders>
              <w:top w:val="nil"/>
              <w:left w:val="nil"/>
              <w:bottom w:val="nil"/>
              <w:right w:val="nil"/>
            </w:tcBorders>
          </w:tcPr>
          <w:p>
            <w:pPr>
              <w:pStyle w:val="TableNAm"/>
              <w:keepNext/>
              <w:keepLines/>
              <w:spacing w:before="60"/>
            </w:pPr>
            <w:r>
              <w:t>PG</w:t>
            </w:r>
          </w:p>
        </w:tc>
        <w:tc>
          <w:tcPr>
            <w:tcW w:w="3118" w:type="dxa"/>
            <w:tcBorders>
              <w:top w:val="nil"/>
              <w:left w:val="nil"/>
              <w:bottom w:val="nil"/>
              <w:right w:val="nil"/>
            </w:tcBorders>
          </w:tcPr>
          <w:p>
            <w:pPr>
              <w:pStyle w:val="TableNAm"/>
              <w:keepNext/>
              <w:keepLines/>
              <w:spacing w:before="60"/>
            </w:pPr>
            <w:r>
              <w:t>PG or G</w:t>
            </w:r>
          </w:p>
        </w:tc>
      </w:tr>
      <w:tr>
        <w:tc>
          <w:tcPr>
            <w:tcW w:w="862" w:type="dxa"/>
            <w:tcBorders>
              <w:top w:val="nil"/>
              <w:left w:val="nil"/>
              <w:bottom w:val="nil"/>
              <w:right w:val="nil"/>
            </w:tcBorders>
          </w:tcPr>
          <w:p>
            <w:pPr>
              <w:pStyle w:val="TableNAm"/>
              <w:spacing w:before="60"/>
            </w:pPr>
            <w:r>
              <w:t>3</w:t>
            </w:r>
          </w:p>
        </w:tc>
        <w:tc>
          <w:tcPr>
            <w:tcW w:w="1548" w:type="dxa"/>
            <w:tcBorders>
              <w:top w:val="nil"/>
              <w:left w:val="nil"/>
              <w:bottom w:val="nil"/>
              <w:right w:val="nil"/>
            </w:tcBorders>
          </w:tcPr>
          <w:p>
            <w:pPr>
              <w:pStyle w:val="TableNAm"/>
              <w:spacing w:before="60"/>
            </w:pPr>
            <w:r>
              <w:t>M</w:t>
            </w:r>
          </w:p>
        </w:tc>
        <w:tc>
          <w:tcPr>
            <w:tcW w:w="3118"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spacing w:before="60"/>
            </w:pPr>
            <w:r>
              <w:t>4</w:t>
            </w:r>
          </w:p>
        </w:tc>
        <w:tc>
          <w:tcPr>
            <w:tcW w:w="1548" w:type="dxa"/>
            <w:tcBorders>
              <w:top w:val="nil"/>
              <w:left w:val="nil"/>
              <w:bottom w:val="nil"/>
              <w:right w:val="nil"/>
            </w:tcBorders>
          </w:tcPr>
          <w:p>
            <w:pPr>
              <w:pStyle w:val="TableNAm"/>
              <w:spacing w:before="60"/>
            </w:pPr>
            <w:r>
              <w:t>MA 15+</w:t>
            </w:r>
          </w:p>
        </w:tc>
        <w:tc>
          <w:tcPr>
            <w:tcW w:w="3118" w:type="dxa"/>
            <w:tcBorders>
              <w:top w:val="nil"/>
              <w:left w:val="nil"/>
              <w:bottom w:val="nil"/>
              <w:right w:val="nil"/>
            </w:tcBorders>
          </w:tcPr>
          <w:p>
            <w:pPr>
              <w:pStyle w:val="TableNAm"/>
              <w:spacing w:before="60"/>
            </w:pPr>
            <w:r>
              <w:t>MA 15+, M, PG or G</w:t>
            </w:r>
          </w:p>
        </w:tc>
      </w:tr>
      <w:tr>
        <w:tc>
          <w:tcPr>
            <w:tcW w:w="862" w:type="dxa"/>
            <w:tcBorders>
              <w:top w:val="nil"/>
              <w:left w:val="nil"/>
              <w:right w:val="nil"/>
            </w:tcBorders>
          </w:tcPr>
          <w:p>
            <w:pPr>
              <w:pStyle w:val="TableNAm"/>
              <w:spacing w:before="60"/>
            </w:pPr>
            <w:r>
              <w:t>5</w:t>
            </w:r>
          </w:p>
        </w:tc>
        <w:tc>
          <w:tcPr>
            <w:tcW w:w="1548" w:type="dxa"/>
            <w:tcBorders>
              <w:top w:val="nil"/>
              <w:left w:val="nil"/>
              <w:right w:val="nil"/>
            </w:tcBorders>
          </w:tcPr>
          <w:p>
            <w:pPr>
              <w:pStyle w:val="TableNAm"/>
              <w:spacing w:before="60"/>
            </w:pPr>
            <w:r>
              <w:t>R 18+</w:t>
            </w:r>
          </w:p>
        </w:tc>
        <w:tc>
          <w:tcPr>
            <w:tcW w:w="3118" w:type="dxa"/>
            <w:tcBorders>
              <w:top w:val="nil"/>
              <w:left w:val="nil"/>
              <w:right w:val="nil"/>
            </w:tcBorders>
          </w:tcPr>
          <w:p>
            <w:pPr>
              <w:pStyle w:val="TableNAm"/>
              <w:spacing w:before="60"/>
            </w:pPr>
            <w:r>
              <w:t>R 18+, MA 15+, M, PG or G</w:t>
            </w:r>
          </w:p>
        </w:tc>
      </w:tr>
    </w:tbl>
    <w:p>
      <w:pPr>
        <w:pStyle w:val="Penstart"/>
      </w:pPr>
      <w:r>
        <w:tab/>
        <w:t>Penalty: $2 000.</w:t>
      </w:r>
    </w:p>
    <w:p>
      <w:pPr>
        <w:pStyle w:val="Subsection"/>
      </w:pPr>
      <w:r>
        <w:tab/>
        <w:t>(3)</w:t>
      </w:r>
      <w:r>
        <w:tab/>
        <w:t>A person must not sell a classified film that is accompanied by an advertisement for an unclassified film or an unclassified computer game unless the sale of the classified film with that advertisement complies with the advertising scheme.</w:t>
      </w:r>
    </w:p>
    <w:p>
      <w:pPr>
        <w:pStyle w:val="Penstart"/>
      </w:pPr>
      <w:r>
        <w:tab/>
        <w:t>Penalty: $5 000.</w:t>
      </w:r>
    </w:p>
    <w:p>
      <w:pPr>
        <w:pStyle w:val="Footnotesection"/>
      </w:pPr>
      <w:r>
        <w:tab/>
        <w:t>[Section 94 amended by No. 30 of 2003 s. 41(2); No. 10 of 2006 s. 30; No. 21 of 2010 s. 32; No. 53 of 2012 s. 12.]</w:t>
      </w:r>
    </w:p>
    <w:p>
      <w:pPr>
        <w:pStyle w:val="Heading5"/>
        <w:rPr>
          <w:snapToGrid w:val="0"/>
        </w:rPr>
      </w:pPr>
      <w:bookmarkStart w:id="117" w:name="_Toc375052657"/>
      <w:bookmarkStart w:id="118" w:name="_Toc415650291"/>
      <w:r>
        <w:rPr>
          <w:rStyle w:val="CharSectno"/>
        </w:rPr>
        <w:t>95</w:t>
      </w:r>
      <w:r>
        <w:rPr>
          <w:snapToGrid w:val="0"/>
        </w:rPr>
        <w:t>.</w:t>
      </w:r>
      <w:r>
        <w:rPr>
          <w:snapToGrid w:val="0"/>
        </w:rPr>
        <w:tab/>
        <w:t>Classified computer games not to be sold with certain advertisements</w:t>
      </w:r>
      <w:bookmarkEnd w:id="117"/>
      <w:bookmarkEnd w:id="118"/>
    </w:p>
    <w:p>
      <w:pPr>
        <w:pStyle w:val="Subsection"/>
      </w:pPr>
      <w:r>
        <w:tab/>
        <w:t>(1)</w:t>
      </w:r>
      <w:r>
        <w:tab/>
        <w:t xml:space="preserve">A person must not sell a classified computer game (the </w:t>
      </w:r>
      <w:r>
        <w:rPr>
          <w:rStyle w:val="CharDefText"/>
        </w:rPr>
        <w:t>main game</w:t>
      </w:r>
      <w:r>
        <w:t>) that is accompanied by an advertisement for another classified computer game unless the main game has a classification specified in column 1 of an item in the Table and the advertised computer game has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60"/>
        <w:gridCol w:w="3000"/>
      </w:tblGrid>
      <w:tr>
        <w:trPr>
          <w:tblHeader/>
        </w:trPr>
        <w:tc>
          <w:tcPr>
            <w:tcW w:w="880" w:type="dxa"/>
            <w:tcBorders>
              <w:left w:val="nil"/>
              <w:bottom w:val="single" w:sz="4" w:space="0" w:color="auto"/>
              <w:right w:val="nil"/>
            </w:tcBorders>
          </w:tcPr>
          <w:p>
            <w:pPr>
              <w:pStyle w:val="TableNAm"/>
              <w:spacing w:before="60"/>
              <w:rPr>
                <w:b/>
                <w:bCs/>
              </w:rPr>
            </w:pPr>
            <w:r>
              <w:rPr>
                <w:b/>
                <w:bCs/>
              </w:rPr>
              <w:t>Item</w:t>
            </w:r>
          </w:p>
        </w:tc>
        <w:tc>
          <w:tcPr>
            <w:tcW w:w="1560" w:type="dxa"/>
            <w:tcBorders>
              <w:left w:val="nil"/>
              <w:bottom w:val="single" w:sz="4" w:space="0" w:color="auto"/>
              <w:right w:val="nil"/>
            </w:tcBorders>
          </w:tcPr>
          <w:p>
            <w:pPr>
              <w:pStyle w:val="TableNAm"/>
              <w:spacing w:before="60"/>
              <w:rPr>
                <w:b/>
                <w:bCs/>
              </w:rPr>
            </w:pPr>
            <w:r>
              <w:rPr>
                <w:b/>
                <w:bCs/>
              </w:rPr>
              <w:t>Column 1</w:t>
            </w:r>
          </w:p>
          <w:p>
            <w:pPr>
              <w:pStyle w:val="TableNAm"/>
              <w:spacing w:before="60"/>
              <w:rPr>
                <w:b/>
                <w:bCs/>
              </w:rPr>
            </w:pPr>
            <w:r>
              <w:rPr>
                <w:b/>
                <w:bCs/>
              </w:rPr>
              <w:t>Main game</w:t>
            </w:r>
          </w:p>
        </w:tc>
        <w:tc>
          <w:tcPr>
            <w:tcW w:w="3000" w:type="dxa"/>
            <w:tcBorders>
              <w:left w:val="nil"/>
              <w:bottom w:val="single" w:sz="4" w:space="0" w:color="auto"/>
              <w:right w:val="nil"/>
            </w:tcBorders>
          </w:tcPr>
          <w:p>
            <w:pPr>
              <w:pStyle w:val="TableNAm"/>
              <w:spacing w:before="60"/>
              <w:rPr>
                <w:b/>
                <w:bCs/>
              </w:rPr>
            </w:pPr>
            <w:r>
              <w:rPr>
                <w:b/>
                <w:bCs/>
              </w:rPr>
              <w:t>Column 2</w:t>
            </w:r>
          </w:p>
          <w:p>
            <w:pPr>
              <w:pStyle w:val="TableNAm"/>
              <w:spacing w:before="60"/>
              <w:rPr>
                <w:b/>
                <w:bCs/>
              </w:rPr>
            </w:pPr>
            <w:r>
              <w:rPr>
                <w:b/>
                <w:bCs/>
              </w:rPr>
              <w:t>Advertised computer game</w:t>
            </w:r>
          </w:p>
        </w:tc>
      </w:tr>
      <w:tr>
        <w:tc>
          <w:tcPr>
            <w:tcW w:w="880" w:type="dxa"/>
            <w:tcBorders>
              <w:left w:val="nil"/>
              <w:bottom w:val="nil"/>
              <w:right w:val="nil"/>
            </w:tcBorders>
          </w:tcPr>
          <w:p>
            <w:pPr>
              <w:pStyle w:val="TableNAm"/>
              <w:spacing w:before="60"/>
            </w:pPr>
            <w:r>
              <w:t>1</w:t>
            </w:r>
          </w:p>
        </w:tc>
        <w:tc>
          <w:tcPr>
            <w:tcW w:w="1560" w:type="dxa"/>
            <w:tcBorders>
              <w:left w:val="nil"/>
              <w:bottom w:val="nil"/>
              <w:right w:val="nil"/>
            </w:tcBorders>
          </w:tcPr>
          <w:p>
            <w:pPr>
              <w:pStyle w:val="TableNAm"/>
              <w:spacing w:before="60"/>
            </w:pPr>
            <w:r>
              <w:t>G</w:t>
            </w:r>
          </w:p>
        </w:tc>
        <w:tc>
          <w:tcPr>
            <w:tcW w:w="3000" w:type="dxa"/>
            <w:tcBorders>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spacing w:before="60"/>
            </w:pPr>
            <w:r>
              <w:t>2</w:t>
            </w:r>
          </w:p>
        </w:tc>
        <w:tc>
          <w:tcPr>
            <w:tcW w:w="1560" w:type="dxa"/>
            <w:tcBorders>
              <w:top w:val="nil"/>
              <w:left w:val="nil"/>
              <w:bottom w:val="nil"/>
              <w:right w:val="nil"/>
            </w:tcBorders>
          </w:tcPr>
          <w:p>
            <w:pPr>
              <w:pStyle w:val="TableNAm"/>
              <w:spacing w:before="60"/>
            </w:pPr>
            <w:r>
              <w:t>PG</w:t>
            </w:r>
          </w:p>
        </w:tc>
        <w:tc>
          <w:tcPr>
            <w:tcW w:w="3000" w:type="dxa"/>
            <w:tcBorders>
              <w:top w:val="nil"/>
              <w:left w:val="nil"/>
              <w:bottom w:val="nil"/>
              <w:right w:val="nil"/>
            </w:tcBorders>
          </w:tcPr>
          <w:p>
            <w:pPr>
              <w:pStyle w:val="TableNAm"/>
              <w:spacing w:before="60"/>
            </w:pPr>
            <w:r>
              <w:t>G</w:t>
            </w:r>
          </w:p>
        </w:tc>
      </w:tr>
      <w:tr>
        <w:tc>
          <w:tcPr>
            <w:tcW w:w="880" w:type="dxa"/>
            <w:tcBorders>
              <w:top w:val="nil"/>
              <w:left w:val="nil"/>
              <w:bottom w:val="nil"/>
              <w:right w:val="nil"/>
            </w:tcBorders>
          </w:tcPr>
          <w:p>
            <w:pPr>
              <w:pStyle w:val="TableNAm"/>
              <w:keepNext/>
              <w:spacing w:before="60"/>
            </w:pPr>
            <w:r>
              <w:t>3</w:t>
            </w:r>
          </w:p>
        </w:tc>
        <w:tc>
          <w:tcPr>
            <w:tcW w:w="1560" w:type="dxa"/>
            <w:tcBorders>
              <w:top w:val="nil"/>
              <w:left w:val="nil"/>
              <w:bottom w:val="nil"/>
              <w:right w:val="nil"/>
            </w:tcBorders>
          </w:tcPr>
          <w:p>
            <w:pPr>
              <w:pStyle w:val="TableNAm"/>
              <w:keepNext/>
              <w:spacing w:before="60"/>
            </w:pPr>
            <w:r>
              <w:t>M</w:t>
            </w:r>
          </w:p>
        </w:tc>
        <w:tc>
          <w:tcPr>
            <w:tcW w:w="3000" w:type="dxa"/>
            <w:tcBorders>
              <w:top w:val="nil"/>
              <w:left w:val="nil"/>
              <w:bottom w:val="nil"/>
              <w:right w:val="nil"/>
            </w:tcBorders>
          </w:tcPr>
          <w:p>
            <w:pPr>
              <w:pStyle w:val="TableNAm"/>
              <w:keepNext/>
              <w:spacing w:before="60"/>
            </w:pPr>
            <w:r>
              <w:t>M, PG or G</w:t>
            </w:r>
          </w:p>
        </w:tc>
      </w:tr>
      <w:tr>
        <w:tc>
          <w:tcPr>
            <w:tcW w:w="880" w:type="dxa"/>
            <w:tcBorders>
              <w:top w:val="nil"/>
              <w:left w:val="nil"/>
              <w:bottom w:val="nil"/>
              <w:right w:val="nil"/>
            </w:tcBorders>
          </w:tcPr>
          <w:p>
            <w:pPr>
              <w:pStyle w:val="TableNAm"/>
              <w:spacing w:before="60"/>
            </w:pPr>
            <w:r>
              <w:t>4</w:t>
            </w:r>
          </w:p>
        </w:tc>
        <w:tc>
          <w:tcPr>
            <w:tcW w:w="1560" w:type="dxa"/>
            <w:tcBorders>
              <w:top w:val="nil"/>
              <w:left w:val="nil"/>
              <w:bottom w:val="nil"/>
              <w:right w:val="nil"/>
            </w:tcBorders>
          </w:tcPr>
          <w:p>
            <w:pPr>
              <w:pStyle w:val="TableNAm"/>
              <w:spacing w:before="60"/>
            </w:pPr>
            <w:r>
              <w:t>MA 15+</w:t>
            </w:r>
          </w:p>
        </w:tc>
        <w:tc>
          <w:tcPr>
            <w:tcW w:w="3000" w:type="dxa"/>
            <w:tcBorders>
              <w:top w:val="nil"/>
              <w:left w:val="nil"/>
              <w:bottom w:val="nil"/>
              <w:right w:val="nil"/>
            </w:tcBorders>
          </w:tcPr>
          <w:p>
            <w:pPr>
              <w:pStyle w:val="TableNAm"/>
              <w:spacing w:before="60"/>
            </w:pPr>
            <w:r>
              <w:t>MA 15+, M, PG or G</w:t>
            </w:r>
          </w:p>
        </w:tc>
      </w:tr>
      <w:tr>
        <w:tc>
          <w:tcPr>
            <w:tcW w:w="880" w:type="dxa"/>
            <w:tcBorders>
              <w:top w:val="nil"/>
              <w:left w:val="nil"/>
              <w:bottom w:val="single" w:sz="4" w:space="0" w:color="auto"/>
              <w:right w:val="nil"/>
            </w:tcBorders>
          </w:tcPr>
          <w:p>
            <w:pPr>
              <w:pStyle w:val="TableNAm"/>
              <w:spacing w:before="60"/>
            </w:pPr>
            <w:r>
              <w:t>5</w:t>
            </w:r>
          </w:p>
        </w:tc>
        <w:tc>
          <w:tcPr>
            <w:tcW w:w="1560" w:type="dxa"/>
            <w:tcBorders>
              <w:top w:val="nil"/>
              <w:left w:val="nil"/>
              <w:bottom w:val="single" w:sz="4" w:space="0" w:color="auto"/>
              <w:right w:val="nil"/>
            </w:tcBorders>
          </w:tcPr>
          <w:p>
            <w:pPr>
              <w:pStyle w:val="TableNAm"/>
              <w:spacing w:before="60"/>
            </w:pPr>
            <w:r>
              <w:t>R 18+</w:t>
            </w:r>
          </w:p>
        </w:tc>
        <w:tc>
          <w:tcPr>
            <w:tcW w:w="3000" w:type="dxa"/>
            <w:tcBorders>
              <w:top w:val="nil"/>
              <w:left w:val="nil"/>
              <w:bottom w:val="single" w:sz="4" w:space="0" w:color="auto"/>
              <w:right w:val="nil"/>
            </w:tcBorders>
          </w:tcPr>
          <w:p>
            <w:pPr>
              <w:pStyle w:val="TableNAm"/>
              <w:spacing w:before="60"/>
            </w:pPr>
            <w:r>
              <w:t>R 18+, MA 15+, M, PG or G</w:t>
            </w:r>
          </w:p>
        </w:tc>
      </w:tr>
    </w:tbl>
    <w:p>
      <w:pPr>
        <w:pStyle w:val="Penstart"/>
      </w:pPr>
      <w:r>
        <w:rPr>
          <w:snapToGrid w:val="0"/>
        </w:rPr>
        <w:tab/>
        <w:t>Penalty</w:t>
      </w:r>
      <w:r>
        <w:t>: $2 000.</w:t>
      </w:r>
    </w:p>
    <w:p>
      <w:pPr>
        <w:pStyle w:val="Subsection"/>
      </w:pPr>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040"/>
        <w:gridCol w:w="2520"/>
      </w:tblGrid>
      <w:tr>
        <w:trPr>
          <w:tblHeader/>
        </w:trPr>
        <w:tc>
          <w:tcPr>
            <w:tcW w:w="862" w:type="dxa"/>
            <w:tcBorders>
              <w:left w:val="nil"/>
              <w:bottom w:val="single" w:sz="4" w:space="0" w:color="auto"/>
              <w:right w:val="nil"/>
            </w:tcBorders>
          </w:tcPr>
          <w:p>
            <w:pPr>
              <w:pStyle w:val="TableNAm"/>
              <w:keepNext/>
              <w:spacing w:before="60"/>
              <w:rPr>
                <w:b/>
                <w:bCs/>
              </w:rPr>
            </w:pPr>
            <w:r>
              <w:rPr>
                <w:b/>
                <w:bCs/>
              </w:rPr>
              <w:t>Item</w:t>
            </w:r>
          </w:p>
        </w:tc>
        <w:tc>
          <w:tcPr>
            <w:tcW w:w="2040" w:type="dxa"/>
            <w:tcBorders>
              <w:left w:val="nil"/>
              <w:bottom w:val="single" w:sz="4" w:space="0" w:color="auto"/>
              <w:right w:val="nil"/>
            </w:tcBorders>
          </w:tcPr>
          <w:p>
            <w:pPr>
              <w:pStyle w:val="TableNAm"/>
              <w:keepNext/>
              <w:spacing w:before="60"/>
              <w:rPr>
                <w:b/>
                <w:bCs/>
              </w:rPr>
            </w:pPr>
            <w:r>
              <w:rPr>
                <w:b/>
                <w:bCs/>
              </w:rPr>
              <w:t>Column 1</w:t>
            </w:r>
          </w:p>
          <w:p>
            <w:pPr>
              <w:pStyle w:val="TableNAm"/>
              <w:keepNext/>
              <w:spacing w:before="60"/>
              <w:rPr>
                <w:b/>
                <w:bCs/>
              </w:rPr>
            </w:pPr>
            <w:r>
              <w:rPr>
                <w:b/>
                <w:bCs/>
              </w:rPr>
              <w:t>Computer game</w:t>
            </w:r>
          </w:p>
        </w:tc>
        <w:tc>
          <w:tcPr>
            <w:tcW w:w="2520" w:type="dxa"/>
            <w:tcBorders>
              <w:left w:val="nil"/>
              <w:bottom w:val="single" w:sz="4" w:space="0" w:color="auto"/>
              <w:right w:val="nil"/>
            </w:tcBorders>
          </w:tcPr>
          <w:p>
            <w:pPr>
              <w:pStyle w:val="TableNAm"/>
              <w:keepNext/>
              <w:spacing w:before="60"/>
              <w:rPr>
                <w:b/>
                <w:bCs/>
              </w:rPr>
            </w:pPr>
            <w:r>
              <w:rPr>
                <w:b/>
                <w:bCs/>
              </w:rPr>
              <w:t>Column 2</w:t>
            </w:r>
          </w:p>
          <w:p>
            <w:pPr>
              <w:pStyle w:val="TableNAm"/>
              <w:keepNext/>
              <w:spacing w:before="60"/>
              <w:rPr>
                <w:b/>
                <w:bCs/>
              </w:rPr>
            </w:pPr>
            <w:r>
              <w:rPr>
                <w:b/>
                <w:bCs/>
              </w:rPr>
              <w:t>Advertised film</w:t>
            </w:r>
          </w:p>
        </w:tc>
      </w:tr>
      <w:tr>
        <w:tc>
          <w:tcPr>
            <w:tcW w:w="862" w:type="dxa"/>
            <w:tcBorders>
              <w:left w:val="nil"/>
              <w:bottom w:val="nil"/>
              <w:right w:val="nil"/>
            </w:tcBorders>
          </w:tcPr>
          <w:p>
            <w:pPr>
              <w:pStyle w:val="TableNAm"/>
              <w:spacing w:before="60"/>
            </w:pPr>
            <w:r>
              <w:t>1</w:t>
            </w:r>
          </w:p>
        </w:tc>
        <w:tc>
          <w:tcPr>
            <w:tcW w:w="2040" w:type="dxa"/>
            <w:tcBorders>
              <w:left w:val="nil"/>
              <w:bottom w:val="nil"/>
              <w:right w:val="nil"/>
            </w:tcBorders>
          </w:tcPr>
          <w:p>
            <w:pPr>
              <w:pStyle w:val="TableNAm"/>
              <w:keepNext/>
              <w:keepLines/>
              <w:spacing w:before="60"/>
            </w:pPr>
            <w:r>
              <w:t>G</w:t>
            </w:r>
          </w:p>
        </w:tc>
        <w:tc>
          <w:tcPr>
            <w:tcW w:w="2520" w:type="dxa"/>
            <w:tcBorders>
              <w:left w:val="nil"/>
              <w:bottom w:val="nil"/>
              <w:right w:val="nil"/>
            </w:tcBorders>
          </w:tcPr>
          <w:p>
            <w:pPr>
              <w:pStyle w:val="TableNAm"/>
              <w:keepNext/>
              <w:keepLines/>
              <w:spacing w:before="60"/>
            </w:pPr>
            <w:r>
              <w:t>G</w:t>
            </w:r>
          </w:p>
        </w:tc>
      </w:tr>
      <w:tr>
        <w:tc>
          <w:tcPr>
            <w:tcW w:w="862" w:type="dxa"/>
            <w:tcBorders>
              <w:top w:val="nil"/>
              <w:left w:val="nil"/>
              <w:bottom w:val="nil"/>
              <w:right w:val="nil"/>
            </w:tcBorders>
          </w:tcPr>
          <w:p>
            <w:pPr>
              <w:pStyle w:val="TableNAm"/>
              <w:spacing w:before="60"/>
            </w:pPr>
            <w:r>
              <w:t>2</w:t>
            </w:r>
          </w:p>
        </w:tc>
        <w:tc>
          <w:tcPr>
            <w:tcW w:w="2040" w:type="dxa"/>
            <w:tcBorders>
              <w:top w:val="nil"/>
              <w:left w:val="nil"/>
              <w:bottom w:val="nil"/>
              <w:right w:val="nil"/>
            </w:tcBorders>
          </w:tcPr>
          <w:p>
            <w:pPr>
              <w:pStyle w:val="TableNAm"/>
              <w:spacing w:before="60"/>
            </w:pPr>
            <w:r>
              <w:t>PG</w:t>
            </w:r>
          </w:p>
        </w:tc>
        <w:tc>
          <w:tcPr>
            <w:tcW w:w="2520" w:type="dxa"/>
            <w:tcBorders>
              <w:top w:val="nil"/>
              <w:left w:val="nil"/>
              <w:bottom w:val="nil"/>
              <w:right w:val="nil"/>
            </w:tcBorders>
          </w:tcPr>
          <w:p>
            <w:pPr>
              <w:pStyle w:val="TableNAm"/>
              <w:spacing w:before="60"/>
            </w:pPr>
            <w:r>
              <w:t>PG or G</w:t>
            </w:r>
          </w:p>
        </w:tc>
      </w:tr>
      <w:tr>
        <w:tc>
          <w:tcPr>
            <w:tcW w:w="862" w:type="dxa"/>
            <w:tcBorders>
              <w:top w:val="nil"/>
              <w:left w:val="nil"/>
              <w:bottom w:val="nil"/>
              <w:right w:val="nil"/>
            </w:tcBorders>
          </w:tcPr>
          <w:p>
            <w:pPr>
              <w:pStyle w:val="TableNAm"/>
              <w:spacing w:before="60"/>
            </w:pPr>
            <w:r>
              <w:t>3</w:t>
            </w:r>
          </w:p>
        </w:tc>
        <w:tc>
          <w:tcPr>
            <w:tcW w:w="2040" w:type="dxa"/>
            <w:tcBorders>
              <w:top w:val="nil"/>
              <w:left w:val="nil"/>
              <w:bottom w:val="nil"/>
              <w:right w:val="nil"/>
            </w:tcBorders>
          </w:tcPr>
          <w:p>
            <w:pPr>
              <w:pStyle w:val="TableNAm"/>
              <w:spacing w:before="60"/>
            </w:pPr>
            <w:r>
              <w:t>M</w:t>
            </w:r>
          </w:p>
        </w:tc>
        <w:tc>
          <w:tcPr>
            <w:tcW w:w="2520" w:type="dxa"/>
            <w:tcBorders>
              <w:top w:val="nil"/>
              <w:left w:val="nil"/>
              <w:bottom w:val="nil"/>
              <w:right w:val="nil"/>
            </w:tcBorders>
          </w:tcPr>
          <w:p>
            <w:pPr>
              <w:pStyle w:val="TableNAm"/>
              <w:spacing w:before="60"/>
            </w:pPr>
            <w:r>
              <w:t>M, PG or G</w:t>
            </w:r>
          </w:p>
        </w:tc>
      </w:tr>
      <w:tr>
        <w:tc>
          <w:tcPr>
            <w:tcW w:w="862" w:type="dxa"/>
            <w:tcBorders>
              <w:top w:val="nil"/>
              <w:left w:val="nil"/>
              <w:bottom w:val="nil"/>
              <w:right w:val="nil"/>
            </w:tcBorders>
          </w:tcPr>
          <w:p>
            <w:pPr>
              <w:pStyle w:val="TableNAm"/>
              <w:spacing w:before="60"/>
            </w:pPr>
            <w:r>
              <w:t>4</w:t>
            </w:r>
          </w:p>
        </w:tc>
        <w:tc>
          <w:tcPr>
            <w:tcW w:w="2040" w:type="dxa"/>
            <w:tcBorders>
              <w:top w:val="nil"/>
              <w:left w:val="nil"/>
              <w:bottom w:val="nil"/>
              <w:right w:val="nil"/>
            </w:tcBorders>
          </w:tcPr>
          <w:p>
            <w:pPr>
              <w:pStyle w:val="TableNAm"/>
              <w:spacing w:before="60"/>
            </w:pPr>
            <w:r>
              <w:t>MA 15+</w:t>
            </w:r>
          </w:p>
        </w:tc>
        <w:tc>
          <w:tcPr>
            <w:tcW w:w="2520" w:type="dxa"/>
            <w:tcBorders>
              <w:top w:val="nil"/>
              <w:left w:val="nil"/>
              <w:bottom w:val="nil"/>
              <w:right w:val="nil"/>
            </w:tcBorders>
          </w:tcPr>
          <w:p>
            <w:pPr>
              <w:pStyle w:val="TableNAm"/>
              <w:spacing w:before="60"/>
            </w:pPr>
            <w:r>
              <w:t>MA 15+, M, PG or G</w:t>
            </w:r>
          </w:p>
        </w:tc>
      </w:tr>
      <w:tr>
        <w:tc>
          <w:tcPr>
            <w:tcW w:w="862" w:type="dxa"/>
            <w:tcBorders>
              <w:top w:val="nil"/>
              <w:left w:val="nil"/>
              <w:bottom w:val="single" w:sz="4" w:space="0" w:color="auto"/>
              <w:right w:val="nil"/>
            </w:tcBorders>
          </w:tcPr>
          <w:p>
            <w:pPr>
              <w:pStyle w:val="TableNAm"/>
              <w:spacing w:before="60"/>
            </w:pPr>
            <w:r>
              <w:t>5</w:t>
            </w:r>
          </w:p>
        </w:tc>
        <w:tc>
          <w:tcPr>
            <w:tcW w:w="2040" w:type="dxa"/>
            <w:tcBorders>
              <w:top w:val="nil"/>
              <w:left w:val="nil"/>
              <w:bottom w:val="single" w:sz="4" w:space="0" w:color="auto"/>
              <w:right w:val="nil"/>
            </w:tcBorders>
          </w:tcPr>
          <w:p>
            <w:pPr>
              <w:pStyle w:val="TableNAm"/>
              <w:spacing w:before="60"/>
            </w:pPr>
            <w:r>
              <w:t>R 18+</w:t>
            </w:r>
          </w:p>
        </w:tc>
        <w:tc>
          <w:tcPr>
            <w:tcW w:w="2520" w:type="dxa"/>
            <w:tcBorders>
              <w:top w:val="nil"/>
              <w:left w:val="nil"/>
              <w:bottom w:val="single" w:sz="4" w:space="0" w:color="auto"/>
              <w:right w:val="nil"/>
            </w:tcBorders>
          </w:tcPr>
          <w:p>
            <w:pPr>
              <w:pStyle w:val="TableNAm"/>
              <w:spacing w:before="60"/>
            </w:pPr>
            <w:r>
              <w:t>R 18+, MA 15+, M, PG or G</w:t>
            </w:r>
          </w:p>
        </w:tc>
      </w:tr>
    </w:tbl>
    <w:p>
      <w:pPr>
        <w:pStyle w:val="Penstart"/>
      </w:pPr>
      <w:r>
        <w:tab/>
        <w:t>Penalty: $2 000.</w:t>
      </w:r>
    </w:p>
    <w:p>
      <w:pPr>
        <w:pStyle w:val="Subsection"/>
        <w:spacing w:before="100"/>
      </w:pPr>
      <w:r>
        <w:tab/>
        <w:t>(3)</w:t>
      </w:r>
      <w:r>
        <w:tab/>
        <w:t>A person must not sell a classified computer game that is accompanied by an advertisement for an unclassified film or an unclassified computer game unless the sale of the classified computer game with that advertisement complies with the advertising scheme.</w:t>
      </w:r>
    </w:p>
    <w:p>
      <w:pPr>
        <w:pStyle w:val="Penstart"/>
      </w:pPr>
      <w:r>
        <w:tab/>
        <w:t>Penalty: $5 000.</w:t>
      </w:r>
    </w:p>
    <w:p>
      <w:pPr>
        <w:pStyle w:val="Footnotesection"/>
      </w:pPr>
      <w:r>
        <w:tab/>
        <w:t>[Section 95 amended by No. 30 of 2003 s. 41(2); No. 10 of 2006 s. 31; No. 21 of 2010 s. 33; No. 53 of 2012 s. 13.]</w:t>
      </w:r>
    </w:p>
    <w:p>
      <w:pPr>
        <w:pStyle w:val="Heading5"/>
        <w:spacing w:before="120"/>
        <w:rPr>
          <w:snapToGrid w:val="0"/>
        </w:rPr>
      </w:pPr>
      <w:bookmarkStart w:id="119" w:name="_Toc375052658"/>
      <w:bookmarkStart w:id="120" w:name="_Toc415650292"/>
      <w:r>
        <w:rPr>
          <w:rStyle w:val="CharSectno"/>
        </w:rPr>
        <w:t>96</w:t>
      </w:r>
      <w:r>
        <w:rPr>
          <w:snapToGrid w:val="0"/>
        </w:rPr>
        <w:t>.</w:t>
      </w:r>
      <w:r>
        <w:rPr>
          <w:snapToGrid w:val="0"/>
        </w:rPr>
        <w:tab/>
        <w:t>Illegal advertisements for classified articles not to be published</w:t>
      </w:r>
      <w:bookmarkEnd w:id="119"/>
      <w:bookmarkEnd w:id="120"/>
    </w:p>
    <w:p>
      <w:pPr>
        <w:pStyle w:val="Subsection"/>
        <w:spacing w:before="100"/>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spacing w:before="100"/>
      </w:pPr>
      <w:r>
        <w:tab/>
        <w:t>(2)</w:t>
      </w:r>
      <w:r>
        <w:tab/>
        <w:t>In subsection (1) —</w:t>
      </w:r>
    </w:p>
    <w:p>
      <w:pPr>
        <w:pStyle w:val="Defstart"/>
      </w:pPr>
      <w:r>
        <w:rPr>
          <w:b/>
        </w:rPr>
        <w:tab/>
      </w:r>
      <w:r>
        <w:rPr>
          <w:rStyle w:val="CharDefText"/>
        </w:rPr>
        <w:t>illegal advertisement</w:t>
      </w:r>
      <w:r>
        <w:t xml:space="preserve"> means an advertisement that does not —</w:t>
      </w:r>
    </w:p>
    <w:p>
      <w:pPr>
        <w:pStyle w:val="Defpara"/>
      </w:pPr>
      <w:r>
        <w:tab/>
        <w:t>(a)</w:t>
      </w:r>
      <w:r>
        <w:tab/>
        <w:t>contain the determined markings relevant to the classification of the publication or film or computer game and relevant consumer advice, if any; and</w:t>
      </w:r>
    </w:p>
    <w:p>
      <w:pPr>
        <w:pStyle w:val="Defpara"/>
      </w:pPr>
      <w:r>
        <w:tab/>
        <w:t>(b)</w:t>
      </w:r>
      <w:r>
        <w:tab/>
        <w:t>display the determined markings and consumer advice —</w:t>
      </w:r>
    </w:p>
    <w:p>
      <w:pPr>
        <w:pStyle w:val="Defsubpara"/>
      </w:pPr>
      <w:r>
        <w:tab/>
        <w:t>(i)</w:t>
      </w:r>
      <w:r>
        <w:tab/>
        <w:t>in the manner determined under section 8 of the Commonwealth Act; and</w:t>
      </w:r>
    </w:p>
    <w:p>
      <w:pPr>
        <w:pStyle w:val="Defsubpara"/>
      </w:pPr>
      <w:r>
        <w:tab/>
        <w:t>(ii)</w:t>
      </w:r>
      <w:r>
        <w:tab/>
        <w:t>so as to be clearly visible, having regard to the size and nature of the advertisement.</w:t>
      </w:r>
    </w:p>
    <w:p>
      <w:pPr>
        <w:pStyle w:val="Subsection"/>
        <w:spacing w:before="100"/>
      </w:pPr>
      <w:r>
        <w:tab/>
        <w:t>(3)</w:t>
      </w:r>
      <w:r>
        <w:tab/>
        <w:t>If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spacing w:before="100"/>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 No. 21 of 2010 s. 21.]</w:t>
      </w:r>
    </w:p>
    <w:p>
      <w:pPr>
        <w:pStyle w:val="Heading5"/>
        <w:rPr>
          <w:snapToGrid w:val="0"/>
        </w:rPr>
      </w:pPr>
      <w:bookmarkStart w:id="121" w:name="_Toc375052659"/>
      <w:bookmarkStart w:id="122" w:name="_Toc415650293"/>
      <w:r>
        <w:rPr>
          <w:rStyle w:val="CharSectno"/>
        </w:rPr>
        <w:t>97</w:t>
      </w:r>
      <w:r>
        <w:rPr>
          <w:snapToGrid w:val="0"/>
        </w:rPr>
        <w:t>.</w:t>
      </w:r>
      <w:r>
        <w:rPr>
          <w:snapToGrid w:val="0"/>
        </w:rPr>
        <w:tab/>
        <w:t>Misleading or deceptive advertisements</w:t>
      </w:r>
      <w:bookmarkEnd w:id="121"/>
      <w:bookmarkEnd w:id="122"/>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If —</w:t>
      </w:r>
    </w:p>
    <w:p>
      <w:pPr>
        <w:pStyle w:val="Indenta"/>
      </w:pPr>
      <w:r>
        <w:tab/>
        <w:t>(a)</w:t>
      </w:r>
      <w:r>
        <w:tab/>
        <w:t>a publication, film or computer game is reclassified under section 39 or 97A of the Commonwealth Act; or</w:t>
      </w:r>
    </w:p>
    <w:p>
      <w:pPr>
        <w:pStyle w:val="Indenta"/>
        <w:keepNext/>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123" w:name="_Toc375052660"/>
      <w:bookmarkStart w:id="124" w:name="_Toc415650294"/>
      <w:r>
        <w:rPr>
          <w:rStyle w:val="CharSectno"/>
        </w:rPr>
        <w:t>97A</w:t>
      </w:r>
      <w:r>
        <w:t>.</w:t>
      </w:r>
      <w:r>
        <w:tab/>
        <w:t>Advertising that Category 1 or 2 restricted publications are for sale etc.</w:t>
      </w:r>
      <w:bookmarkEnd w:id="123"/>
      <w:bookmarkEnd w:id="124"/>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In subsection (1) —</w:t>
      </w:r>
    </w:p>
    <w:p>
      <w:pPr>
        <w:pStyle w:val="Defstart"/>
      </w:pPr>
      <w:r>
        <w:tab/>
      </w:r>
      <w:r>
        <w:rPr>
          <w:rStyle w:val="CharDefText"/>
        </w:rPr>
        <w:t>approved form</w:t>
      </w:r>
      <w:r>
        <w:t xml:space="preserve"> means a notice approved by the Minister.</w:t>
      </w:r>
    </w:p>
    <w:p>
      <w:pPr>
        <w:pStyle w:val="Footnotesection"/>
      </w:pPr>
      <w:r>
        <w:tab/>
        <w:t>[Section 97A inserted by No. 30 of 2003 s. 19.]</w:t>
      </w:r>
    </w:p>
    <w:p>
      <w:pPr>
        <w:pStyle w:val="Heading5"/>
        <w:rPr>
          <w:snapToGrid w:val="0"/>
        </w:rPr>
      </w:pPr>
      <w:bookmarkStart w:id="125" w:name="_Toc375052661"/>
      <w:bookmarkStart w:id="126" w:name="_Toc415650295"/>
      <w:r>
        <w:rPr>
          <w:rStyle w:val="CharSectno"/>
        </w:rPr>
        <w:t>98</w:t>
      </w:r>
      <w:r>
        <w:rPr>
          <w:snapToGrid w:val="0"/>
        </w:rPr>
        <w:t>.</w:t>
      </w:r>
      <w:r>
        <w:rPr>
          <w:snapToGrid w:val="0"/>
        </w:rPr>
        <w:tab/>
        <w:t>Classification symbols etc. to be published with advertisements</w:t>
      </w:r>
      <w:bookmarkEnd w:id="125"/>
      <w:bookmarkEnd w:id="126"/>
    </w:p>
    <w:p>
      <w:pPr>
        <w:pStyle w:val="Subsection"/>
      </w:pPr>
      <w:r>
        <w:tab/>
      </w:r>
      <w:r>
        <w:tab/>
        <w:t>A person must not publish a publication containing an advertisement for —</w:t>
      </w:r>
    </w:p>
    <w:p>
      <w:pPr>
        <w:pStyle w:val="Indenta"/>
        <w:rPr>
          <w:snapToGrid w:val="0"/>
        </w:rPr>
      </w:pPr>
      <w:r>
        <w:rPr>
          <w:snapToGrid w:val="0"/>
        </w:rPr>
        <w:tab/>
        <w:t>(a)</w:t>
      </w:r>
      <w:r>
        <w:rPr>
          <w:snapToGrid w:val="0"/>
        </w:rPr>
        <w:tab/>
        <w:t>a film; or</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127" w:name="_Toc375052662"/>
      <w:bookmarkStart w:id="128" w:name="_Toc415650296"/>
      <w:r>
        <w:rPr>
          <w:rStyle w:val="CharDivNo"/>
        </w:rPr>
        <w:t>Division 6</w:t>
      </w:r>
      <w:r>
        <w:rPr>
          <w:snapToGrid w:val="0"/>
        </w:rPr>
        <w:t> — </w:t>
      </w:r>
      <w:r>
        <w:rPr>
          <w:rStyle w:val="CharDivText"/>
        </w:rPr>
        <w:t>Computer services</w:t>
      </w:r>
      <w:bookmarkEnd w:id="127"/>
      <w:bookmarkEnd w:id="128"/>
    </w:p>
    <w:p>
      <w:pPr>
        <w:pStyle w:val="Heading5"/>
        <w:spacing w:before="240"/>
        <w:rPr>
          <w:snapToGrid w:val="0"/>
        </w:rPr>
      </w:pPr>
      <w:bookmarkStart w:id="129" w:name="_Toc375052663"/>
      <w:bookmarkStart w:id="130" w:name="_Toc415650297"/>
      <w:r>
        <w:rPr>
          <w:rStyle w:val="CharSectno"/>
        </w:rPr>
        <w:t>99</w:t>
      </w:r>
      <w:r>
        <w:rPr>
          <w:snapToGrid w:val="0"/>
        </w:rPr>
        <w:t>.</w:t>
      </w:r>
      <w:r>
        <w:rPr>
          <w:snapToGrid w:val="0"/>
        </w:rPr>
        <w:tab/>
        <w:t>Terms used</w:t>
      </w:r>
      <w:bookmarkEnd w:id="129"/>
      <w:bookmarkEnd w:id="130"/>
    </w:p>
    <w:p>
      <w:pPr>
        <w:pStyle w:val="Subsection"/>
      </w:pPr>
      <w:r>
        <w:tab/>
      </w:r>
      <w:r>
        <w:tab/>
        <w:t>In this Division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w:t>
      </w:r>
    </w:p>
    <w:p>
      <w:pPr>
        <w:pStyle w:val="Defpara"/>
      </w:pPr>
      <w:r>
        <w:tab/>
        <w:t>(a)</w:t>
      </w:r>
      <w:r>
        <w:tab/>
        <w:t>the input, output or examination of computer data or computer programmes; or</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w:t>
      </w:r>
    </w:p>
    <w:p>
      <w:pPr>
        <w:pStyle w:val="Defpara"/>
      </w:pPr>
      <w:r>
        <w:tab/>
        <w:t>(a)</w:t>
      </w:r>
      <w:r>
        <w:tab/>
        <w:t>a film classified RC, a computer game classified RC, or a publication classified RC; or</w:t>
      </w:r>
    </w:p>
    <w:p>
      <w:pPr>
        <w:pStyle w:val="Ednotedefpara"/>
        <w:rPr>
          <w:i w:val="0"/>
          <w:iCs/>
        </w:rPr>
      </w:pPr>
      <w:r>
        <w:rPr>
          <w:i w:val="0"/>
          <w:iCs/>
        </w:rPr>
        <w:tab/>
        <w:t>[(b)</w:t>
      </w:r>
      <w:r>
        <w:rPr>
          <w:i w:val="0"/>
          <w:iCs/>
        </w:rPr>
        <w:tab/>
        <w:t>deleted]</w:t>
      </w:r>
    </w:p>
    <w:p>
      <w:pPr>
        <w:pStyle w:val="Defpara"/>
      </w:pPr>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w:t>
      </w:r>
    </w:p>
    <w:p>
      <w:pPr>
        <w:pStyle w:val="Defsubpara"/>
      </w:pPr>
      <w:r>
        <w:tab/>
        <w:t>(i)</w:t>
      </w:r>
      <w:r>
        <w:tab/>
        <w:t>the use of violence or coercion to compel any person to participate in, or submit to, sexual conduct;</w:t>
      </w:r>
    </w:p>
    <w:p>
      <w:pPr>
        <w:pStyle w:val="Defsubpara"/>
        <w:keepLines w:val="0"/>
      </w:pPr>
      <w:r>
        <w:tab/>
        <w:t>(ii)</w:t>
      </w:r>
      <w:r>
        <w:tab/>
        <w:t>sexual conduct with or upon the body of a dead person;</w:t>
      </w:r>
    </w:p>
    <w:p>
      <w:pPr>
        <w:pStyle w:val="Defsubpara"/>
        <w:keepLines w:val="0"/>
      </w:pPr>
      <w:r>
        <w:tab/>
        <w:t>(iii)</w:t>
      </w:r>
      <w:r>
        <w:tab/>
        <w:t>the use of urine or excrement in association with degrading or dehumanizing conduct or sexual conduct;</w:t>
      </w:r>
    </w:p>
    <w:p>
      <w:pPr>
        <w:pStyle w:val="Defsubpara"/>
        <w:keepLines w:val="0"/>
      </w:pPr>
      <w:r>
        <w:tab/>
        <w:t>(iv)</w:t>
      </w:r>
      <w:r>
        <w:tab/>
        <w:t>bestiality;</w:t>
      </w:r>
    </w:p>
    <w:p>
      <w:pPr>
        <w:pStyle w:val="Defsubpara"/>
        <w:keepLines w:val="0"/>
      </w:pPr>
      <w:r>
        <w:tab/>
        <w:t>(v)</w:t>
      </w:r>
      <w: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 No. 21 of 2010 s. 10.]</w:t>
      </w:r>
    </w:p>
    <w:p>
      <w:pPr>
        <w:pStyle w:val="Heading5"/>
        <w:rPr>
          <w:snapToGrid w:val="0"/>
        </w:rPr>
      </w:pPr>
      <w:bookmarkStart w:id="131" w:name="_Toc375052664"/>
      <w:bookmarkStart w:id="132" w:name="_Toc415650298"/>
      <w:r>
        <w:rPr>
          <w:rStyle w:val="CharSectno"/>
        </w:rPr>
        <w:t>100</w:t>
      </w:r>
      <w:r>
        <w:rPr>
          <w:snapToGrid w:val="0"/>
        </w:rPr>
        <w:t>.</w:t>
      </w:r>
      <w:r>
        <w:rPr>
          <w:snapToGrid w:val="0"/>
        </w:rPr>
        <w:tab/>
        <w:t>Codes of practice, approval of etc.</w:t>
      </w:r>
      <w:bookmarkEnd w:id="131"/>
      <w:bookmarkEnd w:id="132"/>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133" w:name="_Toc375052665"/>
      <w:bookmarkStart w:id="134" w:name="_Toc415650299"/>
      <w:r>
        <w:rPr>
          <w:rStyle w:val="CharSectno"/>
        </w:rPr>
        <w:t>101</w:t>
      </w:r>
      <w:r>
        <w:rPr>
          <w:snapToGrid w:val="0"/>
        </w:rPr>
        <w:t>.</w:t>
      </w:r>
      <w:r>
        <w:rPr>
          <w:snapToGrid w:val="0"/>
        </w:rPr>
        <w:tab/>
        <w:t>Objectionable material, offences as to</w:t>
      </w:r>
      <w:bookmarkEnd w:id="133"/>
      <w:bookmarkEnd w:id="134"/>
    </w:p>
    <w:p>
      <w:pPr>
        <w:pStyle w:val="Subsection"/>
      </w:pPr>
      <w:r>
        <w:tab/>
        <w:t>(1)</w:t>
      </w:r>
      <w:r>
        <w:tab/>
        <w:t>A person must not use a computer service to —</w:t>
      </w:r>
    </w:p>
    <w:p>
      <w:pPr>
        <w:pStyle w:val="Indenta"/>
        <w:rPr>
          <w:snapToGrid w:val="0"/>
        </w:rPr>
      </w:pPr>
      <w:r>
        <w:rPr>
          <w:snapToGrid w:val="0"/>
        </w:rPr>
        <w:tab/>
        <w:t>(a)</w:t>
      </w:r>
      <w:r>
        <w:rPr>
          <w:snapToGrid w:val="0"/>
        </w:rPr>
        <w:tab/>
        <w:t>transmit an article knowing it to be objectionable material; or</w:t>
      </w:r>
    </w:p>
    <w:p>
      <w:pPr>
        <w:pStyle w:val="Indenta"/>
        <w:rPr>
          <w:snapToGrid w:val="0"/>
        </w:rPr>
      </w:pPr>
      <w:r>
        <w:rPr>
          <w:snapToGrid w:val="0"/>
        </w:rPr>
        <w:tab/>
        <w:t>(b)</w:t>
      </w:r>
      <w:r>
        <w:rPr>
          <w:snapToGrid w:val="0"/>
        </w:rPr>
        <w:tab/>
        <w:t>obtain possession of an article knowing it to be objectionable material; or</w:t>
      </w:r>
    </w:p>
    <w:p>
      <w:pPr>
        <w:pStyle w:val="Indenta"/>
        <w:rPr>
          <w:snapToGrid w:val="0"/>
        </w:rPr>
      </w:pPr>
      <w:r>
        <w:rPr>
          <w:snapToGrid w:val="0"/>
        </w:rPr>
        <w:tab/>
        <w:t>(c)</w:t>
      </w:r>
      <w:r>
        <w:rPr>
          <w:snapToGrid w:val="0"/>
        </w:rPr>
        <w:tab/>
        <w:t>demonstrate an article knowing it to be objectionable material; or</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w:t>
      </w:r>
    </w:p>
    <w:p>
      <w:pPr>
        <w:pStyle w:val="Indenta"/>
        <w:rPr>
          <w:snapToGrid w:val="0"/>
        </w:rPr>
      </w:pPr>
      <w:r>
        <w:rPr>
          <w:snapToGrid w:val="0"/>
        </w:rPr>
        <w:tab/>
        <w:t>(a)</w:t>
      </w:r>
      <w:r>
        <w:rPr>
          <w:snapToGrid w:val="0"/>
        </w:rPr>
        <w:tab/>
        <w:t>an article of recognized literary, artistic or scientific merit; or</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135" w:name="_Toc375052666"/>
      <w:bookmarkStart w:id="136" w:name="_Toc415650300"/>
      <w:r>
        <w:rPr>
          <w:rStyle w:val="CharSectno"/>
        </w:rPr>
        <w:t>102</w:t>
      </w:r>
      <w:r>
        <w:rPr>
          <w:snapToGrid w:val="0"/>
        </w:rPr>
        <w:t>.</w:t>
      </w:r>
      <w:r>
        <w:rPr>
          <w:snapToGrid w:val="0"/>
        </w:rPr>
        <w:tab/>
        <w:t>Restricted material, offences as to</w:t>
      </w:r>
      <w:bookmarkEnd w:id="135"/>
      <w:bookmarkEnd w:id="136"/>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w:t>
      </w:r>
    </w:p>
    <w:p>
      <w:pPr>
        <w:pStyle w:val="Indenta"/>
        <w:rPr>
          <w:snapToGrid w:val="0"/>
        </w:rPr>
      </w:pPr>
      <w:r>
        <w:rPr>
          <w:snapToGrid w:val="0"/>
        </w:rPr>
        <w:tab/>
        <w:t>(a)</w:t>
      </w:r>
      <w:r>
        <w:rPr>
          <w:snapToGrid w:val="0"/>
        </w:rPr>
        <w:tab/>
      </w:r>
      <w:r>
        <w:t xml:space="preserve">the accused </w:t>
      </w:r>
      <w:r>
        <w:rPr>
          <w:snapToGrid w:val="0"/>
        </w:rPr>
        <w:t>complied with a code of practice; or</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keepNext/>
        <w:rPr>
          <w:snapToGrid w:val="0"/>
        </w:rPr>
      </w:pPr>
      <w:r>
        <w:rPr>
          <w:snapToGrid w:val="0"/>
        </w:rPr>
        <w:tab/>
        <w:t>(c)</w:t>
      </w:r>
      <w:r>
        <w:rPr>
          <w:snapToGrid w:val="0"/>
        </w:rPr>
        <w:tab/>
      </w:r>
      <w:r>
        <w:t xml:space="preserve">the accused </w:t>
      </w:r>
      <w:r>
        <w:rPr>
          <w:snapToGrid w:val="0"/>
        </w:rPr>
        <w:t>believed on reasonable grounds that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137" w:name="_Toc375052667"/>
      <w:bookmarkStart w:id="138" w:name="_Toc415650301"/>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137"/>
      <w:bookmarkEnd w:id="138"/>
    </w:p>
    <w:p>
      <w:pPr>
        <w:pStyle w:val="Footnoteheading"/>
        <w:tabs>
          <w:tab w:val="left" w:pos="851"/>
        </w:tabs>
      </w:pPr>
      <w:r>
        <w:tab/>
        <w:t>[Heading inserted by No. 30 of 2003 s. 22.]</w:t>
      </w:r>
    </w:p>
    <w:p>
      <w:pPr>
        <w:pStyle w:val="Heading5"/>
      </w:pPr>
      <w:bookmarkStart w:id="139" w:name="_Toc375052668"/>
      <w:bookmarkStart w:id="140" w:name="_Toc415650302"/>
      <w:r>
        <w:rPr>
          <w:rStyle w:val="CharSectno"/>
        </w:rPr>
        <w:t>102A</w:t>
      </w:r>
      <w:r>
        <w:t>.</w:t>
      </w:r>
      <w:r>
        <w:tab/>
        <w:t>Calling in submittable publications etc. for classification</w:t>
      </w:r>
      <w:bookmarkEnd w:id="139"/>
      <w:bookmarkEnd w:id="140"/>
    </w:p>
    <w:p>
      <w:pPr>
        <w:pStyle w:val="Subsection"/>
      </w:pPr>
      <w:r>
        <w:tab/>
        <w:t>(1)</w:t>
      </w:r>
      <w:r>
        <w:tab/>
        <w:t>If —</w:t>
      </w:r>
    </w:p>
    <w:p>
      <w:pPr>
        <w:pStyle w:val="Indenta"/>
      </w:pPr>
      <w:r>
        <w:tab/>
        <w:t>(a)</w:t>
      </w:r>
      <w:r>
        <w:tab/>
        <w:t>the Director or the Minister has reasonable grounds to believe that a publication is a submittable publication; and</w:t>
      </w:r>
    </w:p>
    <w:p>
      <w:pPr>
        <w:pStyle w:val="Indenta"/>
      </w:pPr>
      <w:r>
        <w:tab/>
        <w:t>(b)</w:t>
      </w:r>
      <w:r>
        <w:tab/>
        <w:t xml:space="preserve">the publication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pPr>
      <w:r>
        <w:tab/>
        <w:t>(a)</w:t>
      </w:r>
      <w:r>
        <w:tab/>
        <w:t xml:space="preserve">to publish the publication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102A inserted by No. 30 of 2003 s. 22; amended by No. 84 of 2004 s. 82.]</w:t>
      </w:r>
    </w:p>
    <w:p>
      <w:pPr>
        <w:pStyle w:val="Heading5"/>
      </w:pPr>
      <w:bookmarkStart w:id="141" w:name="_Toc375052669"/>
      <w:bookmarkStart w:id="142" w:name="_Toc415650303"/>
      <w:r>
        <w:rPr>
          <w:rStyle w:val="CharSectno"/>
        </w:rPr>
        <w:t>102B</w:t>
      </w:r>
      <w:r>
        <w:t>.</w:t>
      </w:r>
      <w:r>
        <w:tab/>
        <w:t>Calling in films for classification</w:t>
      </w:r>
      <w:bookmarkEnd w:id="141"/>
      <w:bookmarkEnd w:id="142"/>
    </w:p>
    <w:p>
      <w:pPr>
        <w:pStyle w:val="Subsection"/>
      </w:pPr>
      <w:r>
        <w:tab/>
        <w:t>(1)</w:t>
      </w:r>
      <w:r>
        <w:tab/>
        <w:t>If —</w:t>
      </w:r>
    </w:p>
    <w:p>
      <w:pPr>
        <w:pStyle w:val="Indenta"/>
        <w:spacing w:before="60"/>
      </w:pPr>
      <w:r>
        <w:tab/>
        <w:t>(a)</w:t>
      </w:r>
      <w:r>
        <w:tab/>
        <w:t>the Director or the Minister has reasonable grounds to believe that an unclassified film is not an exempt film; and</w:t>
      </w:r>
    </w:p>
    <w:p>
      <w:pPr>
        <w:pStyle w:val="Indenta"/>
        <w:spacing w:before="60"/>
      </w:pPr>
      <w:r>
        <w:tab/>
        <w:t>(b)</w:t>
      </w:r>
      <w:r>
        <w:tab/>
        <w:t xml:space="preserve">the film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It is a defence to a prosecution for an offence against subsection (4) to prove that the accused did not intend —</w:t>
      </w:r>
    </w:p>
    <w:p>
      <w:pPr>
        <w:pStyle w:val="Indenta"/>
        <w:spacing w:before="60"/>
      </w:pPr>
      <w:r>
        <w:tab/>
        <w:t>(a)</w:t>
      </w:r>
      <w:r>
        <w:tab/>
        <w:t xml:space="preserve">to publish the film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 xml:space="preserve">to cause, authorise, permit or license the film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102B inserted by No. 30 of 2003 s. 22; amended by No. 84 of 2004 s. 82.]</w:t>
      </w:r>
    </w:p>
    <w:p>
      <w:pPr>
        <w:pStyle w:val="Heading5"/>
      </w:pPr>
      <w:bookmarkStart w:id="143" w:name="_Toc375052670"/>
      <w:bookmarkStart w:id="144" w:name="_Toc415650304"/>
      <w:r>
        <w:rPr>
          <w:rStyle w:val="CharSectno"/>
        </w:rPr>
        <w:t>102C</w:t>
      </w:r>
      <w:r>
        <w:t>.</w:t>
      </w:r>
      <w:r>
        <w:tab/>
        <w:t>Calling in computer games for classification</w:t>
      </w:r>
      <w:bookmarkEnd w:id="143"/>
      <w:bookmarkEnd w:id="144"/>
    </w:p>
    <w:p>
      <w:pPr>
        <w:pStyle w:val="Subsection"/>
        <w:keepNext/>
      </w:pPr>
      <w:r>
        <w:tab/>
        <w:t>(1)</w:t>
      </w:r>
      <w:r>
        <w:tab/>
        <w:t>If —</w:t>
      </w:r>
    </w:p>
    <w:p>
      <w:pPr>
        <w:pStyle w:val="Indenta"/>
      </w:pPr>
      <w:r>
        <w:tab/>
        <w:t>(a)</w:t>
      </w:r>
      <w:r>
        <w:tab/>
        <w:t>the Director or the Minister has reasonable grounds to believe that a computer game is likely to contain contentious material;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If —</w:t>
      </w:r>
    </w:p>
    <w:p>
      <w:pPr>
        <w:pStyle w:val="Indenta"/>
      </w:pPr>
      <w:r>
        <w:tab/>
        <w:t>(a)</w:t>
      </w:r>
      <w:r>
        <w:tab/>
        <w:t>the Director or the Minister has reasonable grounds to believe that a computer game is not an exempt computer game; and</w:t>
      </w:r>
    </w:p>
    <w:p>
      <w:pPr>
        <w:pStyle w:val="Indenta"/>
      </w:pPr>
      <w:r>
        <w:tab/>
        <w:t>(b)</w:t>
      </w:r>
      <w:r>
        <w:tab/>
        <w:t xml:space="preserve">the computer game is being published in </w:t>
      </w:r>
      <w:smartTag w:uri="urn:schemas-microsoft-com:office:smarttags" w:element="State">
        <w:r>
          <w:t>Western Australia</w:t>
        </w:r>
      </w:smartTag>
      <w:r>
        <w:t xml:space="preserve">, or the Director or the Minister has reasonable grounds to believe that it will be published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pPr>
      <w:r>
        <w:tab/>
        <w:t>(6)</w:t>
      </w:r>
      <w:r>
        <w:tab/>
        <w:t>It is a defence to a prosecution for an offence against subsection (5) to prove that the accused did not intend —</w:t>
      </w:r>
    </w:p>
    <w:p>
      <w:pPr>
        <w:pStyle w:val="Indenta"/>
      </w:pPr>
      <w:r>
        <w:tab/>
        <w:t>(a)</w:t>
      </w:r>
      <w:r>
        <w:tab/>
        <w:t xml:space="preserve">to publish the computer game in </w:t>
      </w:r>
      <w:smartTag w:uri="urn:schemas-microsoft-com:office:smarttags" w:element="place">
        <w:smartTag w:uri="urn:schemas-microsoft-com:office:smarttags" w:element="State">
          <w:r>
            <w:t>Western Australia</w:t>
          </w:r>
        </w:smartTag>
      </w:smartTag>
      <w:r>
        <w:t>; or</w:t>
      </w:r>
    </w:p>
    <w:p>
      <w:pPr>
        <w:pStyle w:val="Indenta"/>
        <w:keepNext/>
      </w:pPr>
      <w:r>
        <w:tab/>
        <w:t>(b)</w:t>
      </w:r>
      <w:r>
        <w:tab/>
        <w:t xml:space="preserve">to cause, authorise, permit or license the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102C inserted by No. 30 of 2003 s. 22; amended by No. 84 of 2004 s. 82.]</w:t>
      </w:r>
    </w:p>
    <w:p>
      <w:pPr>
        <w:pStyle w:val="Heading5"/>
      </w:pPr>
      <w:bookmarkStart w:id="145" w:name="_Toc375052671"/>
      <w:bookmarkStart w:id="146" w:name="_Toc415650305"/>
      <w:r>
        <w:rPr>
          <w:rStyle w:val="CharSectno"/>
        </w:rPr>
        <w:t>102D</w:t>
      </w:r>
      <w:r>
        <w:t>.</w:t>
      </w:r>
      <w:r>
        <w:tab/>
        <w:t>Calling in advertisements for submittable publications etc.</w:t>
      </w:r>
      <w:bookmarkEnd w:id="145"/>
      <w:bookmarkEnd w:id="146"/>
    </w:p>
    <w:p>
      <w:pPr>
        <w:pStyle w:val="Subsection"/>
      </w:pPr>
      <w:r>
        <w:tab/>
        <w:t>(1)</w:t>
      </w:r>
      <w:r>
        <w:tab/>
        <w:t>The Director or the Minister may, by notice in writing given to —</w:t>
      </w:r>
    </w:p>
    <w:p>
      <w:pPr>
        <w:pStyle w:val="Indenta"/>
      </w:pPr>
      <w:r>
        <w:tab/>
        <w:t>(a)</w:t>
      </w:r>
      <w:r>
        <w:tab/>
        <w:t>the publisher of a publication that —</w:t>
      </w:r>
    </w:p>
    <w:p>
      <w:pPr>
        <w:pStyle w:val="Indenti"/>
      </w:pPr>
      <w:r>
        <w:tab/>
        <w:t>(i)</w:t>
      </w:r>
      <w:r>
        <w:tab/>
        <w:t>the Director or the Minister has reasonable grounds to believe is a submittable publication; and</w:t>
      </w:r>
    </w:p>
    <w:p>
      <w:pPr>
        <w:pStyle w:val="Indenti"/>
      </w:pPr>
      <w:r>
        <w:tab/>
        <w:t>(ii)</w:t>
      </w:r>
      <w:r>
        <w:tab/>
        <w:t xml:space="preserve">is being published in </w:t>
      </w:r>
      <w:smartTag w:uri="urn:schemas-microsoft-com:office:smarttags" w:element="State">
        <w:r>
          <w:t>Western Australia</w:t>
        </w:r>
      </w:smartTag>
      <w:r>
        <w:t xml:space="preserve">, or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Indenta"/>
      </w:pPr>
      <w:r>
        <w:tab/>
      </w:r>
      <w:r>
        <w:tab/>
        <w:t>or</w:t>
      </w:r>
    </w:p>
    <w:p>
      <w:pPr>
        <w:pStyle w:val="Indenta"/>
      </w:pPr>
      <w:r>
        <w:tab/>
        <w:t>(b)</w:t>
      </w:r>
      <w:r>
        <w:tab/>
        <w:t xml:space="preserve">the publisher of a film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 or</w:t>
      </w:r>
    </w:p>
    <w:p>
      <w:pPr>
        <w:pStyle w:val="Indenta"/>
      </w:pPr>
      <w:r>
        <w:tab/>
        <w:t>(c)</w:t>
      </w:r>
      <w:r>
        <w:tab/>
        <w:t xml:space="preserve">the publisher of a computer game that is being published in </w:t>
      </w:r>
      <w:smartTag w:uri="urn:schemas-microsoft-com:office:smarttags" w:element="State">
        <w:r>
          <w:t>Western Australia</w:t>
        </w:r>
      </w:smartTag>
      <w:r>
        <w:t xml:space="preserve">, or that the Director or the Minister has reasonable grounds to believe will be published in </w:t>
      </w:r>
      <w:smartTag w:uri="urn:schemas-microsoft-com:office:smarttags" w:element="place">
        <w:smartTag w:uri="urn:schemas-microsoft-com:office:smarttags" w:element="State">
          <w:r>
            <w:t>Western Australia</w:t>
          </w:r>
        </w:smartTag>
      </w:smartTag>
      <w:r>
        <w:t>,</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keepNext/>
      </w:pPr>
      <w:r>
        <w:tab/>
        <w:t>(3)</w:t>
      </w:r>
      <w:r>
        <w:tab/>
        <w:t>It is a defence to a prosecution for an offence against subsection (2) to prove that the accused did not intend —</w:t>
      </w:r>
    </w:p>
    <w:p>
      <w:pPr>
        <w:pStyle w:val="Indenta"/>
      </w:pPr>
      <w:r>
        <w:tab/>
        <w:t>(a)</w:t>
      </w:r>
      <w:r>
        <w:tab/>
        <w:t xml:space="preserve">to publish the publication, film or computer game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to cause, authorise, permit or license the publication, film or computer game to be published in </w:t>
      </w:r>
      <w:smartTag w:uri="urn:schemas-microsoft-com:office:smarttags" w:element="place">
        <w:smartTag w:uri="urn:schemas-microsoft-com:office:smarttags" w:element="State">
          <w:r>
            <w:t>Western Australia</w:t>
          </w:r>
        </w:smartTag>
      </w:smartTag>
      <w:r>
        <w:t>.</w:t>
      </w:r>
    </w:p>
    <w:p>
      <w:pPr>
        <w:pStyle w:val="Footnotesection"/>
      </w:pPr>
      <w:r>
        <w:tab/>
        <w:t>[Section 102D inserted by No. 30 of 2003 s. 22; amended by No. 84 of 2004 s. 82; No. 21 of 2010 s. 34.]</w:t>
      </w:r>
    </w:p>
    <w:p>
      <w:pPr>
        <w:pStyle w:val="Heading5"/>
      </w:pPr>
      <w:bookmarkStart w:id="147" w:name="_Toc375052672"/>
      <w:bookmarkStart w:id="148" w:name="_Toc415650306"/>
      <w:r>
        <w:rPr>
          <w:rStyle w:val="CharSectno"/>
        </w:rPr>
        <w:t>102E</w:t>
      </w:r>
      <w:r>
        <w:t>.</w:t>
      </w:r>
      <w:r>
        <w:tab/>
        <w:t>Calling in publication, film or computer game for reclassification</w:t>
      </w:r>
      <w:bookmarkEnd w:id="147"/>
      <w:bookmarkEnd w:id="148"/>
    </w:p>
    <w:p>
      <w:pPr>
        <w:pStyle w:val="Subsection"/>
      </w:pPr>
      <w:r>
        <w:tab/>
        <w:t>(1)</w:t>
      </w:r>
      <w:r>
        <w:tab/>
        <w:t>If —</w:t>
      </w:r>
    </w:p>
    <w:p>
      <w:pPr>
        <w:pStyle w:val="Indenta"/>
      </w:pPr>
      <w:r>
        <w:tab/>
        <w:t>(a)</w:t>
      </w:r>
      <w:r>
        <w:tab/>
        <w:t>the Board proposes to reclassify a publication, film or computer game under section 39 of the Commonwealth Act; and</w:t>
      </w:r>
    </w:p>
    <w:p>
      <w:pPr>
        <w:pStyle w:val="Indenta"/>
      </w:pPr>
      <w:r>
        <w:tab/>
        <w:t>(b)</w:t>
      </w:r>
      <w:r>
        <w:tab/>
        <w:t xml:space="preserve">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149" w:name="_Toc375052673"/>
      <w:bookmarkStart w:id="150" w:name="_Toc415650307"/>
      <w:r>
        <w:rPr>
          <w:rStyle w:val="CharSectno"/>
        </w:rPr>
        <w:t>102F</w:t>
      </w:r>
      <w:r>
        <w:t>.</w:t>
      </w:r>
      <w:r>
        <w:tab/>
        <w:t>Calling in publication, film or computer game for review of classification</w:t>
      </w:r>
      <w:bookmarkEnd w:id="149"/>
      <w:bookmarkEnd w:id="150"/>
    </w:p>
    <w:p>
      <w:pPr>
        <w:pStyle w:val="Subsection"/>
      </w:pPr>
      <w:r>
        <w:tab/>
        <w:t>(1)</w:t>
      </w:r>
      <w:r>
        <w:tab/>
        <w:t>If —</w:t>
      </w:r>
    </w:p>
    <w:p>
      <w:pPr>
        <w:pStyle w:val="Indenta"/>
      </w:pPr>
      <w:r>
        <w:tab/>
        <w:t>(a)</w:t>
      </w:r>
      <w:r>
        <w:tab/>
        <w:t>an application is made for a review of a classification decision under the Commonwealth Act by a person who is not the original applicant for classification of the publication, film or computer game concerned; and</w:t>
      </w:r>
    </w:p>
    <w:p>
      <w:pPr>
        <w:pStyle w:val="Indenta"/>
      </w:pPr>
      <w:r>
        <w:tab/>
        <w:t>(b)</w:t>
      </w:r>
      <w:r>
        <w:tab/>
        <w:t>the Board or the Review Board does not have a copy of the publication, film or computer game and a copy is not available to it; and</w:t>
      </w:r>
    </w:p>
    <w:p>
      <w:pPr>
        <w:pStyle w:val="Indenta"/>
      </w:pPr>
      <w:r>
        <w:tab/>
        <w:t>(c)</w:t>
      </w:r>
      <w:r>
        <w:tab/>
        <w:t xml:space="preserve">the original applicant or the publisher of the publication, film or computer game resides in </w:t>
      </w:r>
      <w:smartTag w:uri="urn:schemas-microsoft-com:office:smarttags" w:element="State">
        <w:r>
          <w:t>Western Australia</w:t>
        </w:r>
      </w:smartTag>
      <w:r>
        <w:t xml:space="preserve"> or has an office in </w:t>
      </w:r>
      <w:smartTag w:uri="urn:schemas-microsoft-com:office:smarttags" w:element="place">
        <w:smartTag w:uri="urn:schemas-microsoft-com:office:smarttags" w:element="State">
          <w:r>
            <w:t>Western Australia</w:t>
          </w:r>
        </w:smartTag>
      </w:smartTag>
      <w:r>
        <w:t>,</w:t>
      </w:r>
    </w:p>
    <w:p>
      <w:pPr>
        <w:pStyle w:val="Subsection"/>
      </w:pPr>
      <w:r>
        <w:tab/>
      </w:r>
      <w:r>
        <w:tab/>
        <w:t>the Convenor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 No. 21 of 2010 s. 22.]</w:t>
      </w:r>
    </w:p>
    <w:p>
      <w:pPr>
        <w:pStyle w:val="Heading2"/>
      </w:pPr>
      <w:bookmarkStart w:id="151" w:name="_Toc375052674"/>
      <w:bookmarkStart w:id="152" w:name="_Toc415650308"/>
      <w:r>
        <w:rPr>
          <w:rStyle w:val="CharPartNo"/>
        </w:rPr>
        <w:t>Part 8</w:t>
      </w:r>
      <w:r>
        <w:rPr>
          <w:rStyle w:val="CharDivNo"/>
        </w:rPr>
        <w:t> </w:t>
      </w:r>
      <w:r>
        <w:t>—</w:t>
      </w:r>
      <w:r>
        <w:rPr>
          <w:rStyle w:val="CharDivText"/>
        </w:rPr>
        <w:t> </w:t>
      </w:r>
      <w:r>
        <w:rPr>
          <w:rStyle w:val="CharPartText"/>
        </w:rPr>
        <w:t>Exemptions and exceptions</w:t>
      </w:r>
      <w:bookmarkEnd w:id="151"/>
      <w:bookmarkEnd w:id="152"/>
    </w:p>
    <w:p>
      <w:pPr>
        <w:pStyle w:val="Heading5"/>
        <w:rPr>
          <w:snapToGrid w:val="0"/>
        </w:rPr>
      </w:pPr>
      <w:bookmarkStart w:id="153" w:name="_Toc375052675"/>
      <w:bookmarkStart w:id="154" w:name="_Toc415650309"/>
      <w:r>
        <w:rPr>
          <w:rStyle w:val="CharSectno"/>
        </w:rPr>
        <w:t>103</w:t>
      </w:r>
      <w:r>
        <w:rPr>
          <w:snapToGrid w:val="0"/>
        </w:rPr>
        <w:t>.</w:t>
      </w:r>
      <w:r>
        <w:rPr>
          <w:snapToGrid w:val="0"/>
        </w:rPr>
        <w:tab/>
        <w:t>Supply etc. for classification etc. purposes not offence under Part 7</w:t>
      </w:r>
      <w:bookmarkEnd w:id="153"/>
      <w:bookmarkEnd w:id="154"/>
    </w:p>
    <w:p>
      <w:pPr>
        <w:pStyle w:val="Subsection"/>
        <w:spacing w:before="100"/>
      </w:pPr>
      <w:r>
        <w:tab/>
      </w:r>
      <w:r>
        <w:tab/>
        <w:t>Nothing in Part 7 makes it an offence to supply, display or to be in possession of an article for the purpose of classification or law enforcement.</w:t>
      </w:r>
    </w:p>
    <w:p>
      <w:pPr>
        <w:pStyle w:val="Heading5"/>
        <w:rPr>
          <w:snapToGrid w:val="0"/>
        </w:rPr>
      </w:pPr>
      <w:bookmarkStart w:id="155" w:name="_Toc375052676"/>
      <w:bookmarkStart w:id="156" w:name="_Toc415650310"/>
      <w:r>
        <w:rPr>
          <w:rStyle w:val="CharSectno"/>
        </w:rPr>
        <w:t>104</w:t>
      </w:r>
      <w:r>
        <w:rPr>
          <w:snapToGrid w:val="0"/>
        </w:rPr>
        <w:t>.</w:t>
      </w:r>
      <w:r>
        <w:rPr>
          <w:snapToGrid w:val="0"/>
        </w:rPr>
        <w:tab/>
        <w:t>Offences as to possession, defences to</w:t>
      </w:r>
      <w:bookmarkEnd w:id="155"/>
      <w:bookmarkEnd w:id="156"/>
    </w:p>
    <w:p>
      <w:pPr>
        <w:pStyle w:val="Subsection"/>
        <w:spacing w:before="100"/>
      </w:pPr>
      <w:r>
        <w:tab/>
        <w:t>(1)</w:t>
      </w:r>
      <w:r>
        <w:tab/>
        <w:t>In proceedings for an offence against Part 7 relating to possession of an article it is a defence for the person charged to prove that the person had possession of the article to which the charge relates, in good faith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 or</w:t>
      </w:r>
    </w:p>
    <w:p>
      <w:pPr>
        <w:pStyle w:val="Indenta"/>
        <w:rPr>
          <w:snapToGrid w:val="0"/>
        </w:rPr>
      </w:pPr>
      <w:r>
        <w:rPr>
          <w:snapToGrid w:val="0"/>
        </w:rPr>
        <w:tab/>
        <w:t>(b)</w:t>
      </w:r>
      <w:r>
        <w:rPr>
          <w:snapToGrid w:val="0"/>
        </w:rPr>
        <w:tab/>
        <w:t>for the purposes of any proceedings under this Act or any other enactment in relation to the article; or</w:t>
      </w:r>
    </w:p>
    <w:p>
      <w:pPr>
        <w:pStyle w:val="Indenta"/>
        <w:rPr>
          <w:snapToGrid w:val="0"/>
        </w:rPr>
      </w:pPr>
      <w:r>
        <w:rPr>
          <w:snapToGrid w:val="0"/>
        </w:rPr>
        <w:tab/>
        <w:t>(c)</w:t>
      </w:r>
      <w:r>
        <w:rPr>
          <w:snapToGrid w:val="0"/>
        </w:rPr>
        <w:tab/>
        <w:t>for the purpose of giving legal advice in relation to the article; or</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157" w:name="_Toc375052677"/>
      <w:bookmarkStart w:id="158" w:name="_Toc415650311"/>
      <w:r>
        <w:rPr>
          <w:rStyle w:val="CharSectno"/>
        </w:rPr>
        <w:t>105</w:t>
      </w:r>
      <w:r>
        <w:rPr>
          <w:snapToGrid w:val="0"/>
        </w:rPr>
        <w:t>.</w:t>
      </w:r>
      <w:r>
        <w:rPr>
          <w:snapToGrid w:val="0"/>
        </w:rPr>
        <w:tab/>
        <w:t>Articles and computer services, exemptions for</w:t>
      </w:r>
      <w:bookmarkEnd w:id="157"/>
      <w:bookmarkEnd w:id="158"/>
    </w:p>
    <w:p>
      <w:pPr>
        <w:pStyle w:val="Subsection"/>
        <w:keepNext/>
        <w:keepLines/>
        <w:spacing w:before="100"/>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159" w:name="_Toc375052678"/>
      <w:bookmarkStart w:id="160" w:name="_Toc415650312"/>
      <w:r>
        <w:rPr>
          <w:rStyle w:val="CharSectno"/>
        </w:rPr>
        <w:t>106</w:t>
      </w:r>
      <w:r>
        <w:rPr>
          <w:snapToGrid w:val="0"/>
        </w:rPr>
        <w:t>.</w:t>
      </w:r>
      <w:r>
        <w:rPr>
          <w:snapToGrid w:val="0"/>
        </w:rPr>
        <w:tab/>
        <w:t>Approved organizations, exemptions for as to specific films etc.</w:t>
      </w:r>
      <w:bookmarkEnd w:id="159"/>
      <w:bookmarkEnd w:id="160"/>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by an organization approved under section 108 for an exemption under subsection (1) must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specify the film that the organization intends to exhibit and the event at which the film is to be exhibited; and</w:t>
      </w:r>
    </w:p>
    <w:p>
      <w:pPr>
        <w:pStyle w:val="Indenta"/>
        <w:spacing w:before="60"/>
        <w:rPr>
          <w:snapToGrid w:val="0"/>
        </w:rPr>
      </w:pPr>
      <w:r>
        <w:rPr>
          <w:snapToGrid w:val="0"/>
        </w:rPr>
        <w:tab/>
        <w:t>(c)</w:t>
      </w:r>
      <w:r>
        <w:rPr>
          <w:snapToGrid w:val="0"/>
        </w:rPr>
        <w:tab/>
        <w:t>be accompanied by —</w:t>
      </w:r>
    </w:p>
    <w:p>
      <w:pPr>
        <w:pStyle w:val="Indenti"/>
        <w:spacing w:before="60"/>
        <w:rPr>
          <w:snapToGrid w:val="0"/>
        </w:rPr>
      </w:pPr>
      <w:r>
        <w:rPr>
          <w:snapToGrid w:val="0"/>
        </w:rPr>
        <w:tab/>
        <w:t>(i)</w:t>
      </w:r>
      <w:r>
        <w:rPr>
          <w:snapToGrid w:val="0"/>
        </w:rPr>
        <w:tab/>
        <w:t>a synopsis of the story or events depicted in the film; and</w:t>
      </w:r>
    </w:p>
    <w:p>
      <w:pPr>
        <w:pStyle w:val="Indenti"/>
        <w:spacing w:before="60"/>
        <w:rPr>
          <w:snapToGrid w:val="0"/>
        </w:rPr>
      </w:pPr>
      <w:r>
        <w:rPr>
          <w:snapToGrid w:val="0"/>
        </w:rPr>
        <w:tab/>
        <w:t>(ii)</w:t>
      </w:r>
      <w:r>
        <w:rPr>
          <w:snapToGrid w:val="0"/>
        </w:rPr>
        <w:tab/>
        <w:t>the prescribed fee.</w:t>
      </w:r>
    </w:p>
    <w:p>
      <w:pPr>
        <w:pStyle w:val="Subsection"/>
      </w:pPr>
      <w:r>
        <w:tab/>
        <w:t>(3A)</w:t>
      </w:r>
      <w:r>
        <w:tab/>
        <w: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t>
      </w:r>
    </w:p>
    <w:p>
      <w:pPr>
        <w:pStyle w:val="Subsection"/>
      </w:pPr>
      <w:r>
        <w:tab/>
        <w:t>(3B)</w:t>
      </w:r>
      <w:r>
        <w:tab/>
        <w:t>An application by an organization approved under section 108 for an exemption under subsection (3A) must —</w:t>
      </w:r>
    </w:p>
    <w:p>
      <w:pPr>
        <w:pStyle w:val="Indenta"/>
      </w:pPr>
      <w:r>
        <w:tab/>
        <w:t>(a)</w:t>
      </w:r>
      <w:r>
        <w:tab/>
        <w:t>be in writing; and</w:t>
      </w:r>
    </w:p>
    <w:p>
      <w:pPr>
        <w:pStyle w:val="Indenta"/>
      </w:pPr>
      <w:r>
        <w:tab/>
        <w:t>(b)</w:t>
      </w:r>
      <w:r>
        <w:tab/>
        <w:t>specify the extent of the exemption sought; and</w:t>
      </w:r>
    </w:p>
    <w:p>
      <w:pPr>
        <w:pStyle w:val="Indenta"/>
      </w:pPr>
      <w:r>
        <w:tab/>
        <w:t>(c)</w:t>
      </w:r>
      <w:r>
        <w:tab/>
        <w:t>be accompanied by 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 No. 21 of 2010 s. 23.]</w:t>
      </w:r>
    </w:p>
    <w:p>
      <w:pPr>
        <w:pStyle w:val="Heading5"/>
        <w:rPr>
          <w:snapToGrid w:val="0"/>
        </w:rPr>
      </w:pPr>
      <w:bookmarkStart w:id="161" w:name="_Toc375052679"/>
      <w:bookmarkStart w:id="162" w:name="_Toc415650313"/>
      <w:r>
        <w:rPr>
          <w:rStyle w:val="CharSectno"/>
        </w:rPr>
        <w:t>107</w:t>
      </w:r>
      <w:r>
        <w:rPr>
          <w:snapToGrid w:val="0"/>
        </w:rPr>
        <w:t>.</w:t>
      </w:r>
      <w:r>
        <w:rPr>
          <w:snapToGrid w:val="0"/>
        </w:rPr>
        <w:tab/>
        <w:t>Ministerial directions or guidelines</w:t>
      </w:r>
      <w:bookmarkEnd w:id="161"/>
      <w:bookmarkEnd w:id="162"/>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163" w:name="_Toc375052680"/>
      <w:bookmarkStart w:id="164" w:name="_Toc415650314"/>
      <w:r>
        <w:rPr>
          <w:rStyle w:val="CharSectno"/>
        </w:rPr>
        <w:t>108</w:t>
      </w:r>
      <w:r>
        <w:rPr>
          <w:snapToGrid w:val="0"/>
        </w:rPr>
        <w:t>.</w:t>
      </w:r>
      <w:r>
        <w:rPr>
          <w:snapToGrid w:val="0"/>
        </w:rPr>
        <w:tab/>
        <w:t>Organizations, approval of</w:t>
      </w:r>
      <w:bookmarkEnd w:id="163"/>
      <w:bookmarkEnd w:id="164"/>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section 106(1) or (3A).</w:t>
      </w:r>
    </w:p>
    <w:p>
      <w:pPr>
        <w:pStyle w:val="Subsection"/>
      </w:pPr>
      <w:r>
        <w:tab/>
        <w:t>(2)</w:t>
      </w:r>
      <w:r>
        <w:tab/>
        <w:t>In considering whether to approve an organization for the purposes of section 106(1), the Minister or Director must have regard to —</w:t>
      </w:r>
    </w:p>
    <w:p>
      <w:pPr>
        <w:pStyle w:val="Indenta"/>
        <w:rPr>
          <w:snapToGrid w:val="0"/>
        </w:rPr>
      </w:pPr>
      <w:r>
        <w:rPr>
          <w:snapToGrid w:val="0"/>
        </w:rPr>
        <w:tab/>
        <w:t>(a)</w:t>
      </w:r>
      <w:r>
        <w:rPr>
          <w:snapToGrid w:val="0"/>
        </w:rPr>
        <w:tab/>
        <w:t>the purpose for which the organization was formed; and</w:t>
      </w:r>
    </w:p>
    <w:p>
      <w:pPr>
        <w:pStyle w:val="Indenta"/>
        <w:rPr>
          <w:snapToGrid w:val="0"/>
        </w:rPr>
      </w:pPr>
      <w:r>
        <w:rPr>
          <w:snapToGrid w:val="0"/>
        </w:rPr>
        <w:tab/>
        <w:t>(b)</w:t>
      </w:r>
      <w:r>
        <w:rPr>
          <w:snapToGrid w:val="0"/>
        </w:rPr>
        <w:tab/>
        <w:t xml:space="preserve">the extent to which the organization carries on activities of a medical, scientific, </w:t>
      </w:r>
      <w:r>
        <w:t xml:space="preserve">educational, </w:t>
      </w:r>
      <w:r>
        <w:rPr>
          <w:snapToGrid w:val="0"/>
        </w:rPr>
        <w:t>cultural or artistic nature; and</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(3A)</w:t>
      </w:r>
      <w:r>
        <w:tab/>
        <w:t>In considering whether to approve an organization for the purposes of section 106(3A), the Minister or Director must have regard to the following —</w:t>
      </w:r>
    </w:p>
    <w:p>
      <w:pPr>
        <w:pStyle w:val="Indenta"/>
      </w:pPr>
      <w:r>
        <w:tab/>
        <w:t>(a)</w:t>
      </w:r>
      <w:r>
        <w:tab/>
        <w:t>the purpose for which the organization was formed;</w:t>
      </w:r>
    </w:p>
    <w:p>
      <w:pPr>
        <w:pStyle w:val="Indenta"/>
      </w:pPr>
      <w:r>
        <w:tab/>
        <w:t>(b)</w:t>
      </w:r>
      <w:r>
        <w:tab/>
        <w:t>the extent to which the organization carries on activities of an educational, cultural or artistic nature;</w:t>
      </w:r>
    </w:p>
    <w:p>
      <w:pPr>
        <w:pStyle w:val="Indenta"/>
      </w:pPr>
      <w:r>
        <w:tab/>
        <w:t>(c)</w:t>
      </w:r>
      <w:r>
        <w:tab/>
        <w:t>the reputation of the organization in relation to —</w:t>
      </w:r>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Indenta"/>
      </w:pPr>
      <w:r>
        <w:tab/>
        <w:t>(d)</w:t>
      </w:r>
      <w:r>
        <w:tab/>
        <w:t>the conditions as to admission of persons to —</w:t>
      </w:r>
    </w:p>
    <w:p>
      <w:pPr>
        <w:pStyle w:val="Indenti"/>
      </w:pPr>
      <w:r>
        <w:tab/>
        <w:t>(i)</w:t>
      </w:r>
      <w:r>
        <w:tab/>
        <w:t>the screening of films by the organization; or</w:t>
      </w:r>
    </w:p>
    <w:p>
      <w:pPr>
        <w:pStyle w:val="Indenti"/>
      </w:pPr>
      <w:r>
        <w:tab/>
        <w:t>(ii)</w:t>
      </w:r>
      <w:r>
        <w:tab/>
        <w:t>the demonstration of computer games by the organization,</w:t>
      </w:r>
    </w:p>
    <w:p>
      <w:pPr>
        <w:pStyle w:val="Indenta"/>
      </w:pPr>
      <w:r>
        <w:tab/>
      </w:r>
      <w:r>
        <w:tab/>
        <w:t>as the case may be.</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or (3A),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 No. 21 of 2010 s. 24.]</w:t>
      </w:r>
    </w:p>
    <w:p>
      <w:pPr>
        <w:pStyle w:val="Heading5"/>
        <w:rPr>
          <w:snapToGrid w:val="0"/>
        </w:rPr>
      </w:pPr>
      <w:bookmarkStart w:id="165" w:name="_Toc375052681"/>
      <w:bookmarkStart w:id="166" w:name="_Toc415650315"/>
      <w:r>
        <w:rPr>
          <w:rStyle w:val="CharSectno"/>
        </w:rPr>
        <w:t>109</w:t>
      </w:r>
      <w:r>
        <w:rPr>
          <w:snapToGrid w:val="0"/>
        </w:rPr>
        <w:t>.</w:t>
      </w:r>
      <w:r>
        <w:rPr>
          <w:snapToGrid w:val="0"/>
        </w:rPr>
        <w:tab/>
        <w:t>Appeals against certain decisions of Director</w:t>
      </w:r>
      <w:bookmarkEnd w:id="165"/>
      <w:bookmarkEnd w:id="166"/>
    </w:p>
    <w:p>
      <w:pPr>
        <w:pStyle w:val="Subsection"/>
      </w:pPr>
      <w:r>
        <w:tab/>
        <w:t>(1)</w:t>
      </w:r>
      <w:r>
        <w:tab/>
        <w:t>If the Director makes a decision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An appeal is instituted by giving notice in writing of the appeal, setting out the grounds and facts on which the appellant relies.</w:t>
      </w:r>
    </w:p>
    <w:p>
      <w:pPr>
        <w:pStyle w:val="Subsection"/>
      </w:pPr>
      <w:r>
        <w:tab/>
        <w:t>(3)</w:t>
      </w:r>
      <w:r>
        <w:tab/>
        <w:t>On an appeal under this section, the Minister must consider the notice of appeal and —</w:t>
      </w:r>
    </w:p>
    <w:p>
      <w:pPr>
        <w:pStyle w:val="Indenta"/>
        <w:rPr>
          <w:snapToGrid w:val="0"/>
        </w:rPr>
      </w:pPr>
      <w:r>
        <w:rPr>
          <w:snapToGrid w:val="0"/>
        </w:rPr>
        <w:tab/>
        <w:t>(a)</w:t>
      </w:r>
      <w:r>
        <w:rPr>
          <w:snapToGrid w:val="0"/>
        </w:rPr>
        <w:tab/>
        <w:t>affirm the decision appealed against; or</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167" w:name="_Toc375052682"/>
      <w:bookmarkStart w:id="168" w:name="_Toc415650316"/>
      <w:r>
        <w:rPr>
          <w:rStyle w:val="CharSectno"/>
        </w:rPr>
        <w:t>110</w:t>
      </w:r>
      <w:r>
        <w:rPr>
          <w:snapToGrid w:val="0"/>
        </w:rPr>
        <w:t>.</w:t>
      </w:r>
      <w:r>
        <w:rPr>
          <w:snapToGrid w:val="0"/>
        </w:rPr>
        <w:tab/>
        <w:t>Publication of certain films etc. to prescribed person etc.</w:t>
      </w:r>
      <w:bookmarkEnd w:id="167"/>
      <w:bookmarkEnd w:id="168"/>
    </w:p>
    <w:p>
      <w:pPr>
        <w:pStyle w:val="Subsection"/>
      </w:pPr>
      <w:r>
        <w:tab/>
      </w:r>
      <w:r>
        <w:tab/>
        <w:t>Despite anything to the contrary in this Act, a person may publish to a prescribed person or a prescribed body, or to a person or body of a prescribed class or description of persons or bodies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or</w:t>
      </w:r>
    </w:p>
    <w:p>
      <w:pPr>
        <w:pStyle w:val="Indenta"/>
        <w:rPr>
          <w:snapToGrid w:val="0"/>
        </w:rPr>
      </w:pPr>
      <w:r>
        <w:rPr>
          <w:snapToGrid w:val="0"/>
        </w:rPr>
        <w:tab/>
        <w:t>(b)</w:t>
      </w:r>
      <w:r>
        <w:rPr>
          <w:snapToGrid w:val="0"/>
        </w:rPr>
        <w:tab/>
        <w:t xml:space="preserve">a computer game that is not classified or is classified </w:t>
      </w:r>
      <w:r>
        <w:t>RC, R 18+ or</w:t>
      </w:r>
      <w:r>
        <w:rPr>
          <w:snapToGrid w:val="0"/>
        </w:rPr>
        <w:t xml:space="preserve"> </w:t>
      </w:r>
      <w:r>
        <w:t>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 No. 53 of 2012 s. 14.]</w:t>
      </w:r>
    </w:p>
    <w:p>
      <w:pPr>
        <w:pStyle w:val="Heading2"/>
      </w:pPr>
      <w:bookmarkStart w:id="169" w:name="_Toc375052683"/>
      <w:bookmarkStart w:id="170" w:name="_Toc415650317"/>
      <w:r>
        <w:rPr>
          <w:rStyle w:val="CharPartNo"/>
        </w:rPr>
        <w:t>Part 9</w:t>
      </w:r>
      <w:r>
        <w:t> — </w:t>
      </w:r>
      <w:r>
        <w:rPr>
          <w:rStyle w:val="CharPartText"/>
        </w:rPr>
        <w:t>Enforcement</w:t>
      </w:r>
      <w:bookmarkEnd w:id="169"/>
      <w:bookmarkEnd w:id="170"/>
    </w:p>
    <w:p>
      <w:pPr>
        <w:pStyle w:val="Heading3"/>
        <w:rPr>
          <w:b w:val="0"/>
        </w:rPr>
      </w:pPr>
      <w:bookmarkStart w:id="171" w:name="_Toc375052684"/>
      <w:bookmarkStart w:id="172" w:name="_Toc415650318"/>
      <w:r>
        <w:rPr>
          <w:rStyle w:val="CharDivNo"/>
        </w:rPr>
        <w:t>Division 1</w:t>
      </w:r>
      <w:r>
        <w:rPr>
          <w:b w:val="0"/>
        </w:rPr>
        <w:t xml:space="preserve"> — </w:t>
      </w:r>
      <w:r>
        <w:rPr>
          <w:rStyle w:val="CharDivText"/>
        </w:rPr>
        <w:t>General matters</w:t>
      </w:r>
      <w:bookmarkEnd w:id="171"/>
      <w:bookmarkEnd w:id="172"/>
    </w:p>
    <w:p>
      <w:pPr>
        <w:pStyle w:val="Footnoteheading"/>
        <w:tabs>
          <w:tab w:val="left" w:pos="851"/>
        </w:tabs>
      </w:pPr>
      <w:r>
        <w:tab/>
        <w:t>[Heading inserted by No. 30 of 2003 s. 30.]</w:t>
      </w:r>
    </w:p>
    <w:p>
      <w:pPr>
        <w:pStyle w:val="Heading5"/>
        <w:rPr>
          <w:snapToGrid w:val="0"/>
        </w:rPr>
      </w:pPr>
      <w:bookmarkStart w:id="173" w:name="_Toc375052685"/>
      <w:bookmarkStart w:id="174" w:name="_Toc415650319"/>
      <w:r>
        <w:rPr>
          <w:rStyle w:val="CharSectno"/>
        </w:rPr>
        <w:t>111</w:t>
      </w:r>
      <w:r>
        <w:rPr>
          <w:snapToGrid w:val="0"/>
        </w:rPr>
        <w:t>.</w:t>
      </w:r>
      <w:r>
        <w:rPr>
          <w:snapToGrid w:val="0"/>
        </w:rPr>
        <w:tab/>
        <w:t>Interpretation</w:t>
      </w:r>
      <w:bookmarkEnd w:id="173"/>
      <w:bookmarkEnd w:id="174"/>
    </w:p>
    <w:p>
      <w:pPr>
        <w:pStyle w:val="Subsection"/>
      </w:pPr>
      <w:r>
        <w:tab/>
        <w:t>(1)</w:t>
      </w:r>
      <w:r>
        <w:tab/>
        <w:t>For the purposes of this Part, a thing is connected with a particular offence if —</w:t>
      </w:r>
    </w:p>
    <w:p>
      <w:pPr>
        <w:pStyle w:val="Indenta"/>
        <w:rPr>
          <w:snapToGrid w:val="0"/>
        </w:rPr>
      </w:pPr>
      <w:r>
        <w:rPr>
          <w:snapToGrid w:val="0"/>
        </w:rPr>
        <w:tab/>
        <w:t>(a)</w:t>
      </w:r>
      <w:r>
        <w:rPr>
          <w:snapToGrid w:val="0"/>
        </w:rPr>
        <w:tab/>
        <w:t>the offence has been committed with respect to it; or</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175" w:name="_Toc375052686"/>
      <w:bookmarkStart w:id="176" w:name="_Toc415650320"/>
      <w:r>
        <w:rPr>
          <w:rStyle w:val="CharSectno"/>
        </w:rPr>
        <w:t>112</w:t>
      </w:r>
      <w:r>
        <w:rPr>
          <w:snapToGrid w:val="0"/>
        </w:rPr>
        <w:t>.</w:t>
      </w:r>
      <w:r>
        <w:rPr>
          <w:snapToGrid w:val="0"/>
        </w:rPr>
        <w:tab/>
        <w:t>Entry, inspection and seizure without warrant</w:t>
      </w:r>
      <w:bookmarkEnd w:id="175"/>
      <w:bookmarkEnd w:id="176"/>
    </w:p>
    <w:p>
      <w:pPr>
        <w:pStyle w:val="Subsection"/>
      </w:pPr>
      <w:r>
        <w:tab/>
        <w:t>(1)</w:t>
      </w:r>
      <w:r>
        <w:tab/>
        <w:t>The Minister may appoint a person as an authorised person for the purposes of subsection (2).</w:t>
      </w:r>
    </w:p>
    <w:p>
      <w:pPr>
        <w:pStyle w:val="Subsection"/>
      </w:pPr>
      <w:r>
        <w:tab/>
        <w:t>(2)</w:t>
      </w:r>
      <w:r>
        <w:tab/>
        <w:t>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177" w:name="_Toc375052687"/>
      <w:bookmarkStart w:id="178" w:name="_Toc415650321"/>
      <w:r>
        <w:rPr>
          <w:rStyle w:val="CharSectno"/>
        </w:rPr>
        <w:t>113</w:t>
      </w:r>
      <w:r>
        <w:rPr>
          <w:snapToGrid w:val="0"/>
        </w:rPr>
        <w:t>.</w:t>
      </w:r>
      <w:r>
        <w:rPr>
          <w:snapToGrid w:val="0"/>
        </w:rPr>
        <w:tab/>
        <w:t>Obstruction</w:t>
      </w:r>
      <w:bookmarkEnd w:id="177"/>
      <w:bookmarkEnd w:id="178"/>
    </w:p>
    <w:p>
      <w:pPr>
        <w:pStyle w:val="Subsection"/>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179" w:name="_Toc375052688"/>
      <w:bookmarkStart w:id="180" w:name="_Toc415650322"/>
      <w:r>
        <w:rPr>
          <w:rStyle w:val="CharSectno"/>
        </w:rPr>
        <w:t>114</w:t>
      </w:r>
      <w:r>
        <w:rPr>
          <w:snapToGrid w:val="0"/>
        </w:rPr>
        <w:t>.</w:t>
      </w:r>
      <w:r>
        <w:rPr>
          <w:snapToGrid w:val="0"/>
        </w:rPr>
        <w:tab/>
        <w:t>False or misleading statements</w:t>
      </w:r>
      <w:bookmarkEnd w:id="179"/>
      <w:bookmarkEnd w:id="180"/>
    </w:p>
    <w:p>
      <w:pPr>
        <w:pStyle w:val="Subsection"/>
      </w:pPr>
      <w:r>
        <w:tab/>
      </w:r>
      <w:r>
        <w:tab/>
        <w:t>A person must not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181" w:name="_Toc375052689"/>
      <w:bookmarkStart w:id="182" w:name="_Toc415650323"/>
      <w:r>
        <w:rPr>
          <w:rStyle w:val="CharSectno"/>
        </w:rPr>
        <w:t>115</w:t>
      </w:r>
      <w:r>
        <w:rPr>
          <w:snapToGrid w:val="0"/>
        </w:rPr>
        <w:t>.</w:t>
      </w:r>
      <w:r>
        <w:rPr>
          <w:snapToGrid w:val="0"/>
        </w:rPr>
        <w:tab/>
        <w:t>Liability of bodies corporate and their directors etc.</w:t>
      </w:r>
      <w:bookmarkEnd w:id="181"/>
      <w:bookmarkEnd w:id="182"/>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w:t>
      </w:r>
    </w:p>
    <w:p>
      <w:pPr>
        <w:pStyle w:val="Indenta"/>
        <w:spacing w:before="60"/>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spacing w:before="60"/>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183" w:name="_Toc375052690"/>
      <w:bookmarkStart w:id="184" w:name="_Toc415650324"/>
      <w:r>
        <w:rPr>
          <w:rStyle w:val="CharSectno"/>
        </w:rPr>
        <w:t>116</w:t>
      </w:r>
      <w:r>
        <w:rPr>
          <w:snapToGrid w:val="0"/>
        </w:rPr>
        <w:t>.</w:t>
      </w:r>
      <w:r>
        <w:rPr>
          <w:snapToGrid w:val="0"/>
        </w:rPr>
        <w:tab/>
        <w:t>Prosecutions, time for commencing</w:t>
      </w:r>
      <w:bookmarkEnd w:id="183"/>
      <w:bookmarkEnd w:id="184"/>
    </w:p>
    <w:p>
      <w:pPr>
        <w:pStyle w:val="Subsection"/>
      </w:pPr>
      <w:r>
        <w:tab/>
        <w:t>(1)</w:t>
      </w:r>
      <w:r>
        <w:tab/>
        <w:t>A prosecution for an offence against a provision of Division 2, 3 or 4 of Part 7 in relation to a publication, film or computer game that is unclassified at the time of the alleged offence —</w:t>
      </w:r>
    </w:p>
    <w:p>
      <w:pPr>
        <w:pStyle w:val="Indenta"/>
        <w:spacing w:before="60"/>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spacing w:before="60"/>
      </w:pPr>
      <w:r>
        <w:tab/>
        <w:t>(b)</w:t>
      </w:r>
      <w:r>
        <w:tab/>
        <w:t>may be commenced not later than 12 months after the date on which —</w:t>
      </w:r>
    </w:p>
    <w:p>
      <w:pPr>
        <w:pStyle w:val="Indenti"/>
        <w:spacing w:before="60"/>
      </w:pPr>
      <w:r>
        <w:tab/>
        <w:t>(i)</w:t>
      </w:r>
      <w:r>
        <w:tab/>
        <w:t>the publication, film or computer game was classified; or</w:t>
      </w:r>
    </w:p>
    <w:p>
      <w:pPr>
        <w:pStyle w:val="Indenti"/>
        <w:spacing w:before="60"/>
      </w:pPr>
      <w:r>
        <w:tab/>
        <w:t>(ii)</w:t>
      </w:r>
      <w:r>
        <w:tab/>
        <w:t>the accused returned the notice under section 141A,</w:t>
      </w:r>
    </w:p>
    <w:p>
      <w:pPr>
        <w:pStyle w:val="Indenta"/>
        <w:spacing w:before="60"/>
        <w:rPr>
          <w:snapToGrid w:val="0"/>
        </w:rPr>
      </w:pPr>
      <w:r>
        <w:tab/>
      </w:r>
      <w:r>
        <w:tab/>
        <w:t>whichever is relevant.</w:t>
      </w:r>
    </w:p>
    <w:p>
      <w:pPr>
        <w:pStyle w:val="Ednotesubsection"/>
      </w:pPr>
      <w:r>
        <w:tab/>
        <w:t>[(2)</w:t>
      </w:r>
      <w:r>
        <w:tab/>
        <w:t>deleted]</w:t>
      </w:r>
    </w:p>
    <w:p>
      <w:pPr>
        <w:pStyle w:val="Footnotesection"/>
      </w:pPr>
      <w:r>
        <w:tab/>
        <w:t>[Section 116 amended by No. 30 of 2003 s. 31; No. 84 of 2004 s. 82; No. 21 of 2010 s. 11.]</w:t>
      </w:r>
    </w:p>
    <w:p>
      <w:pPr>
        <w:pStyle w:val="Heading5"/>
        <w:spacing w:before="120"/>
        <w:rPr>
          <w:snapToGrid w:val="0"/>
        </w:rPr>
      </w:pPr>
      <w:bookmarkStart w:id="185" w:name="_Toc375052691"/>
      <w:bookmarkStart w:id="186" w:name="_Toc415650325"/>
      <w:r>
        <w:rPr>
          <w:rStyle w:val="CharSectno"/>
        </w:rPr>
        <w:t>117</w:t>
      </w:r>
      <w:r>
        <w:rPr>
          <w:snapToGrid w:val="0"/>
        </w:rPr>
        <w:t>.</w:t>
      </w:r>
      <w:r>
        <w:rPr>
          <w:snapToGrid w:val="0"/>
        </w:rPr>
        <w:tab/>
        <w:t>Forfeiture</w:t>
      </w:r>
      <w:bookmarkEnd w:id="185"/>
      <w:bookmarkEnd w:id="186"/>
    </w:p>
    <w:p>
      <w:pPr>
        <w:pStyle w:val="Subsection"/>
      </w:pPr>
      <w:r>
        <w:tab/>
        <w:t>(1)</w:t>
      </w:r>
      <w:r>
        <w:tab/>
        <w:t>A court convicting a person of an offence under this Act may order the forfeiture to the Crown of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If —</w:t>
      </w:r>
    </w:p>
    <w:p>
      <w:pPr>
        <w:pStyle w:val="Indenta"/>
      </w:pPr>
      <w:r>
        <w:tab/>
        <w:t>(a)</w:t>
      </w:r>
      <w:r>
        <w:tab/>
        <w:t>a film classified RC or X 18+; or</w:t>
      </w:r>
    </w:p>
    <w:p>
      <w:pPr>
        <w:pStyle w:val="Indenta"/>
      </w:pPr>
      <w:r>
        <w:tab/>
        <w:t>(b)</w:t>
      </w:r>
      <w:r>
        <w:tab/>
        <w:t>a publication or computer game classified RC,</w:t>
      </w:r>
    </w:p>
    <w:p>
      <w:pPr>
        <w:pStyle w:val="Subsection"/>
        <w:spacing w:before="120"/>
      </w:pPr>
      <w:r>
        <w:tab/>
      </w:r>
      <w:r>
        <w:tab/>
        <w:t>has been lawfully seized but at the expiration of 12 months after the seizure no person has been charged with an offence in relation to the seized thing, the thing is forfeited to the Crown.</w:t>
      </w:r>
    </w:p>
    <w:p>
      <w:pPr>
        <w:pStyle w:val="Subsection"/>
      </w:pPr>
      <w:r>
        <w:tab/>
        <w:t>(3)</w:t>
      </w:r>
      <w:r>
        <w:tab/>
        <w:t>If a thing, other than a thing referred to in subsection (2a)(a) or (b)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keepNext/>
      </w:pPr>
      <w:r>
        <w:tab/>
        <w:t>(6)</w:t>
      </w:r>
      <w:r>
        <w:tab/>
        <w:t>On the hearing of a summons —</w:t>
      </w:r>
    </w:p>
    <w:p>
      <w:pPr>
        <w:pStyle w:val="Indenta"/>
        <w:rPr>
          <w:snapToGrid w:val="0"/>
        </w:rPr>
      </w:pPr>
      <w:r>
        <w:rPr>
          <w:snapToGrid w:val="0"/>
        </w:rPr>
        <w:tab/>
        <w:t>(a)</w:t>
      </w:r>
      <w:r>
        <w:rPr>
          <w:snapToGrid w:val="0"/>
        </w:rPr>
        <w:tab/>
        <w:t>if the court is satisfied that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 or</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pPr>
      <w:r>
        <w:tab/>
        <w:t>(7)</w:t>
      </w:r>
      <w:r>
        <w:tab/>
        <w:t>Subject to subsection (8) a thing that is forfeited to the Crown under this Act may be destroyed or otherwise dealt with as instructed by the Registrar.</w:t>
      </w:r>
    </w:p>
    <w:p>
      <w:pPr>
        <w:pStyle w:val="Subsection"/>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In this section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by No. 30 of 2003 s. 32 and 39; No. 59 of 2004 s. 141; No. 10 of 2006 s. 7 and 33; No. 21 of 2010 s. 12.]</w:t>
      </w:r>
    </w:p>
    <w:p>
      <w:pPr>
        <w:pStyle w:val="Heading5"/>
      </w:pPr>
      <w:bookmarkStart w:id="187" w:name="_Toc375052692"/>
      <w:bookmarkStart w:id="188" w:name="_Toc415650326"/>
      <w:r>
        <w:rPr>
          <w:rStyle w:val="CharSectno"/>
        </w:rPr>
        <w:t>117A</w:t>
      </w:r>
      <w:r>
        <w:t>.</w:t>
      </w:r>
      <w:r>
        <w:tab/>
        <w:t>Forfeiture of copies of seized publications, films and computer games</w:t>
      </w:r>
      <w:bookmarkEnd w:id="187"/>
      <w:bookmarkEnd w:id="188"/>
    </w:p>
    <w:p>
      <w:pPr>
        <w:pStyle w:val="Subsection"/>
        <w:keepNext/>
      </w:pPr>
      <w:r>
        <w:tab/>
        <w:t>(1)</w:t>
      </w:r>
      <w:r>
        <w:tab/>
        <w:t>Subject to the making of an order under subsection (7), if —</w:t>
      </w:r>
    </w:p>
    <w:p>
      <w:pPr>
        <w:pStyle w:val="Indenta"/>
      </w:pPr>
      <w:r>
        <w:tab/>
        <w:t>(a)</w:t>
      </w:r>
      <w:r>
        <w:tab/>
        <w:t xml:space="preserve">proceedings are commenced for an offence under section 61, 62, 63(1), 73, 81(1) or (2), 84(1) or 89(1) in relation to 10 or more different products (the </w:t>
      </w:r>
      <w:r>
        <w:rPr>
          <w:rStyle w:val="CharDefText"/>
        </w:rPr>
        <w:t>seized products</w:t>
      </w:r>
      <w:r>
        <w:t>); and</w:t>
      </w:r>
    </w:p>
    <w:p>
      <w:pPr>
        <w:pStyle w:val="Indenta"/>
      </w:pPr>
      <w:r>
        <w:tab/>
        <w:t>(b)</w:t>
      </w:r>
      <w:r>
        <w:tab/>
        <w:t>the seized products were seized on the same day from the same premises,</w:t>
      </w:r>
    </w:p>
    <w:p>
      <w:pPr>
        <w:pStyle w:val="Subsection"/>
      </w:pPr>
      <w:r>
        <w:tab/>
      </w:r>
      <w:r>
        <w:tab/>
        <w:t>then —</w:t>
      </w:r>
    </w:p>
    <w:p>
      <w:pPr>
        <w:pStyle w:val="Indenta"/>
      </w:pPr>
      <w:r>
        <w:tab/>
        <w:t>(c)</w:t>
      </w:r>
      <w:r>
        <w:tab/>
        <w:t xml:space="preserve">any other copies of the seized products seized on that day from those premises (the </w:t>
      </w:r>
      <w:r>
        <w:rPr>
          <w:rStyle w:val="CharDefText"/>
        </w:rPr>
        <w:t>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pPr>
      <w:r>
        <w:tab/>
        <w:t>(4)</w:t>
      </w:r>
      <w:r>
        <w:tab/>
        <w:t>An applicant for an order under this section must give notice of the application to the Commissioner of Police.</w:t>
      </w:r>
    </w:p>
    <w:p>
      <w:pPr>
        <w:pStyle w:val="Subsection"/>
        <w:keepNext/>
      </w:pPr>
      <w:r>
        <w:tab/>
        <w:t>(5)</w:t>
      </w:r>
      <w:r>
        <w:tab/>
        <w:t>The Commissioner of Police is a party to any proceedings for an order under this section.</w:t>
      </w:r>
    </w:p>
    <w:p>
      <w:pPr>
        <w:pStyle w:val="Subsection"/>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pPr>
      <w:r>
        <w:tab/>
        <w:t>(7)</w:t>
      </w:r>
      <w:r>
        <w:tab/>
        <w:t>The justice may, on an application under this section, order that a seized copy to which the application relates be returned to its owner if satisfied, on the balance of probabilities, that —</w:t>
      </w:r>
    </w:p>
    <w:p>
      <w:pPr>
        <w:pStyle w:val="Indenta"/>
      </w:pPr>
      <w:r>
        <w:tab/>
        <w:t>(a)</w:t>
      </w:r>
      <w:r>
        <w:tab/>
        <w:t>in the case of a publication, the publication is not a submittable publication or is classified with a classification other than RC; and</w:t>
      </w:r>
    </w:p>
    <w:p>
      <w:pPr>
        <w:pStyle w:val="Indenta"/>
      </w:pPr>
      <w:r>
        <w:tab/>
        <w:t>(b)</w:t>
      </w:r>
      <w:r>
        <w:tab/>
        <w:t>in the case of a film, the film is classified with a classification other than X 18+ or RC; and</w:t>
      </w:r>
    </w:p>
    <w:p>
      <w:pPr>
        <w:pStyle w:val="Indenta"/>
      </w:pPr>
      <w:r>
        <w:tab/>
        <w:t>(c)</w:t>
      </w:r>
      <w:r>
        <w:tab/>
        <w:t>in the case of a computer game, the computer game is classified with a classification other than RC; and</w:t>
      </w:r>
    </w:p>
    <w:p>
      <w:pPr>
        <w:pStyle w:val="Indenta"/>
      </w:pPr>
      <w:r>
        <w:tab/>
        <w:t>(d)</w:t>
      </w:r>
      <w:r>
        <w:tab/>
        <w:t>an offence under section 61, 62, 63(1), 73, 81(1) or (2), 84(1) or 89(1) was not committed in relation to the publication, film or computer game.</w:t>
      </w:r>
    </w:p>
    <w:p>
      <w:pPr>
        <w:pStyle w:val="Subsection"/>
      </w:pPr>
      <w:r>
        <w:tab/>
        <w:t>(8)</w:t>
      </w:r>
      <w:r>
        <w:tab/>
        <w:t>In this section —</w:t>
      </w:r>
    </w:p>
    <w:p>
      <w:pPr>
        <w:pStyle w:val="Defstart"/>
      </w:pPr>
      <w:r>
        <w:tab/>
      </w:r>
      <w:r>
        <w:rPr>
          <w:rStyle w:val="CharDefText"/>
        </w:rPr>
        <w:t>prescribed period</w:t>
      </w:r>
      <w:r>
        <w:t xml:space="preserve"> means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keepNext/>
      </w:pPr>
      <w:r>
        <w:tab/>
        <w:t>(9)</w:t>
      </w:r>
      <w:r>
        <w:tab/>
        <w:t>For the purposes of this section —</w:t>
      </w:r>
    </w:p>
    <w:p>
      <w:pPr>
        <w:pStyle w:val="Indenta"/>
      </w:pPr>
      <w:r>
        <w:tab/>
        <w:t>(a)</w:t>
      </w:r>
      <w:r>
        <w:tab/>
        <w:t>copies of the same publication, film or computer game do not constitute different products; and</w:t>
      </w:r>
    </w:p>
    <w:p>
      <w:pPr>
        <w:pStyle w:val="Indenta"/>
        <w:keepNext/>
      </w:pPr>
      <w:r>
        <w:tab/>
        <w:t>(b)</w:t>
      </w:r>
      <w:r>
        <w:tab/>
        <w:t>a publication, film or computer game is taken to be a copy of a product if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189" w:name="_Toc375052693"/>
      <w:bookmarkStart w:id="190" w:name="_Toc415650327"/>
      <w:r>
        <w:rPr>
          <w:rStyle w:val="CharSectno"/>
        </w:rPr>
        <w:t>117B</w:t>
      </w:r>
      <w:r>
        <w:t>.</w:t>
      </w:r>
      <w:r>
        <w:tab/>
        <w:t>Classification of seized items at request of accused</w:t>
      </w:r>
      <w:bookmarkEnd w:id="189"/>
      <w:bookmarkEnd w:id="190"/>
    </w:p>
    <w:p>
      <w:pPr>
        <w:pStyle w:val="Subsection"/>
        <w:keepNext/>
      </w:pPr>
      <w:r>
        <w:tab/>
        <w:t>(1)</w:t>
      </w:r>
      <w:r>
        <w:tab/>
        <w:t>If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191" w:name="_Toc375052694"/>
      <w:bookmarkStart w:id="192" w:name="_Toc415650328"/>
      <w:r>
        <w:rPr>
          <w:rStyle w:val="CharDivNo"/>
        </w:rPr>
        <w:t>Division 2</w:t>
      </w:r>
      <w:r>
        <w:t xml:space="preserve"> — </w:t>
      </w:r>
      <w:r>
        <w:rPr>
          <w:rStyle w:val="CharDivText"/>
        </w:rPr>
        <w:t>Infringement notices</w:t>
      </w:r>
      <w:bookmarkEnd w:id="191"/>
      <w:bookmarkEnd w:id="192"/>
    </w:p>
    <w:p>
      <w:pPr>
        <w:pStyle w:val="Footnoteheading"/>
        <w:keepNext/>
        <w:tabs>
          <w:tab w:val="left" w:pos="851"/>
        </w:tabs>
      </w:pPr>
      <w:r>
        <w:tab/>
        <w:t>[Heading inserted by No. 30 of 2003 s. 34.]</w:t>
      </w:r>
    </w:p>
    <w:p>
      <w:pPr>
        <w:pStyle w:val="Heading5"/>
      </w:pPr>
      <w:bookmarkStart w:id="193" w:name="_Toc375052695"/>
      <w:bookmarkStart w:id="194" w:name="_Toc415650329"/>
      <w:r>
        <w:rPr>
          <w:rStyle w:val="CharSectno"/>
        </w:rPr>
        <w:t>117C</w:t>
      </w:r>
      <w:r>
        <w:t>.</w:t>
      </w:r>
      <w:r>
        <w:tab/>
        <w:t>Term used: designated person</w:t>
      </w:r>
      <w:bookmarkEnd w:id="193"/>
      <w:bookmarkEnd w:id="194"/>
    </w:p>
    <w:p>
      <w:pPr>
        <w:pStyle w:val="Subsection"/>
      </w:pPr>
      <w:r>
        <w:tab/>
      </w:r>
      <w:r>
        <w:tab/>
        <w:t>In this Division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195" w:name="_Toc375052696"/>
      <w:bookmarkStart w:id="196" w:name="_Toc415650330"/>
      <w:r>
        <w:rPr>
          <w:rStyle w:val="CharSectno"/>
        </w:rPr>
        <w:t>117D</w:t>
      </w:r>
      <w:r>
        <w:t>.</w:t>
      </w:r>
      <w:r>
        <w:tab/>
        <w:t>Giving of infringement notice</w:t>
      </w:r>
      <w:bookmarkEnd w:id="195"/>
      <w:bookmarkEnd w:id="196"/>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197" w:name="_Toc375052697"/>
      <w:bookmarkStart w:id="198" w:name="_Toc415650331"/>
      <w:r>
        <w:rPr>
          <w:rStyle w:val="CharSectno"/>
        </w:rPr>
        <w:t>117E</w:t>
      </w:r>
      <w:r>
        <w:t>.</w:t>
      </w:r>
      <w:r>
        <w:tab/>
        <w:t>Content of infringement notice</w:t>
      </w:r>
      <w:bookmarkEnd w:id="197"/>
      <w:bookmarkEnd w:id="198"/>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199" w:name="_Toc375052698"/>
      <w:bookmarkStart w:id="200" w:name="_Toc415650332"/>
      <w:r>
        <w:rPr>
          <w:rStyle w:val="CharSectno"/>
        </w:rPr>
        <w:t>117F</w:t>
      </w:r>
      <w:r>
        <w:t>.</w:t>
      </w:r>
      <w:r>
        <w:tab/>
        <w:t>Extension of time to pay modified penalty</w:t>
      </w:r>
      <w:bookmarkEnd w:id="199"/>
      <w:bookmarkEnd w:id="200"/>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201" w:name="_Toc375052699"/>
      <w:bookmarkStart w:id="202" w:name="_Toc415650333"/>
      <w:r>
        <w:rPr>
          <w:rStyle w:val="CharSectno"/>
        </w:rPr>
        <w:t>117G</w:t>
      </w:r>
      <w:r>
        <w:t>.</w:t>
      </w:r>
      <w:r>
        <w:tab/>
        <w:t>Withdrawal of infringement notice</w:t>
      </w:r>
      <w:bookmarkEnd w:id="201"/>
      <w:bookmarkEnd w:id="202"/>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203" w:name="_Toc375052700"/>
      <w:bookmarkStart w:id="204" w:name="_Toc415650334"/>
      <w:r>
        <w:rPr>
          <w:rStyle w:val="CharSectno"/>
        </w:rPr>
        <w:t>117H</w:t>
      </w:r>
      <w:r>
        <w:t>.</w:t>
      </w:r>
      <w:r>
        <w:tab/>
        <w:t>Benefit of paying modified penalty</w:t>
      </w:r>
      <w:bookmarkEnd w:id="203"/>
      <w:bookmarkEnd w:id="20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80"/>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spacing w:before="260"/>
      </w:pPr>
      <w:bookmarkStart w:id="205" w:name="_Toc375052701"/>
      <w:bookmarkStart w:id="206" w:name="_Toc415650335"/>
      <w:r>
        <w:rPr>
          <w:rStyle w:val="CharSectno"/>
        </w:rPr>
        <w:t>117I</w:t>
      </w:r>
      <w:r>
        <w:t>.</w:t>
      </w:r>
      <w:r>
        <w:tab/>
        <w:t>Application of penalties collected</w:t>
      </w:r>
      <w:bookmarkEnd w:id="205"/>
      <w:bookmarkEnd w:id="206"/>
    </w:p>
    <w:p>
      <w:pPr>
        <w:pStyle w:val="Subsection"/>
        <w:spacing w:before="180"/>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spacing w:before="260"/>
      </w:pPr>
      <w:bookmarkStart w:id="207" w:name="_Toc375052702"/>
      <w:bookmarkStart w:id="208" w:name="_Toc415650336"/>
      <w:r>
        <w:rPr>
          <w:rStyle w:val="CharSectno"/>
        </w:rPr>
        <w:t>117J</w:t>
      </w:r>
      <w:r>
        <w:t>.</w:t>
      </w:r>
      <w:r>
        <w:tab/>
        <w:t>Designated persons, appointment of</w:t>
      </w:r>
      <w:bookmarkEnd w:id="207"/>
      <w:bookmarkEnd w:id="208"/>
    </w:p>
    <w:p>
      <w:pPr>
        <w:pStyle w:val="Subsection"/>
        <w:spacing w:before="180"/>
      </w:pPr>
      <w:r>
        <w:tab/>
        <w:t>(1)</w:t>
      </w:r>
      <w:r>
        <w:tab/>
        <w:t>The Minister may, in writing, appoint persons or classes of persons to be designated persons for the purposes of section 117D, 117E, 117F or 117G or for the purposes of 2 or more of those sections.</w:t>
      </w:r>
    </w:p>
    <w:p>
      <w:pPr>
        <w:pStyle w:val="Subsection"/>
        <w:spacing w:before="180"/>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spacing w:before="180"/>
      </w:pPr>
      <w:r>
        <w:tab/>
        <w:t>(3)</w:t>
      </w:r>
      <w:r>
        <w:tab/>
        <w:t>A person who is authorised to give infringement notices under section 117D is not eligible to be a designated person for the purposes of any of the other sections.</w:t>
      </w:r>
    </w:p>
    <w:p>
      <w:pPr>
        <w:pStyle w:val="Subsection"/>
        <w:spacing w:before="180"/>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deleted by No. 30 of 2003 s. 35.]</w:t>
      </w:r>
    </w:p>
    <w:p>
      <w:pPr>
        <w:pStyle w:val="Heading2"/>
      </w:pPr>
      <w:bookmarkStart w:id="209" w:name="_Toc375052703"/>
      <w:bookmarkStart w:id="210" w:name="_Toc415650337"/>
      <w:r>
        <w:rPr>
          <w:rStyle w:val="CharPartNo"/>
        </w:rPr>
        <w:t>Part 11</w:t>
      </w:r>
      <w:r>
        <w:rPr>
          <w:rStyle w:val="CharDivNo"/>
        </w:rPr>
        <w:t> </w:t>
      </w:r>
      <w:r>
        <w:t>—</w:t>
      </w:r>
      <w:r>
        <w:rPr>
          <w:rStyle w:val="CharDivText"/>
        </w:rPr>
        <w:t> </w:t>
      </w:r>
      <w:r>
        <w:rPr>
          <w:rStyle w:val="CharPartText"/>
        </w:rPr>
        <w:t>Registration of persons and premises</w:t>
      </w:r>
      <w:bookmarkEnd w:id="209"/>
      <w:bookmarkEnd w:id="210"/>
    </w:p>
    <w:p>
      <w:pPr>
        <w:pStyle w:val="Heading5"/>
      </w:pPr>
      <w:bookmarkStart w:id="211" w:name="_Toc375052704"/>
      <w:bookmarkStart w:id="212" w:name="_Toc415650338"/>
      <w:r>
        <w:rPr>
          <w:rStyle w:val="CharSectno"/>
        </w:rPr>
        <w:t>128A</w:t>
      </w:r>
      <w:r>
        <w:t>.</w:t>
      </w:r>
      <w:r>
        <w:tab/>
        <w:t>Registrar</w:t>
      </w:r>
      <w:bookmarkEnd w:id="211"/>
      <w:bookmarkEnd w:id="212"/>
    </w:p>
    <w:p>
      <w:pPr>
        <w:pStyle w:val="Subsection"/>
        <w:spacing w:before="120"/>
      </w:pPr>
      <w:r>
        <w:tab/>
        <w:t>(1)</w:t>
      </w:r>
      <w:r>
        <w:tab/>
        <w:t xml:space="preserve">The Minister is to appoint a person employed under Part 3 of the </w:t>
      </w:r>
      <w:r>
        <w:rPr>
          <w:i/>
        </w:rPr>
        <w:t xml:space="preserve">Public Sector Management Act 1994 </w:t>
      </w:r>
      <w:r>
        <w:t>to be the Registrar.</w:t>
      </w:r>
    </w:p>
    <w:p>
      <w:pPr>
        <w:pStyle w:val="Subsection"/>
        <w:spacing w:before="120"/>
      </w:pPr>
      <w:r>
        <w:tab/>
        <w:t>(2)</w:t>
      </w:r>
      <w:r>
        <w:tab/>
        <w:t>A person may hold the office of Registrar in conjunction with any other office in the Public Service.</w:t>
      </w:r>
    </w:p>
    <w:p>
      <w:pPr>
        <w:pStyle w:val="Subsection"/>
        <w:spacing w:before="120"/>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213" w:name="_Toc375052705"/>
      <w:bookmarkStart w:id="214" w:name="_Toc415650339"/>
      <w:r>
        <w:rPr>
          <w:rStyle w:val="CharSectno"/>
        </w:rPr>
        <w:t>129</w:t>
      </w:r>
      <w:r>
        <w:rPr>
          <w:snapToGrid w:val="0"/>
        </w:rPr>
        <w:t>.</w:t>
      </w:r>
      <w:r>
        <w:rPr>
          <w:snapToGrid w:val="0"/>
        </w:rPr>
        <w:tab/>
        <w:t>Registering publishers of Category 1 or 2 restricted publications</w:t>
      </w:r>
      <w:bookmarkEnd w:id="213"/>
      <w:bookmarkEnd w:id="214"/>
    </w:p>
    <w:p>
      <w:pPr>
        <w:pStyle w:val="Subsection"/>
        <w:spacing w:before="120"/>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spacing w:before="120"/>
      </w:pPr>
      <w:r>
        <w:tab/>
        <w:t>(2)</w:t>
      </w:r>
      <w:r>
        <w:tab/>
        <w:t>Subject to subsection (3), the Registrar must grant an application for registration made under this Part.</w:t>
      </w:r>
    </w:p>
    <w:p>
      <w:pPr>
        <w:pStyle w:val="Subsection"/>
        <w:spacing w:before="120"/>
      </w:pPr>
      <w:r>
        <w:tab/>
        <w:t>(3)</w:t>
      </w:r>
      <w:r>
        <w:tab/>
        <w:t>The Registrar may refuse to grant an application for registration on the grounds that —</w:t>
      </w:r>
    </w:p>
    <w:p>
      <w:pPr>
        <w:pStyle w:val="Indenta"/>
        <w:spacing w:before="60"/>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 or</w:t>
      </w:r>
    </w:p>
    <w:p>
      <w:pPr>
        <w:pStyle w:val="Indenta"/>
        <w:spacing w:before="60"/>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or</w:t>
      </w:r>
    </w:p>
    <w:p>
      <w:pPr>
        <w:pStyle w:val="Indenta"/>
        <w:spacing w:before="60"/>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215" w:name="_Toc375052706"/>
      <w:bookmarkStart w:id="216" w:name="_Toc415650340"/>
      <w:r>
        <w:rPr>
          <w:rStyle w:val="CharSectno"/>
        </w:rPr>
        <w:t>130</w:t>
      </w:r>
      <w:r>
        <w:rPr>
          <w:snapToGrid w:val="0"/>
        </w:rPr>
        <w:t>.</w:t>
      </w:r>
      <w:r>
        <w:rPr>
          <w:snapToGrid w:val="0"/>
        </w:rPr>
        <w:tab/>
        <w:t>Registering premises where Category 1 or 2 restricted publications are published</w:t>
      </w:r>
      <w:bookmarkEnd w:id="215"/>
      <w:bookmarkEnd w:id="216"/>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a form approved by the Minister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 No. 21 of 2010 s. 25.]</w:t>
      </w:r>
    </w:p>
    <w:p>
      <w:pPr>
        <w:pStyle w:val="Heading5"/>
        <w:rPr>
          <w:snapToGrid w:val="0"/>
        </w:rPr>
      </w:pPr>
      <w:bookmarkStart w:id="217" w:name="_Toc375052707"/>
      <w:bookmarkStart w:id="218" w:name="_Toc415650341"/>
      <w:r>
        <w:rPr>
          <w:rStyle w:val="CharSectno"/>
        </w:rPr>
        <w:t>131</w:t>
      </w:r>
      <w:r>
        <w:rPr>
          <w:snapToGrid w:val="0"/>
        </w:rPr>
        <w:t>.</w:t>
      </w:r>
      <w:r>
        <w:rPr>
          <w:snapToGrid w:val="0"/>
        </w:rPr>
        <w:tab/>
        <w:t>Applications for registration or renewal, form of</w:t>
      </w:r>
      <w:bookmarkEnd w:id="217"/>
      <w:bookmarkEnd w:id="218"/>
    </w:p>
    <w:p>
      <w:pPr>
        <w:pStyle w:val="Subsection"/>
      </w:pPr>
      <w:r>
        <w:tab/>
        <w:t>(1)</w:t>
      </w:r>
      <w:r>
        <w:tab/>
        <w:t>An application for registration or renewal of registration must be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in a form approved by the Minister in writing; and</w:t>
      </w:r>
    </w:p>
    <w:p>
      <w:pPr>
        <w:pStyle w:val="Indenta"/>
        <w:rPr>
          <w:snapToGrid w:val="0"/>
        </w:rPr>
      </w:pPr>
      <w:r>
        <w:rPr>
          <w:snapToGrid w:val="0"/>
        </w:rPr>
        <w:tab/>
        <w:t>(c)</w:t>
      </w:r>
      <w:r>
        <w:rPr>
          <w:snapToGrid w:val="0"/>
        </w:rPr>
        <w:tab/>
        <w:t>signed by or on behalf of the applicant; and</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219" w:name="_Toc375052708"/>
      <w:bookmarkStart w:id="220" w:name="_Toc415650342"/>
      <w:r>
        <w:rPr>
          <w:rStyle w:val="CharSectno"/>
        </w:rPr>
        <w:t>132</w:t>
      </w:r>
      <w:r>
        <w:rPr>
          <w:snapToGrid w:val="0"/>
        </w:rPr>
        <w:t>.</w:t>
      </w:r>
      <w:r>
        <w:rPr>
          <w:snapToGrid w:val="0"/>
        </w:rPr>
        <w:tab/>
        <w:t>Notice of decision on registration application</w:t>
      </w:r>
      <w:bookmarkEnd w:id="219"/>
      <w:bookmarkEnd w:id="220"/>
    </w:p>
    <w:p>
      <w:pPr>
        <w:pStyle w:val="Subsection"/>
        <w:spacing w:before="100"/>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221" w:name="_Toc375052709"/>
      <w:bookmarkStart w:id="222" w:name="_Toc415650343"/>
      <w:r>
        <w:rPr>
          <w:rStyle w:val="CharSectno"/>
        </w:rPr>
        <w:t>133</w:t>
      </w:r>
      <w:r>
        <w:rPr>
          <w:snapToGrid w:val="0"/>
        </w:rPr>
        <w:t>.</w:t>
      </w:r>
      <w:r>
        <w:rPr>
          <w:snapToGrid w:val="0"/>
        </w:rPr>
        <w:tab/>
        <w:t>Certificates of registration</w:t>
      </w:r>
      <w:bookmarkEnd w:id="221"/>
      <w:bookmarkEnd w:id="222"/>
    </w:p>
    <w:p>
      <w:pPr>
        <w:pStyle w:val="Subsection"/>
        <w:spacing w:before="100"/>
      </w:pPr>
      <w:r>
        <w:tab/>
        <w:t>(1)</w:t>
      </w:r>
      <w:r>
        <w:tab/>
        <w:t>On registering a person under this Part the Registrar must issue to the person a certificate of registration in the approved form.</w:t>
      </w:r>
    </w:p>
    <w:p>
      <w:pPr>
        <w:pStyle w:val="Subsection"/>
        <w:spacing w:before="100"/>
      </w:pPr>
      <w:r>
        <w:tab/>
        <w:t>(2)</w:t>
      </w:r>
      <w:r>
        <w:tab/>
        <w:t>A certificate of registration has effect for the period that the person to whom it is issued is registered under this Part.</w:t>
      </w:r>
    </w:p>
    <w:p>
      <w:pPr>
        <w:pStyle w:val="Subsection"/>
        <w:spacing w:before="100"/>
      </w:pPr>
      <w:r>
        <w:tab/>
        <w:t>(3)</w:t>
      </w:r>
      <w:r>
        <w:tab/>
        <w:t>In the absence of evidence to the contrary a certificate of registration is evidence that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w:t>
      </w:r>
    </w:p>
    <w:p>
      <w:pPr>
        <w:pStyle w:val="Defstart"/>
      </w:pPr>
      <w:r>
        <w:rPr>
          <w:b/>
        </w:rPr>
        <w:tab/>
      </w:r>
      <w:r>
        <w:rPr>
          <w:rStyle w:val="CharDefText"/>
        </w:rPr>
        <w:t>approved form</w:t>
      </w:r>
      <w:r>
        <w:t xml:space="preserve"> means a form approved by the Minister in writing.</w:t>
      </w:r>
    </w:p>
    <w:p>
      <w:pPr>
        <w:pStyle w:val="Footnotesection"/>
      </w:pPr>
      <w:r>
        <w:tab/>
        <w:t>[Section 133 amended by No. 30 of 2003 s. 39.]</w:t>
      </w:r>
    </w:p>
    <w:p>
      <w:pPr>
        <w:pStyle w:val="Heading5"/>
        <w:rPr>
          <w:snapToGrid w:val="0"/>
        </w:rPr>
      </w:pPr>
      <w:bookmarkStart w:id="223" w:name="_Toc375052710"/>
      <w:bookmarkStart w:id="224" w:name="_Toc415650344"/>
      <w:r>
        <w:rPr>
          <w:rStyle w:val="CharSectno"/>
        </w:rPr>
        <w:t>134</w:t>
      </w:r>
      <w:r>
        <w:rPr>
          <w:snapToGrid w:val="0"/>
        </w:rPr>
        <w:t>.</w:t>
      </w:r>
      <w:r>
        <w:rPr>
          <w:snapToGrid w:val="0"/>
        </w:rPr>
        <w:tab/>
        <w:t>Duration of registration</w:t>
      </w:r>
      <w:bookmarkEnd w:id="223"/>
      <w:bookmarkEnd w:id="224"/>
    </w:p>
    <w:p>
      <w:pPr>
        <w:pStyle w:val="Subsection"/>
        <w:spacing w:before="100"/>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225" w:name="_Toc375052711"/>
      <w:bookmarkStart w:id="226" w:name="_Toc415650345"/>
      <w:r>
        <w:rPr>
          <w:rStyle w:val="CharSectno"/>
        </w:rPr>
        <w:t>135</w:t>
      </w:r>
      <w:r>
        <w:rPr>
          <w:snapToGrid w:val="0"/>
        </w:rPr>
        <w:t>.</w:t>
      </w:r>
      <w:r>
        <w:rPr>
          <w:snapToGrid w:val="0"/>
        </w:rPr>
        <w:tab/>
        <w:t>Register</w:t>
      </w:r>
      <w:bookmarkEnd w:id="225"/>
      <w:bookmarkEnd w:id="226"/>
    </w:p>
    <w:p>
      <w:pPr>
        <w:pStyle w:val="Subsection"/>
      </w:pPr>
      <w:r>
        <w:tab/>
        <w:t>(1)</w:t>
      </w:r>
      <w:r>
        <w:tab/>
        <w:t>The Registrar is to cause to be compiled and maintained a register of all registered persons showing in respect of each person —</w:t>
      </w:r>
    </w:p>
    <w:p>
      <w:pPr>
        <w:pStyle w:val="Indenta"/>
        <w:rPr>
          <w:snapToGrid w:val="0"/>
        </w:rPr>
      </w:pPr>
      <w:r>
        <w:rPr>
          <w:snapToGrid w:val="0"/>
        </w:rPr>
        <w:tab/>
        <w:t>(a)</w:t>
      </w:r>
      <w:r>
        <w:rPr>
          <w:snapToGrid w:val="0"/>
        </w:rPr>
        <w:tab/>
        <w:t>the name of the registered person; and</w:t>
      </w:r>
    </w:p>
    <w:p>
      <w:pPr>
        <w:pStyle w:val="Indenta"/>
        <w:rPr>
          <w:snapToGrid w:val="0"/>
        </w:rPr>
      </w:pPr>
      <w:r>
        <w:rPr>
          <w:snapToGrid w:val="0"/>
        </w:rPr>
        <w:tab/>
        <w:t>(b)</w:t>
      </w:r>
      <w:r>
        <w:rPr>
          <w:snapToGrid w:val="0"/>
        </w:rPr>
        <w:tab/>
        <w:t>the business name, if any, under which the registered person carries on or intends to carry on business; and</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227" w:name="_Toc375052712"/>
      <w:bookmarkStart w:id="228" w:name="_Toc415650346"/>
      <w:r>
        <w:rPr>
          <w:rStyle w:val="CharSectno"/>
        </w:rPr>
        <w:t>136</w:t>
      </w:r>
      <w:r>
        <w:rPr>
          <w:snapToGrid w:val="0"/>
        </w:rPr>
        <w:t>.</w:t>
      </w:r>
      <w:r>
        <w:rPr>
          <w:snapToGrid w:val="0"/>
        </w:rPr>
        <w:tab/>
        <w:t>Change of particulars</w:t>
      </w:r>
      <w:bookmarkEnd w:id="227"/>
      <w:bookmarkEnd w:id="228"/>
    </w:p>
    <w:p>
      <w:pPr>
        <w:pStyle w:val="Subsection"/>
      </w:pPr>
      <w:r>
        <w:tab/>
      </w:r>
      <w:r>
        <w:tab/>
        <w:t>Where a person registered under this Part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t>Deleted by No. 30 of 2003 s. 40.]</w:t>
      </w:r>
    </w:p>
    <w:p>
      <w:pPr>
        <w:pStyle w:val="Heading2"/>
      </w:pPr>
      <w:bookmarkStart w:id="229" w:name="_Toc375052713"/>
      <w:bookmarkStart w:id="230" w:name="_Toc415650347"/>
      <w:r>
        <w:rPr>
          <w:rStyle w:val="CharPartNo"/>
        </w:rPr>
        <w:t>Part 12</w:t>
      </w:r>
      <w:r>
        <w:rPr>
          <w:rStyle w:val="CharDivNo"/>
        </w:rPr>
        <w:t> </w:t>
      </w:r>
      <w:r>
        <w:t>—</w:t>
      </w:r>
      <w:r>
        <w:rPr>
          <w:rStyle w:val="CharDivText"/>
        </w:rPr>
        <w:t> </w:t>
      </w:r>
      <w:r>
        <w:rPr>
          <w:rStyle w:val="CharPartText"/>
        </w:rPr>
        <w:t>General</w:t>
      </w:r>
      <w:bookmarkEnd w:id="229"/>
      <w:bookmarkEnd w:id="230"/>
    </w:p>
    <w:p>
      <w:pPr>
        <w:pStyle w:val="Ednotesection"/>
      </w:pPr>
      <w:r>
        <w:t>[</w:t>
      </w:r>
      <w:r>
        <w:rPr>
          <w:b/>
        </w:rPr>
        <w:t>138, 139.</w:t>
      </w:r>
      <w:r>
        <w:rPr>
          <w:b/>
        </w:rPr>
        <w:tab/>
      </w:r>
      <w:r>
        <w:t>Deleted by No. 30 of 2003 s. 40.]</w:t>
      </w:r>
    </w:p>
    <w:p>
      <w:pPr>
        <w:pStyle w:val="Heading5"/>
        <w:rPr>
          <w:snapToGrid w:val="0"/>
        </w:rPr>
      </w:pPr>
      <w:bookmarkStart w:id="231" w:name="_Toc375052714"/>
      <w:bookmarkStart w:id="232" w:name="_Toc415650348"/>
      <w:r>
        <w:rPr>
          <w:rStyle w:val="CharSectno"/>
        </w:rPr>
        <w:t>140</w:t>
      </w:r>
      <w:r>
        <w:rPr>
          <w:snapToGrid w:val="0"/>
        </w:rPr>
        <w:t>.</w:t>
      </w:r>
      <w:r>
        <w:rPr>
          <w:snapToGrid w:val="0"/>
        </w:rPr>
        <w:tab/>
        <w:t>Power to demand name, age and address</w:t>
      </w:r>
      <w:bookmarkEnd w:id="231"/>
      <w:bookmarkEnd w:id="232"/>
    </w:p>
    <w:p>
      <w:pPr>
        <w:pStyle w:val="Subsection"/>
      </w:pPr>
      <w:r>
        <w:tab/>
        <w:t>(1)</w:t>
      </w:r>
      <w:r>
        <w:tab/>
        <w:t>A person who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w:t>
      </w:r>
    </w:p>
    <w:p>
      <w:pPr>
        <w:pStyle w:val="Indenta"/>
        <w:rPr>
          <w:snapToGrid w:val="0"/>
        </w:rPr>
      </w:pPr>
      <w:r>
        <w:rPr>
          <w:snapToGrid w:val="0"/>
        </w:rPr>
        <w:tab/>
        <w:t>(a)</w:t>
      </w:r>
      <w:r>
        <w:rPr>
          <w:snapToGrid w:val="0"/>
        </w:rPr>
        <w:tab/>
        <w:t>a publication is being or is about to be displayed, sold or supplied; or</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has contravened or is about to contravene a provision of Part 7 may demand the name, age and address of that person.</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233" w:name="_Toc375052715"/>
      <w:bookmarkStart w:id="234" w:name="_Toc415650349"/>
      <w:r>
        <w:rPr>
          <w:rStyle w:val="CharSectno"/>
        </w:rPr>
        <w:t>141</w:t>
      </w:r>
      <w:r>
        <w:t>.</w:t>
      </w:r>
      <w:r>
        <w:tab/>
        <w:t>Evidentiary provisions to facilitate proof</w:t>
      </w:r>
      <w:bookmarkEnd w:id="233"/>
      <w:bookmarkEnd w:id="234"/>
    </w:p>
    <w:p>
      <w:pPr>
        <w:pStyle w:val="Subsection"/>
      </w:pPr>
      <w:r>
        <w:tab/>
      </w:r>
      <w:r>
        <w:tab/>
        <w:t>In proceedings for an offence, a certificate signed or purporting to be signed, by the Director, Deputy Director or Convenor and stating that —</w:t>
      </w:r>
    </w:p>
    <w:p>
      <w:pPr>
        <w:pStyle w:val="Indenta"/>
      </w:pPr>
      <w:r>
        <w:tab/>
        <w:t>(a)</w:t>
      </w:r>
      <w:r>
        <w:tab/>
        <w:t>a film, publication or computer game is, or was, classified as specified in the certificate and, if the case requires, the determined markings for that type of classification are, or were, as specified in the certificate; or</w:t>
      </w:r>
    </w:p>
    <w:p>
      <w:pPr>
        <w:pStyle w:val="Indenta"/>
      </w:pPr>
      <w:r>
        <w:tab/>
        <w:t>(b)</w:t>
      </w:r>
      <w:r>
        <w:tab/>
        <w:t>a classified film or a classified computer game specified in the certificate is, or was, modified in a manner specified in the certificate; or</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 No. 21 of 2010 s. 26.]</w:t>
      </w:r>
    </w:p>
    <w:p>
      <w:pPr>
        <w:pStyle w:val="Heading5"/>
      </w:pPr>
      <w:bookmarkStart w:id="235" w:name="_Toc375052716"/>
      <w:bookmarkStart w:id="236" w:name="_Toc415650350"/>
      <w:r>
        <w:rPr>
          <w:rStyle w:val="CharSectno"/>
        </w:rPr>
        <w:t>141A</w:t>
      </w:r>
      <w:r>
        <w:t>.</w:t>
      </w:r>
      <w:r>
        <w:tab/>
        <w:t>Proof of classification by agreement</w:t>
      </w:r>
      <w:bookmarkEnd w:id="235"/>
      <w:bookmarkEnd w:id="236"/>
    </w:p>
    <w:p>
      <w:pPr>
        <w:pStyle w:val="Subsection"/>
      </w:pPr>
      <w:r>
        <w:tab/>
        <w:t>(1)</w:t>
      </w:r>
      <w:r>
        <w:tab/>
        <w:t>Subject to subsection (2), if a person is charged with an offence against this Act, the prosecution may, prior to the trial, give the accused a notice —</w:t>
      </w:r>
    </w:p>
    <w:p>
      <w:pPr>
        <w:pStyle w:val="Indenta"/>
        <w:spacing w:before="120"/>
      </w:pPr>
      <w:r>
        <w:tab/>
        <w:t>(a)</w:t>
      </w:r>
      <w:r>
        <w:tab/>
        <w:t>setting out —</w:t>
      </w:r>
    </w:p>
    <w:p>
      <w:pPr>
        <w:pStyle w:val="Indenti"/>
      </w:pPr>
      <w:r>
        <w:tab/>
        <w:t>(i)</w:t>
      </w:r>
      <w:r>
        <w:tab/>
        <w:t>the title or apparent title (if any) of the publication, film or computer game; and</w:t>
      </w:r>
    </w:p>
    <w:p>
      <w:pPr>
        <w:pStyle w:val="Indenti"/>
      </w:pPr>
      <w:r>
        <w:tab/>
        <w:t>(ii)</w:t>
      </w:r>
      <w:r>
        <w:tab/>
        <w:t>particulars of the offence in relation to which the notice is served;</w:t>
      </w:r>
    </w:p>
    <w:p>
      <w:pPr>
        <w:pStyle w:val="Indenta"/>
        <w:spacing w:before="120"/>
      </w:pPr>
      <w:r>
        <w:tab/>
      </w:r>
      <w:r>
        <w:tab/>
        <w:t>and</w:t>
      </w:r>
    </w:p>
    <w:p>
      <w:pPr>
        <w:pStyle w:val="Indenta"/>
        <w:spacing w:before="120"/>
      </w:pPr>
      <w:r>
        <w:tab/>
        <w:t>(b)</w:t>
      </w:r>
      <w:r>
        <w:tab/>
        <w:t>stating that the accused is entitled to view the publication, film or computer game; and</w:t>
      </w:r>
    </w:p>
    <w:p>
      <w:pPr>
        <w:pStyle w:val="Indenta"/>
        <w:spacing w:before="120"/>
      </w:pPr>
      <w:r>
        <w:tab/>
        <w:t>(c)</w:t>
      </w:r>
      <w:r>
        <w:tab/>
        <w:t>inviting the accused to indicate, by completing and signing a statement to that effect set out in the notice and returning the notice to an address set out in the notice, that the accused agrees that, on a specified date, the publication, film or computer game —</w:t>
      </w:r>
    </w:p>
    <w:p>
      <w:pPr>
        <w:pStyle w:val="Indenti"/>
      </w:pPr>
      <w:r>
        <w:tab/>
        <w:t>(i)</w:t>
      </w:r>
      <w:r>
        <w:tab/>
        <w:t>was classified at the specified classification; or</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spacing w:before="140"/>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spacing w:before="140"/>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spacing w:before="140"/>
      </w:pPr>
      <w:r>
        <w:tab/>
        <w:t>(4)</w:t>
      </w:r>
      <w:r>
        <w:tab/>
        <w:t>In proceedings for an offence against this Act, a notice under this section containing a statement, completed and signed by the accused, that the accused agrees that, on a specified date, the publication, film or computer game —</w:t>
      </w:r>
    </w:p>
    <w:p>
      <w:pPr>
        <w:pStyle w:val="Indenta"/>
      </w:pPr>
      <w:r>
        <w:tab/>
        <w:t>(a)</w:t>
      </w:r>
      <w:r>
        <w:tab/>
        <w:t>was classified at the specified classification; or</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If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In proceedings in which an application referred to in subsection (5) is made, a certificate signed or purporting to be signed by the Commissioner of Police and stating that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If —</w:t>
      </w:r>
    </w:p>
    <w:p>
      <w:pPr>
        <w:pStyle w:val="Indenta"/>
      </w:pPr>
      <w:r>
        <w:tab/>
        <w:t>(a)</w:t>
      </w:r>
      <w:r>
        <w:tab/>
        <w:t>a notice is served under this section in relation to an offence involving an allegation that a publication, film or computer game was unclassified but would, if classified, have been of a specified classification; and</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In this section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237" w:name="_Toc375052717"/>
      <w:bookmarkStart w:id="238" w:name="_Toc415650351"/>
      <w:r>
        <w:rPr>
          <w:rStyle w:val="CharSectno"/>
        </w:rPr>
        <w:t>142</w:t>
      </w:r>
      <w:r>
        <w:rPr>
          <w:snapToGrid w:val="0"/>
        </w:rPr>
        <w:t>.</w:t>
      </w:r>
      <w:r>
        <w:rPr>
          <w:snapToGrid w:val="0"/>
        </w:rPr>
        <w:tab/>
        <w:t>Protection from personal liability</w:t>
      </w:r>
      <w:bookmarkEnd w:id="237"/>
      <w:bookmarkEnd w:id="238"/>
    </w:p>
    <w:p>
      <w:pPr>
        <w:pStyle w:val="Subsection"/>
      </w:pPr>
      <w:r>
        <w:tab/>
        <w:t>(1)</w:t>
      </w:r>
      <w:r>
        <w:tab/>
        <w:t>This section applies to —</w:t>
      </w:r>
    </w:p>
    <w:p>
      <w:pPr>
        <w:pStyle w:val="Indenta"/>
        <w:rPr>
          <w:snapToGrid w:val="0"/>
        </w:rPr>
      </w:pPr>
      <w:r>
        <w:rPr>
          <w:snapToGrid w:val="0"/>
        </w:rPr>
        <w:tab/>
        <w:t>(a)</w:t>
      </w:r>
      <w:r>
        <w:rPr>
          <w:snapToGrid w:val="0"/>
        </w:rPr>
        <w:tab/>
        <w:t>the Minister; and</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 and</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 and</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142 amended by No. 30 of 2003 s. 39 and 40.]</w:t>
      </w:r>
    </w:p>
    <w:p>
      <w:pPr>
        <w:pStyle w:val="Heading5"/>
        <w:rPr>
          <w:snapToGrid w:val="0"/>
        </w:rPr>
      </w:pPr>
      <w:bookmarkStart w:id="239" w:name="_Toc375052718"/>
      <w:bookmarkStart w:id="240" w:name="_Toc415650352"/>
      <w:r>
        <w:rPr>
          <w:rStyle w:val="CharSectno"/>
        </w:rPr>
        <w:t>143</w:t>
      </w:r>
      <w:r>
        <w:rPr>
          <w:snapToGrid w:val="0"/>
        </w:rPr>
        <w:t>.</w:t>
      </w:r>
      <w:r>
        <w:rPr>
          <w:snapToGrid w:val="0"/>
        </w:rPr>
        <w:tab/>
        <w:t>Regulations</w:t>
      </w:r>
      <w:bookmarkEnd w:id="239"/>
      <w:bookmarkEnd w:id="240"/>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241" w:name="_Toc375052719"/>
      <w:bookmarkStart w:id="242" w:name="_Toc415650353"/>
      <w:r>
        <w:rPr>
          <w:rStyle w:val="CharPartNo"/>
        </w:rPr>
        <w:t>Part 13</w:t>
      </w:r>
      <w:r>
        <w:rPr>
          <w:rStyle w:val="CharDivNo"/>
        </w:rPr>
        <w:t> </w:t>
      </w:r>
      <w:r>
        <w:t>—</w:t>
      </w:r>
      <w:r>
        <w:rPr>
          <w:rStyle w:val="CharDivText"/>
        </w:rPr>
        <w:t> </w:t>
      </w:r>
      <w:r>
        <w:rPr>
          <w:rStyle w:val="CharPartText"/>
        </w:rPr>
        <w:t>Transitional, savings, consequential amendments and repeals</w:t>
      </w:r>
      <w:bookmarkEnd w:id="241"/>
      <w:bookmarkEnd w:id="242"/>
    </w:p>
    <w:p>
      <w:pPr>
        <w:pStyle w:val="Heading5"/>
        <w:rPr>
          <w:snapToGrid w:val="0"/>
        </w:rPr>
      </w:pPr>
      <w:bookmarkStart w:id="243" w:name="_Toc375052720"/>
      <w:bookmarkStart w:id="244" w:name="_Toc415650354"/>
      <w:r>
        <w:rPr>
          <w:rStyle w:val="CharSectno"/>
        </w:rPr>
        <w:t>144</w:t>
      </w:r>
      <w:r>
        <w:rPr>
          <w:snapToGrid w:val="0"/>
        </w:rPr>
        <w:t>.</w:t>
      </w:r>
      <w:r>
        <w:rPr>
          <w:snapToGrid w:val="0"/>
        </w:rPr>
        <w:tab/>
        <w:t>Term used: commencement</w:t>
      </w:r>
      <w:bookmarkEnd w:id="243"/>
      <w:bookmarkEnd w:id="244"/>
    </w:p>
    <w:p>
      <w:pPr>
        <w:pStyle w:val="Subsection"/>
      </w:pPr>
      <w:r>
        <w:tab/>
      </w:r>
      <w:r>
        <w:tab/>
        <w:t>In this Part —</w:t>
      </w:r>
    </w:p>
    <w:p>
      <w:pPr>
        <w:pStyle w:val="Defstart"/>
      </w:pPr>
      <w:r>
        <w:rPr>
          <w:b/>
        </w:rPr>
        <w:tab/>
      </w:r>
      <w:r>
        <w:rPr>
          <w:rStyle w:val="CharDefText"/>
        </w:rPr>
        <w:t>commencement</w:t>
      </w:r>
      <w:r>
        <w:t xml:space="preserve"> means commencement of this Part.</w:t>
      </w:r>
    </w:p>
    <w:p>
      <w:pPr>
        <w:pStyle w:val="Heading5"/>
        <w:rPr>
          <w:snapToGrid w:val="0"/>
        </w:rPr>
      </w:pPr>
      <w:bookmarkStart w:id="245" w:name="_Toc375052721"/>
      <w:bookmarkStart w:id="246" w:name="_Toc415650355"/>
      <w:r>
        <w:rPr>
          <w:rStyle w:val="CharSectno"/>
        </w:rPr>
        <w:t>145</w:t>
      </w:r>
      <w:r>
        <w:rPr>
          <w:snapToGrid w:val="0"/>
        </w:rPr>
        <w:t>.</w:t>
      </w:r>
      <w:r>
        <w:rPr>
          <w:snapToGrid w:val="0"/>
        </w:rPr>
        <w:tab/>
        <w:t>Pending applications</w:t>
      </w:r>
      <w:bookmarkEnd w:id="245"/>
      <w:bookmarkEnd w:id="246"/>
    </w:p>
    <w:p>
      <w:pPr>
        <w:pStyle w:val="Subsection"/>
      </w:pPr>
      <w:r>
        <w:tab/>
      </w:r>
      <w:r>
        <w:tab/>
        <w:t>If, on commencement, an application for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 or</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247" w:name="_Toc375052722"/>
      <w:bookmarkStart w:id="248" w:name="_Toc415650356"/>
      <w:r>
        <w:rPr>
          <w:rStyle w:val="CharSectno"/>
        </w:rPr>
        <w:t>146</w:t>
      </w:r>
      <w:r>
        <w:rPr>
          <w:snapToGrid w:val="0"/>
        </w:rPr>
        <w:t>.</w:t>
      </w:r>
      <w:r>
        <w:rPr>
          <w:snapToGrid w:val="0"/>
        </w:rPr>
        <w:tab/>
        <w:t>Savings provisions for publications</w:t>
      </w:r>
      <w:bookmarkEnd w:id="247"/>
      <w:bookmarkEnd w:id="248"/>
    </w:p>
    <w:p>
      <w:pPr>
        <w:pStyle w:val="Subsection"/>
      </w:pPr>
      <w:r>
        <w:tab/>
        <w:t>(1)</w:t>
      </w:r>
      <w:r>
        <w:tab/>
        <w:t>In this section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249" w:name="_Toc375052723"/>
      <w:bookmarkStart w:id="250" w:name="_Toc415650357"/>
      <w:r>
        <w:rPr>
          <w:rStyle w:val="CharSectno"/>
        </w:rPr>
        <w:t>147</w:t>
      </w:r>
      <w:r>
        <w:rPr>
          <w:snapToGrid w:val="0"/>
        </w:rPr>
        <w:t>.</w:t>
      </w:r>
      <w:r>
        <w:rPr>
          <w:snapToGrid w:val="0"/>
        </w:rPr>
        <w:tab/>
        <w:t>Transitional and savings provisions for films</w:t>
      </w:r>
      <w:bookmarkEnd w:id="249"/>
      <w:bookmarkEnd w:id="250"/>
    </w:p>
    <w:p>
      <w:pPr>
        <w:pStyle w:val="Subsection"/>
      </w:pPr>
      <w:r>
        <w:tab/>
        <w:t>(1)</w:t>
      </w:r>
      <w:r>
        <w:tab/>
        <w:t>In this section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251" w:name="_Toc375052724"/>
      <w:bookmarkStart w:id="252" w:name="_Toc415650358"/>
      <w:r>
        <w:rPr>
          <w:rStyle w:val="CharSectno"/>
        </w:rPr>
        <w:t>148</w:t>
      </w:r>
      <w:r>
        <w:rPr>
          <w:snapToGrid w:val="0"/>
        </w:rPr>
        <w:t>.</w:t>
      </w:r>
      <w:r>
        <w:rPr>
          <w:snapToGrid w:val="0"/>
        </w:rPr>
        <w:tab/>
        <w:t>Transitional and savings provisions for videos</w:t>
      </w:r>
      <w:bookmarkEnd w:id="251"/>
      <w:bookmarkEnd w:id="252"/>
    </w:p>
    <w:p>
      <w:pPr>
        <w:pStyle w:val="Subsection"/>
      </w:pPr>
      <w:r>
        <w:tab/>
        <w:t>(1)</w:t>
      </w:r>
      <w:r>
        <w:tab/>
        <w:t>In this section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If on commencement an application for review under the former Act has been made but not determined, the application is taken to have been made under this Act.</w:t>
      </w:r>
    </w:p>
    <w:p>
      <w:pPr>
        <w:pStyle w:val="Heading5"/>
        <w:rPr>
          <w:snapToGrid w:val="0"/>
        </w:rPr>
      </w:pPr>
      <w:bookmarkStart w:id="253" w:name="_Toc375052725"/>
      <w:bookmarkStart w:id="254" w:name="_Toc415650359"/>
      <w:r>
        <w:rPr>
          <w:rStyle w:val="CharSectno"/>
        </w:rPr>
        <w:t>149</w:t>
      </w:r>
      <w:r>
        <w:rPr>
          <w:snapToGrid w:val="0"/>
        </w:rPr>
        <w:t>.</w:t>
      </w:r>
      <w:r>
        <w:rPr>
          <w:snapToGrid w:val="0"/>
        </w:rPr>
        <w:tab/>
        <w:t>Transitional provisions for computer games</w:t>
      </w:r>
      <w:bookmarkEnd w:id="253"/>
      <w:bookmarkEnd w:id="254"/>
    </w:p>
    <w:p>
      <w:pPr>
        <w:pStyle w:val="Subsection"/>
      </w:pPr>
      <w:r>
        <w:tab/>
        <w:t>(1)</w:t>
      </w:r>
      <w:r>
        <w:tab/>
        <w:t>In this section —</w:t>
      </w:r>
    </w:p>
    <w:p>
      <w:pPr>
        <w:pStyle w:val="Defstart"/>
      </w:pPr>
      <w:r>
        <w:rPr>
          <w:b/>
        </w:rPr>
        <w:tab/>
      </w:r>
      <w:r>
        <w:rPr>
          <w:rStyle w:val="CharDefText"/>
        </w:rPr>
        <w:t>Ordinance</w:t>
      </w:r>
      <w:r>
        <w:t xml:space="preserve"> means the </w:t>
      </w:r>
      <w:r>
        <w:rPr>
          <w:i/>
        </w:rPr>
        <w:t>Classification of Publications Ordinance 1983</w:t>
      </w:r>
      <w:r>
        <w:t xml:space="preserve"> of the </w:t>
      </w:r>
      <w:smartTag w:uri="urn:schemas-microsoft-com:office:smarttags" w:element="place">
        <w:smartTag w:uri="urn:schemas-microsoft-com:office:smarttags" w:element="State">
          <w:r>
            <w:t>Australian Capital Territory</w:t>
          </w:r>
        </w:smartTag>
      </w:smartTag>
      <w:r>
        <w:t>.</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800"/>
        <w:gridCol w:w="2623"/>
      </w:tblGrid>
      <w:tr>
        <w:tc>
          <w:tcPr>
            <w:tcW w:w="1120" w:type="dxa"/>
            <w:tcBorders>
              <w:left w:val="nil"/>
              <w:bottom w:val="single" w:sz="4" w:space="0" w:color="auto"/>
              <w:right w:val="nil"/>
            </w:tcBorders>
          </w:tcPr>
          <w:p>
            <w:pPr>
              <w:pStyle w:val="TableNAm"/>
              <w:rPr>
                <w:b/>
                <w:bCs/>
              </w:rPr>
            </w:pPr>
            <w:r>
              <w:rPr>
                <w:b/>
                <w:bCs/>
              </w:rPr>
              <w:t>Item</w:t>
            </w:r>
          </w:p>
        </w:tc>
        <w:tc>
          <w:tcPr>
            <w:tcW w:w="1800"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Ordinance</w:t>
            </w:r>
          </w:p>
        </w:tc>
        <w:tc>
          <w:tcPr>
            <w:tcW w:w="2623"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This Act</w:t>
            </w:r>
          </w:p>
        </w:tc>
      </w:tr>
      <w:tr>
        <w:tc>
          <w:tcPr>
            <w:tcW w:w="1120" w:type="dxa"/>
            <w:tcBorders>
              <w:left w:val="nil"/>
              <w:bottom w:val="nil"/>
              <w:right w:val="nil"/>
            </w:tcBorders>
          </w:tcPr>
          <w:p>
            <w:pPr>
              <w:pStyle w:val="TableNAm"/>
            </w:pPr>
            <w:r>
              <w:t>1</w:t>
            </w:r>
          </w:p>
        </w:tc>
        <w:tc>
          <w:tcPr>
            <w:tcW w:w="1800" w:type="dxa"/>
            <w:tcBorders>
              <w:left w:val="nil"/>
              <w:bottom w:val="nil"/>
              <w:right w:val="nil"/>
            </w:tcBorders>
          </w:tcPr>
          <w:p>
            <w:pPr>
              <w:pStyle w:val="TableNAm"/>
            </w:pPr>
            <w:r>
              <w:t>“G”</w:t>
            </w:r>
          </w:p>
        </w:tc>
        <w:tc>
          <w:tcPr>
            <w:tcW w:w="2623" w:type="dxa"/>
            <w:tcBorders>
              <w:left w:val="nil"/>
              <w:bottom w:val="nil"/>
              <w:right w:val="nil"/>
            </w:tcBorders>
          </w:tcPr>
          <w:p>
            <w:pPr>
              <w:pStyle w:val="TableNAm"/>
            </w:pPr>
            <w:r>
              <w:t>G</w:t>
            </w:r>
          </w:p>
        </w:tc>
      </w:tr>
      <w:tr>
        <w:tc>
          <w:tcPr>
            <w:tcW w:w="1120" w:type="dxa"/>
            <w:tcBorders>
              <w:top w:val="nil"/>
              <w:left w:val="nil"/>
              <w:bottom w:val="nil"/>
              <w:right w:val="nil"/>
            </w:tcBorders>
          </w:tcPr>
          <w:p>
            <w:pPr>
              <w:pStyle w:val="TableNAm"/>
            </w:pPr>
            <w:r>
              <w:t>2</w:t>
            </w:r>
          </w:p>
        </w:tc>
        <w:tc>
          <w:tcPr>
            <w:tcW w:w="1800" w:type="dxa"/>
            <w:tcBorders>
              <w:top w:val="nil"/>
              <w:left w:val="nil"/>
              <w:bottom w:val="nil"/>
              <w:right w:val="nil"/>
            </w:tcBorders>
          </w:tcPr>
          <w:p>
            <w:pPr>
              <w:pStyle w:val="TableNAm"/>
            </w:pPr>
            <w:r>
              <w:t>“G (8+)”</w:t>
            </w:r>
          </w:p>
        </w:tc>
        <w:tc>
          <w:tcPr>
            <w:tcW w:w="2623" w:type="dxa"/>
            <w:tcBorders>
              <w:top w:val="nil"/>
              <w:left w:val="nil"/>
              <w:bottom w:val="nil"/>
              <w:right w:val="nil"/>
            </w:tcBorders>
          </w:tcPr>
          <w:p>
            <w:pPr>
              <w:pStyle w:val="TableNAm"/>
            </w:pPr>
            <w:r>
              <w:t>G (8+)</w:t>
            </w:r>
          </w:p>
        </w:tc>
      </w:tr>
      <w:tr>
        <w:tc>
          <w:tcPr>
            <w:tcW w:w="1120" w:type="dxa"/>
            <w:tcBorders>
              <w:top w:val="nil"/>
              <w:left w:val="nil"/>
              <w:bottom w:val="nil"/>
              <w:right w:val="nil"/>
            </w:tcBorders>
          </w:tcPr>
          <w:p>
            <w:pPr>
              <w:pStyle w:val="TableNAm"/>
            </w:pPr>
            <w:r>
              <w:t>3</w:t>
            </w:r>
          </w:p>
        </w:tc>
        <w:tc>
          <w:tcPr>
            <w:tcW w:w="1800" w:type="dxa"/>
            <w:tcBorders>
              <w:top w:val="nil"/>
              <w:left w:val="nil"/>
              <w:bottom w:val="nil"/>
              <w:right w:val="nil"/>
            </w:tcBorders>
          </w:tcPr>
          <w:p>
            <w:pPr>
              <w:pStyle w:val="TableNAm"/>
            </w:pPr>
            <w:r>
              <w:t>“M (15+)”</w:t>
            </w:r>
          </w:p>
        </w:tc>
        <w:tc>
          <w:tcPr>
            <w:tcW w:w="2623" w:type="dxa"/>
            <w:tcBorders>
              <w:top w:val="nil"/>
              <w:left w:val="nil"/>
              <w:bottom w:val="nil"/>
              <w:right w:val="nil"/>
            </w:tcBorders>
          </w:tcPr>
          <w:p>
            <w:pPr>
              <w:pStyle w:val="TableNAm"/>
            </w:pPr>
            <w:r>
              <w:t>M (15+)</w:t>
            </w:r>
          </w:p>
        </w:tc>
      </w:tr>
      <w:tr>
        <w:tc>
          <w:tcPr>
            <w:tcW w:w="1120" w:type="dxa"/>
            <w:tcBorders>
              <w:top w:val="nil"/>
              <w:left w:val="nil"/>
              <w:bottom w:val="single" w:sz="4" w:space="0" w:color="auto"/>
              <w:right w:val="nil"/>
            </w:tcBorders>
          </w:tcPr>
          <w:p>
            <w:pPr>
              <w:pStyle w:val="TableNAm"/>
            </w:pPr>
            <w:r>
              <w:t>4</w:t>
            </w:r>
          </w:p>
        </w:tc>
        <w:tc>
          <w:tcPr>
            <w:tcW w:w="1800" w:type="dxa"/>
            <w:tcBorders>
              <w:top w:val="nil"/>
              <w:left w:val="nil"/>
              <w:bottom w:val="single" w:sz="4" w:space="0" w:color="auto"/>
              <w:right w:val="nil"/>
            </w:tcBorders>
          </w:tcPr>
          <w:p>
            <w:pPr>
              <w:pStyle w:val="TableNAm"/>
            </w:pPr>
            <w:r>
              <w:t>“MA (15+)”</w:t>
            </w:r>
          </w:p>
        </w:tc>
        <w:tc>
          <w:tcPr>
            <w:tcW w:w="2623" w:type="dxa"/>
            <w:tcBorders>
              <w:top w:val="nil"/>
              <w:left w:val="nil"/>
              <w:bottom w:val="single" w:sz="4" w:space="0" w:color="auto"/>
              <w:right w:val="nil"/>
            </w:tcBorders>
          </w:tcPr>
          <w:p>
            <w:pPr>
              <w:pStyle w:val="TableNAm"/>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255" w:name="_Toc375052726"/>
      <w:bookmarkStart w:id="256" w:name="_Toc415650360"/>
      <w:r>
        <w:rPr>
          <w:rStyle w:val="CharSectno"/>
        </w:rPr>
        <w:t>151</w:t>
      </w:r>
      <w:r>
        <w:rPr>
          <w:snapToGrid w:val="0"/>
        </w:rPr>
        <w:t>.</w:t>
      </w:r>
      <w:r>
        <w:rPr>
          <w:snapToGrid w:val="0"/>
        </w:rPr>
        <w:tab/>
        <w:t>Savings provisions for registration</w:t>
      </w:r>
      <w:bookmarkEnd w:id="255"/>
      <w:bookmarkEnd w:id="256"/>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Heading5"/>
      </w:pPr>
      <w:bookmarkStart w:id="257" w:name="_Toc375052727"/>
      <w:bookmarkStart w:id="258" w:name="_Toc415650361"/>
      <w:r>
        <w:t>152A.</w:t>
      </w:r>
      <w:r>
        <w:tab/>
        <w:t>Advertisements for unclassified films</w:t>
      </w:r>
      <w:bookmarkEnd w:id="257"/>
      <w:bookmarkEnd w:id="258"/>
    </w:p>
    <w:p>
      <w:pPr>
        <w:pStyle w:val="Subsection"/>
      </w:pPr>
      <w:r>
        <w:tab/>
        <w:t>(1)</w:t>
      </w:r>
      <w:r>
        <w:tab/>
        <w:t>A person does not commit an offence under section 91(2A) by publishing an advertisement for an unclassified film if the advertisement is published in accordance with a transitional Commonwealth regulation.</w:t>
      </w:r>
    </w:p>
    <w:p>
      <w:pPr>
        <w:pStyle w:val="Subsection"/>
        <w:keepNext/>
      </w:pPr>
      <w:r>
        <w:tab/>
        <w:t>(2)</w:t>
      </w:r>
      <w:r>
        <w:tab/>
        <w:t>In subsection (1) —</w:t>
      </w:r>
    </w:p>
    <w:p>
      <w:pPr>
        <w:pStyle w:val="Defstart"/>
      </w:pPr>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p>
    <w:p>
      <w:pPr>
        <w:pStyle w:val="Footnotesection"/>
      </w:pPr>
      <w:r>
        <w:tab/>
        <w:t>[Section 152A inserted by No. 21 of 2010 s. 35.]</w:t>
      </w:r>
    </w:p>
    <w:p>
      <w:pPr>
        <w:pStyle w:val="Ednotesection"/>
      </w:pPr>
      <w:r>
        <w:t>[</w:t>
      </w:r>
      <w:r>
        <w:rPr>
          <w:b/>
          <w:bCs/>
        </w:rPr>
        <w:t>152.</w:t>
      </w:r>
      <w:r>
        <w:tab/>
        <w:t>Omitted under the Reprints Act 1984 s. 7(4)(e).]</w:t>
      </w:r>
    </w:p>
    <w:p>
      <w:pPr>
        <w:pStyle w:val="Heading5"/>
      </w:pPr>
      <w:bookmarkStart w:id="259" w:name="_Toc375052728"/>
      <w:bookmarkStart w:id="260" w:name="_Toc415650362"/>
      <w:r>
        <w:rPr>
          <w:rStyle w:val="CharSectno"/>
        </w:rPr>
        <w:t>153A</w:t>
      </w:r>
      <w:r>
        <w:t>.</w:t>
      </w:r>
      <w:r>
        <w:tab/>
        <w:t>Change of classification of computer games from MA 15+ to R 18+</w:t>
      </w:r>
      <w:bookmarkEnd w:id="259"/>
      <w:bookmarkEnd w:id="260"/>
    </w:p>
    <w:p>
      <w:pPr>
        <w:pStyle w:val="Subsection"/>
      </w:pPr>
      <w:r>
        <w:tab/>
      </w:r>
      <w:r>
        <w:tab/>
        <w:t xml:space="preserve">If — </w:t>
      </w:r>
    </w:p>
    <w:p>
      <w:pPr>
        <w:pStyle w:val="Indenta"/>
      </w:pPr>
      <w:r>
        <w:tab/>
        <w:t>(a)</w:t>
      </w:r>
      <w:r>
        <w:tab/>
        <w:t>immediately before the coming into operation of this section, a computer game is classified MA 15+; and</w:t>
      </w:r>
    </w:p>
    <w:p>
      <w:pPr>
        <w:pStyle w:val="Indenta"/>
      </w:pPr>
      <w:r>
        <w:tab/>
        <w:t>(b)</w:t>
      </w:r>
      <w:r>
        <w:tab/>
        <w:t>within 12 months after the coming into operation of this section, the computer game becomes classified R 18+ under the Commonwealth Act; and</w:t>
      </w:r>
    </w:p>
    <w:p>
      <w:pPr>
        <w:pStyle w:val="Indenta"/>
      </w:pPr>
      <w:r>
        <w:tab/>
        <w:t>(c)</w:t>
      </w:r>
      <w:r>
        <w:tab/>
        <w:t xml:space="preserve">within 90 days after the change in classification, a person commits an offence in relation to the computer game under section 85, 85A, 86, 88, 89, 92, 94 or 95 (the </w:t>
      </w:r>
      <w:r>
        <w:rPr>
          <w:rStyle w:val="CharDefText"/>
        </w:rPr>
        <w:t>relevant section</w:t>
      </w:r>
      <w:r>
        <w:t>); and</w:t>
      </w:r>
    </w:p>
    <w:p>
      <w:pPr>
        <w:pStyle w:val="Indenta"/>
      </w:pPr>
      <w:r>
        <w:tab/>
        <w:t>(d)</w:t>
      </w:r>
      <w:r>
        <w:tab/>
        <w:t>the person would not have committed any offence under the relevant section if the computer game had still been classified MA 15+,</w:t>
      </w:r>
    </w:p>
    <w:p>
      <w:pPr>
        <w:pStyle w:val="Subsection"/>
      </w:pPr>
      <w:r>
        <w:tab/>
      </w:r>
      <w:r>
        <w:tab/>
        <w:t>then the person is taken not to have committed an offence under the relevant section.</w:t>
      </w:r>
    </w:p>
    <w:p>
      <w:pPr>
        <w:pStyle w:val="Footnotesection"/>
      </w:pPr>
      <w:r>
        <w:tab/>
        <w:t>[Section 153A inserted by No. 53 of 2012 s. 15.]</w:t>
      </w:r>
    </w:p>
    <w:p>
      <w:pPr>
        <w:pStyle w:val="Heading5"/>
        <w:rPr>
          <w:snapToGrid w:val="0"/>
        </w:rPr>
      </w:pPr>
      <w:bookmarkStart w:id="261" w:name="_Toc375052729"/>
      <w:bookmarkStart w:id="262" w:name="_Toc415650363"/>
      <w:r>
        <w:rPr>
          <w:rStyle w:val="CharSectno"/>
        </w:rPr>
        <w:t>153</w:t>
      </w:r>
      <w:r>
        <w:rPr>
          <w:snapToGrid w:val="0"/>
        </w:rPr>
        <w:t>.</w:t>
      </w:r>
      <w:r>
        <w:rPr>
          <w:snapToGrid w:val="0"/>
        </w:rPr>
        <w:tab/>
        <w:t>Repeals</w:t>
      </w:r>
      <w:bookmarkEnd w:id="261"/>
      <w:bookmarkEnd w:id="262"/>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by No. 30 of 2003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63" w:name="_Toc375052730"/>
      <w:bookmarkStart w:id="264" w:name="_Toc415650364"/>
      <w:r>
        <w:t>Notes</w:t>
      </w:r>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265" w:name="_Toc375052731"/>
      <w:bookmarkStart w:id="266" w:name="_Toc415650365"/>
      <w:r>
        <w:rPr>
          <w:snapToGrid w:val="0"/>
        </w:rPr>
        <w:t>Compilation table</w:t>
      </w:r>
      <w:bookmarkEnd w:id="265"/>
      <w:bookmarkEnd w:id="266"/>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ind w:left="-28"/>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tblBorders>
        </w:tblPrEx>
        <w:tc>
          <w:tcPr>
            <w:tcW w:w="2268" w:type="dxa"/>
            <w:tcBorders>
              <w:top w:val="nil"/>
            </w:tcBorders>
          </w:tcPr>
          <w:p>
            <w:pPr>
              <w:pStyle w:val="nTable"/>
              <w:spacing w:after="40"/>
              <w:rPr>
                <w:i/>
              </w:rPr>
            </w:pPr>
            <w:r>
              <w:rPr>
                <w:i/>
              </w:rPr>
              <w:t>Censorship Act 1996</w:t>
            </w:r>
            <w:r>
              <w:rPr>
                <w:snapToGrid w:val="0"/>
                <w:vertAlign w:val="superscript"/>
              </w:rPr>
              <w:t>  5</w:t>
            </w:r>
          </w:p>
        </w:tc>
        <w:tc>
          <w:tcPr>
            <w:tcW w:w="1134" w:type="dxa"/>
            <w:tcBorders>
              <w:top w:val="nil"/>
            </w:tcBorders>
          </w:tcPr>
          <w:p>
            <w:pPr>
              <w:pStyle w:val="nTable"/>
              <w:spacing w:after="40"/>
            </w:pPr>
            <w:r>
              <w:t>40 of 1996</w:t>
            </w:r>
          </w:p>
        </w:tc>
        <w:tc>
          <w:tcPr>
            <w:tcW w:w="1134" w:type="dxa"/>
            <w:tcBorders>
              <w:top w:val="nil"/>
            </w:tcBorders>
          </w:tcPr>
          <w:p>
            <w:pPr>
              <w:pStyle w:val="nTable"/>
              <w:spacing w:after="40"/>
            </w:pPr>
            <w:r>
              <w:t>10 Oct 1996</w:t>
            </w:r>
          </w:p>
        </w:tc>
        <w:tc>
          <w:tcPr>
            <w:tcW w:w="2552" w:type="dxa"/>
            <w:tcBorders>
              <w:top w:val="nil"/>
            </w:tcBorders>
          </w:tcPr>
          <w:p>
            <w:pPr>
              <w:pStyle w:val="nTable"/>
              <w:spacing w:after="40"/>
            </w:pPr>
            <w:r>
              <w:t>s. 1 and 2: 10 Oct 1996;</w:t>
            </w:r>
            <w:r>
              <w:br/>
              <w:t xml:space="preserve">Act other than s. 1 and 2: 5 Nov 1996 (see s. 2 and </w:t>
            </w:r>
            <w:r>
              <w:rPr>
                <w:i/>
              </w:rPr>
              <w:t>Gazette</w:t>
            </w:r>
            <w:r>
              <w:t xml:space="preserve"> 5 Nov 1996 p. 5845)</w:t>
            </w:r>
          </w:p>
        </w:tc>
      </w:tr>
      <w:tr>
        <w:tblPrEx>
          <w:tblBorders>
            <w:top w:val="none" w:sz="0" w:space="0" w:color="auto"/>
          </w:tblBorders>
        </w:tblPrEx>
        <w:tc>
          <w:tcPr>
            <w:tcW w:w="2268" w:type="dxa"/>
            <w:tcBorders>
              <w:top w:val="nil"/>
              <w:bottom w:val="nil"/>
            </w:tcBorders>
          </w:tcPr>
          <w:p>
            <w:pPr>
              <w:pStyle w:val="nTable"/>
              <w:spacing w:after="40"/>
              <w:rPr>
                <w:vertAlign w:val="superscript"/>
              </w:rPr>
            </w:pPr>
            <w:r>
              <w:rPr>
                <w:i/>
                <w:snapToGrid w:val="0"/>
              </w:rPr>
              <w:t>Censorship Amendment Act 2003</w:t>
            </w:r>
            <w:r>
              <w:rPr>
                <w:snapToGrid w:val="0"/>
              </w:rPr>
              <w:t> </w:t>
            </w:r>
            <w:r>
              <w:rPr>
                <w:snapToGrid w:val="0"/>
                <w:vertAlign w:val="superscript"/>
              </w:rPr>
              <w:t>6</w:t>
            </w:r>
          </w:p>
        </w:tc>
        <w:tc>
          <w:tcPr>
            <w:tcW w:w="1134" w:type="dxa"/>
            <w:tcBorders>
              <w:top w:val="nil"/>
              <w:bottom w:val="nil"/>
            </w:tcBorders>
          </w:tcPr>
          <w:p>
            <w:pPr>
              <w:pStyle w:val="nTable"/>
              <w:spacing w:after="40"/>
            </w:pPr>
            <w:r>
              <w:rPr>
                <w:snapToGrid w:val="0"/>
              </w:rPr>
              <w:t>30 of 2003</w:t>
            </w:r>
          </w:p>
        </w:tc>
        <w:tc>
          <w:tcPr>
            <w:tcW w:w="1134" w:type="dxa"/>
            <w:tcBorders>
              <w:top w:val="nil"/>
              <w:bottom w:val="nil"/>
            </w:tcBorders>
          </w:tcPr>
          <w:p>
            <w:pPr>
              <w:pStyle w:val="nTable"/>
              <w:spacing w:after="40"/>
            </w:pPr>
            <w:r>
              <w:rPr>
                <w:snapToGrid w:val="0"/>
              </w:rPr>
              <w:t>26 May 2003</w:t>
            </w:r>
          </w:p>
        </w:tc>
        <w:tc>
          <w:tcPr>
            <w:tcW w:w="2552" w:type="dxa"/>
            <w:tcBorders>
              <w:top w:val="nil"/>
              <w:bottom w:val="nil"/>
            </w:tcBorders>
          </w:tcPr>
          <w:p>
            <w:pPr>
              <w:pStyle w:val="nTable"/>
              <w:spacing w:after="40"/>
            </w:pPr>
            <w:r>
              <w:t xml:space="preserve">s. 1 and 2: </w:t>
            </w:r>
            <w:r>
              <w:rPr>
                <w:snapToGrid w:val="0"/>
              </w:rPr>
              <w:t>26 May 2003</w:t>
            </w:r>
            <w:r>
              <w:t>;</w:t>
            </w:r>
            <w:r>
              <w:br/>
              <w:t xml:space="preserve">Act other than s. 1 and 2: </w:t>
            </w:r>
            <w:r>
              <w:rPr>
                <w:snapToGrid w:val="0"/>
              </w:rPr>
              <w:t xml:space="preserve">1 Jul 2003 (see s. 2 and </w:t>
            </w:r>
            <w:r>
              <w:rPr>
                <w:i/>
                <w:snapToGrid w:val="0"/>
              </w:rPr>
              <w:t xml:space="preserve">Gazette </w:t>
            </w:r>
            <w:r>
              <w:rPr>
                <w:snapToGrid w:val="0"/>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pPr>
            <w:r>
              <w:rPr>
                <w:b/>
              </w:rPr>
              <w:t xml:space="preserve">Reprint 1: The </w:t>
            </w:r>
            <w:r>
              <w:rPr>
                <w:b/>
                <w:i/>
              </w:rPr>
              <w:t>Censorship Act 1996</w:t>
            </w:r>
            <w:r>
              <w:rPr>
                <w:b/>
              </w:rPr>
              <w:t xml:space="preserve"> as at 28 Nov 2003 </w:t>
            </w:r>
            <w: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t>23 Nov 2004</w:t>
            </w:r>
          </w:p>
        </w:tc>
        <w:tc>
          <w:tcPr>
            <w:tcW w:w="2552"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52"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rPr>
            </w:pPr>
            <w:r>
              <w:rPr>
                <w:i/>
                <w:iCs/>
                <w:snapToGrid w:val="0"/>
              </w:rPr>
              <w:t>Censorship Amendment Act 2006</w:t>
            </w:r>
            <w:r>
              <w:rPr>
                <w:snapToGrid w:val="0"/>
              </w:rPr>
              <w:t> </w:t>
            </w:r>
            <w:r>
              <w:rPr>
                <w:snapToGrid w:val="0"/>
                <w:vertAlign w:val="superscript"/>
              </w:rPr>
              <w:t>7, 8</w:t>
            </w:r>
          </w:p>
        </w:tc>
        <w:tc>
          <w:tcPr>
            <w:tcW w:w="1134" w:type="dxa"/>
            <w:tcBorders>
              <w:top w:val="nil"/>
              <w:bottom w:val="nil"/>
            </w:tcBorders>
          </w:tcPr>
          <w:p>
            <w:pPr>
              <w:pStyle w:val="nTable"/>
              <w:spacing w:after="40"/>
              <w:rPr>
                <w:snapToGrid w:val="0"/>
              </w:rPr>
            </w:pPr>
            <w:r>
              <w:rPr>
                <w:snapToGrid w:val="0"/>
              </w:rPr>
              <w:t>10 of 2006</w:t>
            </w:r>
          </w:p>
        </w:tc>
        <w:tc>
          <w:tcPr>
            <w:tcW w:w="1134" w:type="dxa"/>
            <w:tcBorders>
              <w:top w:val="nil"/>
              <w:bottom w:val="nil"/>
            </w:tcBorders>
          </w:tcPr>
          <w:p>
            <w:pPr>
              <w:pStyle w:val="nTable"/>
              <w:spacing w:after="40"/>
            </w:pPr>
            <w:r>
              <w:t xml:space="preserve">8 May 2006 </w:t>
            </w:r>
          </w:p>
        </w:tc>
        <w:tc>
          <w:tcPr>
            <w:tcW w:w="2552" w:type="dxa"/>
            <w:tcBorders>
              <w:top w:val="nil"/>
              <w:bottom w:val="nil"/>
            </w:tcBorders>
          </w:tcPr>
          <w:p>
            <w:pPr>
              <w:pStyle w:val="nTable"/>
              <w:spacing w:after="40"/>
              <w:rPr>
                <w:snapToGrid w:val="0"/>
              </w:rPr>
            </w:pPr>
            <w:r>
              <w:rPr>
                <w:snapToGrid w:val="0"/>
              </w:rPr>
              <w:t>Pt. 4 and Sch. 2: 26 May 2005 (see s. 2(3));</w:t>
            </w:r>
            <w:r>
              <w:rPr>
                <w:snapToGrid w:val="0"/>
              </w:rPr>
              <w:br/>
              <w:t xml:space="preserve">Act other than Pt. 4 and Sch. 2: 10 Jun 2006 (see s. 2 and </w:t>
            </w:r>
            <w:r>
              <w:rPr>
                <w:i/>
                <w:iCs/>
                <w:snapToGrid w:val="0"/>
              </w:rPr>
              <w:t>Gazette</w:t>
            </w:r>
            <w:r>
              <w:rPr>
                <w:snapToGrid w:val="0"/>
              </w:rPr>
              <w:t xml:space="preserve"> 9 Jun 2006 p. 2029)</w:t>
            </w:r>
          </w:p>
        </w:tc>
      </w:tr>
      <w:tr>
        <w:tblPrEx>
          <w:tblBorders>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rPr>
              <w:t xml:space="preserve">Reprint 2: The </w:t>
            </w:r>
            <w:r>
              <w:rPr>
                <w:b/>
                <w:i/>
              </w:rPr>
              <w:t>Classification (Publications, Films and Computer Games) Enforcement Act 1996</w:t>
            </w:r>
            <w:r>
              <w:rPr>
                <w:b/>
              </w:rPr>
              <w:t xml:space="preserve"> as at 21 Jul 2006 </w:t>
            </w:r>
            <w: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rPr>
            </w:pPr>
            <w:r>
              <w:rPr>
                <w:i/>
                <w:iCs/>
              </w:rPr>
              <w:t xml:space="preserve">Child Pornography and Exploitation Material and Classification Legislation Amendment Act 2010 </w:t>
            </w:r>
            <w:r>
              <w:t>Pt. 2 Div. 2, Pt. 3 and 4</w:t>
            </w:r>
          </w:p>
        </w:tc>
        <w:tc>
          <w:tcPr>
            <w:tcW w:w="1134" w:type="dxa"/>
            <w:tcBorders>
              <w:top w:val="nil"/>
              <w:bottom w:val="nil"/>
            </w:tcBorders>
          </w:tcPr>
          <w:p>
            <w:pPr>
              <w:pStyle w:val="nTable"/>
              <w:spacing w:after="40"/>
              <w:rPr>
                <w:snapToGrid w:val="0"/>
              </w:rPr>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insideH w:val="single" w:sz="4" w:space="0" w:color="auto"/>
          </w:tblBorders>
        </w:tblPrEx>
        <w:tc>
          <w:tcPr>
            <w:tcW w:w="7088" w:type="dxa"/>
            <w:gridSpan w:val="4"/>
            <w:tcBorders>
              <w:top w:val="nil"/>
              <w:bottom w:val="nil"/>
            </w:tcBorders>
          </w:tcPr>
          <w:p>
            <w:pPr>
              <w:pStyle w:val="nTable"/>
              <w:spacing w:after="40"/>
              <w:rPr>
                <w:snapToGrid w:val="0"/>
              </w:rPr>
            </w:pPr>
            <w:r>
              <w:rPr>
                <w:b/>
              </w:rPr>
              <w:t xml:space="preserve">Reprint 3: The </w:t>
            </w:r>
            <w:r>
              <w:rPr>
                <w:b/>
                <w:i/>
              </w:rPr>
              <w:t>Classification (Publications, Films and Computer Games) Enforcement Act 1996</w:t>
            </w:r>
            <w:r>
              <w:rPr>
                <w:b/>
              </w:rPr>
              <w:t xml:space="preserve"> as at 13 May 2011 </w:t>
            </w:r>
            <w:r>
              <w:t>(includes amendments listed above)</w:t>
            </w:r>
          </w:p>
        </w:tc>
      </w:tr>
      <w:tr>
        <w:tblPrEx>
          <w:tblBorders>
            <w:insideH w:val="single" w:sz="4" w:space="0" w:color="auto"/>
          </w:tblBorders>
        </w:tblPrEx>
        <w:tc>
          <w:tcPr>
            <w:tcW w:w="2268" w:type="dxa"/>
            <w:tcBorders>
              <w:top w:val="nil"/>
              <w:bottom w:val="single" w:sz="4" w:space="0" w:color="auto"/>
            </w:tcBorders>
          </w:tcPr>
          <w:p>
            <w:pPr>
              <w:pStyle w:val="nTable"/>
              <w:keepNext/>
              <w:keepLines/>
              <w:spacing w:after="40"/>
              <w:rPr>
                <w:snapToGrid w:val="0"/>
              </w:rPr>
            </w:pPr>
            <w:r>
              <w:rPr>
                <w:i/>
                <w:snapToGrid w:val="0"/>
              </w:rPr>
              <w:t>Classification (Publications, Films and Computer Games) Enforcement Amendment Act 2012</w:t>
            </w:r>
          </w:p>
        </w:tc>
        <w:tc>
          <w:tcPr>
            <w:tcW w:w="1134" w:type="dxa"/>
            <w:tcBorders>
              <w:top w:val="nil"/>
              <w:bottom w:val="single" w:sz="4" w:space="0" w:color="auto"/>
            </w:tcBorders>
          </w:tcPr>
          <w:p>
            <w:pPr>
              <w:pStyle w:val="nTable"/>
              <w:keepNext/>
              <w:keepLines/>
              <w:spacing w:after="40"/>
              <w:rPr>
                <w:snapToGrid w:val="0"/>
              </w:rPr>
            </w:pPr>
            <w:r>
              <w:rPr>
                <w:snapToGrid w:val="0"/>
              </w:rPr>
              <w:t>53 of 2012</w:t>
            </w:r>
          </w:p>
        </w:tc>
        <w:tc>
          <w:tcPr>
            <w:tcW w:w="1134" w:type="dxa"/>
            <w:tcBorders>
              <w:top w:val="nil"/>
              <w:bottom w:val="single" w:sz="4" w:space="0" w:color="auto"/>
            </w:tcBorders>
          </w:tcPr>
          <w:p>
            <w:pPr>
              <w:pStyle w:val="nTable"/>
              <w:keepNext/>
              <w:keepLines/>
              <w:spacing w:after="40"/>
            </w:pPr>
            <w:r>
              <w:t>29 Nov 2012</w:t>
            </w:r>
          </w:p>
        </w:tc>
        <w:tc>
          <w:tcPr>
            <w:tcW w:w="2552" w:type="dxa"/>
            <w:tcBorders>
              <w:top w:val="nil"/>
              <w:bottom w:val="single" w:sz="4" w:space="0" w:color="auto"/>
            </w:tcBorders>
          </w:tcPr>
          <w:p>
            <w:pPr>
              <w:pStyle w:val="nTable"/>
              <w:keepNext/>
              <w:keepLines/>
              <w:spacing w:after="40"/>
              <w:rPr>
                <w:snapToGrid w:val="0"/>
              </w:rPr>
            </w:pPr>
            <w:r>
              <w:t>s. 1 and 2: 29 Nov 2012 (see s. 2(a));</w:t>
            </w:r>
            <w:r>
              <w:br/>
              <w:t>Act other than s. 1 and 2: 1 Jan 2013 (see s. 2(b)(i))</w:t>
            </w:r>
          </w:p>
        </w:tc>
      </w:tr>
    </w:tbl>
    <w:p>
      <w:pPr>
        <w:pStyle w:val="nSubsection"/>
        <w:spacing w:before="10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00"/>
        <w:rPr>
          <w:snapToGrid w:val="0"/>
        </w:rPr>
      </w:pPr>
      <w:r>
        <w:rPr>
          <w:snapToGrid w:val="0"/>
          <w:vertAlign w:val="superscript"/>
        </w:rPr>
        <w:t>3</w:t>
      </w:r>
      <w:r>
        <w:rPr>
          <w:snapToGrid w:val="0"/>
          <w:vertAlign w:val="superscript"/>
        </w:rPr>
        <w:tab/>
      </w:r>
      <w:r>
        <w:rPr>
          <w:snapToGrid w:val="0"/>
        </w:rPr>
        <w:t>Repealed by s. 153 of this Act.</w:t>
      </w:r>
    </w:p>
    <w:p>
      <w:pPr>
        <w:pStyle w:val="nSubsection"/>
        <w:spacing w:before="100"/>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spacing w:before="100"/>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spacing w:before="100"/>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BlankOpen"/>
        <w:rPr>
          <w:snapToGrid w:val="0"/>
        </w:rPr>
      </w:pPr>
    </w:p>
    <w:p>
      <w:pPr>
        <w:pStyle w:val="nzHeading5"/>
        <w:spacing w:before="0"/>
      </w:pPr>
      <w:r>
        <w:rPr>
          <w:rStyle w:val="CharSectno"/>
        </w:rPr>
        <w:t>45</w:t>
      </w:r>
      <w:r>
        <w:t>.</w:t>
      </w:r>
      <w:r>
        <w:tab/>
        <w:t>Transitional and savings provisions: publications</w:t>
      </w:r>
    </w:p>
    <w:p>
      <w:pPr>
        <w:pStyle w:val="nzSubsection"/>
      </w:pPr>
      <w:r>
        <w:tab/>
        <w:t>(1)</w:t>
      </w:r>
      <w:r>
        <w:tab/>
        <w:t>A publication that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A publication that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A publication that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If a publication —</w:t>
      </w:r>
    </w:p>
    <w:p>
      <w:pPr>
        <w:pStyle w:val="nzIndenta"/>
      </w:pPr>
      <w:r>
        <w:tab/>
        <w:t>(a)</w:t>
      </w:r>
      <w:r>
        <w:tab/>
        <w:t>is classified Category 1 restricted under the Commonwealth Act; or</w:t>
      </w:r>
    </w:p>
    <w:p>
      <w:pPr>
        <w:pStyle w:val="nzIndenta"/>
      </w:pPr>
      <w:r>
        <w:tab/>
        <w:t>(b)</w:t>
      </w:r>
      <w:r>
        <w:tab/>
        <w:t>is classified Category 2 restricted under the Commonwealth Act, or is taken to be so classified under subsection (3) of this section,</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r>
        <w:rPr>
          <w:rStyle w:val="CharSectno"/>
        </w:rPr>
        <w:t>46</w:t>
      </w:r>
      <w:r>
        <w:t>.</w:t>
      </w:r>
      <w:r>
        <w:tab/>
        <w:t>Transitional and savings provisions: films and advertisements</w:t>
      </w:r>
    </w:p>
    <w:p>
      <w:pPr>
        <w:pStyle w:val="nzSubsection"/>
        <w:keepNext/>
      </w:pPr>
      <w:r>
        <w:tab/>
        <w:t>(1)</w:t>
      </w:r>
      <w:r>
        <w:tab/>
        <w:t>A film that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film that, before the commencement of this section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r>
        <w:rPr>
          <w:rStyle w:val="CharSectno"/>
        </w:rPr>
        <w:t>47</w:t>
      </w:r>
      <w:r>
        <w:t>.</w:t>
      </w:r>
      <w:r>
        <w:tab/>
        <w:t>Transitional and savings provisions: computer games</w:t>
      </w:r>
    </w:p>
    <w:p>
      <w:pPr>
        <w:pStyle w:val="nzSubsection"/>
        <w:keepNext/>
      </w:pPr>
      <w:r>
        <w:tab/>
        <w:t>(1)</w:t>
      </w:r>
      <w:r>
        <w:tab/>
        <w:t>A computer game that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An advertisement for a computer game that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r>
        <w:rPr>
          <w:rStyle w:val="CharSectno"/>
        </w:rPr>
        <w:t>48</w:t>
      </w:r>
      <w:r>
        <w:t>.</w:t>
      </w:r>
      <w:r>
        <w:tab/>
        <w:t>Transitional: calling in, review and reclassification</w:t>
      </w:r>
    </w:p>
    <w:p>
      <w:pPr>
        <w:pStyle w:val="nzSubsection"/>
        <w:keepNext/>
      </w:pPr>
      <w:r>
        <w:tab/>
        <w:t>(1)</w:t>
      </w:r>
      <w:r>
        <w:tab/>
        <w:t xml:space="preserve">Sections 102A, 102B, 102C and 102D of the </w:t>
      </w:r>
      <w:r>
        <w:rPr>
          <w:i/>
        </w:rPr>
        <w:t>Censorship Act 1996</w:t>
      </w:r>
      <w:r>
        <w:t>, as inserted by section 22 of this Act, only apply to —</w:t>
      </w:r>
    </w:p>
    <w:p>
      <w:pPr>
        <w:pStyle w:val="nzIndenta"/>
      </w:pPr>
      <w:r>
        <w:tab/>
        <w:t>(a)</w:t>
      </w:r>
      <w:r>
        <w:tab/>
        <w:t>a publication, film or computer game first published on or after the commencement of section 22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r>
        <w:rPr>
          <w:rStyle w:val="CharSectno"/>
        </w:rPr>
        <w:t>49</w:t>
      </w:r>
      <w:r>
        <w:t>.</w:t>
      </w:r>
      <w:r>
        <w:tab/>
        <w:t>Transitional: offences</w:t>
      </w:r>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38 of this Act whether the offences were committed before or after the commencement of section 38.</w:t>
      </w:r>
    </w:p>
    <w:p>
      <w:pPr>
        <w:pStyle w:val="BlankClose"/>
        <w:rPr>
          <w:sz w:val="20"/>
          <w:szCs w:val="20"/>
        </w:rPr>
      </w:pP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BlankOpen"/>
        <w:rPr>
          <w:snapToGrid w:val="0"/>
          <w:sz w:val="20"/>
          <w:szCs w:val="20"/>
        </w:rPr>
      </w:pPr>
    </w:p>
    <w:p>
      <w:pPr>
        <w:pStyle w:val="nzHeading5"/>
        <w:spacing w:before="0"/>
      </w:pPr>
      <w:r>
        <w:rPr>
          <w:rStyle w:val="CharSectno"/>
        </w:rPr>
        <w:t>36</w:t>
      </w:r>
      <w:r>
        <w:t>.</w:t>
      </w:r>
      <w:r>
        <w:tab/>
        <w:t>Transitional</w:t>
      </w:r>
    </w:p>
    <w:p>
      <w:pPr>
        <w:pStyle w:val="nzSubsection"/>
      </w:pPr>
      <w:r>
        <w:tab/>
      </w:r>
      <w:r>
        <w:tab/>
        <w:t>Schedule 2 sets out transitional provisions.</w:t>
      </w:r>
    </w:p>
    <w:p>
      <w:pPr>
        <w:pStyle w:val="BlankClose"/>
        <w:rPr>
          <w:snapToGrid w:val="0"/>
          <w:sz w:val="20"/>
          <w:szCs w:val="20"/>
        </w:rPr>
      </w:pPr>
    </w:p>
    <w:p>
      <w:pPr>
        <w:pStyle w:val="nSubsection"/>
        <w:spacing w:before="0"/>
      </w:pPr>
      <w:r>
        <w:tab/>
        <w:t>Schedule 2 reads as follows:</w:t>
      </w:r>
    </w:p>
    <w:p>
      <w:pPr>
        <w:pStyle w:val="BlankOpen"/>
        <w:rPr>
          <w:snapToGrid w:val="0"/>
          <w:sz w:val="20"/>
          <w:szCs w:val="20"/>
        </w:rPr>
      </w:pPr>
    </w:p>
    <w:p>
      <w:pPr>
        <w:pStyle w:val="nzHeading2"/>
        <w:spacing w:before="0"/>
      </w:pPr>
      <w:r>
        <w:rPr>
          <w:rStyle w:val="CharSchNo"/>
        </w:rPr>
        <w:t>Schedule 2</w:t>
      </w:r>
      <w:r>
        <w:t xml:space="preserve"> — </w:t>
      </w:r>
      <w:r>
        <w:rPr>
          <w:rStyle w:val="CharSchText"/>
        </w:rPr>
        <w:t>Transitional</w:t>
      </w:r>
    </w:p>
    <w:p>
      <w:pPr>
        <w:pStyle w:val="nzMiscellaneousBody"/>
        <w:spacing w:before="0"/>
        <w:jc w:val="right"/>
      </w:pPr>
      <w:r>
        <w:t>[s. 36]</w:t>
      </w:r>
    </w:p>
    <w:p>
      <w:pPr>
        <w:pStyle w:val="nzHeading5"/>
        <w:spacing w:before="80"/>
      </w:pPr>
      <w:r>
        <w:rPr>
          <w:rStyle w:val="CharSClsNo"/>
        </w:rPr>
        <w:t>1</w:t>
      </w:r>
      <w:r>
        <w:t>.</w:t>
      </w:r>
      <w:r>
        <w:tab/>
        <w:t>Transitional provisions for films and advertisements with older ratings</w:t>
      </w:r>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402"/>
      </w:tblGrid>
      <w:tr>
        <w:trPr>
          <w:cantSplit/>
          <w:tblHeader/>
        </w:trPr>
        <w:tc>
          <w:tcPr>
            <w:tcW w:w="6371"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02"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402" w:type="dxa"/>
          </w:tcPr>
          <w:p>
            <w:pPr>
              <w:pStyle w:val="nzTable"/>
            </w:pPr>
            <w:r>
              <w:t>M</w:t>
            </w:r>
          </w:p>
        </w:tc>
      </w:tr>
      <w:tr>
        <w:tc>
          <w:tcPr>
            <w:tcW w:w="1276" w:type="dxa"/>
          </w:tcPr>
          <w:p>
            <w:pPr>
              <w:pStyle w:val="nzTable"/>
            </w:pPr>
            <w:r>
              <w:t>2</w:t>
            </w:r>
          </w:p>
        </w:tc>
        <w:tc>
          <w:tcPr>
            <w:tcW w:w="2693" w:type="dxa"/>
          </w:tcPr>
          <w:p>
            <w:pPr>
              <w:pStyle w:val="nzTable"/>
            </w:pPr>
            <w:r>
              <w:t>MA (15+)</w:t>
            </w:r>
          </w:p>
        </w:tc>
        <w:tc>
          <w:tcPr>
            <w:tcW w:w="2402" w:type="dxa"/>
          </w:tcPr>
          <w:p>
            <w:pPr>
              <w:pStyle w:val="nzTable"/>
            </w:pPr>
            <w:r>
              <w:t>MA 15+</w:t>
            </w:r>
          </w:p>
        </w:tc>
      </w:tr>
      <w:tr>
        <w:tc>
          <w:tcPr>
            <w:tcW w:w="1276" w:type="dxa"/>
          </w:tcPr>
          <w:p>
            <w:pPr>
              <w:pStyle w:val="nzTable"/>
            </w:pPr>
            <w:r>
              <w:t>3</w:t>
            </w:r>
          </w:p>
        </w:tc>
        <w:tc>
          <w:tcPr>
            <w:tcW w:w="2693" w:type="dxa"/>
          </w:tcPr>
          <w:p>
            <w:pPr>
              <w:pStyle w:val="nzTable"/>
            </w:pPr>
            <w:r>
              <w:t>R</w:t>
            </w:r>
          </w:p>
        </w:tc>
        <w:tc>
          <w:tcPr>
            <w:tcW w:w="2402" w:type="dxa"/>
          </w:tcPr>
          <w:p>
            <w:pPr>
              <w:pStyle w:val="nzTable"/>
            </w:pPr>
            <w:r>
              <w:t>R 18+</w:t>
            </w:r>
          </w:p>
        </w:tc>
      </w:tr>
      <w:tr>
        <w:tc>
          <w:tcPr>
            <w:tcW w:w="1276" w:type="dxa"/>
          </w:tcPr>
          <w:p>
            <w:pPr>
              <w:pStyle w:val="nzTable"/>
            </w:pPr>
            <w:r>
              <w:t>4</w:t>
            </w:r>
          </w:p>
        </w:tc>
        <w:tc>
          <w:tcPr>
            <w:tcW w:w="2693" w:type="dxa"/>
          </w:tcPr>
          <w:p>
            <w:pPr>
              <w:pStyle w:val="nzTable"/>
            </w:pPr>
            <w:r>
              <w:t>X</w:t>
            </w:r>
          </w:p>
        </w:tc>
        <w:tc>
          <w:tcPr>
            <w:tcW w:w="2402" w:type="dxa"/>
          </w:tcPr>
          <w:p>
            <w:pPr>
              <w:pStyle w:val="nzTable"/>
            </w:pPr>
            <w:r>
              <w:t>X 18+</w:t>
            </w:r>
          </w:p>
        </w:tc>
      </w:tr>
    </w:tbl>
    <w:p>
      <w:pPr>
        <w:pStyle w:val="nzHeading5"/>
      </w:pPr>
      <w:r>
        <w:rPr>
          <w:rStyle w:val="CharSClsNo"/>
        </w:rPr>
        <w:t>2</w:t>
      </w:r>
      <w:r>
        <w:t>.</w:t>
      </w:r>
      <w:r>
        <w:tab/>
        <w:t>Transitional provisions for computer games and advertisements with older ratings</w:t>
      </w:r>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BlankClose"/>
        <w:rPr>
          <w:sz w:val="20"/>
          <w:szCs w:val="20"/>
        </w:rPr>
      </w:pP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BlankOpen"/>
        <w:rPr>
          <w:snapToGrid w:val="0"/>
          <w:sz w:val="20"/>
          <w:szCs w:val="20"/>
        </w:rPr>
      </w:pPr>
    </w:p>
    <w:p>
      <w:pPr>
        <w:pStyle w:val="nzSubsection"/>
        <w:spacing w:before="0"/>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rPr>
        <w:t xml:space="preserve">he reference in the </w:t>
      </w:r>
      <w:r>
        <w:rPr>
          <w:i/>
          <w:iCs/>
          <w:szCs w:val="24"/>
        </w:rPr>
        <w:t>Community Protection (Offender Reporting) Act 2004</w:t>
      </w:r>
      <w:r>
        <w:rPr>
          <w:szCs w:val="24"/>
        </w:rPr>
        <w:t xml:space="preserve"> Schedule 2 or the </w:t>
      </w:r>
      <w:r>
        <w:rPr>
          <w:i/>
          <w:szCs w:val="24"/>
        </w:rPr>
        <w:t>Working with Children (Criminal Record Checking) Act 2004</w:t>
      </w:r>
      <w:r>
        <w:rPr>
          <w:szCs w:val="24"/>
        </w:rPr>
        <w:t xml:space="preserve"> Schedule 2 to the</w:t>
      </w:r>
      <w:r>
        <w:rPr>
          <w:i/>
          <w:iCs/>
          <w:szCs w:val="24"/>
        </w:rPr>
        <w:t xml:space="preserve"> Classification (Publications, Films and Computer Games) Enforcement Act 1996</w:t>
      </w:r>
      <w:r>
        <w:rPr>
          <w:szCs w:val="24"/>
        </w:rPr>
        <w:t xml:space="preserve"> is taken to include, and always to have included, a reference to the </w:t>
      </w:r>
      <w:r>
        <w:rPr>
          <w:i/>
          <w:iCs/>
          <w:szCs w:val="24"/>
        </w:rPr>
        <w:t>Censorship Act 1996</w:t>
      </w:r>
      <w:r>
        <w:t>.</w:t>
      </w:r>
    </w:p>
    <w:p>
      <w:pPr>
        <w:pStyle w:val="BlankClose"/>
        <w:rPr>
          <w:sz w:val="20"/>
          <w:szCs w:val="20"/>
        </w:rPr>
      </w:pPr>
    </w:p>
    <w:p/>
    <w:p>
      <w:pPr>
        <w:sectPr>
          <w:headerReference w:type="even" r:id="rId26"/>
          <w:headerReference w:type="default" r:id="rId27"/>
          <w:foot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acceptable proof of age</w:t>
      </w:r>
      <w:r>
        <w:tab/>
        <w:t>3</w:t>
      </w:r>
    </w:p>
    <w:p>
      <w:pPr>
        <w:pStyle w:val="DefinedTerms"/>
      </w:pPr>
      <w:r>
        <w:t>adult</w:t>
      </w:r>
      <w:r>
        <w:tab/>
        <w:t>3</w:t>
      </w:r>
    </w:p>
    <w:p>
      <w:pPr>
        <w:pStyle w:val="DefinedTerms"/>
      </w:pPr>
      <w:r>
        <w:t>advertisement</w:t>
      </w:r>
      <w:r>
        <w:tab/>
        <w:t>3</w:t>
      </w:r>
    </w:p>
    <w:p>
      <w:pPr>
        <w:pStyle w:val="DefinedTerms"/>
      </w:pPr>
      <w:r>
        <w:t>advertising scheme</w:t>
      </w:r>
      <w:r>
        <w:tab/>
        <w:t>3</w:t>
      </w:r>
    </w:p>
    <w:p>
      <w:pPr>
        <w:pStyle w:val="DefinedTerms"/>
      </w:pPr>
      <w:r>
        <w:t>approved advertisement</w:t>
      </w:r>
      <w:r>
        <w:tab/>
        <w:t>3</w:t>
      </w:r>
    </w:p>
    <w:p>
      <w:pPr>
        <w:pStyle w:val="DefinedTerms"/>
      </w:pPr>
      <w:r>
        <w:t>approved form</w:t>
      </w:r>
      <w:r>
        <w:tab/>
        <w:t>3, 97A(4), 133(4)</w:t>
      </w:r>
    </w:p>
    <w:p>
      <w:pPr>
        <w:pStyle w:val="DefinedTerms"/>
      </w:pPr>
      <w:r>
        <w:t>article</w:t>
      </w:r>
      <w:r>
        <w:tab/>
        <w:t>3</w:t>
      </w:r>
    </w:p>
    <w:p>
      <w:pPr>
        <w:pStyle w:val="DefinedTerms"/>
      </w:pPr>
      <w:r>
        <w:t>authorised person</w:t>
      </w:r>
      <w:r>
        <w:tab/>
        <w:t>3</w:t>
      </w:r>
    </w:p>
    <w:p>
      <w:pPr>
        <w:pStyle w:val="DefinedTerms"/>
      </w:pPr>
      <w:r>
        <w:t>Board</w:t>
      </w:r>
      <w:r>
        <w:tab/>
        <w:t>3</w:t>
      </w:r>
    </w:p>
    <w:p>
      <w:pPr>
        <w:pStyle w:val="DefinedTerms"/>
      </w:pPr>
      <w:r>
        <w:t>business day</w:t>
      </w:r>
      <w:r>
        <w:tab/>
        <w:t>3</w:t>
      </w:r>
    </w:p>
    <w:p>
      <w:pPr>
        <w:pStyle w:val="DefinedTerms"/>
      </w:pPr>
      <w:r>
        <w:t>buy</w:t>
      </w:r>
      <w:r>
        <w:tab/>
        <w:t>3</w:t>
      </w:r>
    </w:p>
    <w:p>
      <w:pPr>
        <w:pStyle w:val="DefinedTerms"/>
      </w:pPr>
      <w:r>
        <w:t>classification certificate</w:t>
      </w:r>
      <w:r>
        <w:tab/>
        <w:t>3</w:t>
      </w:r>
    </w:p>
    <w:p>
      <w:pPr>
        <w:pStyle w:val="DefinedTerms"/>
      </w:pPr>
      <w:r>
        <w:t>classified</w:t>
      </w:r>
      <w:r>
        <w:tab/>
        <w:t>3</w:t>
      </w:r>
    </w:p>
    <w:p>
      <w:pPr>
        <w:pStyle w:val="DefinedTerms"/>
      </w:pPr>
      <w:r>
        <w:t>code of practice</w:t>
      </w:r>
      <w:r>
        <w:tab/>
        <w:t>99</w:t>
      </w:r>
    </w:p>
    <w:p>
      <w:pPr>
        <w:pStyle w:val="DefinedTerms"/>
      </w:pPr>
      <w:r>
        <w:t>commencement</w:t>
      </w:r>
      <w:r>
        <w:tab/>
        <w:t>144</w:t>
      </w:r>
    </w:p>
    <w:p>
      <w:pPr>
        <w:pStyle w:val="DefinedTerms"/>
      </w:pPr>
      <w:r>
        <w:t>Commonwealth Act</w:t>
      </w:r>
      <w:r>
        <w:tab/>
        <w:t>3</w:t>
      </w:r>
    </w:p>
    <w:p>
      <w:pPr>
        <w:pStyle w:val="DefinedTerms"/>
      </w:pPr>
      <w:r>
        <w:t>Commonwealth Gazette</w:t>
      </w:r>
      <w:r>
        <w:tab/>
        <w:t>3</w:t>
      </w:r>
    </w:p>
    <w:p>
      <w:pPr>
        <w:pStyle w:val="DefinedTerms"/>
      </w:pPr>
      <w:r>
        <w:t>computer game</w:t>
      </w:r>
      <w:r>
        <w:tab/>
        <w:t>3</w:t>
      </w:r>
    </w:p>
    <w:p>
      <w:pPr>
        <w:pStyle w:val="DefinedTerms"/>
      </w:pPr>
      <w:r>
        <w:t>computer service</w:t>
      </w:r>
      <w:r>
        <w:tab/>
        <w:t>99</w:t>
      </w:r>
    </w:p>
    <w:p>
      <w:pPr>
        <w:pStyle w:val="DefinedTerms"/>
      </w:pPr>
      <w:r>
        <w:t>consumer advice</w:t>
      </w:r>
      <w:r>
        <w:tab/>
        <w:t>3</w:t>
      </w:r>
    </w:p>
    <w:p>
      <w:pPr>
        <w:pStyle w:val="DefinedTerms"/>
      </w:pPr>
      <w:r>
        <w:t>contentious material</w:t>
      </w:r>
      <w:r>
        <w:tab/>
        <w:t>3</w:t>
      </w:r>
    </w:p>
    <w:p>
      <w:pPr>
        <w:pStyle w:val="DefinedTerms"/>
      </w:pPr>
      <w:r>
        <w:t>Convenor</w:t>
      </w:r>
      <w:r>
        <w:tab/>
        <w:t>3</w:t>
      </w:r>
    </w:p>
    <w:p>
      <w:pPr>
        <w:pStyle w:val="DefinedTerms"/>
      </w:pPr>
      <w:r>
        <w:t>demonstrate</w:t>
      </w:r>
      <w:r>
        <w:tab/>
        <w:t>3</w:t>
      </w:r>
    </w:p>
    <w:p>
      <w:pPr>
        <w:pStyle w:val="DefinedTerms"/>
      </w:pPr>
      <w:r>
        <w:t>Deputy Director</w:t>
      </w:r>
      <w:r>
        <w:tab/>
        <w:t>3</w:t>
      </w:r>
    </w:p>
    <w:p>
      <w:pPr>
        <w:pStyle w:val="DefinedTerms"/>
      </w:pPr>
      <w:r>
        <w:t>designated person</w:t>
      </w:r>
      <w:r>
        <w:tab/>
        <w:t>117C</w:t>
      </w:r>
    </w:p>
    <w:p>
      <w:pPr>
        <w:pStyle w:val="DefinedTerms"/>
      </w:pPr>
      <w:r>
        <w:t>determined markings</w:t>
      </w:r>
      <w:r>
        <w:tab/>
        <w:t>3</w:t>
      </w:r>
    </w:p>
    <w:p>
      <w:pPr>
        <w:pStyle w:val="DefinedTerms"/>
      </w:pPr>
      <w:r>
        <w:t>Director</w:t>
      </w:r>
      <w:r>
        <w:tab/>
        <w:t>3</w:t>
      </w:r>
    </w:p>
    <w:p>
      <w:pPr>
        <w:pStyle w:val="DefinedTerms"/>
      </w:pPr>
      <w:r>
        <w:t>exempt computer game</w:t>
      </w:r>
      <w:r>
        <w:tab/>
        <w:t>3</w:t>
      </w:r>
    </w:p>
    <w:p>
      <w:pPr>
        <w:pStyle w:val="DefinedTerms"/>
      </w:pPr>
      <w:r>
        <w:t>exempt film</w:t>
      </w:r>
      <w:r>
        <w:tab/>
        <w:t>3</w:t>
      </w:r>
    </w:p>
    <w:p>
      <w:pPr>
        <w:pStyle w:val="DefinedTerms"/>
      </w:pPr>
      <w:r>
        <w:t>exhibit</w:t>
      </w:r>
      <w:r>
        <w:tab/>
        <w:t>3</w:t>
      </w:r>
    </w:p>
    <w:p>
      <w:pPr>
        <w:pStyle w:val="DefinedTerms"/>
      </w:pPr>
      <w:r>
        <w:t>feature film</w:t>
      </w:r>
      <w:r>
        <w:tab/>
        <w:t>92(1), 94(1)</w:t>
      </w:r>
    </w:p>
    <w:p>
      <w:pPr>
        <w:pStyle w:val="DefinedTerms"/>
      </w:pPr>
      <w:r>
        <w:t>film</w:t>
      </w:r>
      <w:r>
        <w:tab/>
        <w:t>3</w:t>
      </w:r>
    </w:p>
    <w:p>
      <w:pPr>
        <w:pStyle w:val="DefinedTerms"/>
      </w:pPr>
      <w:r>
        <w:t>former Act</w:t>
      </w:r>
      <w:r>
        <w:tab/>
        <w:t>146(1), 147(1), 148(1)</w:t>
      </w:r>
    </w:p>
    <w:p>
      <w:pPr>
        <w:pStyle w:val="DefinedTerms"/>
      </w:pPr>
      <w:r>
        <w:t>illegal advertisement</w:t>
      </w:r>
      <w:r>
        <w:tab/>
        <w:t>96(2)</w:t>
      </w:r>
    </w:p>
    <w:p>
      <w:pPr>
        <w:pStyle w:val="DefinedTerms"/>
      </w:pPr>
      <w:r>
        <w:t>international flight</w:t>
      </w:r>
      <w:r>
        <w:tab/>
        <w:t>3</w:t>
      </w:r>
    </w:p>
    <w:p>
      <w:pPr>
        <w:pStyle w:val="DefinedTerms"/>
      </w:pPr>
      <w:r>
        <w:t>international voyage</w:t>
      </w:r>
      <w:r>
        <w:tab/>
        <w:t>3</w:t>
      </w:r>
    </w:p>
    <w:p>
      <w:pPr>
        <w:pStyle w:val="DefinedTerms"/>
      </w:pPr>
      <w:r>
        <w:t>lawfully seized</w:t>
      </w:r>
      <w:r>
        <w:tab/>
        <w:t>117(9)</w:t>
      </w:r>
    </w:p>
    <w:p>
      <w:pPr>
        <w:pStyle w:val="DefinedTerms"/>
      </w:pPr>
      <w:r>
        <w:t>main game</w:t>
      </w:r>
      <w:r>
        <w:tab/>
        <w:t>95(1)</w:t>
      </w:r>
    </w:p>
    <w:p>
      <w:pPr>
        <w:pStyle w:val="DefinedTerms"/>
      </w:pPr>
      <w:r>
        <w:t>minor</w:t>
      </w:r>
      <w:r>
        <w:tab/>
        <w:t>3</w:t>
      </w:r>
    </w:p>
    <w:p>
      <w:pPr>
        <w:pStyle w:val="DefinedTerms"/>
      </w:pPr>
      <w:r>
        <w:t>objectionable material</w:t>
      </w:r>
      <w:r>
        <w:tab/>
        <w:t>99</w:t>
      </w:r>
    </w:p>
    <w:p>
      <w:pPr>
        <w:pStyle w:val="DefinedTerms"/>
      </w:pPr>
      <w:r>
        <w:t>Ordinance</w:t>
      </w:r>
      <w:r>
        <w:tab/>
        <w:t>149(1)</w:t>
      </w:r>
    </w:p>
    <w:p>
      <w:pPr>
        <w:pStyle w:val="DefinedTerms"/>
      </w:pPr>
      <w:r>
        <w:t>place</w:t>
      </w:r>
      <w:r>
        <w:tab/>
        <w:t>3</w:t>
      </w:r>
    </w:p>
    <w:p>
      <w:pPr>
        <w:pStyle w:val="DefinedTerms"/>
      </w:pPr>
      <w:r>
        <w:t>plain</w:t>
      </w:r>
      <w:r>
        <w:tab/>
        <w:t>64(5)</w:t>
      </w:r>
    </w:p>
    <w:p>
      <w:pPr>
        <w:pStyle w:val="DefinedTerms"/>
      </w:pPr>
      <w:r>
        <w:t>prescribed period</w:t>
      </w:r>
      <w:r>
        <w:tab/>
        <w:t>117A(8), 141A(8)</w:t>
      </w:r>
    </w:p>
    <w:p>
      <w:pPr>
        <w:pStyle w:val="DefinedTerms"/>
      </w:pPr>
      <w:r>
        <w:t>products</w:t>
      </w:r>
      <w:r>
        <w:tab/>
        <w:t>117A(8)</w:t>
      </w:r>
    </w:p>
    <w:p>
      <w:pPr>
        <w:pStyle w:val="DefinedTerms"/>
      </w:pPr>
      <w:r>
        <w:t>public place</w:t>
      </w:r>
      <w:r>
        <w:tab/>
        <w:t>3</w:t>
      </w:r>
    </w:p>
    <w:p>
      <w:pPr>
        <w:pStyle w:val="DefinedTerms"/>
      </w:pPr>
      <w:r>
        <w:t>publication</w:t>
      </w:r>
      <w:r>
        <w:tab/>
        <w:t>3</w:t>
      </w:r>
    </w:p>
    <w:p>
      <w:pPr>
        <w:pStyle w:val="DefinedTerms"/>
      </w:pPr>
      <w:r>
        <w:t>publish</w:t>
      </w:r>
      <w:r>
        <w:tab/>
        <w:t>3</w:t>
      </w:r>
    </w:p>
    <w:p>
      <w:pPr>
        <w:pStyle w:val="DefinedTerms"/>
      </w:pPr>
      <w:r>
        <w:t>registered person</w:t>
      </w:r>
      <w:r>
        <w:tab/>
        <w:t>3</w:t>
      </w:r>
    </w:p>
    <w:p>
      <w:pPr>
        <w:pStyle w:val="DefinedTerms"/>
      </w:pPr>
      <w:r>
        <w:t>registered premises</w:t>
      </w:r>
      <w:r>
        <w:tab/>
        <w:t>3</w:t>
      </w:r>
    </w:p>
    <w:p>
      <w:pPr>
        <w:pStyle w:val="DefinedTerms"/>
      </w:pPr>
      <w:r>
        <w:t>Registrar</w:t>
      </w:r>
      <w:r>
        <w:tab/>
        <w:t>3</w:t>
      </w:r>
    </w:p>
    <w:p>
      <w:pPr>
        <w:pStyle w:val="DefinedTerms"/>
      </w:pPr>
      <w:r>
        <w:t>relevant section</w:t>
      </w:r>
      <w:r>
        <w:tab/>
        <w:t>153A</w:t>
      </w:r>
    </w:p>
    <w:p>
      <w:pPr>
        <w:pStyle w:val="DefinedTerms"/>
      </w:pPr>
      <w:r>
        <w:t>restricted material</w:t>
      </w:r>
      <w:r>
        <w:tab/>
        <w:t>99</w:t>
      </w:r>
    </w:p>
    <w:p>
      <w:pPr>
        <w:pStyle w:val="DefinedTerms"/>
      </w:pPr>
      <w:r>
        <w:t>Review Board</w:t>
      </w:r>
      <w:r>
        <w:tab/>
        <w:t>3</w:t>
      </w:r>
    </w:p>
    <w:p>
      <w:pPr>
        <w:pStyle w:val="DefinedTerms"/>
      </w:pPr>
      <w:r>
        <w:t>seized copies</w:t>
      </w:r>
      <w:r>
        <w:tab/>
        <w:t>117A(1)</w:t>
      </w:r>
    </w:p>
    <w:p>
      <w:pPr>
        <w:pStyle w:val="DefinedTerms"/>
      </w:pPr>
      <w:r>
        <w:t>seized products</w:t>
      </w:r>
      <w:r>
        <w:tab/>
        <w:t>117A(1)</w:t>
      </w:r>
    </w:p>
    <w:p>
      <w:pPr>
        <w:pStyle w:val="DefinedTerms"/>
      </w:pPr>
      <w:r>
        <w:t>sell</w:t>
      </w:r>
      <w:r>
        <w:tab/>
        <w:t>3</w:t>
      </w:r>
    </w:p>
    <w:p>
      <w:pPr>
        <w:pStyle w:val="DefinedTerms"/>
      </w:pPr>
      <w:r>
        <w:t>sound recording</w:t>
      </w:r>
      <w:r>
        <w:tab/>
        <w:t>3</w:t>
      </w:r>
    </w:p>
    <w:p>
      <w:pPr>
        <w:pStyle w:val="DefinedTerms"/>
      </w:pPr>
      <w:r>
        <w:t>submittable publication</w:t>
      </w:r>
      <w:r>
        <w:tab/>
        <w:t>3</w:t>
      </w:r>
    </w:p>
    <w:p>
      <w:pPr>
        <w:pStyle w:val="DefinedTerms"/>
      </w:pPr>
      <w:r>
        <w:t>transitional Commonwealth regulation</w:t>
      </w:r>
      <w:r>
        <w:tab/>
        <w:t>152A(2)</w:t>
      </w:r>
    </w:p>
    <w:p>
      <w:pPr>
        <w:pStyle w:val="DefinedTerms"/>
      </w:pPr>
      <w:r>
        <w:t>unapproved advertisement</w:t>
      </w:r>
      <w:r>
        <w:tab/>
        <w:t>90(2)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8" w:name="DefinedTerms"/>
    <w:bookmarkEnd w:id="2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9" w:name="Coversheet"/>
    <w:bookmarkEnd w:id="2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604"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Classification (Publications, Films and Computer Games) Enforcement Act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24"/>
    <w:docVar w:name="WAFER_20131217135134" w:val="RemoveTocBookmarks,RemoveUnusedBookmarks,RemoveLanguageTags,UsedStyles,ResetPageSize,UpdateArrangement"/>
    <w:docVar w:name="WAFER_20131217135134_GUID" w:val="7713653a-e398-4a70-8f92-dfb0cb8ca436"/>
    <w:docVar w:name="WAFER_20150401111337" w:val="ResetPageSize,UpdateArrangement,UpdateNTable"/>
    <w:docVar w:name="WAFER_20150401111337_GUID" w:val="df848835-82c0-4ebe-bca8-af088e0f1818"/>
    <w:docVar w:name="WAFER_20151102152637" w:val="UpdateStyles,UsedStyles"/>
    <w:docVar w:name="WAFER_20151102152637_GUID" w:val="0b860cb1-0839-4da9-96ad-109f3c70e972"/>
    <w:docVar w:name="WAFER_20151102152649" w:val="UpdateStyles,UsedStyles"/>
    <w:docVar w:name="WAFER_20151102152649_GUID" w:val="4a784bd5-6e1e-48a3-99da-4caa07bd91b0"/>
    <w:docVar w:name="WAFER_20151201084624" w:val="RemoveTrackChanges"/>
    <w:docVar w:name="WAFER_20151201084624_GUID" w:val="96b35300-30b8-4e99-ac1d-49a6fafb50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23324</Words>
  <Characters>109393</Characters>
  <Application>Microsoft Office Word</Application>
  <DocSecurity>0</DocSecurity>
  <Lines>3125</Lines>
  <Paragraphs>2010</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130707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1996 - 03-c0-05</dc:title>
  <dc:subject/>
  <dc:creator/>
  <cp:keywords/>
  <dc:description/>
  <cp:lastModifiedBy>svcMRProcess</cp:lastModifiedBy>
  <cp:revision>4</cp:revision>
  <cp:lastPrinted>2011-06-09T07:43:00Z</cp:lastPrinted>
  <dcterms:created xsi:type="dcterms:W3CDTF">2018-08-21T15:50:00Z</dcterms:created>
  <dcterms:modified xsi:type="dcterms:W3CDTF">2018-08-21T15:50:00Z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20130101</vt:lpwstr>
  </property>
  <property fmtid="{D5CDD505-2E9C-101B-9397-08002B2CF9AE}" pid="4" name="DocumentType">
    <vt:lpwstr>Act</vt:lpwstr>
  </property>
  <property fmtid="{D5CDD505-2E9C-101B-9397-08002B2CF9AE}" pid="5" name="OwlsUID">
    <vt:i4>114</vt:i4>
  </property>
  <property fmtid="{D5CDD505-2E9C-101B-9397-08002B2CF9AE}" pid="6" name="ReprintNo">
    <vt:lpwstr>3</vt:lpwstr>
  </property>
  <property fmtid="{D5CDD505-2E9C-101B-9397-08002B2CF9AE}" pid="7" name="ReprintedAsAt">
    <vt:filetime>2011-05-12T16:00:00Z</vt:filetime>
  </property>
  <property fmtid="{D5CDD505-2E9C-101B-9397-08002B2CF9AE}" pid="8" name="AsAtDate">
    <vt:lpwstr>01 Jan 2013</vt:lpwstr>
  </property>
  <property fmtid="{D5CDD505-2E9C-101B-9397-08002B2CF9AE}" pid="9" name="Suffix">
    <vt:lpwstr>03-c0-05</vt:lpwstr>
  </property>
</Properties>
</file>