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Tourism Commission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Tourism Commission Act 1983</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_Toc158008408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_Toc158008409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_Toc158008410 \h </w:instrText>
      </w:r>
      <w:r>
        <w:fldChar w:fldCharType="separate"/>
      </w:r>
      <w:r>
        <w:t>2</w:t>
      </w:r>
      <w:r>
        <w:fldChar w:fldCharType="end"/>
      </w:r>
    </w:p>
    <w:p>
      <w:pPr>
        <w:pStyle w:val="TOC2"/>
        <w:tabs>
          <w:tab w:val="right" w:leader="dot" w:pos="7086"/>
        </w:tabs>
        <w:rPr>
          <w:b w:val="0"/>
          <w:sz w:val="24"/>
        </w:rPr>
      </w:pPr>
      <w:r>
        <w:t>Part II — Administration</w:t>
      </w:r>
    </w:p>
    <w:p>
      <w:pPr>
        <w:pStyle w:val="TOC4"/>
        <w:tabs>
          <w:tab w:val="right" w:leader="dot" w:pos="7086"/>
        </w:tabs>
        <w:rPr>
          <w:b w:val="0"/>
          <w:sz w:val="24"/>
        </w:rPr>
      </w:pPr>
      <w:r>
        <w:t>Division 1</w:t>
      </w:r>
      <w:r>
        <w:rPr>
          <w:snapToGrid w:val="0"/>
        </w:rPr>
        <w:t> — </w:t>
      </w:r>
      <w:r>
        <w:t>Western Australian Tourism Commission</w:t>
      </w:r>
    </w:p>
    <w:p>
      <w:pPr>
        <w:pStyle w:val="TOC8"/>
        <w:rPr>
          <w:sz w:val="24"/>
        </w:rPr>
      </w:pPr>
      <w:r>
        <w:t>4</w:t>
      </w:r>
      <w:r>
        <w:rPr>
          <w:snapToGrid w:val="0"/>
        </w:rPr>
        <w:t>.</w:t>
      </w:r>
      <w:r>
        <w:rPr>
          <w:snapToGrid w:val="0"/>
        </w:rPr>
        <w:tab/>
        <w:t>The Commission</w:t>
      </w:r>
      <w:r>
        <w:tab/>
      </w:r>
      <w:r>
        <w:fldChar w:fldCharType="begin"/>
      </w:r>
      <w:r>
        <w:instrText xml:space="preserve"> PAGEREF _Toc158008413 \h </w:instrText>
      </w:r>
      <w:r>
        <w:fldChar w:fldCharType="separate"/>
      </w:r>
      <w:r>
        <w:t>3</w:t>
      </w:r>
      <w:r>
        <w:fldChar w:fldCharType="end"/>
      </w:r>
    </w:p>
    <w:p>
      <w:pPr>
        <w:pStyle w:val="TOC8"/>
        <w:rPr>
          <w:sz w:val="24"/>
        </w:rPr>
      </w:pPr>
      <w:r>
        <w:t>4A</w:t>
      </w:r>
      <w:r>
        <w:rPr>
          <w:snapToGrid w:val="0"/>
        </w:rPr>
        <w:t xml:space="preserve">. </w:t>
      </w:r>
      <w:r>
        <w:rPr>
          <w:snapToGrid w:val="0"/>
        </w:rPr>
        <w:tab/>
        <w:t>Board of Commissioners</w:t>
      </w:r>
      <w:r>
        <w:tab/>
      </w:r>
      <w:r>
        <w:fldChar w:fldCharType="begin"/>
      </w:r>
      <w:r>
        <w:instrText xml:space="preserve"> PAGEREF _Toc158008414 \h </w:instrText>
      </w:r>
      <w:r>
        <w:fldChar w:fldCharType="separate"/>
      </w:r>
      <w:r>
        <w:t>3</w:t>
      </w:r>
      <w:r>
        <w:fldChar w:fldCharType="end"/>
      </w:r>
    </w:p>
    <w:p>
      <w:pPr>
        <w:pStyle w:val="TOC8"/>
        <w:rPr>
          <w:sz w:val="24"/>
        </w:rPr>
      </w:pPr>
      <w:r>
        <w:t>5</w:t>
      </w:r>
      <w:r>
        <w:rPr>
          <w:snapToGrid w:val="0"/>
        </w:rPr>
        <w:t>.</w:t>
      </w:r>
      <w:r>
        <w:rPr>
          <w:snapToGrid w:val="0"/>
        </w:rPr>
        <w:tab/>
        <w:t>Composition of the Commission</w:t>
      </w:r>
      <w:r>
        <w:tab/>
      </w:r>
      <w:r>
        <w:fldChar w:fldCharType="begin"/>
      </w:r>
      <w:r>
        <w:instrText xml:space="preserve"> PAGEREF _Toc158008415 \h </w:instrText>
      </w:r>
      <w:r>
        <w:fldChar w:fldCharType="separate"/>
      </w:r>
      <w:r>
        <w:t>4</w:t>
      </w:r>
      <w:r>
        <w:fldChar w:fldCharType="end"/>
      </w:r>
    </w:p>
    <w:p>
      <w:pPr>
        <w:pStyle w:val="TOC8"/>
        <w:rPr>
          <w:sz w:val="24"/>
        </w:rPr>
      </w:pPr>
      <w:r>
        <w:t>6</w:t>
      </w:r>
      <w:r>
        <w:rPr>
          <w:snapToGrid w:val="0"/>
        </w:rPr>
        <w:t>.</w:t>
      </w:r>
      <w:r>
        <w:rPr>
          <w:snapToGrid w:val="0"/>
        </w:rPr>
        <w:tab/>
        <w:t>Acting members</w:t>
      </w:r>
      <w:r>
        <w:tab/>
      </w:r>
      <w:r>
        <w:fldChar w:fldCharType="begin"/>
      </w:r>
      <w:r>
        <w:instrText xml:space="preserve"> PAGEREF _Toc158008416 \h </w:instrText>
      </w:r>
      <w:r>
        <w:fldChar w:fldCharType="separate"/>
      </w:r>
      <w:r>
        <w:t>5</w:t>
      </w:r>
      <w:r>
        <w:fldChar w:fldCharType="end"/>
      </w:r>
    </w:p>
    <w:p>
      <w:pPr>
        <w:pStyle w:val="TOC8"/>
        <w:rPr>
          <w:sz w:val="24"/>
        </w:rPr>
      </w:pPr>
      <w:r>
        <w:t>7</w:t>
      </w:r>
      <w:r>
        <w:rPr>
          <w:snapToGrid w:val="0"/>
        </w:rPr>
        <w:t>.</w:t>
      </w:r>
      <w:r>
        <w:rPr>
          <w:snapToGrid w:val="0"/>
        </w:rPr>
        <w:tab/>
        <w:t>Remuneration of members</w:t>
      </w:r>
      <w:r>
        <w:tab/>
      </w:r>
      <w:r>
        <w:fldChar w:fldCharType="begin"/>
      </w:r>
      <w:r>
        <w:instrText xml:space="preserve"> PAGEREF _Toc158008417 \h </w:instrText>
      </w:r>
      <w:r>
        <w:fldChar w:fldCharType="separate"/>
      </w:r>
      <w:r>
        <w:t>5</w:t>
      </w:r>
      <w:r>
        <w:fldChar w:fldCharType="end"/>
      </w:r>
    </w:p>
    <w:p>
      <w:pPr>
        <w:pStyle w:val="TOC8"/>
        <w:rPr>
          <w:sz w:val="24"/>
        </w:rPr>
      </w:pPr>
      <w:r>
        <w:t>8</w:t>
      </w:r>
      <w:r>
        <w:rPr>
          <w:snapToGrid w:val="0"/>
        </w:rPr>
        <w:t>.</w:t>
      </w:r>
      <w:r>
        <w:rPr>
          <w:snapToGrid w:val="0"/>
        </w:rPr>
        <w:tab/>
        <w:t>Proceedings of the Board</w:t>
      </w:r>
      <w:r>
        <w:tab/>
      </w:r>
      <w:r>
        <w:fldChar w:fldCharType="begin"/>
      </w:r>
      <w:r>
        <w:instrText xml:space="preserve"> PAGEREF _Toc158008418 \h </w:instrText>
      </w:r>
      <w:r>
        <w:fldChar w:fldCharType="separate"/>
      </w:r>
      <w:r>
        <w:t>6</w:t>
      </w:r>
      <w:r>
        <w:fldChar w:fldCharType="end"/>
      </w:r>
    </w:p>
    <w:p>
      <w:pPr>
        <w:pStyle w:val="TOC8"/>
        <w:rPr>
          <w:sz w:val="24"/>
        </w:rPr>
      </w:pPr>
      <w:r>
        <w:t>9</w:t>
      </w:r>
      <w:r>
        <w:rPr>
          <w:snapToGrid w:val="0"/>
        </w:rPr>
        <w:t>.</w:t>
      </w:r>
      <w:r>
        <w:rPr>
          <w:snapToGrid w:val="0"/>
        </w:rPr>
        <w:tab/>
        <w:t>Matters not to be invalidated by vacancies, or defects in appointment</w:t>
      </w:r>
      <w:r>
        <w:tab/>
      </w:r>
      <w:r>
        <w:fldChar w:fldCharType="begin"/>
      </w:r>
      <w:r>
        <w:instrText xml:space="preserve"> PAGEREF _Toc158008419 \h </w:instrText>
      </w:r>
      <w:r>
        <w:fldChar w:fldCharType="separate"/>
      </w:r>
      <w:r>
        <w:t>7</w:t>
      </w:r>
      <w:r>
        <w:fldChar w:fldCharType="end"/>
      </w:r>
    </w:p>
    <w:p>
      <w:pPr>
        <w:pStyle w:val="TOC8"/>
        <w:rPr>
          <w:sz w:val="24"/>
        </w:rPr>
      </w:pPr>
      <w:r>
        <w:t>10</w:t>
      </w:r>
      <w:r>
        <w:rPr>
          <w:snapToGrid w:val="0"/>
        </w:rPr>
        <w:t>.</w:t>
      </w:r>
      <w:r>
        <w:rPr>
          <w:snapToGrid w:val="0"/>
        </w:rPr>
        <w:tab/>
        <w:t>Liability of members</w:t>
      </w:r>
      <w:r>
        <w:tab/>
      </w:r>
      <w:r>
        <w:fldChar w:fldCharType="begin"/>
      </w:r>
      <w:r>
        <w:instrText xml:space="preserve"> PAGEREF _Toc158008420 \h </w:instrText>
      </w:r>
      <w:r>
        <w:fldChar w:fldCharType="separate"/>
      </w:r>
      <w:r>
        <w:t>7</w:t>
      </w:r>
      <w:r>
        <w:fldChar w:fldCharType="end"/>
      </w:r>
    </w:p>
    <w:p>
      <w:pPr>
        <w:pStyle w:val="TOC8"/>
        <w:rPr>
          <w:sz w:val="24"/>
        </w:rPr>
      </w:pPr>
      <w:r>
        <w:t>11</w:t>
      </w:r>
      <w:r>
        <w:rPr>
          <w:snapToGrid w:val="0"/>
        </w:rPr>
        <w:t>.</w:t>
      </w:r>
      <w:r>
        <w:rPr>
          <w:snapToGrid w:val="0"/>
        </w:rPr>
        <w:tab/>
        <w:t>Pecuniary interests of members to be disclosed</w:t>
      </w:r>
      <w:r>
        <w:tab/>
      </w:r>
      <w:r>
        <w:fldChar w:fldCharType="begin"/>
      </w:r>
      <w:r>
        <w:instrText xml:space="preserve"> PAGEREF _Toc158008421 \h </w:instrText>
      </w:r>
      <w:r>
        <w:fldChar w:fldCharType="separate"/>
      </w:r>
      <w:r>
        <w:t>7</w:t>
      </w:r>
      <w:r>
        <w:fldChar w:fldCharType="end"/>
      </w:r>
    </w:p>
    <w:p>
      <w:pPr>
        <w:pStyle w:val="TOC4"/>
        <w:tabs>
          <w:tab w:val="right" w:leader="dot" w:pos="7086"/>
        </w:tabs>
        <w:rPr>
          <w:b w:val="0"/>
          <w:sz w:val="24"/>
        </w:rPr>
      </w:pPr>
      <w:r>
        <w:t>Division 2</w:t>
      </w:r>
      <w:r>
        <w:rPr>
          <w:snapToGrid w:val="0"/>
        </w:rPr>
        <w:t> — </w:t>
      </w:r>
      <w:r>
        <w:t>Functions and powers of the Commission</w:t>
      </w:r>
    </w:p>
    <w:p>
      <w:pPr>
        <w:pStyle w:val="TOC8"/>
        <w:rPr>
          <w:sz w:val="24"/>
        </w:rPr>
      </w:pPr>
      <w:r>
        <w:t>13</w:t>
      </w:r>
      <w:r>
        <w:rPr>
          <w:snapToGrid w:val="0"/>
        </w:rPr>
        <w:t>.</w:t>
      </w:r>
      <w:r>
        <w:rPr>
          <w:snapToGrid w:val="0"/>
        </w:rPr>
        <w:tab/>
        <w:t>Functions</w:t>
      </w:r>
      <w:r>
        <w:tab/>
      </w:r>
      <w:r>
        <w:fldChar w:fldCharType="begin"/>
      </w:r>
      <w:r>
        <w:instrText xml:space="preserve"> PAGEREF _Toc158008423 \h </w:instrText>
      </w:r>
      <w:r>
        <w:fldChar w:fldCharType="separate"/>
      </w:r>
      <w:r>
        <w:t>8</w:t>
      </w:r>
      <w:r>
        <w:fldChar w:fldCharType="end"/>
      </w:r>
    </w:p>
    <w:p>
      <w:pPr>
        <w:pStyle w:val="TOC8"/>
        <w:rPr>
          <w:sz w:val="24"/>
        </w:rPr>
      </w:pPr>
      <w:r>
        <w:t>14</w:t>
      </w:r>
      <w:r>
        <w:rPr>
          <w:snapToGrid w:val="0"/>
        </w:rPr>
        <w:t>.</w:t>
      </w:r>
      <w:r>
        <w:rPr>
          <w:snapToGrid w:val="0"/>
        </w:rPr>
        <w:tab/>
        <w:t>Powers</w:t>
      </w:r>
      <w:r>
        <w:tab/>
      </w:r>
      <w:r>
        <w:fldChar w:fldCharType="begin"/>
      </w:r>
      <w:r>
        <w:instrText xml:space="preserve"> PAGEREF _Toc158008424 \h </w:instrText>
      </w:r>
      <w:r>
        <w:fldChar w:fldCharType="separate"/>
      </w:r>
      <w:r>
        <w:t>9</w:t>
      </w:r>
      <w:r>
        <w:fldChar w:fldCharType="end"/>
      </w:r>
    </w:p>
    <w:p>
      <w:pPr>
        <w:pStyle w:val="TOC8"/>
        <w:rPr>
          <w:sz w:val="24"/>
        </w:rPr>
      </w:pPr>
      <w:r>
        <w:t>15</w:t>
      </w:r>
      <w:r>
        <w:rPr>
          <w:snapToGrid w:val="0"/>
        </w:rPr>
        <w:t>.</w:t>
      </w:r>
      <w:r>
        <w:rPr>
          <w:snapToGrid w:val="0"/>
        </w:rPr>
        <w:tab/>
        <w:t>Formation of companies developing or operating tourist facilities</w:t>
      </w:r>
      <w:r>
        <w:tab/>
      </w:r>
      <w:r>
        <w:fldChar w:fldCharType="begin"/>
      </w:r>
      <w:r>
        <w:instrText xml:space="preserve"> PAGEREF _Toc158008425 \h </w:instrText>
      </w:r>
      <w:r>
        <w:fldChar w:fldCharType="separate"/>
      </w:r>
      <w:r>
        <w:t>10</w:t>
      </w:r>
      <w:r>
        <w:fldChar w:fldCharType="end"/>
      </w:r>
    </w:p>
    <w:p>
      <w:pPr>
        <w:pStyle w:val="TOC8"/>
        <w:rPr>
          <w:sz w:val="24"/>
        </w:rPr>
      </w:pPr>
      <w:r>
        <w:t>16</w:t>
      </w:r>
      <w:r>
        <w:rPr>
          <w:snapToGrid w:val="0"/>
        </w:rPr>
        <w:t>.</w:t>
      </w:r>
      <w:r>
        <w:rPr>
          <w:snapToGrid w:val="0"/>
        </w:rPr>
        <w:tab/>
        <w:t>Direction by the Minister</w:t>
      </w:r>
      <w:r>
        <w:tab/>
      </w:r>
      <w:r>
        <w:fldChar w:fldCharType="begin"/>
      </w:r>
      <w:r>
        <w:instrText xml:space="preserve"> PAGEREF _Toc158008426 \h </w:instrText>
      </w:r>
      <w:r>
        <w:fldChar w:fldCharType="separate"/>
      </w:r>
      <w:r>
        <w:t>11</w:t>
      </w:r>
      <w:r>
        <w:fldChar w:fldCharType="end"/>
      </w:r>
    </w:p>
    <w:p>
      <w:pPr>
        <w:pStyle w:val="TOC8"/>
        <w:rPr>
          <w:sz w:val="24"/>
        </w:rPr>
      </w:pPr>
      <w:r>
        <w:t>16A</w:t>
      </w:r>
      <w:r>
        <w:rPr>
          <w:snapToGrid w:val="0"/>
        </w:rPr>
        <w:t xml:space="preserve">. </w:t>
      </w:r>
      <w:r>
        <w:rPr>
          <w:snapToGrid w:val="0"/>
        </w:rPr>
        <w:tab/>
        <w:t>Minister to have access to information</w:t>
      </w:r>
      <w:r>
        <w:tab/>
      </w:r>
      <w:r>
        <w:fldChar w:fldCharType="begin"/>
      </w:r>
      <w:r>
        <w:instrText xml:space="preserve"> PAGEREF _Toc158008427 \h </w:instrText>
      </w:r>
      <w:r>
        <w:fldChar w:fldCharType="separate"/>
      </w:r>
      <w:r>
        <w:t>12</w:t>
      </w:r>
      <w:r>
        <w:fldChar w:fldCharType="end"/>
      </w:r>
    </w:p>
    <w:p>
      <w:pPr>
        <w:pStyle w:val="TOC4"/>
        <w:tabs>
          <w:tab w:val="right" w:leader="dot" w:pos="7086"/>
        </w:tabs>
        <w:rPr>
          <w:b w:val="0"/>
          <w:sz w:val="24"/>
        </w:rPr>
      </w:pPr>
      <w:r>
        <w:t>Division 2a</w:t>
      </w:r>
      <w:r>
        <w:rPr>
          <w:snapToGrid w:val="0"/>
        </w:rPr>
        <w:t> — </w:t>
      </w:r>
      <w:r>
        <w:t>Corporate and operational plans</w:t>
      </w:r>
    </w:p>
    <w:p>
      <w:pPr>
        <w:pStyle w:val="TOC8"/>
        <w:rPr>
          <w:sz w:val="24"/>
        </w:rPr>
      </w:pPr>
      <w:r>
        <w:t>16B</w:t>
      </w:r>
      <w:r>
        <w:rPr>
          <w:snapToGrid w:val="0"/>
        </w:rPr>
        <w:t xml:space="preserve">. </w:t>
      </w:r>
      <w:r>
        <w:rPr>
          <w:snapToGrid w:val="0"/>
        </w:rPr>
        <w:tab/>
        <w:t>Corporate plan</w:t>
      </w:r>
      <w:r>
        <w:tab/>
      </w:r>
      <w:r>
        <w:fldChar w:fldCharType="begin"/>
      </w:r>
      <w:r>
        <w:instrText xml:space="preserve"> PAGEREF _Toc158008429 \h </w:instrText>
      </w:r>
      <w:r>
        <w:fldChar w:fldCharType="separate"/>
      </w:r>
      <w:r>
        <w:t>12</w:t>
      </w:r>
      <w:r>
        <w:fldChar w:fldCharType="end"/>
      </w:r>
    </w:p>
    <w:p>
      <w:pPr>
        <w:pStyle w:val="TOC8"/>
        <w:rPr>
          <w:sz w:val="24"/>
        </w:rPr>
      </w:pPr>
      <w:r>
        <w:t>16C</w:t>
      </w:r>
      <w:r>
        <w:rPr>
          <w:snapToGrid w:val="0"/>
        </w:rPr>
        <w:t xml:space="preserve">. </w:t>
      </w:r>
      <w:r>
        <w:rPr>
          <w:snapToGrid w:val="0"/>
        </w:rPr>
        <w:tab/>
        <w:t>Operational plan</w:t>
      </w:r>
      <w:r>
        <w:tab/>
      </w:r>
      <w:r>
        <w:fldChar w:fldCharType="begin"/>
      </w:r>
      <w:r>
        <w:instrText xml:space="preserve"> PAGEREF _Toc158008430 \h </w:instrText>
      </w:r>
      <w:r>
        <w:fldChar w:fldCharType="separate"/>
      </w:r>
      <w:r>
        <w:t>13</w:t>
      </w:r>
      <w:r>
        <w:fldChar w:fldCharType="end"/>
      </w:r>
    </w:p>
    <w:p>
      <w:pPr>
        <w:pStyle w:val="TOC8"/>
        <w:rPr>
          <w:sz w:val="24"/>
        </w:rPr>
      </w:pPr>
      <w:r>
        <w:t>16D</w:t>
      </w:r>
      <w:r>
        <w:rPr>
          <w:snapToGrid w:val="0"/>
        </w:rPr>
        <w:t xml:space="preserve">. </w:t>
      </w:r>
      <w:r>
        <w:rPr>
          <w:snapToGrid w:val="0"/>
        </w:rPr>
        <w:tab/>
        <w:t>Board to comply with corporate and operational plans</w:t>
      </w:r>
      <w:r>
        <w:tab/>
      </w:r>
      <w:r>
        <w:fldChar w:fldCharType="begin"/>
      </w:r>
      <w:r>
        <w:instrText xml:space="preserve"> PAGEREF _Toc158008431 \h </w:instrText>
      </w:r>
      <w:r>
        <w:fldChar w:fldCharType="separate"/>
      </w:r>
      <w:r>
        <w:t>13</w:t>
      </w:r>
      <w:r>
        <w:fldChar w:fldCharType="end"/>
      </w:r>
    </w:p>
    <w:p>
      <w:pPr>
        <w:pStyle w:val="TOC4"/>
        <w:tabs>
          <w:tab w:val="right" w:leader="dot" w:pos="7086"/>
        </w:tabs>
        <w:rPr>
          <w:b w:val="0"/>
          <w:sz w:val="24"/>
        </w:rPr>
      </w:pPr>
      <w:r>
        <w:t>Division 3</w:t>
      </w:r>
      <w:r>
        <w:rPr>
          <w:snapToGrid w:val="0"/>
        </w:rPr>
        <w:t> — </w:t>
      </w:r>
      <w:r>
        <w:t>Employees and staff of the Commission.</w:t>
      </w:r>
    </w:p>
    <w:p>
      <w:pPr>
        <w:pStyle w:val="TOC8"/>
        <w:rPr>
          <w:sz w:val="24"/>
        </w:rPr>
      </w:pPr>
      <w:r>
        <w:t>17</w:t>
      </w:r>
      <w:r>
        <w:rPr>
          <w:snapToGrid w:val="0"/>
        </w:rPr>
        <w:t>.</w:t>
      </w:r>
      <w:r>
        <w:rPr>
          <w:snapToGrid w:val="0"/>
        </w:rPr>
        <w:tab/>
        <w:t>Employees of the Commission</w:t>
      </w:r>
      <w:r>
        <w:tab/>
      </w:r>
      <w:r>
        <w:fldChar w:fldCharType="begin"/>
      </w:r>
      <w:r>
        <w:instrText xml:space="preserve"> PAGEREF _Toc158008433 \h </w:instrText>
      </w:r>
      <w:r>
        <w:fldChar w:fldCharType="separate"/>
      </w:r>
      <w:r>
        <w:t>14</w:t>
      </w:r>
      <w:r>
        <w:fldChar w:fldCharType="end"/>
      </w:r>
    </w:p>
    <w:p>
      <w:pPr>
        <w:pStyle w:val="TOC8"/>
        <w:rPr>
          <w:sz w:val="24"/>
        </w:rPr>
      </w:pPr>
      <w:r>
        <w:t>18</w:t>
      </w:r>
      <w:r>
        <w:rPr>
          <w:snapToGrid w:val="0"/>
        </w:rPr>
        <w:t>.</w:t>
      </w:r>
      <w:r>
        <w:rPr>
          <w:snapToGrid w:val="0"/>
        </w:rPr>
        <w:tab/>
        <w:t>Employment of current officers</w:t>
      </w:r>
      <w:r>
        <w:tab/>
      </w:r>
      <w:r>
        <w:fldChar w:fldCharType="begin"/>
      </w:r>
      <w:r>
        <w:instrText xml:space="preserve"> PAGEREF _Toc158008434 \h </w:instrText>
      </w:r>
      <w:r>
        <w:fldChar w:fldCharType="separate"/>
      </w:r>
      <w:r>
        <w:t>15</w:t>
      </w:r>
      <w:r>
        <w:fldChar w:fldCharType="end"/>
      </w:r>
    </w:p>
    <w:p>
      <w:pPr>
        <w:pStyle w:val="TOC8"/>
        <w:rPr>
          <w:sz w:val="24"/>
        </w:rPr>
      </w:pPr>
      <w:r>
        <w:t>19</w:t>
      </w:r>
      <w:r>
        <w:rPr>
          <w:snapToGrid w:val="0"/>
        </w:rPr>
        <w:t>.</w:t>
      </w:r>
      <w:r>
        <w:rPr>
          <w:snapToGrid w:val="0"/>
        </w:rPr>
        <w:tab/>
        <w:t>Employees transitional provisions</w:t>
      </w:r>
      <w:r>
        <w:tab/>
      </w:r>
      <w:r>
        <w:fldChar w:fldCharType="begin"/>
      </w:r>
      <w:r>
        <w:instrText xml:space="preserve"> PAGEREF _Toc158008435 \h </w:instrText>
      </w:r>
      <w:r>
        <w:fldChar w:fldCharType="separate"/>
      </w:r>
      <w:r>
        <w:t>15</w:t>
      </w:r>
      <w:r>
        <w:fldChar w:fldCharType="end"/>
      </w:r>
    </w:p>
    <w:p>
      <w:pPr>
        <w:pStyle w:val="TOC8"/>
        <w:rPr>
          <w:sz w:val="24"/>
        </w:rPr>
      </w:pPr>
      <w:r>
        <w:t>19A</w:t>
      </w:r>
      <w:r>
        <w:rPr>
          <w:snapToGrid w:val="0"/>
        </w:rPr>
        <w:t xml:space="preserve">. </w:t>
      </w:r>
      <w:r>
        <w:rPr>
          <w:snapToGrid w:val="0"/>
        </w:rPr>
        <w:tab/>
        <w:t>Status of employees who are members of Senior Executive Service</w:t>
      </w:r>
      <w:r>
        <w:tab/>
      </w:r>
      <w:r>
        <w:fldChar w:fldCharType="begin"/>
      </w:r>
      <w:r>
        <w:instrText xml:space="preserve"> PAGEREF _Toc158008436 \h </w:instrText>
      </w:r>
      <w:r>
        <w:fldChar w:fldCharType="separate"/>
      </w:r>
      <w:r>
        <w:t>16</w:t>
      </w:r>
      <w:r>
        <w:fldChar w:fldCharType="end"/>
      </w:r>
    </w:p>
    <w:p>
      <w:pPr>
        <w:pStyle w:val="TOC8"/>
        <w:rPr>
          <w:sz w:val="24"/>
        </w:rPr>
      </w:pPr>
      <w:r>
        <w:t>20</w:t>
      </w:r>
      <w:r>
        <w:rPr>
          <w:snapToGrid w:val="0"/>
        </w:rPr>
        <w:t>.</w:t>
      </w:r>
      <w:r>
        <w:rPr>
          <w:snapToGrid w:val="0"/>
        </w:rPr>
        <w:tab/>
        <w:t>Professional or technical assistance</w:t>
      </w:r>
      <w:r>
        <w:tab/>
      </w:r>
      <w:r>
        <w:fldChar w:fldCharType="begin"/>
      </w:r>
      <w:r>
        <w:instrText xml:space="preserve"> PAGEREF _Toc158008437 \h </w:instrText>
      </w:r>
      <w:r>
        <w:fldChar w:fldCharType="separate"/>
      </w:r>
      <w:r>
        <w:t>16</w:t>
      </w:r>
      <w:r>
        <w:fldChar w:fldCharType="end"/>
      </w:r>
    </w:p>
    <w:p>
      <w:pPr>
        <w:pStyle w:val="TOC8"/>
        <w:rPr>
          <w:sz w:val="24"/>
        </w:rPr>
      </w:pPr>
      <w:r>
        <w:t>21</w:t>
      </w:r>
      <w:r>
        <w:rPr>
          <w:snapToGrid w:val="0"/>
        </w:rPr>
        <w:t>.</w:t>
      </w:r>
      <w:r>
        <w:rPr>
          <w:snapToGrid w:val="0"/>
        </w:rPr>
        <w:tab/>
        <w:t>Use of staff and facilities of departments and instrumentalities</w:t>
      </w:r>
      <w:r>
        <w:tab/>
      </w:r>
      <w:r>
        <w:fldChar w:fldCharType="begin"/>
      </w:r>
      <w:r>
        <w:instrText xml:space="preserve"> PAGEREF _Toc158008438 \h </w:instrText>
      </w:r>
      <w:r>
        <w:fldChar w:fldCharType="separate"/>
      </w:r>
      <w:r>
        <w:t>16</w:t>
      </w:r>
      <w:r>
        <w:fldChar w:fldCharType="end"/>
      </w:r>
    </w:p>
    <w:p>
      <w:pPr>
        <w:pStyle w:val="TOC8"/>
        <w:rPr>
          <w:sz w:val="24"/>
        </w:rPr>
      </w:pPr>
      <w:r>
        <w:t>22</w:t>
      </w:r>
      <w:r>
        <w:rPr>
          <w:snapToGrid w:val="0"/>
        </w:rPr>
        <w:t>.</w:t>
      </w:r>
      <w:r>
        <w:rPr>
          <w:snapToGrid w:val="0"/>
        </w:rPr>
        <w:tab/>
        <w:t>Secrecy</w:t>
      </w:r>
      <w:r>
        <w:tab/>
      </w:r>
      <w:r>
        <w:fldChar w:fldCharType="begin"/>
      </w:r>
      <w:r>
        <w:instrText xml:space="preserve"> PAGEREF _Toc158008439 \h </w:instrText>
      </w:r>
      <w:r>
        <w:fldChar w:fldCharType="separate"/>
      </w:r>
      <w:r>
        <w:t>17</w:t>
      </w:r>
      <w:r>
        <w:fldChar w:fldCharType="end"/>
      </w:r>
    </w:p>
    <w:p>
      <w:pPr>
        <w:pStyle w:val="TOC8"/>
        <w:rPr>
          <w:sz w:val="24"/>
        </w:rPr>
      </w:pPr>
      <w:r>
        <w:t>23</w:t>
      </w:r>
      <w:r>
        <w:rPr>
          <w:snapToGrid w:val="0"/>
        </w:rPr>
        <w:t>.</w:t>
      </w:r>
      <w:r>
        <w:rPr>
          <w:snapToGrid w:val="0"/>
        </w:rPr>
        <w:tab/>
        <w:t>Delegation by the Commission</w:t>
      </w:r>
      <w:r>
        <w:tab/>
      </w:r>
      <w:r>
        <w:fldChar w:fldCharType="begin"/>
      </w:r>
      <w:r>
        <w:instrText xml:space="preserve"> PAGEREF _Toc158008440 \h </w:instrText>
      </w:r>
      <w:r>
        <w:fldChar w:fldCharType="separate"/>
      </w:r>
      <w:r>
        <w:t>17</w:t>
      </w:r>
      <w:r>
        <w:fldChar w:fldCharType="end"/>
      </w:r>
    </w:p>
    <w:p>
      <w:pPr>
        <w:pStyle w:val="TOC2"/>
        <w:tabs>
          <w:tab w:val="right" w:leader="dot" w:pos="7086"/>
        </w:tabs>
        <w:rPr>
          <w:b w:val="0"/>
          <w:sz w:val="24"/>
        </w:rPr>
      </w:pPr>
      <w:r>
        <w:t>Part III — Financial provisions</w:t>
      </w:r>
    </w:p>
    <w:p>
      <w:pPr>
        <w:pStyle w:val="TOC8"/>
        <w:rPr>
          <w:sz w:val="24"/>
        </w:rPr>
      </w:pPr>
      <w:r>
        <w:t>24</w:t>
      </w:r>
      <w:r>
        <w:rPr>
          <w:snapToGrid w:val="0"/>
        </w:rPr>
        <w:t>.</w:t>
      </w:r>
      <w:r>
        <w:rPr>
          <w:snapToGrid w:val="0"/>
        </w:rPr>
        <w:tab/>
        <w:t>Funds</w:t>
      </w:r>
      <w:r>
        <w:tab/>
      </w:r>
      <w:r>
        <w:fldChar w:fldCharType="begin"/>
      </w:r>
      <w:r>
        <w:instrText xml:space="preserve"> PAGEREF _Toc158008442 \h </w:instrText>
      </w:r>
      <w:r>
        <w:fldChar w:fldCharType="separate"/>
      </w:r>
      <w:r>
        <w:t>19</w:t>
      </w:r>
      <w:r>
        <w:fldChar w:fldCharType="end"/>
      </w:r>
    </w:p>
    <w:p>
      <w:pPr>
        <w:pStyle w:val="TOC8"/>
        <w:rPr>
          <w:sz w:val="24"/>
        </w:rPr>
      </w:pPr>
      <w:r>
        <w:t>25</w:t>
      </w:r>
      <w:r>
        <w:rPr>
          <w:snapToGrid w:val="0"/>
        </w:rPr>
        <w:t>.</w:t>
      </w:r>
      <w:r>
        <w:rPr>
          <w:snapToGrid w:val="0"/>
        </w:rPr>
        <w:tab/>
        <w:t>Power to invest</w:t>
      </w:r>
      <w:r>
        <w:tab/>
      </w:r>
      <w:r>
        <w:fldChar w:fldCharType="begin"/>
      </w:r>
      <w:r>
        <w:instrText xml:space="preserve"> PAGEREF _Toc158008443 \h </w:instrText>
      </w:r>
      <w:r>
        <w:fldChar w:fldCharType="separate"/>
      </w:r>
      <w:r>
        <w:t>20</w:t>
      </w:r>
      <w:r>
        <w:fldChar w:fldCharType="end"/>
      </w:r>
    </w:p>
    <w:p>
      <w:pPr>
        <w:pStyle w:val="TOC8"/>
        <w:rPr>
          <w:sz w:val="24"/>
        </w:rPr>
      </w:pPr>
      <w:r>
        <w:t>26</w:t>
      </w:r>
      <w:r>
        <w:rPr>
          <w:snapToGrid w:val="0"/>
        </w:rPr>
        <w:t>.</w:t>
      </w:r>
      <w:r>
        <w:rPr>
          <w:snapToGrid w:val="0"/>
        </w:rPr>
        <w:tab/>
        <w:t>Trust Account</w:t>
      </w:r>
      <w:r>
        <w:tab/>
      </w:r>
      <w:r>
        <w:fldChar w:fldCharType="begin"/>
      </w:r>
      <w:r>
        <w:instrText xml:space="preserve"> PAGEREF _Toc158008444 \h </w:instrText>
      </w:r>
      <w:r>
        <w:fldChar w:fldCharType="separate"/>
      </w:r>
      <w:r>
        <w:t>20</w:t>
      </w:r>
      <w:r>
        <w:fldChar w:fldCharType="end"/>
      </w:r>
    </w:p>
    <w:p>
      <w:pPr>
        <w:pStyle w:val="TOC8"/>
        <w:rPr>
          <w:sz w:val="24"/>
        </w:rPr>
      </w:pPr>
      <w:r>
        <w:t>27</w:t>
      </w:r>
      <w:r>
        <w:rPr>
          <w:snapToGrid w:val="0"/>
        </w:rPr>
        <w:t>.</w:t>
      </w:r>
      <w:r>
        <w:rPr>
          <w:snapToGrid w:val="0"/>
        </w:rPr>
        <w:tab/>
        <w:t>Borrowing by the Commission</w:t>
      </w:r>
      <w:r>
        <w:tab/>
      </w:r>
      <w:r>
        <w:fldChar w:fldCharType="begin"/>
      </w:r>
      <w:r>
        <w:instrText xml:space="preserve"> PAGEREF _Toc158008445 \h </w:instrText>
      </w:r>
      <w:r>
        <w:fldChar w:fldCharType="separate"/>
      </w:r>
      <w:r>
        <w:t>21</w:t>
      </w:r>
      <w:r>
        <w:fldChar w:fldCharType="end"/>
      </w:r>
    </w:p>
    <w:p>
      <w:pPr>
        <w:pStyle w:val="TOC8"/>
        <w:rPr>
          <w:sz w:val="24"/>
        </w:rPr>
      </w:pPr>
      <w:r>
        <w:t>28</w:t>
      </w:r>
      <w:r>
        <w:rPr>
          <w:snapToGrid w:val="0"/>
        </w:rPr>
        <w:t>.</w:t>
      </w:r>
      <w:r>
        <w:rPr>
          <w:snapToGrid w:val="0"/>
        </w:rPr>
        <w:tab/>
        <w:t xml:space="preserve">Application of </w:t>
      </w:r>
      <w:r>
        <w:rPr>
          <w:i/>
        </w:rPr>
        <w:t>Financial Management Act 2006</w:t>
      </w:r>
      <w:r>
        <w:t xml:space="preserve"> and the </w:t>
      </w:r>
      <w:r>
        <w:rPr>
          <w:i/>
        </w:rPr>
        <w:t>Auditor General Act 2006</w:t>
      </w:r>
      <w:r>
        <w:tab/>
      </w:r>
      <w:r>
        <w:fldChar w:fldCharType="begin"/>
      </w:r>
      <w:r>
        <w:instrText xml:space="preserve"> PAGEREF _Toc158008446 \h </w:instrText>
      </w:r>
      <w:r>
        <w:fldChar w:fldCharType="separate"/>
      </w:r>
      <w:r>
        <w:t>22</w:t>
      </w:r>
      <w:r>
        <w:fldChar w:fldCharType="end"/>
      </w:r>
    </w:p>
    <w:p>
      <w:pPr>
        <w:pStyle w:val="TOC8"/>
        <w:rPr>
          <w:sz w:val="24"/>
        </w:rPr>
      </w:pPr>
      <w:r>
        <w:t>29</w:t>
      </w:r>
      <w:r>
        <w:rPr>
          <w:snapToGrid w:val="0"/>
        </w:rPr>
        <w:t>.</w:t>
      </w:r>
      <w:r>
        <w:rPr>
          <w:snapToGrid w:val="0"/>
        </w:rPr>
        <w:tab/>
        <w:t>Review of Act</w:t>
      </w:r>
      <w:r>
        <w:tab/>
      </w:r>
      <w:r>
        <w:fldChar w:fldCharType="begin"/>
      </w:r>
      <w:r>
        <w:instrText xml:space="preserve"> PAGEREF _Toc158008447 \h </w:instrText>
      </w:r>
      <w:r>
        <w:fldChar w:fldCharType="separate"/>
      </w:r>
      <w:r>
        <w:t>22</w:t>
      </w:r>
      <w:r>
        <w:fldChar w:fldCharType="end"/>
      </w:r>
    </w:p>
    <w:p>
      <w:pPr>
        <w:pStyle w:val="TOC2"/>
        <w:tabs>
          <w:tab w:val="right" w:leader="dot" w:pos="7086"/>
        </w:tabs>
        <w:rPr>
          <w:b w:val="0"/>
          <w:sz w:val="24"/>
        </w:rPr>
      </w:pPr>
      <w:r>
        <w:t>Part IV — General</w:t>
      </w:r>
    </w:p>
    <w:p>
      <w:pPr>
        <w:pStyle w:val="TOC8"/>
        <w:rPr>
          <w:sz w:val="24"/>
        </w:rPr>
      </w:pPr>
      <w:r>
        <w:t>30</w:t>
      </w:r>
      <w:r>
        <w:rPr>
          <w:snapToGrid w:val="0"/>
        </w:rPr>
        <w:t>.</w:t>
      </w:r>
      <w:r>
        <w:rPr>
          <w:snapToGrid w:val="0"/>
        </w:rPr>
        <w:tab/>
        <w:t>Regulations</w:t>
      </w:r>
      <w:r>
        <w:tab/>
      </w:r>
      <w:r>
        <w:fldChar w:fldCharType="begin"/>
      </w:r>
      <w:r>
        <w:instrText xml:space="preserve"> PAGEREF _Toc158008449 \h </w:instrText>
      </w:r>
      <w:r>
        <w:fldChar w:fldCharType="separate"/>
      </w:r>
      <w:r>
        <w:t>23</w:t>
      </w:r>
      <w:r>
        <w:fldChar w:fldCharType="end"/>
      </w:r>
    </w:p>
    <w:p>
      <w:pPr>
        <w:pStyle w:val="TOC2"/>
        <w:tabs>
          <w:tab w:val="right" w:leader="dot" w:pos="7086"/>
        </w:tabs>
        <w:rPr>
          <w:b w:val="0"/>
          <w:sz w:val="24"/>
        </w:rPr>
      </w:pPr>
      <w:r>
        <w:t>Part V — Transitional and repeal</w:t>
      </w:r>
    </w:p>
    <w:p>
      <w:pPr>
        <w:pStyle w:val="TOC8"/>
        <w:rPr>
          <w:sz w:val="24"/>
        </w:rPr>
      </w:pPr>
      <w:r>
        <w:t>31</w:t>
      </w:r>
      <w:r>
        <w:rPr>
          <w:snapToGrid w:val="0"/>
        </w:rPr>
        <w:t>.</w:t>
      </w:r>
      <w:r>
        <w:rPr>
          <w:snapToGrid w:val="0"/>
        </w:rPr>
        <w:tab/>
        <w:t>Transitional</w:t>
      </w:r>
      <w:r>
        <w:tab/>
      </w:r>
      <w:r>
        <w:fldChar w:fldCharType="begin"/>
      </w:r>
      <w:r>
        <w:instrText xml:space="preserve"> PAGEREF _Toc158008451 \h </w:instrText>
      </w:r>
      <w:r>
        <w:fldChar w:fldCharType="separate"/>
      </w:r>
      <w:r>
        <w:t>24</w:t>
      </w:r>
      <w:r>
        <w:fldChar w:fldCharType="end"/>
      </w:r>
    </w:p>
    <w:p>
      <w:pPr>
        <w:pStyle w:val="TOC8"/>
        <w:rPr>
          <w:sz w:val="24"/>
        </w:rPr>
      </w:pPr>
      <w:r>
        <w:t>32</w:t>
      </w:r>
      <w:r>
        <w:rPr>
          <w:snapToGrid w:val="0"/>
        </w:rPr>
        <w:t>.</w:t>
      </w:r>
      <w:r>
        <w:rPr>
          <w:snapToGrid w:val="0"/>
        </w:rPr>
        <w:tab/>
        <w:t>References to Department of Tourism in other laws</w:t>
      </w:r>
      <w:r>
        <w:tab/>
      </w:r>
      <w:r>
        <w:fldChar w:fldCharType="begin"/>
      </w:r>
      <w:r>
        <w:instrText xml:space="preserve"> PAGEREF _Toc158008452 \h </w:instrText>
      </w:r>
      <w:r>
        <w:fldChar w:fldCharType="separate"/>
      </w:r>
      <w:r>
        <w:t>25</w:t>
      </w:r>
      <w:r>
        <w:fldChar w:fldCharType="end"/>
      </w:r>
    </w:p>
    <w:p>
      <w:pPr>
        <w:pStyle w:val="TOC8"/>
        <w:rPr>
          <w:sz w:val="24"/>
        </w:rPr>
      </w:pPr>
      <w:r>
        <w:t>33</w:t>
      </w:r>
      <w:r>
        <w:rPr>
          <w:snapToGrid w:val="0"/>
        </w:rPr>
        <w:t>.</w:t>
      </w:r>
      <w:r>
        <w:rPr>
          <w:snapToGrid w:val="0"/>
        </w:rPr>
        <w:tab/>
        <w:t>Repeal</w:t>
      </w:r>
      <w:r>
        <w:tab/>
      </w:r>
      <w:r>
        <w:fldChar w:fldCharType="begin"/>
      </w:r>
      <w:r>
        <w:instrText xml:space="preserve"> PAGEREF _Toc158008453 \h </w:instrText>
      </w:r>
      <w:r>
        <w:fldChar w:fldCharType="separate"/>
      </w:r>
      <w:r>
        <w:t>25</w:t>
      </w:r>
      <w:r>
        <w:fldChar w:fldCharType="end"/>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_Toc158008455 \h </w:instrText>
      </w:r>
      <w:r>
        <w:fldChar w:fldCharType="separate"/>
      </w:r>
      <w:r>
        <w:t>26</w:t>
      </w:r>
      <w:r>
        <w:fldChar w:fldCharType="end"/>
      </w:r>
    </w:p>
    <w:p>
      <w:pPr>
        <w:pStyle w:val="TOC8"/>
        <w:rPr>
          <w:sz w:val="24"/>
        </w:rPr>
      </w:pPr>
      <w:r>
        <w:tab/>
        <w:t>Provisions that have not come into operation</w:t>
      </w:r>
      <w:r>
        <w:tab/>
      </w:r>
      <w:r>
        <w:fldChar w:fldCharType="begin"/>
      </w:r>
      <w:r>
        <w:instrText xml:space="preserve"> PAGEREF _Toc158008456 \h </w:instrText>
      </w:r>
      <w:r>
        <w:fldChar w:fldCharType="separate"/>
      </w:r>
      <w:r>
        <w:t>27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pPr>
      <w:r>
        <w:t xml:space="preserve">Western Australian Tourism Commission Act 1983 </w:t>
      </w:r>
    </w:p>
    <w:p>
      <w:pPr>
        <w:pStyle w:val="LongTitle"/>
        <w:spacing w:before="360"/>
        <w:rPr>
          <w:snapToGrid w:val="0"/>
        </w:rPr>
      </w:pPr>
      <w:r>
        <w:rPr>
          <w:snapToGrid w:val="0"/>
        </w:rPr>
        <w:t xml:space="preserve">An Act to make provision for the establishment of a Western Australian Tourism Commission, to repeal the </w:t>
      </w:r>
      <w:r>
        <w:rPr>
          <w:i/>
          <w:snapToGrid w:val="0"/>
        </w:rPr>
        <w:t>Tourist Act 1973</w:t>
      </w:r>
      <w:r>
        <w:rPr>
          <w:i/>
          <w:snapToGrid w:val="0"/>
        </w:rPr>
        <w:noBreakHyphen/>
        <w:t>1981</w:t>
      </w:r>
      <w:r>
        <w:rPr>
          <w:snapToGrid w:val="0"/>
        </w:rPr>
        <w:t xml:space="preserve">, and for incidental and other purposes. </w:t>
      </w:r>
    </w:p>
    <w:p>
      <w:pPr>
        <w:pStyle w:val="Heading2"/>
      </w:pPr>
      <w:bookmarkStart w:id="1" w:name="_Toc156818618"/>
      <w:bookmarkStart w:id="2" w:name="_Toc156819575"/>
      <w:bookmarkStart w:id="3" w:name="_Toc158007611"/>
      <w:bookmarkStart w:id="4" w:name="_Toc15800840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517767629"/>
      <w:bookmarkStart w:id="6" w:name="_Toc54688856"/>
      <w:bookmarkStart w:id="7" w:name="_Toc54689314"/>
      <w:bookmarkStart w:id="8" w:name="_Toc54689407"/>
      <w:bookmarkStart w:id="9" w:name="_Toc54689654"/>
      <w:bookmarkStart w:id="10" w:name="_Toc158008408"/>
      <w:r>
        <w:rPr>
          <w:rStyle w:val="CharSectno"/>
        </w:rPr>
        <w:t>1</w:t>
      </w:r>
      <w:r>
        <w:rPr>
          <w:snapToGrid w:val="0"/>
        </w:rPr>
        <w:t>.</w:t>
      </w:r>
      <w:r>
        <w:rPr>
          <w:snapToGrid w:val="0"/>
        </w:rPr>
        <w:tab/>
        <w:t>Short title</w:t>
      </w:r>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Tourism Commission Act 1983</w:t>
      </w:r>
      <w:r>
        <w:rPr>
          <w:snapToGrid w:val="0"/>
          <w:vertAlign w:val="superscript"/>
        </w:rPr>
        <w:t xml:space="preserve"> 1</w:t>
      </w:r>
      <w:r>
        <w:rPr>
          <w:snapToGrid w:val="0"/>
        </w:rPr>
        <w:t>.</w:t>
      </w:r>
    </w:p>
    <w:p>
      <w:pPr>
        <w:pStyle w:val="Heading5"/>
        <w:rPr>
          <w:snapToGrid w:val="0"/>
        </w:rPr>
      </w:pPr>
      <w:bookmarkStart w:id="11" w:name="_Toc517767630"/>
      <w:bookmarkStart w:id="12" w:name="_Toc54688857"/>
      <w:bookmarkStart w:id="13" w:name="_Toc54689315"/>
      <w:bookmarkStart w:id="14" w:name="_Toc54689408"/>
      <w:bookmarkStart w:id="15" w:name="_Toc54689655"/>
      <w:bookmarkStart w:id="16" w:name="_Toc158008409"/>
      <w:r>
        <w:rPr>
          <w:rStyle w:val="CharSectno"/>
        </w:rPr>
        <w:t>2</w:t>
      </w:r>
      <w:r>
        <w:rPr>
          <w:snapToGrid w:val="0"/>
        </w:rPr>
        <w:t>.</w:t>
      </w:r>
      <w:r>
        <w:rPr>
          <w:snapToGrid w:val="0"/>
        </w:rPr>
        <w:tab/>
        <w:t>Commencement</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7" w:name="_Toc517767631"/>
      <w:bookmarkStart w:id="18" w:name="_Toc54688858"/>
      <w:bookmarkStart w:id="19" w:name="_Toc54689316"/>
      <w:bookmarkStart w:id="20" w:name="_Toc54689409"/>
      <w:bookmarkStart w:id="21" w:name="_Toc54689656"/>
      <w:bookmarkStart w:id="22" w:name="_Toc158008410"/>
      <w:r>
        <w:rPr>
          <w:rStyle w:val="CharSectno"/>
        </w:rPr>
        <w:t>3</w:t>
      </w:r>
      <w:r>
        <w:rPr>
          <w:snapToGrid w:val="0"/>
        </w:rPr>
        <w:t>.</w:t>
      </w:r>
      <w:r>
        <w:rPr>
          <w:snapToGrid w:val="0"/>
        </w:rPr>
        <w:tab/>
        <w:t>Interpretation</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Board of Commissioners of the Commission;</w:t>
      </w:r>
    </w:p>
    <w:p>
      <w:pPr>
        <w:pStyle w:val="Defstart"/>
      </w:pPr>
      <w:r>
        <w:rPr>
          <w:b/>
        </w:rPr>
        <w:tab/>
      </w:r>
      <w:r>
        <w:rPr>
          <w:rStyle w:val="CharDefText"/>
        </w:rPr>
        <w:t>chairman</w:t>
      </w:r>
      <w:r>
        <w:t xml:space="preserve"> means the person appointed under section 5(1) to be the chairman of the Board;</w:t>
      </w:r>
    </w:p>
    <w:p>
      <w:pPr>
        <w:pStyle w:val="Defstart"/>
      </w:pPr>
      <w:r>
        <w:rPr>
          <w:b/>
        </w:rPr>
        <w:tab/>
      </w:r>
      <w:r>
        <w:rPr>
          <w:rStyle w:val="CharDefText"/>
        </w:rPr>
        <w:t>chief executive officer</w:t>
      </w:r>
      <w:r>
        <w:t xml:space="preserve"> means the person appointed as chief executive officer under section 17;</w:t>
      </w:r>
    </w:p>
    <w:p>
      <w:pPr>
        <w:pStyle w:val="Defstart"/>
      </w:pPr>
      <w:r>
        <w:rPr>
          <w:b/>
        </w:rPr>
        <w:tab/>
      </w:r>
      <w:r>
        <w:rPr>
          <w:rStyle w:val="CharDefText"/>
        </w:rPr>
        <w:t>Commission</w:t>
      </w:r>
      <w:r>
        <w:t xml:space="preserve"> means the Western Australian Tourism Commission established under section 4;</w:t>
      </w:r>
    </w:p>
    <w:p>
      <w:pPr>
        <w:pStyle w:val="Defstart"/>
      </w:pPr>
      <w:r>
        <w:rPr>
          <w:b/>
        </w:rPr>
        <w:tab/>
      </w:r>
      <w:r>
        <w:rPr>
          <w:rStyle w:val="CharDefText"/>
        </w:rPr>
        <w:t>Commission Account</w:t>
      </w:r>
      <w:r>
        <w:t xml:space="preserve"> means the Western Australian Tourism Commission Account established by section 24;</w:t>
      </w:r>
    </w:p>
    <w:p>
      <w:pPr>
        <w:pStyle w:val="Defstart"/>
      </w:pPr>
      <w:r>
        <w:rPr>
          <w:b/>
        </w:rPr>
        <w:tab/>
      </w:r>
      <w:r>
        <w:rPr>
          <w:rStyle w:val="CharDefText"/>
        </w:rPr>
        <w:t>Department</w:t>
      </w:r>
      <w:r>
        <w:t xml:space="preserve"> means the Department of Tourism continued under the </w:t>
      </w:r>
      <w:r>
        <w:rPr>
          <w:i/>
        </w:rPr>
        <w:t>Public Sector Management Act 1994</w:t>
      </w:r>
      <w:r>
        <w:t>;</w:t>
      </w:r>
    </w:p>
    <w:p>
      <w:pPr>
        <w:pStyle w:val="Defstart"/>
      </w:pPr>
      <w:r>
        <w:rPr>
          <w:b/>
        </w:rPr>
        <w:tab/>
      </w:r>
      <w:r>
        <w:rPr>
          <w:rStyle w:val="CharDefText"/>
        </w:rPr>
        <w:t>local government</w:t>
      </w:r>
      <w:r>
        <w:t xml:space="preserve"> means a local government or a regional local government;</w:t>
      </w:r>
    </w:p>
    <w:p>
      <w:pPr>
        <w:pStyle w:val="Defstart"/>
      </w:pPr>
      <w:r>
        <w:rPr>
          <w:b/>
        </w:rPr>
        <w:tab/>
      </w:r>
      <w:r>
        <w:rPr>
          <w:rStyle w:val="CharDefText"/>
        </w:rPr>
        <w:t>member</w:t>
      </w:r>
      <w:r>
        <w:t xml:space="preserve"> means member of the Board.</w:t>
      </w:r>
    </w:p>
    <w:p>
      <w:pPr>
        <w:pStyle w:val="Footnotesection"/>
      </w:pPr>
      <w:r>
        <w:tab/>
        <w:t xml:space="preserve">[Section 3 amended by No. 32 of 1994 s.19; No. 68 of 1994 s.4; No. 14 of 1996 s.4.] </w:t>
      </w:r>
    </w:p>
    <w:p>
      <w:pPr>
        <w:pStyle w:val="Heading2"/>
      </w:pPr>
      <w:bookmarkStart w:id="23" w:name="_Toc156818622"/>
      <w:bookmarkStart w:id="24" w:name="_Toc156819579"/>
      <w:bookmarkStart w:id="25" w:name="_Toc158007615"/>
      <w:bookmarkStart w:id="26" w:name="_Toc158008411"/>
      <w:r>
        <w:rPr>
          <w:rStyle w:val="CharPartNo"/>
        </w:rPr>
        <w:t>Part II</w:t>
      </w:r>
      <w:r>
        <w:t> — </w:t>
      </w:r>
      <w:r>
        <w:rPr>
          <w:rStyle w:val="CharPartText"/>
        </w:rPr>
        <w:t>Administration</w:t>
      </w:r>
      <w:bookmarkEnd w:id="23"/>
      <w:bookmarkEnd w:id="24"/>
      <w:bookmarkEnd w:id="25"/>
      <w:bookmarkEnd w:id="26"/>
      <w:r>
        <w:rPr>
          <w:rStyle w:val="CharPartText"/>
        </w:rPr>
        <w:t xml:space="preserve"> </w:t>
      </w:r>
    </w:p>
    <w:p>
      <w:pPr>
        <w:pStyle w:val="Heading3"/>
        <w:rPr>
          <w:snapToGrid w:val="0"/>
        </w:rPr>
      </w:pPr>
      <w:bookmarkStart w:id="27" w:name="_Toc156818623"/>
      <w:bookmarkStart w:id="28" w:name="_Toc156819580"/>
      <w:bookmarkStart w:id="29" w:name="_Toc158007616"/>
      <w:bookmarkStart w:id="30" w:name="_Toc158008412"/>
      <w:r>
        <w:rPr>
          <w:rStyle w:val="CharDivNo"/>
        </w:rPr>
        <w:t>Division 1</w:t>
      </w:r>
      <w:r>
        <w:rPr>
          <w:snapToGrid w:val="0"/>
        </w:rPr>
        <w:t> — </w:t>
      </w:r>
      <w:r>
        <w:rPr>
          <w:rStyle w:val="CharDivText"/>
        </w:rPr>
        <w:t>Western Australian Tourism Commission</w:t>
      </w:r>
      <w:bookmarkEnd w:id="27"/>
      <w:bookmarkEnd w:id="28"/>
      <w:bookmarkEnd w:id="29"/>
      <w:bookmarkEnd w:id="30"/>
      <w:r>
        <w:rPr>
          <w:rStyle w:val="CharDivText"/>
        </w:rPr>
        <w:t xml:space="preserve"> </w:t>
      </w:r>
    </w:p>
    <w:p>
      <w:pPr>
        <w:pStyle w:val="Heading5"/>
        <w:rPr>
          <w:snapToGrid w:val="0"/>
        </w:rPr>
      </w:pPr>
      <w:bookmarkStart w:id="31" w:name="_Toc517767632"/>
      <w:bookmarkStart w:id="32" w:name="_Toc54688859"/>
      <w:bookmarkStart w:id="33" w:name="_Toc54689317"/>
      <w:bookmarkStart w:id="34" w:name="_Toc54689410"/>
      <w:bookmarkStart w:id="35" w:name="_Toc54689657"/>
      <w:bookmarkStart w:id="36" w:name="_Toc158008413"/>
      <w:r>
        <w:rPr>
          <w:rStyle w:val="CharSectno"/>
        </w:rPr>
        <w:t>4</w:t>
      </w:r>
      <w:r>
        <w:rPr>
          <w:snapToGrid w:val="0"/>
        </w:rPr>
        <w:t>.</w:t>
      </w:r>
      <w:r>
        <w:rPr>
          <w:snapToGrid w:val="0"/>
        </w:rPr>
        <w:tab/>
        <w:t>The Commission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For the purposes of this Act, there shall be established a body corporate by the name of the “Western Australian Tourism Commission”.</w:t>
      </w:r>
    </w:p>
    <w:p>
      <w:pPr>
        <w:pStyle w:val="Subsection"/>
        <w:rPr>
          <w:snapToGrid w:val="0"/>
        </w:rPr>
      </w:pPr>
      <w:r>
        <w:rPr>
          <w:snapToGrid w:val="0"/>
        </w:rPr>
        <w:tab/>
        <w:t>(2)</w:t>
      </w:r>
      <w:r>
        <w:rPr>
          <w:snapToGrid w:val="0"/>
        </w:rPr>
        <w:tab/>
        <w:t>Under its corporate name the Commission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Commission is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Commission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 of the Commission in the State and elsewhere.</w:t>
      </w:r>
    </w:p>
    <w:p>
      <w:pPr>
        <w:pStyle w:val="Heading5"/>
        <w:rPr>
          <w:snapToGrid w:val="0"/>
        </w:rPr>
      </w:pPr>
      <w:bookmarkStart w:id="37" w:name="_Toc517767633"/>
      <w:bookmarkStart w:id="38" w:name="_Toc54688860"/>
      <w:bookmarkStart w:id="39" w:name="_Toc54689318"/>
      <w:bookmarkStart w:id="40" w:name="_Toc54689411"/>
      <w:bookmarkStart w:id="41" w:name="_Toc54689658"/>
      <w:bookmarkStart w:id="42" w:name="_Toc158008414"/>
      <w:r>
        <w:rPr>
          <w:rStyle w:val="CharSectno"/>
        </w:rPr>
        <w:t>4A</w:t>
      </w:r>
      <w:r>
        <w:rPr>
          <w:snapToGrid w:val="0"/>
        </w:rPr>
        <w:t xml:space="preserve">. </w:t>
      </w:r>
      <w:r>
        <w:rPr>
          <w:snapToGrid w:val="0"/>
        </w:rPr>
        <w:tab/>
        <w:t>Board of Commissioners</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Commission shall have a Board of Commissioners, appointed under section 5.</w:t>
      </w:r>
    </w:p>
    <w:p>
      <w:pPr>
        <w:pStyle w:val="Subsection"/>
        <w:rPr>
          <w:snapToGrid w:val="0"/>
        </w:rPr>
      </w:pPr>
      <w:r>
        <w:rPr>
          <w:snapToGrid w:val="0"/>
        </w:rPr>
        <w:tab/>
        <w:t>(2)</w:t>
      </w:r>
      <w:r>
        <w:rPr>
          <w:snapToGrid w:val="0"/>
        </w:rPr>
        <w:tab/>
        <w:t>The Board is the governing body of the Commission with authority, in the name of the Commission, to exercise the powers and perform the functions of the Commission under this Act or under any other written law.</w:t>
      </w:r>
    </w:p>
    <w:p>
      <w:pPr>
        <w:pStyle w:val="Footnotesection"/>
      </w:pPr>
      <w:r>
        <w:tab/>
        <w:t xml:space="preserve">[Section 4A inserted by No. 68 of 1994 s.5.] </w:t>
      </w:r>
    </w:p>
    <w:p>
      <w:pPr>
        <w:pStyle w:val="Heading5"/>
        <w:rPr>
          <w:snapToGrid w:val="0"/>
        </w:rPr>
      </w:pPr>
      <w:bookmarkStart w:id="43" w:name="_Toc517767634"/>
      <w:bookmarkStart w:id="44" w:name="_Toc54688861"/>
      <w:bookmarkStart w:id="45" w:name="_Toc54689319"/>
      <w:bookmarkStart w:id="46" w:name="_Toc54689412"/>
      <w:bookmarkStart w:id="47" w:name="_Toc54689659"/>
      <w:bookmarkStart w:id="48" w:name="_Toc158008415"/>
      <w:r>
        <w:rPr>
          <w:rStyle w:val="CharSectno"/>
        </w:rPr>
        <w:t>5</w:t>
      </w:r>
      <w:r>
        <w:rPr>
          <w:snapToGrid w:val="0"/>
        </w:rPr>
        <w:t>.</w:t>
      </w:r>
      <w:r>
        <w:rPr>
          <w:snapToGrid w:val="0"/>
        </w:rPr>
        <w:tab/>
        <w:t>Composition of the Commission</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Subject to subsection (2), the Board shall consist of not more than 10 members appointed by the Governor of whom one shall be appointed by the Governor to be the chairman.</w:t>
      </w:r>
    </w:p>
    <w:p>
      <w:pPr>
        <w:pStyle w:val="Subsection"/>
        <w:rPr>
          <w:snapToGrid w:val="0"/>
        </w:rPr>
      </w:pPr>
      <w:r>
        <w:rPr>
          <w:snapToGrid w:val="0"/>
        </w:rPr>
        <w:tab/>
        <w:t>(1a)</w:t>
      </w:r>
      <w:r>
        <w:rPr>
          <w:snapToGrid w:val="0"/>
        </w:rPr>
        <w:tab/>
        <w:t>The chief executive officer may be appointed by the Governor to be a member of the Board in addition to the members appointed under subsection (1).</w:t>
      </w:r>
    </w:p>
    <w:p>
      <w:pPr>
        <w:pStyle w:val="Subsection"/>
        <w:rPr>
          <w:snapToGrid w:val="0"/>
        </w:rPr>
      </w:pPr>
      <w:r>
        <w:rPr>
          <w:snapToGrid w:val="0"/>
        </w:rPr>
        <w:tab/>
        <w:t>(1b)</w:t>
      </w:r>
      <w:r>
        <w:rPr>
          <w:snapToGrid w:val="0"/>
        </w:rPr>
        <w:tab/>
        <w:t>The Minister shall appoint one of the members appointed under subsection (1) to be the deputy chairman.</w:t>
      </w:r>
    </w:p>
    <w:p>
      <w:pPr>
        <w:pStyle w:val="Subsection"/>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the chairman shall hold office for such period not exceeding 5 years; and</w:t>
      </w:r>
    </w:p>
    <w:p>
      <w:pPr>
        <w:pStyle w:val="Indenta"/>
        <w:rPr>
          <w:snapToGrid w:val="0"/>
        </w:rPr>
      </w:pPr>
      <w:r>
        <w:rPr>
          <w:snapToGrid w:val="0"/>
        </w:rPr>
        <w:tab/>
        <w:t>(b)</w:t>
      </w:r>
      <w:r>
        <w:rPr>
          <w:snapToGrid w:val="0"/>
        </w:rPr>
        <w:tab/>
        <w:t>each other member shall hold office for such period not exceeding 4 years,</w:t>
      </w:r>
    </w:p>
    <w:p>
      <w:pPr>
        <w:pStyle w:val="Subsection"/>
        <w:rPr>
          <w:snapToGrid w:val="0"/>
        </w:rPr>
      </w:pPr>
      <w:r>
        <w:rPr>
          <w:snapToGrid w:val="0"/>
        </w:rPr>
        <w:tab/>
      </w:r>
      <w:r>
        <w:rPr>
          <w:snapToGrid w:val="0"/>
        </w:rPr>
        <w:tab/>
        <w:t>as is specified in the instrument of his appointment, and is eligible for reappointment.</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rPr>
          <w:snapToGrid w:val="0"/>
        </w:rPr>
      </w:pPr>
      <w:r>
        <w:rPr>
          <w:snapToGrid w:val="0"/>
        </w:rPr>
        <w:tab/>
        <w:t>(a)</w:t>
      </w:r>
      <w:r>
        <w:rPr>
          <w:snapToGrid w:val="0"/>
        </w:rPr>
        <w:tab/>
        <w:t>is or becomes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has his appointment terminated by the Governor, pursuant to subsection (4);</w:t>
      </w:r>
    </w:p>
    <w:p>
      <w:pPr>
        <w:pStyle w:val="Indenta"/>
        <w:rPr>
          <w:snapToGrid w:val="0"/>
        </w:rPr>
      </w:pPr>
      <w:r>
        <w:rPr>
          <w:snapToGrid w:val="0"/>
        </w:rPr>
        <w:tab/>
        <w:t>(c)</w:t>
      </w:r>
      <w:r>
        <w:rPr>
          <w:snapToGrid w:val="0"/>
        </w:rPr>
        <w:tab/>
        <w:t>is absent, except on leave duly granted by the Minister, from 3 consecutive meetings of the Board of which he has had notice; or</w:t>
      </w:r>
    </w:p>
    <w:p>
      <w:pPr>
        <w:pStyle w:val="Indenta"/>
        <w:rPr>
          <w:snapToGrid w:val="0"/>
        </w:rPr>
      </w:pPr>
      <w:r>
        <w:rPr>
          <w:snapToGrid w:val="0"/>
        </w:rPr>
        <w:tab/>
        <w:t>(d)</w:t>
      </w:r>
      <w:r>
        <w:rPr>
          <w:snapToGrid w:val="0"/>
        </w:rPr>
        <w:tab/>
        <w:t>resigns his office by written notice addressed to the Minister,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Governor may fill any vacancies in the office of a member.</w:t>
      </w:r>
    </w:p>
    <w:p>
      <w:pPr>
        <w:pStyle w:val="Footnotesection"/>
      </w:pPr>
      <w:r>
        <w:tab/>
        <w:t xml:space="preserve">[Section 5 amended by No. 68 of 1994 s.6; No. 73 of 1994 s.4; No. 55 of 2003 s. 4.] </w:t>
      </w:r>
    </w:p>
    <w:p>
      <w:pPr>
        <w:pStyle w:val="Heading5"/>
        <w:rPr>
          <w:snapToGrid w:val="0"/>
        </w:rPr>
      </w:pPr>
      <w:bookmarkStart w:id="49" w:name="_Toc517767635"/>
      <w:bookmarkStart w:id="50" w:name="_Toc54688862"/>
      <w:bookmarkStart w:id="51" w:name="_Toc54689320"/>
      <w:bookmarkStart w:id="52" w:name="_Toc54689413"/>
      <w:bookmarkStart w:id="53" w:name="_Toc54689660"/>
      <w:bookmarkStart w:id="54" w:name="_Toc158008416"/>
      <w:r>
        <w:rPr>
          <w:rStyle w:val="CharSectno"/>
        </w:rPr>
        <w:t>6</w:t>
      </w:r>
      <w:r>
        <w:rPr>
          <w:snapToGrid w:val="0"/>
        </w:rPr>
        <w:t>.</w:t>
      </w:r>
      <w:r>
        <w:rPr>
          <w:snapToGrid w:val="0"/>
        </w:rPr>
        <w:tab/>
        <w:t>Acting members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is absent or temporarily incapable of fulfilling the duties of a member; or</w:t>
      </w:r>
    </w:p>
    <w:p>
      <w:pPr>
        <w:pStyle w:val="Indenta"/>
        <w:rPr>
          <w:snapToGrid w:val="0"/>
        </w:rPr>
      </w:pPr>
      <w:r>
        <w:rPr>
          <w:snapToGrid w:val="0"/>
        </w:rPr>
        <w:tab/>
        <w:t>(b)</w:t>
      </w:r>
      <w:r>
        <w:rPr>
          <w:snapToGrid w:val="0"/>
        </w:rPr>
        <w:tab/>
        <w:t>the office of a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appointment of a person as an acting member may be terminated at any time by the Minister.</w:t>
      </w:r>
    </w:p>
    <w:p>
      <w:pPr>
        <w:pStyle w:val="Heading5"/>
        <w:rPr>
          <w:snapToGrid w:val="0"/>
        </w:rPr>
      </w:pPr>
      <w:bookmarkStart w:id="55" w:name="_Toc517767636"/>
      <w:bookmarkStart w:id="56" w:name="_Toc54688863"/>
      <w:bookmarkStart w:id="57" w:name="_Toc54689321"/>
      <w:bookmarkStart w:id="58" w:name="_Toc54689414"/>
      <w:bookmarkStart w:id="59" w:name="_Toc54689661"/>
      <w:bookmarkStart w:id="60" w:name="_Toc158008417"/>
      <w:r>
        <w:rPr>
          <w:rStyle w:val="CharSectno"/>
        </w:rPr>
        <w:t>7</w:t>
      </w:r>
      <w:r>
        <w:rPr>
          <w:snapToGrid w:val="0"/>
        </w:rPr>
        <w:t>.</w:t>
      </w:r>
      <w:r>
        <w:rPr>
          <w:snapToGrid w:val="0"/>
        </w:rPr>
        <w:tab/>
        <w:t>Remuneration of members</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terms and conditions of service of, and the remuneration and allowances to be paid to, a member, shall be determined by the Minister after consultation with the Minister for Public Sector Management.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 xml:space="preserve">[Section 7 amended by No. 32 of 1994 s.19; No. 68 of 1994 s.7.] </w:t>
      </w:r>
    </w:p>
    <w:p>
      <w:pPr>
        <w:pStyle w:val="Heading5"/>
        <w:rPr>
          <w:snapToGrid w:val="0"/>
        </w:rPr>
      </w:pPr>
      <w:bookmarkStart w:id="61" w:name="_Toc517767637"/>
      <w:bookmarkStart w:id="62" w:name="_Toc54688864"/>
      <w:bookmarkStart w:id="63" w:name="_Toc54689322"/>
      <w:bookmarkStart w:id="64" w:name="_Toc54689415"/>
      <w:bookmarkStart w:id="65" w:name="_Toc54689662"/>
      <w:bookmarkStart w:id="66" w:name="_Toc158008418"/>
      <w:r>
        <w:rPr>
          <w:rStyle w:val="CharSectno"/>
        </w:rPr>
        <w:t>8</w:t>
      </w:r>
      <w:r>
        <w:rPr>
          <w:snapToGrid w:val="0"/>
        </w:rPr>
        <w:t>.</w:t>
      </w:r>
      <w:r>
        <w:rPr>
          <w:snapToGrid w:val="0"/>
        </w:rPr>
        <w:tab/>
        <w:t>Proceedings of the Board</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Board shall hold its meetings at such place on such days and at such intervals as the Board shall from time to time determine.</w:t>
      </w:r>
    </w:p>
    <w:p>
      <w:pPr>
        <w:pStyle w:val="Subsection"/>
        <w:rPr>
          <w:snapToGrid w:val="0"/>
        </w:rPr>
      </w:pPr>
      <w:r>
        <w:rPr>
          <w:snapToGrid w:val="0"/>
        </w:rPr>
        <w:tab/>
        <w:t>(2)</w:t>
      </w:r>
      <w:r>
        <w:rPr>
          <w:snapToGrid w:val="0"/>
        </w:rPr>
        <w:tab/>
        <w:t>At any meeting of the Board — </w:t>
      </w:r>
    </w:p>
    <w:p>
      <w:pPr>
        <w:pStyle w:val="Indenta"/>
        <w:rPr>
          <w:snapToGrid w:val="0"/>
        </w:rPr>
      </w:pPr>
      <w:r>
        <w:rPr>
          <w:snapToGrid w:val="0"/>
        </w:rPr>
        <w:tab/>
        <w:t>(a)</w:t>
      </w:r>
      <w:r>
        <w:rPr>
          <w:snapToGrid w:val="0"/>
        </w:rPr>
        <w:tab/>
        <w:t>a majority of the members constitute a quorum;</w:t>
      </w:r>
    </w:p>
    <w:p>
      <w:pPr>
        <w:pStyle w:val="Indenta"/>
        <w:rPr>
          <w:snapToGrid w:val="0"/>
        </w:rPr>
      </w:pPr>
      <w:r>
        <w:rPr>
          <w:snapToGrid w:val="0"/>
        </w:rPr>
        <w:tab/>
        <w:t>(b)</w:t>
      </w:r>
      <w:r>
        <w:rPr>
          <w:snapToGrid w:val="0"/>
        </w:rPr>
        <w:tab/>
        <w:t>the chairman, or in his absence the deputy chairman, shall preside but where both are absent from the meeting the members may appoint one of their number to preside at that meeting;</w:t>
      </w:r>
    </w:p>
    <w:p>
      <w:pPr>
        <w:pStyle w:val="Indenta"/>
        <w:rPr>
          <w:snapToGrid w:val="0"/>
        </w:rPr>
      </w:pPr>
      <w:r>
        <w:rPr>
          <w:snapToGrid w:val="0"/>
        </w:rPr>
        <w:tab/>
        <w:t>(c)</w:t>
      </w:r>
      <w:r>
        <w:rPr>
          <w:snapToGrid w:val="0"/>
        </w:rPr>
        <w:tab/>
        <w:t>each member present is entitled to a deliberative vote; and</w:t>
      </w:r>
    </w:p>
    <w:p>
      <w:pPr>
        <w:pStyle w:val="Indenta"/>
        <w:rPr>
          <w:snapToGrid w:val="0"/>
        </w:rPr>
      </w:pPr>
      <w:r>
        <w:rPr>
          <w:snapToGrid w:val="0"/>
        </w:rPr>
        <w:tab/>
        <w:t>(d)</w:t>
      </w:r>
      <w:r>
        <w:rPr>
          <w:snapToGrid w:val="0"/>
        </w:rPr>
        <w:tab/>
        <w:t>where the votes cast on any question are equally divided the chairman, or, in his absence the deputy chairman or the presiding member in terms of paragraph (b), shall have a casting vote.</w:t>
      </w:r>
    </w:p>
    <w:p>
      <w:pPr>
        <w:pStyle w:val="Subsection"/>
        <w:rPr>
          <w:snapToGrid w:val="0"/>
        </w:rPr>
      </w:pPr>
      <w:r>
        <w:rPr>
          <w:snapToGrid w:val="0"/>
        </w:rPr>
        <w:tab/>
        <w:t>(2a)</w:t>
      </w:r>
      <w:r>
        <w:rPr>
          <w:snapToGrid w:val="0"/>
        </w:rPr>
        <w:tab/>
        <w:t>Where, by reason of section 11(2) or (3), a member is not present at a meeting of the Board during consideration of a matter, but there would be a quorum if the member were present, the remaining members present constitute a quorum for the purpose of any deliberation or decision at that meeting in relation to that matter.</w:t>
      </w:r>
    </w:p>
    <w:p>
      <w:pPr>
        <w:pStyle w:val="Subsection"/>
        <w:rPr>
          <w:snapToGrid w:val="0"/>
        </w:rPr>
      </w:pPr>
      <w:r>
        <w:rPr>
          <w:snapToGrid w:val="0"/>
        </w:rPr>
        <w:tab/>
        <w:t>(3)</w:t>
      </w:r>
      <w:r>
        <w:rPr>
          <w:snapToGrid w:val="0"/>
        </w:rPr>
        <w:tab/>
        <w:t>The Board shall cause accurate minutes to be kept of the proceedings at its meetings.</w:t>
      </w:r>
    </w:p>
    <w:p>
      <w:pPr>
        <w:pStyle w:val="Subsection"/>
        <w:rPr>
          <w:snapToGrid w:val="0"/>
        </w:rPr>
      </w:pPr>
      <w:r>
        <w:rPr>
          <w:snapToGrid w:val="0"/>
        </w:rPr>
        <w:tab/>
        <w:t>(4)</w:t>
      </w:r>
      <w:r>
        <w:rPr>
          <w:snapToGrid w:val="0"/>
        </w:rPr>
        <w:tab/>
        <w:t>To the extent that it is not prescribed, the Board may determine its own procedure.</w:t>
      </w:r>
    </w:p>
    <w:p>
      <w:pPr>
        <w:pStyle w:val="Subsection"/>
        <w:rPr>
          <w:snapToGrid w:val="0"/>
        </w:rPr>
      </w:pPr>
      <w:r>
        <w:rPr>
          <w:snapToGrid w:val="0"/>
        </w:rPr>
        <w:tab/>
        <w:t>(5)</w:t>
      </w:r>
      <w:r>
        <w:rPr>
          <w:snapToGrid w:val="0"/>
        </w:rPr>
        <w:tab/>
        <w:t>The Board may from time to time appoint committees of such members or such members and other persons, as it thinks fit and may discharge, alter, continue or reconstitute any committee so appointed.</w:t>
      </w:r>
    </w:p>
    <w:p>
      <w:pPr>
        <w:pStyle w:val="Subsection"/>
        <w:rPr>
          <w:snapToGrid w:val="0"/>
        </w:rPr>
      </w:pPr>
      <w:r>
        <w:rPr>
          <w:snapToGrid w:val="0"/>
        </w:rPr>
        <w:tab/>
        <w:t>(6)</w:t>
      </w:r>
      <w:r>
        <w:rPr>
          <w:snapToGrid w:val="0"/>
        </w:rPr>
        <w:tab/>
        <w:t>Subject to the directions of the Board, each committee appointed under subsection (5) may determine its own procedures.</w:t>
      </w:r>
    </w:p>
    <w:p>
      <w:pPr>
        <w:pStyle w:val="Footnotesection"/>
      </w:pPr>
      <w:r>
        <w:tab/>
        <w:t xml:space="preserve">[Section 8 amended by No. 68 of 1994 s.8.] </w:t>
      </w:r>
    </w:p>
    <w:p>
      <w:pPr>
        <w:pStyle w:val="Heading5"/>
        <w:rPr>
          <w:snapToGrid w:val="0"/>
        </w:rPr>
      </w:pPr>
      <w:bookmarkStart w:id="67" w:name="_Toc517767638"/>
      <w:bookmarkStart w:id="68" w:name="_Toc54688865"/>
      <w:bookmarkStart w:id="69" w:name="_Toc54689323"/>
      <w:bookmarkStart w:id="70" w:name="_Toc54689416"/>
      <w:bookmarkStart w:id="71" w:name="_Toc54689663"/>
      <w:bookmarkStart w:id="72" w:name="_Toc158008419"/>
      <w:r>
        <w:rPr>
          <w:rStyle w:val="CharSectno"/>
        </w:rPr>
        <w:t>9</w:t>
      </w:r>
      <w:r>
        <w:rPr>
          <w:snapToGrid w:val="0"/>
        </w:rPr>
        <w:t>.</w:t>
      </w:r>
      <w:r>
        <w:rPr>
          <w:snapToGrid w:val="0"/>
        </w:rPr>
        <w:tab/>
        <w:t>Matters not to be invalidated by vacancies, or defects in appointment</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No proceeding or act of the Board shall (if there is a quorum) be invalidated or illegal in consequence only of there being a vacancy in the number of members at the time of that proceeding or act, or in consequence of there being some defect in the appointment of a person purporting to be a member.</w:t>
      </w:r>
    </w:p>
    <w:p>
      <w:pPr>
        <w:pStyle w:val="Footnotesection"/>
      </w:pPr>
      <w:r>
        <w:tab/>
        <w:t xml:space="preserve">[Section 9 amended by No. 68 of 1994 s.9.] </w:t>
      </w:r>
    </w:p>
    <w:p>
      <w:pPr>
        <w:pStyle w:val="Heading5"/>
        <w:rPr>
          <w:snapToGrid w:val="0"/>
        </w:rPr>
      </w:pPr>
      <w:bookmarkStart w:id="73" w:name="_Toc517767639"/>
      <w:bookmarkStart w:id="74" w:name="_Toc54688866"/>
      <w:bookmarkStart w:id="75" w:name="_Toc54689324"/>
      <w:bookmarkStart w:id="76" w:name="_Toc54689417"/>
      <w:bookmarkStart w:id="77" w:name="_Toc54689664"/>
      <w:bookmarkStart w:id="78" w:name="_Toc158008420"/>
      <w:r>
        <w:rPr>
          <w:rStyle w:val="CharSectno"/>
        </w:rPr>
        <w:t>10</w:t>
      </w:r>
      <w:r>
        <w:rPr>
          <w:snapToGrid w:val="0"/>
        </w:rPr>
        <w:t>.</w:t>
      </w:r>
      <w:r>
        <w:rPr>
          <w:snapToGrid w:val="0"/>
        </w:rPr>
        <w:tab/>
        <w:t>Liability of members</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A person who is or has been a member or acting member of the Board is not personally liable for anything done or omitted in good faith in, or in connection with, the exercise or purported exercise of any power conferred, or the carrying out of any duty imposed, on the Board by or under this Act.</w:t>
      </w:r>
    </w:p>
    <w:p>
      <w:pPr>
        <w:pStyle w:val="Footnotesection"/>
      </w:pPr>
      <w:r>
        <w:tab/>
        <w:t xml:space="preserve">[Section 10 amended by No. 68 of 1994 s.10.] </w:t>
      </w:r>
    </w:p>
    <w:p>
      <w:pPr>
        <w:pStyle w:val="Heading5"/>
        <w:rPr>
          <w:snapToGrid w:val="0"/>
        </w:rPr>
      </w:pPr>
      <w:bookmarkStart w:id="79" w:name="_Toc517767640"/>
      <w:bookmarkStart w:id="80" w:name="_Toc54688867"/>
      <w:bookmarkStart w:id="81" w:name="_Toc54689325"/>
      <w:bookmarkStart w:id="82" w:name="_Toc54689418"/>
      <w:bookmarkStart w:id="83" w:name="_Toc54689665"/>
      <w:bookmarkStart w:id="84" w:name="_Toc158008421"/>
      <w:r>
        <w:rPr>
          <w:rStyle w:val="CharSectno"/>
        </w:rPr>
        <w:t>11</w:t>
      </w:r>
      <w:r>
        <w:rPr>
          <w:snapToGrid w:val="0"/>
        </w:rPr>
        <w:t>.</w:t>
      </w:r>
      <w:r>
        <w:rPr>
          <w:snapToGrid w:val="0"/>
        </w:rPr>
        <w:tab/>
        <w:t>Pecuniary interests of members to be disclosed</w:t>
      </w:r>
      <w:bookmarkEnd w:id="79"/>
      <w:bookmarkEnd w:id="80"/>
      <w:bookmarkEnd w:id="81"/>
      <w:bookmarkEnd w:id="82"/>
      <w:bookmarkEnd w:id="83"/>
      <w:bookmarkEnd w:id="84"/>
      <w:r>
        <w:rPr>
          <w:snapToGrid w:val="0"/>
        </w:rPr>
        <w:t xml:space="preserve"> </w:t>
      </w:r>
    </w:p>
    <w:p>
      <w:pPr>
        <w:pStyle w:val="Subsection"/>
        <w:keepNext/>
        <w:rPr>
          <w:snapToGrid w:val="0"/>
        </w:rPr>
      </w:pPr>
      <w:r>
        <w:rPr>
          <w:snapToGrid w:val="0"/>
        </w:rPr>
        <w:tab/>
        <w:t>(1)</w:t>
      </w:r>
      <w:r>
        <w:rPr>
          <w:snapToGrid w:val="0"/>
        </w:rPr>
        <w:tab/>
        <w:t>Any member of the Board who has a direct or indirect pecuniary interest, which he has not previously disclosed pursuant to this section, in any matter — </w:t>
      </w:r>
    </w:p>
    <w:p>
      <w:pPr>
        <w:pStyle w:val="Indenta"/>
        <w:rPr>
          <w:snapToGrid w:val="0"/>
        </w:rPr>
      </w:pPr>
      <w:r>
        <w:rPr>
          <w:snapToGrid w:val="0"/>
        </w:rPr>
        <w:tab/>
        <w:t>(a)</w:t>
      </w:r>
      <w:r>
        <w:rPr>
          <w:snapToGrid w:val="0"/>
        </w:rPr>
        <w:tab/>
        <w:t>which is before a meeting of the Board at which he is present; or</w:t>
      </w:r>
    </w:p>
    <w:p>
      <w:pPr>
        <w:pStyle w:val="Indenta"/>
        <w:rPr>
          <w:snapToGrid w:val="0"/>
        </w:rPr>
      </w:pPr>
      <w:r>
        <w:rPr>
          <w:snapToGrid w:val="0"/>
        </w:rPr>
        <w:tab/>
        <w:t>(b)</w:t>
      </w:r>
      <w:r>
        <w:rPr>
          <w:snapToGrid w:val="0"/>
        </w:rPr>
        <w:tab/>
        <w:t>on which he has advised the Board, whether or not he is present at the meeting where the matter is considered,</w:t>
      </w:r>
    </w:p>
    <w:p>
      <w:pPr>
        <w:pStyle w:val="Subsection"/>
        <w:rPr>
          <w:snapToGrid w:val="0"/>
        </w:rPr>
      </w:pPr>
      <w:r>
        <w:rPr>
          <w:snapToGrid w:val="0"/>
        </w:rPr>
        <w:tab/>
      </w:r>
      <w:r>
        <w:rPr>
          <w:snapToGrid w:val="0"/>
        </w:rPr>
        <w:tab/>
        <w:t>shall, as soon as possible after the relevant facts have come to his knowledge, disclose the fact and nature of his interest to the Board and the Board shall ensure that the information disclosed is recorded in the minutes.</w:t>
      </w:r>
    </w:p>
    <w:p>
      <w:pPr>
        <w:pStyle w:val="Subsection"/>
        <w:rPr>
          <w:snapToGrid w:val="0"/>
        </w:rPr>
      </w:pPr>
      <w:r>
        <w:rPr>
          <w:snapToGrid w:val="0"/>
        </w:rPr>
        <w:tab/>
        <w:t>(2)</w:t>
      </w:r>
      <w:r>
        <w:rPr>
          <w:snapToGrid w:val="0"/>
        </w:rPr>
        <w:tab/>
        <w:t>Where a member discloses an interest under subsection (1) in any matter the Board may by resolution — </w:t>
      </w:r>
    </w:p>
    <w:p>
      <w:pPr>
        <w:pStyle w:val="Indenta"/>
        <w:rPr>
          <w:snapToGrid w:val="0"/>
        </w:rPr>
      </w:pPr>
      <w:r>
        <w:rPr>
          <w:snapToGrid w:val="0"/>
        </w:rPr>
        <w:tab/>
        <w:t>(a)</w:t>
      </w:r>
      <w:r>
        <w:rPr>
          <w:snapToGrid w:val="0"/>
        </w:rPr>
        <w:tab/>
        <w:t>exclude that member from a meeting whilst that matter is under consideration;</w:t>
      </w:r>
    </w:p>
    <w:p>
      <w:pPr>
        <w:pStyle w:val="Indenta"/>
        <w:rPr>
          <w:snapToGrid w:val="0"/>
        </w:rPr>
      </w:pPr>
      <w:r>
        <w:rPr>
          <w:snapToGrid w:val="0"/>
        </w:rPr>
        <w:tab/>
        <w:t>(b)</w:t>
      </w:r>
      <w:r>
        <w:rPr>
          <w:snapToGrid w:val="0"/>
        </w:rPr>
        <w:tab/>
        <w:t>prohibit that member from voting on any question with respect to that matter.</w:t>
      </w:r>
    </w:p>
    <w:p>
      <w:pPr>
        <w:pStyle w:val="Subsection"/>
        <w:rPr>
          <w:snapToGrid w:val="0"/>
        </w:rPr>
      </w:pPr>
      <w:r>
        <w:rPr>
          <w:snapToGrid w:val="0"/>
        </w:rPr>
        <w:tab/>
        <w:t>(3)</w:t>
      </w:r>
      <w:r>
        <w:rPr>
          <w:snapToGrid w:val="0"/>
        </w:rPr>
        <w:tab/>
        <w:t>When the Board is considering whether to exclude a member from a meeting or prohibit a member from voting under subsection (2), that member shall not be present during any deliberations of, or any vote taken by, the Board for the purpose of making the decision.</w:t>
      </w:r>
    </w:p>
    <w:p>
      <w:pPr>
        <w:pStyle w:val="Footnotesection"/>
      </w:pPr>
      <w:r>
        <w:tab/>
        <w:t xml:space="preserve">[Section 11 amended by No. 68 of 1994 s.11.] </w:t>
      </w:r>
    </w:p>
    <w:p>
      <w:pPr>
        <w:pStyle w:val="Ednotesection"/>
      </w:pPr>
      <w:r>
        <w:t>[</w:t>
      </w:r>
      <w:r>
        <w:rPr>
          <w:b/>
        </w:rPr>
        <w:t>12.</w:t>
      </w:r>
      <w:r>
        <w:t xml:space="preserve"> </w:t>
      </w:r>
      <w:r>
        <w:tab/>
        <w:t xml:space="preserve">Deleted by No. 68 of 1994 s.12.] </w:t>
      </w:r>
    </w:p>
    <w:p>
      <w:pPr>
        <w:pStyle w:val="Heading3"/>
        <w:rPr>
          <w:snapToGrid w:val="0"/>
        </w:rPr>
      </w:pPr>
      <w:bookmarkStart w:id="85" w:name="_Toc156818633"/>
      <w:bookmarkStart w:id="86" w:name="_Toc156819590"/>
      <w:bookmarkStart w:id="87" w:name="_Toc158007626"/>
      <w:bookmarkStart w:id="88" w:name="_Toc158008422"/>
      <w:r>
        <w:rPr>
          <w:rStyle w:val="CharDivNo"/>
        </w:rPr>
        <w:t>Division 2</w:t>
      </w:r>
      <w:r>
        <w:rPr>
          <w:snapToGrid w:val="0"/>
        </w:rPr>
        <w:t> — </w:t>
      </w:r>
      <w:r>
        <w:rPr>
          <w:rStyle w:val="CharDivText"/>
        </w:rPr>
        <w:t>Functions and powers of the Commission</w:t>
      </w:r>
      <w:bookmarkEnd w:id="85"/>
      <w:bookmarkEnd w:id="86"/>
      <w:bookmarkEnd w:id="87"/>
      <w:bookmarkEnd w:id="88"/>
    </w:p>
    <w:p>
      <w:pPr>
        <w:pStyle w:val="Footnoteheading"/>
        <w:keepNext/>
      </w:pPr>
      <w:r>
        <w:tab/>
        <w:t xml:space="preserve">[Heading amended by No. 68 of 1994 s.13.] </w:t>
      </w:r>
    </w:p>
    <w:p>
      <w:pPr>
        <w:pStyle w:val="Heading5"/>
        <w:rPr>
          <w:snapToGrid w:val="0"/>
        </w:rPr>
      </w:pPr>
      <w:bookmarkStart w:id="89" w:name="_Toc517767641"/>
      <w:bookmarkStart w:id="90" w:name="_Toc54688868"/>
      <w:bookmarkStart w:id="91" w:name="_Toc54689326"/>
      <w:bookmarkStart w:id="92" w:name="_Toc54689419"/>
      <w:bookmarkStart w:id="93" w:name="_Toc54689666"/>
      <w:bookmarkStart w:id="94" w:name="_Toc158008423"/>
      <w:r>
        <w:rPr>
          <w:rStyle w:val="CharSectno"/>
        </w:rPr>
        <w:t>13</w:t>
      </w:r>
      <w:r>
        <w:rPr>
          <w:snapToGrid w:val="0"/>
        </w:rPr>
        <w:t>.</w:t>
      </w:r>
      <w:r>
        <w:rPr>
          <w:snapToGrid w:val="0"/>
        </w:rPr>
        <w:tab/>
        <w:t>Functions</w:t>
      </w:r>
      <w:bookmarkEnd w:id="89"/>
      <w:bookmarkEnd w:id="90"/>
      <w:bookmarkEnd w:id="91"/>
      <w:bookmarkEnd w:id="92"/>
      <w:bookmarkEnd w:id="93"/>
      <w:bookmarkEnd w:id="94"/>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to promote or to support and co</w:t>
      </w:r>
      <w:r>
        <w:rPr>
          <w:snapToGrid w:val="0"/>
        </w:rPr>
        <w:noBreakHyphen/>
        <w:t>ordinate the promotion of Western Australia as a holiday, event and convention destination and to do so within Australia and overseas;</w:t>
      </w:r>
    </w:p>
    <w:p>
      <w:pPr>
        <w:pStyle w:val="Indenta"/>
        <w:rPr>
          <w:snapToGrid w:val="0"/>
        </w:rPr>
      </w:pPr>
      <w:r>
        <w:rPr>
          <w:snapToGrid w:val="0"/>
        </w:rPr>
        <w:tab/>
        <w:t>(b)</w:t>
      </w:r>
      <w:r>
        <w:rPr>
          <w:snapToGrid w:val="0"/>
        </w:rPr>
        <w:tab/>
        <w:t>to develop or to facilitate the development of new tourist facilities and to improve or facilitate the improvement of existing tourist facilities in Western Australia;</w:t>
      </w:r>
    </w:p>
    <w:p>
      <w:pPr>
        <w:pStyle w:val="Indenta"/>
        <w:rPr>
          <w:snapToGrid w:val="0"/>
        </w:rPr>
      </w:pPr>
      <w:r>
        <w:rPr>
          <w:snapToGrid w:val="0"/>
        </w:rPr>
        <w:tab/>
        <w:t>(c)</w:t>
      </w:r>
      <w:r>
        <w:rPr>
          <w:snapToGrid w:val="0"/>
        </w:rPr>
        <w:tab/>
        <w:t>to develop or to facilitate the development of proposals for events and conventions;</w:t>
      </w:r>
    </w:p>
    <w:p>
      <w:pPr>
        <w:pStyle w:val="Indenta"/>
        <w:rPr>
          <w:snapToGrid w:val="0"/>
        </w:rPr>
      </w:pPr>
      <w:r>
        <w:rPr>
          <w:snapToGrid w:val="0"/>
        </w:rPr>
        <w:tab/>
        <w:t>(d)</w:t>
      </w:r>
      <w:r>
        <w:rPr>
          <w:snapToGrid w:val="0"/>
        </w:rPr>
        <w:tab/>
        <w:t>to organize and administer or to assist in the organization and administration of events and conventions;</w:t>
      </w:r>
    </w:p>
    <w:p>
      <w:pPr>
        <w:pStyle w:val="Indenta"/>
        <w:rPr>
          <w:snapToGrid w:val="0"/>
        </w:rPr>
      </w:pPr>
      <w:r>
        <w:rPr>
          <w:snapToGrid w:val="0"/>
        </w:rPr>
        <w:tab/>
        <w:t>(e)</w:t>
      </w:r>
      <w:r>
        <w:rPr>
          <w:snapToGrid w:val="0"/>
        </w:rPr>
        <w:tab/>
        <w:t>to promote tourism generally and to market travel; and</w:t>
      </w:r>
    </w:p>
    <w:p>
      <w:pPr>
        <w:pStyle w:val="Indenta"/>
        <w:rPr>
          <w:snapToGrid w:val="0"/>
        </w:rPr>
      </w:pPr>
      <w:r>
        <w:rPr>
          <w:snapToGrid w:val="0"/>
        </w:rPr>
        <w:tab/>
        <w:t>(f)</w:t>
      </w:r>
      <w:r>
        <w:rPr>
          <w:snapToGrid w:val="0"/>
        </w:rPr>
        <w:tab/>
        <w:t>to advise the Minister on any matter relating to tourism or travel within Western Australia that is referred to the Commission by the Minister.</w:t>
      </w:r>
    </w:p>
    <w:p>
      <w:pPr>
        <w:pStyle w:val="Footnotesection"/>
      </w:pPr>
      <w:r>
        <w:tab/>
        <w:t xml:space="preserve">[Section 13 inserted by No. 68 of 1994 s.14.] </w:t>
      </w:r>
    </w:p>
    <w:p>
      <w:pPr>
        <w:pStyle w:val="Heading5"/>
        <w:rPr>
          <w:snapToGrid w:val="0"/>
        </w:rPr>
      </w:pPr>
      <w:bookmarkStart w:id="95" w:name="_Toc517767642"/>
      <w:bookmarkStart w:id="96" w:name="_Toc54688869"/>
      <w:bookmarkStart w:id="97" w:name="_Toc54689327"/>
      <w:bookmarkStart w:id="98" w:name="_Toc54689420"/>
      <w:bookmarkStart w:id="99" w:name="_Toc54689667"/>
      <w:bookmarkStart w:id="100" w:name="_Toc158008424"/>
      <w:r>
        <w:rPr>
          <w:rStyle w:val="CharSectno"/>
        </w:rPr>
        <w:t>14</w:t>
      </w:r>
      <w:r>
        <w:rPr>
          <w:snapToGrid w:val="0"/>
        </w:rPr>
        <w:t>.</w:t>
      </w:r>
      <w:r>
        <w:rPr>
          <w:snapToGrid w:val="0"/>
        </w:rPr>
        <w:tab/>
        <w:t>Powers</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Commission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Commission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in Western Australia or elsewhere;</w:t>
      </w:r>
    </w:p>
    <w:p>
      <w:pPr>
        <w:pStyle w:val="Indenta"/>
        <w:rPr>
          <w:snapToGrid w:val="0"/>
        </w:rPr>
      </w:pPr>
      <w:r>
        <w:rPr>
          <w:snapToGrid w:val="0"/>
        </w:rPr>
        <w:tab/>
        <w:t>(b)</w:t>
      </w:r>
      <w:r>
        <w:rPr>
          <w:snapToGrid w:val="0"/>
        </w:rPr>
        <w:tab/>
        <w:t>open and maintain accounts at a bank approved by the Treasurer;</w:t>
      </w:r>
    </w:p>
    <w:p>
      <w:pPr>
        <w:pStyle w:val="Indenta"/>
        <w:rPr>
          <w:snapToGrid w:val="0"/>
        </w:rPr>
      </w:pPr>
      <w:r>
        <w:rPr>
          <w:snapToGrid w:val="0"/>
        </w:rPr>
        <w:tab/>
        <w:t>(c)</w:t>
      </w:r>
      <w:r>
        <w:rPr>
          <w:snapToGrid w:val="0"/>
        </w:rPr>
        <w:tab/>
        <w:t>liaise with any person, local government, public authority or department or instrumentality of the Commonwealth government or the government of any other place;</w:t>
      </w:r>
    </w:p>
    <w:p>
      <w:pPr>
        <w:pStyle w:val="Indenta"/>
        <w:rPr>
          <w:snapToGrid w:val="0"/>
        </w:rPr>
      </w:pPr>
      <w:r>
        <w:rPr>
          <w:snapToGrid w:val="0"/>
        </w:rPr>
        <w:tab/>
        <w:t>(d)</w:t>
      </w:r>
      <w:r>
        <w:rPr>
          <w:snapToGrid w:val="0"/>
        </w:rPr>
        <w:tab/>
        <w:t>enter into any contract or arrangement;</w:t>
      </w:r>
    </w:p>
    <w:p>
      <w:pPr>
        <w:pStyle w:val="Indenta"/>
        <w:rPr>
          <w:snapToGrid w:val="0"/>
        </w:rPr>
      </w:pPr>
      <w:r>
        <w:rPr>
          <w:snapToGrid w:val="0"/>
        </w:rPr>
        <w:tab/>
        <w:t>(e)</w:t>
      </w:r>
      <w:r>
        <w:rPr>
          <w:snapToGrid w:val="0"/>
        </w:rPr>
        <w:tab/>
        <w:t>act as an agent for any person engaged in the provision of travel or tourist facilities;</w:t>
      </w:r>
    </w:p>
    <w:p>
      <w:pPr>
        <w:pStyle w:val="Indenta"/>
        <w:rPr>
          <w:snapToGrid w:val="0"/>
        </w:rPr>
      </w:pPr>
      <w:r>
        <w:rPr>
          <w:snapToGrid w:val="0"/>
        </w:rPr>
        <w:tab/>
        <w:t>(f)</w:t>
      </w:r>
      <w:r>
        <w:rPr>
          <w:snapToGrid w:val="0"/>
        </w:rPr>
        <w:tab/>
        <w:t>appoint agents in Western Australia and elsewhere;</w:t>
      </w:r>
    </w:p>
    <w:p>
      <w:pPr>
        <w:pStyle w:val="Indenta"/>
        <w:rPr>
          <w:snapToGrid w:val="0"/>
        </w:rPr>
      </w:pPr>
      <w:r>
        <w:rPr>
          <w:snapToGrid w:val="0"/>
        </w:rPr>
        <w:tab/>
        <w:t>(g)</w:t>
      </w:r>
      <w:r>
        <w:rPr>
          <w:snapToGrid w:val="0"/>
        </w:rPr>
        <w:tab/>
        <w:t>provide travel and tourism information services;</w:t>
      </w:r>
    </w:p>
    <w:p>
      <w:pPr>
        <w:pStyle w:val="Indenta"/>
        <w:rPr>
          <w:snapToGrid w:val="0"/>
        </w:rPr>
      </w:pPr>
      <w:r>
        <w:rPr>
          <w:snapToGrid w:val="0"/>
        </w:rPr>
        <w:tab/>
        <w:t>(h)</w:t>
      </w:r>
      <w:r>
        <w:rPr>
          <w:snapToGrid w:val="0"/>
        </w:rPr>
        <w:tab/>
        <w:t>demand and receive fees, retainers or commissions;</w:t>
      </w:r>
    </w:p>
    <w:p>
      <w:pPr>
        <w:pStyle w:val="Indenta"/>
        <w:rPr>
          <w:snapToGrid w:val="0"/>
        </w:rPr>
      </w:pPr>
      <w:r>
        <w:rPr>
          <w:snapToGrid w:val="0"/>
        </w:rPr>
        <w:tab/>
        <w:t>(i)</w:t>
      </w:r>
      <w:r>
        <w:rPr>
          <w:snapToGrid w:val="0"/>
        </w:rPr>
        <w:tab/>
        <w:t>undertake research and investigation; and</w:t>
      </w:r>
    </w:p>
    <w:p>
      <w:pPr>
        <w:pStyle w:val="Indenta"/>
        <w:rPr>
          <w:snapToGrid w:val="0"/>
        </w:rPr>
      </w:pPr>
      <w:r>
        <w:rPr>
          <w:snapToGrid w:val="0"/>
        </w:rPr>
        <w:tab/>
        <w:t>(j)</w:t>
      </w:r>
      <w:r>
        <w:rPr>
          <w:snapToGrid w:val="0"/>
        </w:rPr>
        <w:tab/>
        <w:t>make grants or, upon such terms and conditions as are approved by the Treasurer, make loans or provide guarantees to any person or to a local government or a public authority.</w:t>
      </w:r>
    </w:p>
    <w:p>
      <w:pPr>
        <w:pStyle w:val="Subsection"/>
        <w:rPr>
          <w:snapToGrid w:val="0"/>
        </w:rPr>
      </w:pPr>
      <w:r>
        <w:rPr>
          <w:snapToGrid w:val="0"/>
        </w:rPr>
        <w:tab/>
        <w:t>(3)</w:t>
      </w:r>
      <w:r>
        <w:rPr>
          <w:snapToGrid w:val="0"/>
        </w:rPr>
        <w:tab/>
        <w:t xml:space="preserve">In this section, </w:t>
      </w:r>
      <w:r>
        <w:rPr>
          <w:rStyle w:val="CharDefText"/>
        </w:rPr>
        <w:t>public authority</w:t>
      </w:r>
      <w:r>
        <w:rPr>
          <w:snapToGrid w:val="0"/>
        </w:rPr>
        <w:t xml:space="preserve"> means a Minister of the Crown in right of the State, Government department, State instrumentality, State public utility and any other person or body, whether corporate or not, who or which, under the authority of any written law, administers or carries on for the benefit of the State, a social service or public utility.</w:t>
      </w:r>
    </w:p>
    <w:p>
      <w:pPr>
        <w:pStyle w:val="Footnotesection"/>
      </w:pPr>
      <w:r>
        <w:tab/>
        <w:t xml:space="preserve">[Section 14 inserted by No. 68 of 1994 s.14; amended by No. 14 of 1996 s.4.] </w:t>
      </w:r>
    </w:p>
    <w:p>
      <w:pPr>
        <w:pStyle w:val="Heading5"/>
        <w:rPr>
          <w:snapToGrid w:val="0"/>
        </w:rPr>
      </w:pPr>
      <w:bookmarkStart w:id="101" w:name="_Toc517767643"/>
      <w:bookmarkStart w:id="102" w:name="_Toc54688870"/>
      <w:bookmarkStart w:id="103" w:name="_Toc54689328"/>
      <w:bookmarkStart w:id="104" w:name="_Toc54689421"/>
      <w:bookmarkStart w:id="105" w:name="_Toc54689668"/>
      <w:bookmarkStart w:id="106" w:name="_Toc158008425"/>
      <w:r>
        <w:rPr>
          <w:rStyle w:val="CharSectno"/>
        </w:rPr>
        <w:t>15</w:t>
      </w:r>
      <w:r>
        <w:rPr>
          <w:snapToGrid w:val="0"/>
        </w:rPr>
        <w:t>.</w:t>
      </w:r>
      <w:r>
        <w:rPr>
          <w:snapToGrid w:val="0"/>
        </w:rPr>
        <w:tab/>
        <w:t>Formation of companies developing or operating tourist facilities</w:t>
      </w:r>
      <w:bookmarkEnd w:id="101"/>
      <w:bookmarkEnd w:id="102"/>
      <w:bookmarkEnd w:id="103"/>
      <w:bookmarkEnd w:id="104"/>
      <w:bookmarkEnd w:id="105"/>
      <w:bookmarkEnd w:id="106"/>
      <w:r>
        <w:rPr>
          <w:snapToGrid w:val="0"/>
        </w:rPr>
        <w:t xml:space="preserve"> </w:t>
      </w:r>
    </w:p>
    <w:p>
      <w:pPr>
        <w:pStyle w:val="Subsection"/>
        <w:keepNext/>
        <w:rPr>
          <w:snapToGrid w:val="0"/>
        </w:rPr>
      </w:pPr>
      <w:r>
        <w:rPr>
          <w:snapToGrid w:val="0"/>
        </w:rPr>
        <w:tab/>
        <w:t>(1)</w:t>
      </w:r>
      <w:r>
        <w:rPr>
          <w:snapToGrid w:val="0"/>
        </w:rPr>
        <w:tab/>
        <w:t>The Commission may, with the approval of the Minister and of the Treasurer, for the purpose of developing and operating tourist facilities in Western Australia or organizing and administering events and conventions — </w:t>
      </w:r>
    </w:p>
    <w:p>
      <w:pPr>
        <w:pStyle w:val="Indenta"/>
        <w:rPr>
          <w:snapToGrid w:val="0"/>
        </w:rPr>
      </w:pPr>
      <w:r>
        <w:rPr>
          <w:snapToGrid w:val="0"/>
        </w:rPr>
        <w:tab/>
        <w:t>(a)</w:t>
      </w:r>
      <w:r>
        <w:rPr>
          <w:snapToGrid w:val="0"/>
        </w:rPr>
        <w:tab/>
        <w:t>participate in any business arrangement;</w:t>
      </w:r>
    </w:p>
    <w:p>
      <w:pPr>
        <w:pStyle w:val="Indenta"/>
        <w:rPr>
          <w:snapToGrid w:val="0"/>
        </w:rPr>
      </w:pPr>
      <w:r>
        <w:rPr>
          <w:snapToGrid w:val="0"/>
        </w:rPr>
        <w:tab/>
        <w:t>(b)</w:t>
      </w:r>
      <w:r>
        <w:rPr>
          <w:snapToGrid w:val="0"/>
        </w:rPr>
        <w:tab/>
        <w:t>acquire, hold and dispose of shares, units or other interests in any business arrangement; and</w:t>
      </w:r>
    </w:p>
    <w:p>
      <w:pPr>
        <w:pStyle w:val="Indenta"/>
        <w:rPr>
          <w:snapToGrid w:val="0"/>
        </w:rPr>
      </w:pPr>
      <w:r>
        <w:rPr>
          <w:snapToGrid w:val="0"/>
        </w:rPr>
        <w:tab/>
        <w:t>(c)</w:t>
      </w:r>
      <w:r>
        <w:rPr>
          <w:snapToGrid w:val="0"/>
        </w:rPr>
        <w:tab/>
        <w:t>exercise any right conferred upon the Commission to appoint a director of, or hold office in, a business arrangement.</w:t>
      </w:r>
    </w:p>
    <w:p>
      <w:pPr>
        <w:pStyle w:val="Subsection"/>
        <w:rPr>
          <w:snapToGrid w:val="0"/>
        </w:rPr>
      </w:pPr>
      <w:r>
        <w:rPr>
          <w:snapToGrid w:val="0"/>
        </w:rPr>
        <w:tab/>
        <w:t>(2)</w:t>
      </w:r>
      <w:r>
        <w:rPr>
          <w:snapToGrid w:val="0"/>
        </w:rPr>
        <w:tab/>
        <w:t>In subsection (1) — </w:t>
      </w:r>
    </w:p>
    <w:p>
      <w:pPr>
        <w:pStyle w:val="Defstart"/>
      </w:pPr>
      <w:r>
        <w:rPr>
          <w:b/>
        </w:rPr>
        <w:tab/>
      </w:r>
      <w:r>
        <w:rPr>
          <w:rStyle w:val="CharDefText"/>
        </w:rPr>
        <w:t>business arrangement</w:t>
      </w:r>
      <w:r>
        <w:t xml:space="preserve"> means a proprietary limited company, partnership or trust;</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Subsection"/>
        <w:rPr>
          <w:snapToGrid w:val="0"/>
        </w:rPr>
      </w:pPr>
      <w:r>
        <w:rPr>
          <w:snapToGrid w:val="0"/>
        </w:rPr>
        <w:tab/>
        <w:t>(3)</w:t>
      </w:r>
      <w:r>
        <w:rPr>
          <w:snapToGrid w:val="0"/>
        </w:rPr>
        <w:tab/>
        <w:t>The Treasurer may, on the recommendation of the Commission, execute a guarantee in favour of any person for the purposes of this section.</w:t>
      </w:r>
    </w:p>
    <w:p>
      <w:pPr>
        <w:pStyle w:val="Subsection"/>
        <w:rPr>
          <w:snapToGrid w:val="0"/>
        </w:rPr>
      </w:pPr>
      <w:r>
        <w:rPr>
          <w:snapToGrid w:val="0"/>
        </w:rPr>
        <w:tab/>
        <w:t>(4)</w:t>
      </w:r>
      <w:r>
        <w:rPr>
          <w:snapToGrid w:val="0"/>
        </w:rPr>
        <w:tab/>
        <w:t>A guarantee under subsection (3) may guarantee — </w:t>
      </w:r>
    </w:p>
    <w:p>
      <w:pPr>
        <w:pStyle w:val="Indenta"/>
        <w:rPr>
          <w:snapToGrid w:val="0"/>
        </w:rPr>
      </w:pPr>
      <w:r>
        <w:rPr>
          <w:snapToGrid w:val="0"/>
        </w:rPr>
        <w:tab/>
        <w:t>(a)</w:t>
      </w:r>
      <w:r>
        <w:rPr>
          <w:snapToGrid w:val="0"/>
        </w:rPr>
        <w:tab/>
        <w:t>the payment of any moneys and interest thereon owing by any person;</w:t>
      </w:r>
    </w:p>
    <w:p>
      <w:pPr>
        <w:pStyle w:val="Indenta"/>
        <w:rPr>
          <w:snapToGrid w:val="0"/>
        </w:rPr>
      </w:pPr>
      <w:r>
        <w:rPr>
          <w:snapToGrid w:val="0"/>
        </w:rPr>
        <w:tab/>
        <w:t>(b)</w:t>
      </w:r>
      <w:r>
        <w:rPr>
          <w:snapToGrid w:val="0"/>
        </w:rPr>
        <w:tab/>
        <w:t>the performance of an obligation undertaken by any person.</w:t>
      </w:r>
    </w:p>
    <w:p>
      <w:pPr>
        <w:pStyle w:val="Subsection"/>
        <w:rPr>
          <w:snapToGrid w:val="0"/>
        </w:rPr>
      </w:pPr>
      <w:r>
        <w:rPr>
          <w:snapToGrid w:val="0"/>
        </w:rPr>
        <w:tab/>
        <w:t>(5)</w:t>
      </w:r>
      <w:r>
        <w:rPr>
          <w:snapToGrid w:val="0"/>
        </w:rPr>
        <w:tab/>
        <w:t>The provisions of section 27(5) shall apply to any guarantee under this section as if it were a guarantee under section 27.</w:t>
      </w:r>
    </w:p>
    <w:p>
      <w:pPr>
        <w:pStyle w:val="Subsection"/>
        <w:rPr>
          <w:snapToGrid w:val="0"/>
        </w:rPr>
      </w:pPr>
      <w:r>
        <w:rPr>
          <w:snapToGrid w:val="0"/>
        </w:rPr>
        <w:tab/>
        <w:t>(6)</w:t>
      </w:r>
      <w:r>
        <w:rPr>
          <w:snapToGrid w:val="0"/>
        </w:rPr>
        <w:tab/>
        <w:t>The Treasurer is hereby authorized to charge to the</w:t>
      </w:r>
      <w:r>
        <w:t xml:space="preserve"> Consolidated Account</w:t>
      </w:r>
      <w:r>
        <w:rPr>
          <w:snapToGrid w:val="0"/>
        </w:rPr>
        <w:t>, which to the necessary extent is appropriated accordingly, any liability arising out of a guarantee under this section and any money received or recovered by the Treasurer from the Commission or otherwise in respect of any amount so charged by the Treasurer shall be credited to the</w:t>
      </w:r>
      <w:r>
        <w:t xml:space="preserve"> Consolidated Account</w:t>
      </w:r>
      <w:r>
        <w:rPr>
          <w:snapToGrid w:val="0"/>
        </w:rPr>
        <w:t>.</w:t>
      </w:r>
    </w:p>
    <w:p>
      <w:pPr>
        <w:pStyle w:val="Footnotesection"/>
      </w:pPr>
      <w:r>
        <w:tab/>
        <w:t xml:space="preserve">[Section 15 amended by No. 98 of 1985 s.3; No. 6 of 1993 s.11; No. 68 of 1994 s.15; No. 49 of 1996 s.64; No. 77 of 2006 s. 4.] </w:t>
      </w:r>
    </w:p>
    <w:p>
      <w:pPr>
        <w:pStyle w:val="Heading5"/>
        <w:rPr>
          <w:snapToGrid w:val="0"/>
        </w:rPr>
      </w:pPr>
      <w:bookmarkStart w:id="107" w:name="_Toc517767644"/>
      <w:bookmarkStart w:id="108" w:name="_Toc54688871"/>
      <w:bookmarkStart w:id="109" w:name="_Toc54689329"/>
      <w:bookmarkStart w:id="110" w:name="_Toc54689422"/>
      <w:bookmarkStart w:id="111" w:name="_Toc54689669"/>
      <w:bookmarkStart w:id="112" w:name="_Toc158008426"/>
      <w:r>
        <w:rPr>
          <w:rStyle w:val="CharSectno"/>
        </w:rPr>
        <w:t>16</w:t>
      </w:r>
      <w:r>
        <w:rPr>
          <w:snapToGrid w:val="0"/>
        </w:rPr>
        <w:t>.</w:t>
      </w:r>
      <w:r>
        <w:rPr>
          <w:snapToGrid w:val="0"/>
        </w:rPr>
        <w:tab/>
        <w:t>Direction by the Minister</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Minister may from time to time give written directions to the Commission with respect to its functions and powers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Commission under </w:t>
      </w:r>
      <w:r>
        <w:t xml:space="preserve">Part 5 of the </w:t>
      </w:r>
      <w:r>
        <w:rPr>
          <w:i/>
        </w:rPr>
        <w:t>Financial Management Act 2006</w:t>
      </w:r>
      <w:r>
        <w:t>.</w:t>
      </w:r>
    </w:p>
    <w:p>
      <w:pPr>
        <w:pStyle w:val="Footnotesection"/>
      </w:pPr>
      <w:r>
        <w:tab/>
        <w:t xml:space="preserve">[Section 16 amended by No. 68 of 1994 s. 16; No. 77 of 2006 s. 17.] </w:t>
      </w:r>
    </w:p>
    <w:p>
      <w:pPr>
        <w:pStyle w:val="Heading5"/>
        <w:rPr>
          <w:snapToGrid w:val="0"/>
        </w:rPr>
      </w:pPr>
      <w:bookmarkStart w:id="113" w:name="_Toc517767645"/>
      <w:bookmarkStart w:id="114" w:name="_Toc54688872"/>
      <w:bookmarkStart w:id="115" w:name="_Toc54689330"/>
      <w:bookmarkStart w:id="116" w:name="_Toc54689423"/>
      <w:bookmarkStart w:id="117" w:name="_Toc54689670"/>
      <w:bookmarkStart w:id="118" w:name="_Toc158008427"/>
      <w:r>
        <w:rPr>
          <w:rStyle w:val="CharSectno"/>
        </w:rPr>
        <w:t>16A</w:t>
      </w:r>
      <w:r>
        <w:rPr>
          <w:snapToGrid w:val="0"/>
        </w:rPr>
        <w:t xml:space="preserve">. </w:t>
      </w:r>
      <w:r>
        <w:rPr>
          <w:snapToGrid w:val="0"/>
        </w:rPr>
        <w:tab/>
        <w:t>Minister to have access to information</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Minister is entitled to have information in the possession of the Commission and, if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provide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provide it to the Minister.</w:t>
      </w:r>
    </w:p>
    <w:p>
      <w:pPr>
        <w:pStyle w:val="Subsection"/>
        <w:rPr>
          <w:snapToGrid w:val="0"/>
        </w:rPr>
      </w:pPr>
      <w:r>
        <w:rPr>
          <w:snapToGrid w:val="0"/>
        </w:rPr>
        <w:tab/>
        <w:t>(3)</w:t>
      </w:r>
      <w:r>
        <w:rPr>
          <w:snapToGrid w:val="0"/>
        </w:rPr>
        <w:tab/>
        <w:t>The Commission is to comply with a request under subsection (2) and the Commission is to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Footnotesection"/>
      </w:pPr>
      <w:r>
        <w:tab/>
        <w:t xml:space="preserve">[Section 16A inserted by No. 68 of 1994 s.17.] </w:t>
      </w:r>
    </w:p>
    <w:p>
      <w:pPr>
        <w:pStyle w:val="Heading3"/>
        <w:rPr>
          <w:snapToGrid w:val="0"/>
        </w:rPr>
      </w:pPr>
      <w:bookmarkStart w:id="119" w:name="_Toc156818639"/>
      <w:bookmarkStart w:id="120" w:name="_Toc156819596"/>
      <w:bookmarkStart w:id="121" w:name="_Toc158007632"/>
      <w:bookmarkStart w:id="122" w:name="_Toc158008428"/>
      <w:r>
        <w:rPr>
          <w:rStyle w:val="CharDivNo"/>
        </w:rPr>
        <w:t>Division 2a</w:t>
      </w:r>
      <w:r>
        <w:rPr>
          <w:snapToGrid w:val="0"/>
        </w:rPr>
        <w:t> — </w:t>
      </w:r>
      <w:r>
        <w:rPr>
          <w:rStyle w:val="CharDivText"/>
        </w:rPr>
        <w:t>Corporate and operational plans</w:t>
      </w:r>
      <w:bookmarkEnd w:id="119"/>
      <w:bookmarkEnd w:id="120"/>
      <w:bookmarkEnd w:id="121"/>
      <w:bookmarkEnd w:id="122"/>
      <w:r>
        <w:rPr>
          <w:rStyle w:val="CharDivText"/>
        </w:rPr>
        <w:t xml:space="preserve"> </w:t>
      </w:r>
    </w:p>
    <w:p>
      <w:pPr>
        <w:pStyle w:val="Footnoteheading"/>
        <w:rPr>
          <w:snapToGrid w:val="0"/>
        </w:rPr>
      </w:pPr>
      <w:r>
        <w:rPr>
          <w:snapToGrid w:val="0"/>
        </w:rPr>
        <w:tab/>
        <w:t xml:space="preserve">[Heading inserted by No. 68 of 1994 s.18.] </w:t>
      </w:r>
    </w:p>
    <w:p>
      <w:pPr>
        <w:pStyle w:val="Heading5"/>
        <w:rPr>
          <w:snapToGrid w:val="0"/>
        </w:rPr>
      </w:pPr>
      <w:bookmarkStart w:id="123" w:name="_Toc517767646"/>
      <w:bookmarkStart w:id="124" w:name="_Toc54688873"/>
      <w:bookmarkStart w:id="125" w:name="_Toc54689331"/>
      <w:bookmarkStart w:id="126" w:name="_Toc54689424"/>
      <w:bookmarkStart w:id="127" w:name="_Toc54689671"/>
      <w:bookmarkStart w:id="128" w:name="_Toc158008429"/>
      <w:r>
        <w:rPr>
          <w:rStyle w:val="CharSectno"/>
        </w:rPr>
        <w:t>16B</w:t>
      </w:r>
      <w:r>
        <w:rPr>
          <w:snapToGrid w:val="0"/>
        </w:rPr>
        <w:t xml:space="preserve">. </w:t>
      </w:r>
      <w:r>
        <w:rPr>
          <w:snapToGrid w:val="0"/>
        </w:rPr>
        <w:tab/>
        <w:t>Corporate plan</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Board shall, by 31 July each year, prepare a corporate plan for the Commission for the financial year and may review and revise that plan at any time.</w:t>
      </w:r>
    </w:p>
    <w:p>
      <w:pPr>
        <w:pStyle w:val="Subsection"/>
        <w:rPr>
          <w:snapToGrid w:val="0"/>
        </w:rPr>
      </w:pPr>
      <w:r>
        <w:rPr>
          <w:snapToGrid w:val="0"/>
        </w:rPr>
        <w:tab/>
        <w:t>(2)</w:t>
      </w:r>
      <w:r>
        <w:rPr>
          <w:snapToGrid w:val="0"/>
        </w:rPr>
        <w:tab/>
        <w:t>A corporate plan shall include — </w:t>
      </w:r>
    </w:p>
    <w:p>
      <w:pPr>
        <w:pStyle w:val="Indenta"/>
        <w:rPr>
          <w:snapToGrid w:val="0"/>
        </w:rPr>
      </w:pPr>
      <w:r>
        <w:rPr>
          <w:snapToGrid w:val="0"/>
        </w:rPr>
        <w:tab/>
        <w:t>(a)</w:t>
      </w:r>
      <w:r>
        <w:rPr>
          <w:snapToGrid w:val="0"/>
        </w:rPr>
        <w:tab/>
        <w:t>a statement of the objectives of the Commission;</w:t>
      </w:r>
    </w:p>
    <w:p>
      <w:pPr>
        <w:pStyle w:val="Indenta"/>
        <w:rPr>
          <w:snapToGrid w:val="0"/>
        </w:rPr>
      </w:pPr>
      <w:r>
        <w:rPr>
          <w:snapToGrid w:val="0"/>
        </w:rPr>
        <w:tab/>
        <w:t>(b)</w:t>
      </w:r>
      <w:r>
        <w:rPr>
          <w:snapToGrid w:val="0"/>
        </w:rPr>
        <w:tab/>
        <w:t>a statement of the policies and strategies that the Board intends to adopt in order to achieve the Commission’s objectives; and</w:t>
      </w:r>
    </w:p>
    <w:p>
      <w:pPr>
        <w:pStyle w:val="Indenta"/>
        <w:rPr>
          <w:snapToGrid w:val="0"/>
        </w:rPr>
      </w:pPr>
      <w:r>
        <w:rPr>
          <w:snapToGrid w:val="0"/>
        </w:rPr>
        <w:tab/>
        <w:t>(c)</w:t>
      </w:r>
      <w:r>
        <w:rPr>
          <w:snapToGrid w:val="0"/>
        </w:rPr>
        <w:tab/>
        <w:t>an assessment of the outlook for tourism to and within Western Australia for the next 4 financial years.</w:t>
      </w:r>
    </w:p>
    <w:p>
      <w:pPr>
        <w:pStyle w:val="Subsection"/>
        <w:rPr>
          <w:snapToGrid w:val="0"/>
        </w:rPr>
      </w:pPr>
      <w:r>
        <w:rPr>
          <w:snapToGrid w:val="0"/>
        </w:rPr>
        <w:tab/>
        <w:t>(3)</w:t>
      </w:r>
      <w:r>
        <w:rPr>
          <w:snapToGrid w:val="0"/>
        </w:rPr>
        <w:tab/>
        <w:t>A corporate plan, and a revision of a corporate plan, shall be submitted to the Minister as soon as possible after it is prepared.</w:t>
      </w:r>
    </w:p>
    <w:p>
      <w:pPr>
        <w:pStyle w:val="Subsection"/>
        <w:rPr>
          <w:snapToGrid w:val="0"/>
        </w:rPr>
      </w:pPr>
      <w:r>
        <w:rPr>
          <w:snapToGrid w:val="0"/>
        </w:rPr>
        <w:tab/>
        <w:t>(4)</w:t>
      </w:r>
      <w:r>
        <w:rPr>
          <w:snapToGrid w:val="0"/>
        </w:rPr>
        <w:tab/>
        <w:t>When preparing a corporate plan the Board shall consult with such tourism bodies as the Board considers relevant.</w:t>
      </w:r>
    </w:p>
    <w:p>
      <w:pPr>
        <w:pStyle w:val="Footnotesection"/>
      </w:pPr>
      <w:r>
        <w:tab/>
        <w:t xml:space="preserve">[Section 16B inserted by No. 68 of 1994 s.18.] </w:t>
      </w:r>
    </w:p>
    <w:p>
      <w:pPr>
        <w:pStyle w:val="Heading5"/>
        <w:rPr>
          <w:snapToGrid w:val="0"/>
        </w:rPr>
      </w:pPr>
      <w:bookmarkStart w:id="129" w:name="_Toc517767647"/>
      <w:bookmarkStart w:id="130" w:name="_Toc54688874"/>
      <w:bookmarkStart w:id="131" w:name="_Toc54689332"/>
      <w:bookmarkStart w:id="132" w:name="_Toc54689425"/>
      <w:bookmarkStart w:id="133" w:name="_Toc54689672"/>
      <w:bookmarkStart w:id="134" w:name="_Toc158008430"/>
      <w:r>
        <w:rPr>
          <w:rStyle w:val="CharSectno"/>
        </w:rPr>
        <w:t>16C</w:t>
      </w:r>
      <w:r>
        <w:rPr>
          <w:snapToGrid w:val="0"/>
        </w:rPr>
        <w:t xml:space="preserve">. </w:t>
      </w:r>
      <w:r>
        <w:rPr>
          <w:snapToGrid w:val="0"/>
        </w:rPr>
        <w:tab/>
        <w:t>Operational plan</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When the Board is preparing a corporate plan it shall prepare an operational plan for the financial year to which the corporate plan relates.</w:t>
      </w:r>
    </w:p>
    <w:p>
      <w:pPr>
        <w:pStyle w:val="Subsection"/>
        <w:rPr>
          <w:snapToGrid w:val="0"/>
        </w:rPr>
      </w:pPr>
      <w:r>
        <w:rPr>
          <w:snapToGrid w:val="0"/>
        </w:rPr>
        <w:tab/>
        <w:t>(2)</w:t>
      </w:r>
      <w:r>
        <w:rPr>
          <w:snapToGrid w:val="0"/>
        </w:rPr>
        <w:tab/>
        <w:t>An operational plan for a financial year shall — </w:t>
      </w:r>
    </w:p>
    <w:p>
      <w:pPr>
        <w:pStyle w:val="Indenta"/>
        <w:rPr>
          <w:snapToGrid w:val="0"/>
        </w:rPr>
      </w:pPr>
      <w:r>
        <w:rPr>
          <w:snapToGrid w:val="0"/>
        </w:rPr>
        <w:tab/>
        <w:t>(a)</w:t>
      </w:r>
      <w:r>
        <w:rPr>
          <w:snapToGrid w:val="0"/>
        </w:rPr>
        <w:tab/>
        <w:t>contain an estimate of the Commission’s income and expenditure for that financial year; and</w:t>
      </w:r>
    </w:p>
    <w:p>
      <w:pPr>
        <w:pStyle w:val="Indenta"/>
        <w:rPr>
          <w:snapToGrid w:val="0"/>
        </w:rPr>
      </w:pPr>
      <w:r>
        <w:rPr>
          <w:snapToGrid w:val="0"/>
        </w:rPr>
        <w:tab/>
        <w:t>(b)</w:t>
      </w:r>
      <w:r>
        <w:rPr>
          <w:snapToGrid w:val="0"/>
        </w:rPr>
        <w:tab/>
        <w:t>specify — </w:t>
      </w:r>
    </w:p>
    <w:p>
      <w:pPr>
        <w:pStyle w:val="Indenti"/>
        <w:rPr>
          <w:snapToGrid w:val="0"/>
        </w:rPr>
      </w:pPr>
      <w:r>
        <w:rPr>
          <w:snapToGrid w:val="0"/>
        </w:rPr>
        <w:tab/>
        <w:t>(i)</w:t>
      </w:r>
      <w:r>
        <w:rPr>
          <w:snapToGrid w:val="0"/>
        </w:rPr>
        <w:tab/>
        <w:t>the programmes that the Board proposes the Commission will carry out; and</w:t>
      </w:r>
    </w:p>
    <w:p>
      <w:pPr>
        <w:pStyle w:val="Indenti"/>
        <w:rPr>
          <w:snapToGrid w:val="0"/>
        </w:rPr>
      </w:pPr>
      <w:r>
        <w:rPr>
          <w:snapToGrid w:val="0"/>
        </w:rPr>
        <w:tab/>
        <w:t>(ii)</w:t>
      </w:r>
      <w:r>
        <w:rPr>
          <w:snapToGrid w:val="0"/>
        </w:rPr>
        <w:tab/>
        <w:t>the resources that the Board proposes to allocate to each programme.</w:t>
      </w:r>
    </w:p>
    <w:p>
      <w:pPr>
        <w:pStyle w:val="Footnotesection"/>
      </w:pPr>
      <w:r>
        <w:tab/>
        <w:t xml:space="preserve">[Section 16C inserted by No. 68 of 1994 s.18.] </w:t>
      </w:r>
    </w:p>
    <w:p>
      <w:pPr>
        <w:pStyle w:val="Heading5"/>
        <w:rPr>
          <w:snapToGrid w:val="0"/>
        </w:rPr>
      </w:pPr>
      <w:bookmarkStart w:id="135" w:name="_Toc517767648"/>
      <w:bookmarkStart w:id="136" w:name="_Toc54688875"/>
      <w:bookmarkStart w:id="137" w:name="_Toc54689333"/>
      <w:bookmarkStart w:id="138" w:name="_Toc54689426"/>
      <w:bookmarkStart w:id="139" w:name="_Toc54689673"/>
      <w:bookmarkStart w:id="140" w:name="_Toc158008431"/>
      <w:r>
        <w:rPr>
          <w:rStyle w:val="CharSectno"/>
        </w:rPr>
        <w:t>16D</w:t>
      </w:r>
      <w:r>
        <w:rPr>
          <w:snapToGrid w:val="0"/>
        </w:rPr>
        <w:t xml:space="preserve">. </w:t>
      </w:r>
      <w:r>
        <w:rPr>
          <w:snapToGrid w:val="0"/>
        </w:rPr>
        <w:tab/>
        <w:t>Board to comply with corporate and operational plans</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To the extent that it is practicable to do so, the Board shall ensure that the performance of the Commission’s functions and the exercise of the Commission’s powers is consistent with, and designed to give effect to, the current corporate plan and the applicable operational plan.</w:t>
      </w:r>
    </w:p>
    <w:p>
      <w:pPr>
        <w:pStyle w:val="Footnotesection"/>
      </w:pPr>
      <w:r>
        <w:tab/>
        <w:t xml:space="preserve">[Section 16D inserted by No. 68 of 1994 s.18.] </w:t>
      </w:r>
    </w:p>
    <w:p>
      <w:pPr>
        <w:pStyle w:val="Heading3"/>
        <w:rPr>
          <w:snapToGrid w:val="0"/>
        </w:rPr>
      </w:pPr>
      <w:bookmarkStart w:id="141" w:name="_Toc156818643"/>
      <w:bookmarkStart w:id="142" w:name="_Toc156819600"/>
      <w:bookmarkStart w:id="143" w:name="_Toc158007636"/>
      <w:bookmarkStart w:id="144" w:name="_Toc158008432"/>
      <w:r>
        <w:rPr>
          <w:rStyle w:val="CharDivNo"/>
        </w:rPr>
        <w:t>Division 3</w:t>
      </w:r>
      <w:r>
        <w:rPr>
          <w:snapToGrid w:val="0"/>
        </w:rPr>
        <w:t> — </w:t>
      </w:r>
      <w:r>
        <w:rPr>
          <w:rStyle w:val="CharDivText"/>
        </w:rPr>
        <w:t>Employees and staff of the Commission.</w:t>
      </w:r>
      <w:bookmarkEnd w:id="141"/>
      <w:bookmarkEnd w:id="142"/>
      <w:bookmarkEnd w:id="143"/>
      <w:bookmarkEnd w:id="144"/>
      <w:r>
        <w:rPr>
          <w:rStyle w:val="CharDivText"/>
        </w:rPr>
        <w:t xml:space="preserve"> </w:t>
      </w:r>
    </w:p>
    <w:p>
      <w:pPr>
        <w:pStyle w:val="Heading5"/>
        <w:rPr>
          <w:snapToGrid w:val="0"/>
        </w:rPr>
      </w:pPr>
      <w:bookmarkStart w:id="145" w:name="_Toc517767649"/>
      <w:bookmarkStart w:id="146" w:name="_Toc54688876"/>
      <w:bookmarkStart w:id="147" w:name="_Toc54689334"/>
      <w:bookmarkStart w:id="148" w:name="_Toc54689427"/>
      <w:bookmarkStart w:id="149" w:name="_Toc54689674"/>
      <w:bookmarkStart w:id="150" w:name="_Toc158008433"/>
      <w:r>
        <w:rPr>
          <w:rStyle w:val="CharSectno"/>
        </w:rPr>
        <w:t>17</w:t>
      </w:r>
      <w:r>
        <w:rPr>
          <w:snapToGrid w:val="0"/>
        </w:rPr>
        <w:t>.</w:t>
      </w:r>
      <w:r>
        <w:rPr>
          <w:snapToGrid w:val="0"/>
        </w:rPr>
        <w:tab/>
        <w:t>Employees of the Commission</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Subject to this Act, the Commission may, from time to time, employ a chief executive officer and such other persons as it considers necessary to enable the Commission to carry out its objects.</w:t>
      </w:r>
    </w:p>
    <w:p>
      <w:pPr>
        <w:pStyle w:val="Subsection"/>
        <w:rPr>
          <w:snapToGrid w:val="0"/>
        </w:rPr>
      </w:pPr>
      <w:r>
        <w:rPr>
          <w:snapToGrid w:val="0"/>
        </w:rPr>
        <w:tab/>
        <w:t>(2)</w:t>
      </w:r>
      <w:r>
        <w:rPr>
          <w:snapToGrid w:val="0"/>
        </w:rPr>
        <w:tab/>
        <w:t>The chief executive officer shall conduct the affairs of the Commission, acting in accordance with any policies determined, and any directions given, by the Board.</w:t>
      </w:r>
    </w:p>
    <w:p>
      <w:pPr>
        <w:pStyle w:val="Subsection"/>
        <w:rPr>
          <w:snapToGrid w:val="0"/>
        </w:rPr>
      </w:pPr>
      <w:r>
        <w:rPr>
          <w:snapToGrid w:val="0"/>
        </w:rPr>
        <w:tab/>
        <w:t>(3)</w:t>
      </w:r>
      <w:r>
        <w:rPr>
          <w:snapToGrid w:val="0"/>
        </w:rPr>
        <w:tab/>
        <w:t>The Board shall not appoint a member as the chief executive officer.</w:t>
      </w:r>
    </w:p>
    <w:p>
      <w:pPr>
        <w:pStyle w:val="Subsection"/>
        <w:rPr>
          <w:snapToGrid w:val="0"/>
        </w:rPr>
      </w:pPr>
      <w:r>
        <w:rPr>
          <w:snapToGrid w:val="0"/>
        </w:rPr>
        <w:tab/>
        <w:t>(3a)</w:t>
      </w:r>
      <w:r>
        <w:rPr>
          <w:snapToGrid w:val="0"/>
        </w:rPr>
        <w:tab/>
        <w:t xml:space="preserve">Subject to the </w:t>
      </w:r>
      <w:r>
        <w:rPr>
          <w:i/>
          <w:snapToGrid w:val="0"/>
        </w:rPr>
        <w:t>Salaries and Allowances Act 1975</w:t>
      </w:r>
      <w:r>
        <w:rPr>
          <w:snapToGrid w:val="0"/>
        </w:rPr>
        <w:t>, the chief executive officer shall be paid such remuneration and allowances, and holds office on such terms and conditions, as are determined by the Board after consultation with the Minister for Public Sector Management.</w:t>
      </w:r>
    </w:p>
    <w:p>
      <w:pPr>
        <w:pStyle w:val="Subsection"/>
        <w:rPr>
          <w:snapToGrid w:val="0"/>
        </w:rPr>
      </w:pPr>
      <w:r>
        <w:rPr>
          <w:snapToGrid w:val="0"/>
        </w:rPr>
        <w:tab/>
        <w:t>(3b)</w:t>
      </w:r>
      <w:r>
        <w:rPr>
          <w:snapToGrid w:val="0"/>
        </w:rPr>
        <w:tab/>
        <w:t>The chairman may appoint a person, other than a member of the Board, to act as chief executive officer — </w:t>
      </w:r>
    </w:p>
    <w:p>
      <w:pPr>
        <w:pStyle w:val="Indenta"/>
        <w:rPr>
          <w:snapToGrid w:val="0"/>
        </w:rPr>
      </w:pPr>
      <w:r>
        <w:rPr>
          <w:snapToGrid w:val="0"/>
        </w:rPr>
        <w:tab/>
        <w:t>(a)</w:t>
      </w:r>
      <w:r>
        <w:rPr>
          <w:snapToGrid w:val="0"/>
        </w:rPr>
        <w:tab/>
        <w:t>during a vacancy in the office of chief executive officer; or</w:t>
      </w:r>
    </w:p>
    <w:p>
      <w:pPr>
        <w:pStyle w:val="Indenta"/>
        <w:rPr>
          <w:snapToGrid w:val="0"/>
        </w:rPr>
      </w:pPr>
      <w:r>
        <w:rPr>
          <w:snapToGrid w:val="0"/>
        </w:rPr>
        <w:tab/>
        <w:t>(b)</w:t>
      </w:r>
      <w:r>
        <w:rPr>
          <w:snapToGrid w:val="0"/>
        </w:rPr>
        <w:tab/>
        <w:t>during any period when the chief executive officer is absent from duty or from Western Australia or is, for any other reason, unable to perform the duties of the office.</w:t>
      </w:r>
    </w:p>
    <w:p>
      <w:pPr>
        <w:pStyle w:val="Subsection"/>
        <w:rPr>
          <w:snapToGrid w:val="0"/>
        </w:rPr>
      </w:pPr>
      <w:r>
        <w:rPr>
          <w:snapToGrid w:val="0"/>
        </w:rPr>
        <w:tab/>
        <w:t>(4)</w:t>
      </w:r>
      <w:r>
        <w:rPr>
          <w:snapToGrid w:val="0"/>
        </w:rPr>
        <w:tab/>
        <w:t xml:space="preserve">Subject to any relevant award under the </w:t>
      </w:r>
      <w:r>
        <w:rPr>
          <w:i/>
          <w:snapToGrid w:val="0"/>
        </w:rPr>
        <w:t>Industrial Relations Act 1979</w:t>
      </w:r>
      <w:r>
        <w:rPr>
          <w:snapToGrid w:val="0"/>
        </w:rPr>
        <w:t xml:space="preserve"> or any other Act, the Commission may, after consultation with the Minister for Public Sector Management, determine the remuneration and other terms and conditions of service of its employees, other than the chief executive officer.</w:t>
      </w:r>
    </w:p>
    <w:p>
      <w:pPr>
        <w:pStyle w:val="Subsection"/>
        <w:rPr>
          <w:snapToGrid w:val="0"/>
        </w:rPr>
      </w:pPr>
      <w:r>
        <w:rPr>
          <w:snapToGrid w:val="0"/>
        </w:rPr>
        <w:tab/>
        <w:t>(5)</w:t>
      </w:r>
      <w:r>
        <w:rPr>
          <w:snapToGrid w:val="0"/>
        </w:rPr>
        <w:tab/>
        <w:t>The Board may, from time to time, after consultation with the Minister for Public Sector Management classify the positions to be held by employees of the Commission and define the duties to be performed by the respective holders of those positions.</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or in relation to an employee of the Commission.</w:t>
      </w:r>
    </w:p>
    <w:p>
      <w:pPr>
        <w:pStyle w:val="Footnotesection"/>
      </w:pPr>
      <w:r>
        <w:tab/>
        <w:t xml:space="preserve">[Section 17 amended by No. 32 of 1994 s.19; No. 68 of 1994 s.19; No. 55 of 2003 s. 5.] </w:t>
      </w:r>
    </w:p>
    <w:p>
      <w:pPr>
        <w:pStyle w:val="Heading5"/>
        <w:rPr>
          <w:snapToGrid w:val="0"/>
        </w:rPr>
      </w:pPr>
      <w:bookmarkStart w:id="151" w:name="_Toc517767650"/>
      <w:bookmarkStart w:id="152" w:name="_Toc54688877"/>
      <w:bookmarkStart w:id="153" w:name="_Toc54689335"/>
      <w:bookmarkStart w:id="154" w:name="_Toc54689428"/>
      <w:bookmarkStart w:id="155" w:name="_Toc54689675"/>
      <w:bookmarkStart w:id="156" w:name="_Toc158008434"/>
      <w:r>
        <w:rPr>
          <w:rStyle w:val="CharSectno"/>
        </w:rPr>
        <w:t>18</w:t>
      </w:r>
      <w:r>
        <w:rPr>
          <w:snapToGrid w:val="0"/>
        </w:rPr>
        <w:t>.</w:t>
      </w:r>
      <w:r>
        <w:rPr>
          <w:snapToGrid w:val="0"/>
        </w:rPr>
        <w:tab/>
        <w:t>Employment of current officers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A person who was immediately prior to the commencement of this section an officer within the meaning of the </w:t>
      </w:r>
      <w:r>
        <w:rPr>
          <w:i/>
          <w:snapToGrid w:val="0"/>
        </w:rPr>
        <w:t>Public Service Act 1978</w:t>
      </w:r>
      <w:r>
        <w:rPr>
          <w:snapToGrid w:val="0"/>
          <w:vertAlign w:val="superscript"/>
        </w:rPr>
        <w:t xml:space="preserve"> 2</w:t>
      </w:r>
      <w:r>
        <w:rPr>
          <w:snapToGrid w:val="0"/>
        </w:rPr>
        <w:t xml:space="preserve"> holding a position in the Department shall be entitled to be employed pursuant to the provisions of this Act in an office with a remuneration corresponding with or higher than that which he received in the position that he held immediately prior to the commencement of this section.</w:t>
      </w:r>
    </w:p>
    <w:p>
      <w:pPr>
        <w:pStyle w:val="Subsection"/>
        <w:rPr>
          <w:snapToGrid w:val="0"/>
        </w:rPr>
      </w:pPr>
      <w:r>
        <w:rPr>
          <w:snapToGrid w:val="0"/>
        </w:rPr>
        <w:tab/>
        <w:t>(2)</w:t>
      </w:r>
      <w:r>
        <w:rPr>
          <w:snapToGrid w:val="0"/>
        </w:rPr>
        <w:tab/>
        <w:t>A person who becomes an employee of the Commission pursuant to subsection (1) shall, subject to a suitable vacancy being available, be entitled to be reappointed by the Public Service Board</w:t>
      </w:r>
      <w:r>
        <w:rPr>
          <w:snapToGrid w:val="0"/>
          <w:vertAlign w:val="superscript"/>
        </w:rPr>
        <w:t xml:space="preserve"> 3</w:t>
      </w:r>
      <w:r>
        <w:rPr>
          <w:snapToGrid w:val="0"/>
        </w:rPr>
        <w:t xml:space="preserve"> at the termination of his employment with the Commission, to an office in the Public Service with a classification and remuneration corresponding with that of the office which he last held in the Public Service.</w:t>
      </w:r>
    </w:p>
    <w:p>
      <w:pPr>
        <w:pStyle w:val="Heading5"/>
        <w:rPr>
          <w:snapToGrid w:val="0"/>
        </w:rPr>
      </w:pPr>
      <w:bookmarkStart w:id="157" w:name="_Toc517767651"/>
      <w:bookmarkStart w:id="158" w:name="_Toc54688878"/>
      <w:bookmarkStart w:id="159" w:name="_Toc54689336"/>
      <w:bookmarkStart w:id="160" w:name="_Toc54689429"/>
      <w:bookmarkStart w:id="161" w:name="_Toc54689676"/>
      <w:bookmarkStart w:id="162" w:name="_Toc158008435"/>
      <w:r>
        <w:rPr>
          <w:rStyle w:val="CharSectno"/>
        </w:rPr>
        <w:t>19</w:t>
      </w:r>
      <w:r>
        <w:rPr>
          <w:snapToGrid w:val="0"/>
        </w:rPr>
        <w:t>.</w:t>
      </w:r>
      <w:r>
        <w:rPr>
          <w:snapToGrid w:val="0"/>
        </w:rPr>
        <w:tab/>
        <w:t>Employees transitional provisions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 xml:space="preserve">Where an officer of the Public Service becomes an employee of the Commission he is entitled to retain all his existing and accruing rights (including any rights under the </w:t>
      </w:r>
      <w:r>
        <w:rPr>
          <w:i/>
          <w:snapToGrid w:val="0"/>
        </w:rPr>
        <w:t>Superannuation and Family Benefits Act 1938</w:t>
      </w:r>
      <w:r>
        <w:rPr>
          <w:snapToGrid w:val="0"/>
        </w:rPr>
        <w:t>) as if his service as an employee of the Commission were a continuation of his service as an officer of the Public Service.</w:t>
      </w:r>
    </w:p>
    <w:p>
      <w:pPr>
        <w:pStyle w:val="Subsection"/>
        <w:rPr>
          <w:snapToGrid w:val="0"/>
        </w:rPr>
      </w:pPr>
      <w:r>
        <w:rPr>
          <w:snapToGrid w:val="0"/>
        </w:rPr>
        <w:tab/>
        <w:t>(2)</w:t>
      </w:r>
      <w:r>
        <w:rPr>
          <w:snapToGrid w:val="0"/>
        </w:rPr>
        <w:tab/>
        <w:t xml:space="preserve">Where a person ceases to be an employee of the Commission and becomes an officer of the Public Service his service as an employee of the Commission shall be regarded as service in the Public Service for the purposes of determining his rights as an officer of the Public Service and for the purposes of the </w:t>
      </w:r>
      <w:r>
        <w:rPr>
          <w:i/>
          <w:snapToGrid w:val="0"/>
        </w:rPr>
        <w:t>Superannuation and Family Benefits Act 1938</w:t>
      </w:r>
      <w:r>
        <w:rPr>
          <w:snapToGrid w:val="0"/>
        </w:rPr>
        <w:t>.</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Commission is hereby declared to be a “department” within the meaning of that Act.</w:t>
      </w:r>
    </w:p>
    <w:p>
      <w:pPr>
        <w:pStyle w:val="Heading5"/>
        <w:rPr>
          <w:snapToGrid w:val="0"/>
        </w:rPr>
      </w:pPr>
      <w:bookmarkStart w:id="163" w:name="_Toc517767652"/>
      <w:bookmarkStart w:id="164" w:name="_Toc54688879"/>
      <w:bookmarkStart w:id="165" w:name="_Toc54689337"/>
      <w:bookmarkStart w:id="166" w:name="_Toc54689430"/>
      <w:bookmarkStart w:id="167" w:name="_Toc54689677"/>
      <w:bookmarkStart w:id="168" w:name="_Toc158008436"/>
      <w:r>
        <w:rPr>
          <w:rStyle w:val="CharSectno"/>
        </w:rPr>
        <w:t>19A</w:t>
      </w:r>
      <w:r>
        <w:rPr>
          <w:snapToGrid w:val="0"/>
        </w:rPr>
        <w:t xml:space="preserve">. </w:t>
      </w:r>
      <w:r>
        <w:rPr>
          <w:snapToGrid w:val="0"/>
        </w:rPr>
        <w:tab/>
        <w:t>Status of employees who are members of Senior Executive Service</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 xml:space="preserve">Despite sections 17, 18 and 19, to the extent that there is, in the case of a person who is appointed chief executive officer or other employee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 xml:space="preserve">[Section 19A inserted by No. 68 of 1994 s.20.] </w:t>
      </w:r>
    </w:p>
    <w:p>
      <w:pPr>
        <w:pStyle w:val="Heading5"/>
        <w:rPr>
          <w:snapToGrid w:val="0"/>
        </w:rPr>
      </w:pPr>
      <w:bookmarkStart w:id="169" w:name="_Toc517767653"/>
      <w:bookmarkStart w:id="170" w:name="_Toc54688880"/>
      <w:bookmarkStart w:id="171" w:name="_Toc54689338"/>
      <w:bookmarkStart w:id="172" w:name="_Toc54689431"/>
      <w:bookmarkStart w:id="173" w:name="_Toc54689678"/>
      <w:bookmarkStart w:id="174" w:name="_Toc158008437"/>
      <w:r>
        <w:rPr>
          <w:rStyle w:val="CharSectno"/>
        </w:rPr>
        <w:t>20</w:t>
      </w:r>
      <w:r>
        <w:rPr>
          <w:snapToGrid w:val="0"/>
        </w:rPr>
        <w:t>.</w:t>
      </w:r>
      <w:r>
        <w:rPr>
          <w:snapToGrid w:val="0"/>
        </w:rPr>
        <w:tab/>
        <w:t>Professional or technical assistance</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 Commission may engage persons on a casual basis or under contract for services to provide professional, technical or other assistance.</w:t>
      </w:r>
    </w:p>
    <w:p>
      <w:pPr>
        <w:pStyle w:val="Heading5"/>
        <w:rPr>
          <w:snapToGrid w:val="0"/>
        </w:rPr>
      </w:pPr>
      <w:bookmarkStart w:id="175" w:name="_Toc517767654"/>
      <w:bookmarkStart w:id="176" w:name="_Toc54688881"/>
      <w:bookmarkStart w:id="177" w:name="_Toc54689339"/>
      <w:bookmarkStart w:id="178" w:name="_Toc54689432"/>
      <w:bookmarkStart w:id="179" w:name="_Toc54689679"/>
      <w:bookmarkStart w:id="180" w:name="_Toc158008438"/>
      <w:r>
        <w:rPr>
          <w:rStyle w:val="CharSectno"/>
        </w:rPr>
        <w:t>21</w:t>
      </w:r>
      <w:r>
        <w:rPr>
          <w:snapToGrid w:val="0"/>
        </w:rPr>
        <w:t>.</w:t>
      </w:r>
      <w:r>
        <w:rPr>
          <w:snapToGrid w:val="0"/>
        </w:rPr>
        <w:tab/>
        <w:t>Use of staff and facilities of departments and instrumentalities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The Commission may by arrangement with the relevant employing authority within the meaning of the </w:t>
      </w:r>
      <w:r>
        <w:rPr>
          <w:i/>
          <w:snapToGrid w:val="0"/>
        </w:rPr>
        <w:t>Public Sector Management Act 1994</w:t>
      </w:r>
      <w:r>
        <w:rPr>
          <w:snapToGrid w:val="0"/>
        </w:rPr>
        <w:t>, make use, either full-time or part-time,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Footnotesection"/>
      </w:pPr>
      <w:r>
        <w:tab/>
        <w:t xml:space="preserve">[Section 21 amended by No. 32 of 1994 s.19; No. 68 of 1994 s.21.] </w:t>
      </w:r>
    </w:p>
    <w:p>
      <w:pPr>
        <w:pStyle w:val="Heading5"/>
        <w:rPr>
          <w:snapToGrid w:val="0"/>
        </w:rPr>
      </w:pPr>
      <w:bookmarkStart w:id="181" w:name="_Toc517767655"/>
      <w:bookmarkStart w:id="182" w:name="_Toc54688882"/>
      <w:bookmarkStart w:id="183" w:name="_Toc54689340"/>
      <w:bookmarkStart w:id="184" w:name="_Toc54689433"/>
      <w:bookmarkStart w:id="185" w:name="_Toc54689680"/>
      <w:bookmarkStart w:id="186" w:name="_Toc158008439"/>
      <w:r>
        <w:rPr>
          <w:rStyle w:val="CharSectno"/>
        </w:rPr>
        <w:t>22</w:t>
      </w:r>
      <w:r>
        <w:rPr>
          <w:snapToGrid w:val="0"/>
        </w:rPr>
        <w:t>.</w:t>
      </w:r>
      <w:r>
        <w:rPr>
          <w:snapToGrid w:val="0"/>
        </w:rPr>
        <w:tab/>
        <w:t>Secrecy</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This section applies to every person who is or has been a member, is acting or has acted in the office of a member, is or has been an employee of the Commission or is rendering or has rendered services to the Commission under section 20 or 21.</w:t>
      </w:r>
    </w:p>
    <w:p>
      <w:pPr>
        <w:pStyle w:val="Subsection"/>
        <w:rPr>
          <w:snapToGrid w:val="0"/>
        </w:rPr>
      </w:pPr>
      <w:r>
        <w:rPr>
          <w:snapToGrid w:val="0"/>
        </w:rPr>
        <w:tab/>
        <w:t>(2)</w:t>
      </w:r>
      <w:r>
        <w:rPr>
          <w:snapToGrid w:val="0"/>
        </w:rPr>
        <w:tab/>
        <w:t>A person to whom this section applies shall not, either directly or indirectly, except in the performance of a function or duty under or in connection with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$5 000.</w:t>
      </w:r>
    </w:p>
    <w:p>
      <w:pPr>
        <w:pStyle w:val="Footnotesection"/>
      </w:pPr>
      <w:r>
        <w:tab/>
        <w:t xml:space="preserve">[Section 22 amended by No. 68 of 1994 s.22.] </w:t>
      </w:r>
    </w:p>
    <w:p>
      <w:pPr>
        <w:pStyle w:val="Heading5"/>
        <w:rPr>
          <w:snapToGrid w:val="0"/>
        </w:rPr>
      </w:pPr>
      <w:bookmarkStart w:id="187" w:name="_Toc517767656"/>
      <w:bookmarkStart w:id="188" w:name="_Toc54688883"/>
      <w:bookmarkStart w:id="189" w:name="_Toc54689341"/>
      <w:bookmarkStart w:id="190" w:name="_Toc54689434"/>
      <w:bookmarkStart w:id="191" w:name="_Toc54689681"/>
      <w:bookmarkStart w:id="192" w:name="_Toc158008440"/>
      <w:r>
        <w:rPr>
          <w:rStyle w:val="CharSectno"/>
        </w:rPr>
        <w:t>23</w:t>
      </w:r>
      <w:r>
        <w:rPr>
          <w:snapToGrid w:val="0"/>
        </w:rPr>
        <w:t>.</w:t>
      </w:r>
      <w:r>
        <w:rPr>
          <w:snapToGrid w:val="0"/>
        </w:rPr>
        <w:tab/>
        <w:t>Delegation by the Commission</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Commission may, by writing under its common seal, either generally or as otherwise provided by the instrument of delegation, delegate to any member or to any employee of the Commission, all or any of its powers, authorities, functions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under the common seal of the Commission.</w:t>
      </w:r>
    </w:p>
    <w:p>
      <w:pPr>
        <w:pStyle w:val="Subsection"/>
        <w:rPr>
          <w:snapToGrid w:val="0"/>
        </w:rPr>
      </w:pPr>
      <w:r>
        <w:rPr>
          <w:snapToGrid w:val="0"/>
        </w:rPr>
        <w:tab/>
        <w:t>(5)</w:t>
      </w:r>
      <w:r>
        <w:rPr>
          <w:snapToGrid w:val="0"/>
        </w:rPr>
        <w:tab/>
        <w:t>The Commission may exercise a power or perform a duty notwithstanding that it has delegated its exercise or performance under this section.</w:t>
      </w:r>
    </w:p>
    <w:p>
      <w:pPr>
        <w:pStyle w:val="Footnotesection"/>
      </w:pPr>
      <w:r>
        <w:tab/>
        <w:t xml:space="preserve">[Section 23 amended by No. 68 of 1994 s.23.] </w:t>
      </w:r>
    </w:p>
    <w:p>
      <w:pPr>
        <w:pStyle w:val="Heading2"/>
      </w:pPr>
      <w:bookmarkStart w:id="193" w:name="_Toc156818652"/>
      <w:bookmarkStart w:id="194" w:name="_Toc156819609"/>
      <w:bookmarkStart w:id="195" w:name="_Toc158007645"/>
      <w:bookmarkStart w:id="196" w:name="_Toc158008441"/>
      <w:r>
        <w:rPr>
          <w:rStyle w:val="CharPartNo"/>
        </w:rPr>
        <w:t>Part III</w:t>
      </w:r>
      <w:r>
        <w:rPr>
          <w:rStyle w:val="CharDivNo"/>
        </w:rPr>
        <w:t> </w:t>
      </w:r>
      <w:r>
        <w:t>—</w:t>
      </w:r>
      <w:r>
        <w:rPr>
          <w:rStyle w:val="CharDivText"/>
        </w:rPr>
        <w:t> </w:t>
      </w:r>
      <w:r>
        <w:rPr>
          <w:rStyle w:val="CharPartText"/>
        </w:rPr>
        <w:t>Financial provisions</w:t>
      </w:r>
      <w:bookmarkEnd w:id="193"/>
      <w:bookmarkEnd w:id="194"/>
      <w:bookmarkEnd w:id="195"/>
      <w:bookmarkEnd w:id="196"/>
      <w:r>
        <w:rPr>
          <w:rStyle w:val="CharPartText"/>
        </w:rPr>
        <w:t xml:space="preserve"> </w:t>
      </w:r>
    </w:p>
    <w:p>
      <w:pPr>
        <w:pStyle w:val="Heading5"/>
        <w:rPr>
          <w:snapToGrid w:val="0"/>
        </w:rPr>
      </w:pPr>
      <w:bookmarkStart w:id="197" w:name="_Toc517767657"/>
      <w:bookmarkStart w:id="198" w:name="_Toc54688884"/>
      <w:bookmarkStart w:id="199" w:name="_Toc54689342"/>
      <w:bookmarkStart w:id="200" w:name="_Toc54689435"/>
      <w:bookmarkStart w:id="201" w:name="_Toc54689682"/>
      <w:bookmarkStart w:id="202" w:name="_Toc158008442"/>
      <w:r>
        <w:rPr>
          <w:rStyle w:val="CharSectno"/>
        </w:rPr>
        <w:t>24</w:t>
      </w:r>
      <w:r>
        <w:rPr>
          <w:snapToGrid w:val="0"/>
        </w:rPr>
        <w:t>.</w:t>
      </w:r>
      <w:r>
        <w:rPr>
          <w:snapToGrid w:val="0"/>
        </w:rPr>
        <w:tab/>
        <w:t>Funds</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funds available for the purpose of enabling the Commission to carry out its objects and perform its functions under this Act consist of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Commission for services provided under the authority of this Act;</w:t>
      </w:r>
    </w:p>
    <w:p>
      <w:pPr>
        <w:pStyle w:val="Indenta"/>
        <w:rPr>
          <w:snapToGrid w:val="0"/>
        </w:rPr>
      </w:pPr>
      <w:r>
        <w:rPr>
          <w:snapToGrid w:val="0"/>
        </w:rPr>
        <w:tab/>
        <w:t>(c)</w:t>
      </w:r>
      <w:r>
        <w:rPr>
          <w:snapToGrid w:val="0"/>
        </w:rPr>
        <w:tab/>
        <w:t>all moneys received by the Commission for the purposes of this Act;</w:t>
      </w:r>
    </w:p>
    <w:p>
      <w:pPr>
        <w:pStyle w:val="Indenta"/>
        <w:rPr>
          <w:snapToGrid w:val="0"/>
        </w:rPr>
      </w:pPr>
      <w:r>
        <w:rPr>
          <w:snapToGrid w:val="0"/>
        </w:rPr>
        <w:tab/>
        <w:t>(d)</w:t>
      </w:r>
      <w:r>
        <w:rPr>
          <w:snapToGrid w:val="0"/>
        </w:rPr>
        <w:tab/>
        <w:t>any moneys received by the Commission in repayment of any loan or part thereof authorized to be made under section 14 and interest thereon;</w:t>
      </w:r>
    </w:p>
    <w:p>
      <w:pPr>
        <w:pStyle w:val="Indenta"/>
        <w:rPr>
          <w:snapToGrid w:val="0"/>
        </w:rPr>
      </w:pPr>
      <w:r>
        <w:rPr>
          <w:snapToGrid w:val="0"/>
        </w:rPr>
        <w:tab/>
        <w:t>(e)</w:t>
      </w:r>
      <w:r>
        <w:rPr>
          <w:snapToGrid w:val="0"/>
        </w:rPr>
        <w:tab/>
        <w:t>any other moneys received by the Commission, except moneys received and held on behalf of any person in its capacity as a travel agent.</w:t>
      </w:r>
    </w:p>
    <w:p>
      <w:pPr>
        <w:pStyle w:val="Subsection"/>
        <w:rPr>
          <w:snapToGrid w:val="0"/>
        </w:rPr>
      </w:pPr>
      <w:r>
        <w:rPr>
          <w:snapToGrid w:val="0"/>
        </w:rPr>
        <w:tab/>
        <w:t>(2)</w:t>
      </w:r>
      <w:r>
        <w:rPr>
          <w:snapToGrid w:val="0"/>
        </w:rPr>
        <w:tab/>
        <w:t>The funds referred to in subsection (1) shall be paid into, and be placed to the credit of, an account at a bank within the State approved by the Treasurer, to be called the “Western Australian Tourism Commission Account”.</w:t>
      </w:r>
    </w:p>
    <w:p>
      <w:pPr>
        <w:pStyle w:val="Subsection"/>
        <w:rPr>
          <w:snapToGrid w:val="0"/>
        </w:rPr>
      </w:pPr>
      <w:r>
        <w:rPr>
          <w:snapToGrid w:val="0"/>
        </w:rPr>
        <w:tab/>
        <w:t>(3)</w:t>
      </w:r>
      <w:r>
        <w:rPr>
          <w:snapToGrid w:val="0"/>
        </w:rPr>
        <w:tab/>
        <w:t>The Commission is authorized to pay moneys out of the Commission Account — </w:t>
      </w:r>
    </w:p>
    <w:p>
      <w:pPr>
        <w:pStyle w:val="Indenta"/>
        <w:rPr>
          <w:snapToGrid w:val="0"/>
        </w:rPr>
      </w:pPr>
      <w:r>
        <w:rPr>
          <w:snapToGrid w:val="0"/>
        </w:rPr>
        <w:tab/>
        <w:t>(a)</w:t>
      </w:r>
      <w:r>
        <w:rPr>
          <w:snapToGrid w:val="0"/>
        </w:rPr>
        <w:tab/>
        <w:t>in payment of all costs and expenses incurred by the Commission for the purpose of giving effect to this Act;</w:t>
      </w:r>
    </w:p>
    <w:p>
      <w:pPr>
        <w:pStyle w:val="Indenta"/>
        <w:rPr>
          <w:snapToGrid w:val="0"/>
        </w:rPr>
      </w:pPr>
      <w:r>
        <w:rPr>
          <w:snapToGrid w:val="0"/>
        </w:rPr>
        <w:tab/>
        <w:t>(b)</w:t>
      </w:r>
      <w:r>
        <w:rPr>
          <w:snapToGrid w:val="0"/>
        </w:rPr>
        <w:tab/>
        <w:t>in the repayment of moneys borrowed by the Commission or the Department and interest thereon;</w:t>
      </w:r>
    </w:p>
    <w:p>
      <w:pPr>
        <w:pStyle w:val="Indenta"/>
        <w:rPr>
          <w:snapToGrid w:val="0"/>
        </w:rPr>
      </w:pPr>
      <w:r>
        <w:rPr>
          <w:snapToGrid w:val="0"/>
        </w:rPr>
        <w:tab/>
        <w:t>(c)</w:t>
      </w:r>
      <w:r>
        <w:rPr>
          <w:snapToGrid w:val="0"/>
        </w:rPr>
        <w:tab/>
        <w:t>in the repayment of money to be credited to the</w:t>
      </w:r>
      <w:r>
        <w:t xml:space="preserve"> Consolidated Account</w:t>
      </w:r>
      <w:r>
        <w:rPr>
          <w:snapToGrid w:val="0"/>
        </w:rPr>
        <w:t>; or</w:t>
      </w:r>
    </w:p>
    <w:p>
      <w:pPr>
        <w:pStyle w:val="Indenta"/>
        <w:rPr>
          <w:snapToGrid w:val="0"/>
        </w:rPr>
      </w:pPr>
      <w:r>
        <w:rPr>
          <w:snapToGrid w:val="0"/>
        </w:rPr>
        <w:tab/>
        <w:t>(d)</w:t>
      </w:r>
      <w:r>
        <w:rPr>
          <w:snapToGrid w:val="0"/>
        </w:rPr>
        <w:tab/>
        <w:t>in any other way authorized by this Act.</w:t>
      </w:r>
    </w:p>
    <w:p>
      <w:pPr>
        <w:pStyle w:val="Subsection"/>
        <w:spacing w:before="120"/>
        <w:rPr>
          <w:snapToGrid w:val="0"/>
        </w:rPr>
      </w:pPr>
      <w:r>
        <w:rPr>
          <w:snapToGrid w:val="0"/>
        </w:rPr>
        <w:tab/>
        <w:t>(4)</w:t>
      </w:r>
      <w:r>
        <w:rPr>
          <w:snapToGrid w:val="0"/>
        </w:rPr>
        <w:tab/>
        <w:t>Moneys standing to the credit of the Commission Account shall be applied by the Commission only for the purposes of this Act.</w:t>
      </w:r>
    </w:p>
    <w:p>
      <w:pPr>
        <w:pStyle w:val="Footnotesection"/>
        <w:spacing w:before="80"/>
        <w:ind w:left="890" w:hanging="890"/>
      </w:pPr>
      <w:r>
        <w:tab/>
        <w:t xml:space="preserve">[Section 24 amended by No. 98 of 1985 s.3; No. 6 of 1993 ss.11 and 14(7); No. 49 of 1996 s.64; No. 77 of 2006 s. 4.] </w:t>
      </w:r>
    </w:p>
    <w:p>
      <w:pPr>
        <w:pStyle w:val="Heading5"/>
        <w:spacing w:before="180"/>
        <w:rPr>
          <w:snapToGrid w:val="0"/>
        </w:rPr>
      </w:pPr>
      <w:bookmarkStart w:id="203" w:name="_Toc517767658"/>
      <w:bookmarkStart w:id="204" w:name="_Toc54688885"/>
      <w:bookmarkStart w:id="205" w:name="_Toc54689343"/>
      <w:bookmarkStart w:id="206" w:name="_Toc54689436"/>
      <w:bookmarkStart w:id="207" w:name="_Toc54689683"/>
      <w:bookmarkStart w:id="208" w:name="_Toc158008443"/>
      <w:r>
        <w:rPr>
          <w:rStyle w:val="CharSectno"/>
        </w:rPr>
        <w:t>25</w:t>
      </w:r>
      <w:r>
        <w:rPr>
          <w:snapToGrid w:val="0"/>
        </w:rPr>
        <w:t>.</w:t>
      </w:r>
      <w:r>
        <w:rPr>
          <w:snapToGrid w:val="0"/>
        </w:rPr>
        <w:tab/>
        <w:t>Power to invest</w:t>
      </w:r>
      <w:bookmarkEnd w:id="203"/>
      <w:bookmarkEnd w:id="204"/>
      <w:bookmarkEnd w:id="205"/>
      <w:bookmarkEnd w:id="206"/>
      <w:bookmarkEnd w:id="207"/>
      <w:bookmarkEnd w:id="208"/>
      <w:r>
        <w:rPr>
          <w:snapToGrid w:val="0"/>
        </w:rPr>
        <w:t xml:space="preserve"> </w:t>
      </w:r>
    </w:p>
    <w:p>
      <w:pPr>
        <w:pStyle w:val="Subsection"/>
        <w:spacing w:before="120"/>
        <w:rPr>
          <w:snapToGrid w:val="0"/>
        </w:rPr>
      </w:pPr>
      <w:r>
        <w:rPr>
          <w:snapToGrid w:val="0"/>
        </w:rPr>
        <w:tab/>
      </w:r>
      <w:r>
        <w:rPr>
          <w:snapToGrid w:val="0"/>
        </w:rPr>
        <w:tab/>
        <w:t xml:space="preserve">Any moneys standing to the credit of the Commission Account which are not immediately required for the purposes of this Act may, with the approval of the Treasurer be invested in any manner in which moneys standing to the credit of the Public Bank Account may be invested under the </w:t>
      </w:r>
      <w:r>
        <w:rPr>
          <w:i/>
        </w:rPr>
        <w:t>Financial Management Act 2006</w:t>
      </w:r>
      <w:r>
        <w:t>.</w:t>
      </w:r>
    </w:p>
    <w:p>
      <w:pPr>
        <w:pStyle w:val="Footnotesection"/>
        <w:spacing w:before="80"/>
        <w:ind w:left="890" w:hanging="890"/>
      </w:pPr>
      <w:r>
        <w:tab/>
        <w:t xml:space="preserve">[Section 25 amended by No. 98 of 1985 s.3; No. 77 of 2006 s. 17.] </w:t>
      </w:r>
    </w:p>
    <w:p>
      <w:pPr>
        <w:pStyle w:val="Heading5"/>
        <w:spacing w:before="180"/>
        <w:rPr>
          <w:snapToGrid w:val="0"/>
        </w:rPr>
      </w:pPr>
      <w:bookmarkStart w:id="209" w:name="_Toc517767659"/>
      <w:bookmarkStart w:id="210" w:name="_Toc54688886"/>
      <w:bookmarkStart w:id="211" w:name="_Toc54689344"/>
      <w:bookmarkStart w:id="212" w:name="_Toc54689437"/>
      <w:bookmarkStart w:id="213" w:name="_Toc54689684"/>
      <w:bookmarkStart w:id="214" w:name="_Toc158008444"/>
      <w:r>
        <w:rPr>
          <w:rStyle w:val="CharSectno"/>
        </w:rPr>
        <w:t>26</w:t>
      </w:r>
      <w:r>
        <w:rPr>
          <w:snapToGrid w:val="0"/>
        </w:rPr>
        <w:t>.</w:t>
      </w:r>
      <w:r>
        <w:rPr>
          <w:snapToGrid w:val="0"/>
        </w:rPr>
        <w:tab/>
        <w:t>Trust Account</w:t>
      </w:r>
      <w:bookmarkEnd w:id="209"/>
      <w:bookmarkEnd w:id="210"/>
      <w:bookmarkEnd w:id="211"/>
      <w:bookmarkEnd w:id="212"/>
      <w:bookmarkEnd w:id="213"/>
      <w:bookmarkEnd w:id="214"/>
      <w:r>
        <w:rPr>
          <w:snapToGrid w:val="0"/>
        </w:rPr>
        <w:t xml:space="preserve"> </w:t>
      </w:r>
    </w:p>
    <w:p>
      <w:pPr>
        <w:pStyle w:val="Subsection"/>
        <w:spacing w:before="120"/>
        <w:rPr>
          <w:snapToGrid w:val="0"/>
        </w:rPr>
      </w:pPr>
      <w:r>
        <w:rPr>
          <w:snapToGrid w:val="0"/>
        </w:rPr>
        <w:tab/>
        <w:t>(1)</w:t>
      </w:r>
      <w:r>
        <w:rPr>
          <w:snapToGrid w:val="0"/>
        </w:rPr>
        <w:tab/>
        <w:t>The Commission shall establish and at all times maintain in accordance with this Act an account at a bank within the State approved by the Treasurer, to be called the “Western Australian Tourism Commission Booking Account”.</w:t>
      </w:r>
    </w:p>
    <w:p>
      <w:pPr>
        <w:pStyle w:val="Subsection"/>
        <w:spacing w:before="120"/>
        <w:rPr>
          <w:snapToGrid w:val="0"/>
        </w:rPr>
      </w:pPr>
      <w:r>
        <w:rPr>
          <w:snapToGrid w:val="0"/>
        </w:rPr>
        <w:tab/>
        <w:t>(2)</w:t>
      </w:r>
      <w:r>
        <w:rPr>
          <w:snapToGrid w:val="0"/>
        </w:rPr>
        <w:tab/>
        <w:t>The Commission shall credit to the Booking Account all moneys received or held on behalf of any person by the Commission in its capacity as a travel agent.</w:t>
      </w:r>
    </w:p>
    <w:p>
      <w:pPr>
        <w:pStyle w:val="Subsection"/>
        <w:spacing w:before="120"/>
        <w:rPr>
          <w:snapToGrid w:val="0"/>
        </w:rPr>
      </w:pPr>
      <w:r>
        <w:rPr>
          <w:snapToGrid w:val="0"/>
        </w:rPr>
        <w:tab/>
        <w:t>(3)</w:t>
      </w:r>
      <w:r>
        <w:rPr>
          <w:snapToGrid w:val="0"/>
        </w:rPr>
        <w:tab/>
        <w:t>The Commission shall pay moneys withdrawn from the Booking Account to the person or persons lawfully entitled or authorized to receive them.</w:t>
      </w:r>
    </w:p>
    <w:p>
      <w:pPr>
        <w:pStyle w:val="Subsection"/>
        <w:spacing w:before="120"/>
        <w:rPr>
          <w:snapToGrid w:val="0"/>
        </w:rPr>
      </w:pPr>
      <w:r>
        <w:rPr>
          <w:snapToGrid w:val="0"/>
        </w:rPr>
        <w:tab/>
        <w:t>(4)</w:t>
      </w:r>
      <w:r>
        <w:rPr>
          <w:snapToGrid w:val="0"/>
        </w:rPr>
        <w:tab/>
        <w:t>All moneys paid into the Booking Account shall be accounted for separately from the Commission Account.</w:t>
      </w:r>
    </w:p>
    <w:p>
      <w:pPr>
        <w:pStyle w:val="Subsection"/>
        <w:spacing w:before="120"/>
        <w:rPr>
          <w:snapToGrid w:val="0"/>
        </w:rPr>
      </w:pPr>
      <w:r>
        <w:rPr>
          <w:snapToGrid w:val="0"/>
        </w:rPr>
        <w:tab/>
        <w:t>(5)</w:t>
      </w:r>
      <w:r>
        <w:rPr>
          <w:snapToGrid w:val="0"/>
        </w:rPr>
        <w:tab/>
        <w:t xml:space="preserve">Any moneys standing to the credit of the Booking Account may be invested in any manner in which moneys standing to the credit of the Public Bank Account may be invested under the </w:t>
      </w:r>
      <w:r>
        <w:rPr>
          <w:i/>
        </w:rPr>
        <w:t xml:space="preserve">Financial Management Act 2006 </w:t>
      </w:r>
      <w:r>
        <w:rPr>
          <w:snapToGrid w:val="0"/>
        </w:rPr>
        <w:t>and any revenue earned from that investment is to be placed to the credit of the Commission Account.</w:t>
      </w:r>
    </w:p>
    <w:p>
      <w:pPr>
        <w:pStyle w:val="Footnotesection"/>
        <w:spacing w:before="80"/>
        <w:ind w:left="890" w:hanging="890"/>
      </w:pPr>
      <w:r>
        <w:tab/>
        <w:t xml:space="preserve">[Section 26 amended by No. 68 of 1994 s.24; No. 77 of 2006 s. 17.] </w:t>
      </w:r>
    </w:p>
    <w:p>
      <w:pPr>
        <w:pStyle w:val="Heading5"/>
        <w:rPr>
          <w:snapToGrid w:val="0"/>
        </w:rPr>
      </w:pPr>
      <w:bookmarkStart w:id="215" w:name="_Toc517767660"/>
      <w:bookmarkStart w:id="216" w:name="_Toc54688887"/>
      <w:bookmarkStart w:id="217" w:name="_Toc54689345"/>
      <w:bookmarkStart w:id="218" w:name="_Toc54689438"/>
      <w:bookmarkStart w:id="219" w:name="_Toc54689685"/>
      <w:bookmarkStart w:id="220" w:name="_Toc158008445"/>
      <w:r>
        <w:rPr>
          <w:rStyle w:val="CharSectno"/>
        </w:rPr>
        <w:t>27</w:t>
      </w:r>
      <w:r>
        <w:rPr>
          <w:snapToGrid w:val="0"/>
        </w:rPr>
        <w:t>.</w:t>
      </w:r>
      <w:r>
        <w:rPr>
          <w:snapToGrid w:val="0"/>
        </w:rPr>
        <w:tab/>
        <w:t>Borrowing by the Commission</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Subject to this Act the Commission may — </w:t>
      </w:r>
    </w:p>
    <w:p>
      <w:pPr>
        <w:pStyle w:val="Indenta"/>
        <w:rPr>
          <w:snapToGrid w:val="0"/>
        </w:rPr>
      </w:pPr>
      <w:r>
        <w:rPr>
          <w:snapToGrid w:val="0"/>
        </w:rPr>
        <w:tab/>
        <w:t>(a)</w:t>
      </w:r>
      <w:r>
        <w:rPr>
          <w:snapToGrid w:val="0"/>
        </w:rPr>
        <w:tab/>
        <w:t>borrow by way of loan, advance or overdraft such moneys;</w:t>
      </w:r>
    </w:p>
    <w:p>
      <w:pPr>
        <w:pStyle w:val="Indenta"/>
        <w:rPr>
          <w:snapToGrid w:val="0"/>
        </w:rPr>
      </w:pPr>
      <w:r>
        <w:rPr>
          <w:snapToGrid w:val="0"/>
        </w:rPr>
        <w:tab/>
        <w:t>(b)</w:t>
      </w:r>
      <w:r>
        <w:rPr>
          <w:snapToGrid w:val="0"/>
        </w:rPr>
        <w:tab/>
        <w:t>obtain and provide such credit;</w:t>
      </w:r>
    </w:p>
    <w:p>
      <w:pPr>
        <w:pStyle w:val="Indenta"/>
        <w:rPr>
          <w:snapToGrid w:val="0"/>
        </w:rPr>
      </w:pPr>
      <w:r>
        <w:rPr>
          <w:snapToGrid w:val="0"/>
        </w:rPr>
        <w:tab/>
        <w:t>(c)</w:t>
      </w:r>
      <w:r>
        <w:rPr>
          <w:snapToGrid w:val="0"/>
        </w:rPr>
        <w:tab/>
        <w:t>pay such commission or brokerage; and</w:t>
      </w:r>
    </w:p>
    <w:p>
      <w:pPr>
        <w:pStyle w:val="Indenta"/>
        <w:rPr>
          <w:snapToGrid w:val="0"/>
        </w:rPr>
      </w:pPr>
      <w:r>
        <w:rPr>
          <w:snapToGrid w:val="0"/>
        </w:rPr>
        <w:tab/>
        <w:t>(d)</w:t>
      </w:r>
      <w:r>
        <w:rPr>
          <w:snapToGrid w:val="0"/>
        </w:rPr>
        <w:tab/>
        <w:t>give, take or arrange such security,</w:t>
      </w:r>
    </w:p>
    <w:p>
      <w:pPr>
        <w:pStyle w:val="Subsection"/>
        <w:rPr>
          <w:snapToGrid w:val="0"/>
        </w:rPr>
      </w:pPr>
      <w:r>
        <w:rPr>
          <w:snapToGrid w:val="0"/>
        </w:rPr>
        <w:tab/>
      </w:r>
      <w:r>
        <w:rPr>
          <w:snapToGrid w:val="0"/>
        </w:rPr>
        <w:tab/>
        <w:t>as it thinks necessary from time to time for carrying out its objects.</w:t>
      </w:r>
    </w:p>
    <w:p>
      <w:pPr>
        <w:pStyle w:val="Subsection"/>
        <w:rPr>
          <w:snapToGrid w:val="0"/>
        </w:rPr>
      </w:pPr>
      <w:r>
        <w:rPr>
          <w:snapToGrid w:val="0"/>
        </w:rPr>
        <w:tab/>
        <w:t>(2)</w:t>
      </w:r>
      <w:r>
        <w:rPr>
          <w:snapToGrid w:val="0"/>
        </w:rPr>
        <w:tab/>
        <w:t>A loan, advance or overdraft under this section may only be made with the prior approval of the Treasurer and upon such terms and conditions as the Treasurer approves.</w:t>
      </w:r>
    </w:p>
    <w:p>
      <w:pPr>
        <w:pStyle w:val="Subsection"/>
        <w:rPr>
          <w:snapToGrid w:val="0"/>
        </w:rPr>
      </w:pPr>
      <w:r>
        <w:rPr>
          <w:snapToGrid w:val="0"/>
        </w:rPr>
        <w:tab/>
        <w:t>(3)</w:t>
      </w:r>
      <w:r>
        <w:rPr>
          <w:snapToGrid w:val="0"/>
        </w:rPr>
        <w:tab/>
        <w:t>Any moneys borrowed by the Commission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The Treasurer may, in the name and on behalf of the Crown in right of the State, guarantee repayment of the principal moneys and interest thereon in respect of moneys borrowed by the Commission under this section, and any liability of the Crown arising out of the guarantee is to be charged to the</w:t>
      </w:r>
      <w:r>
        <w:t xml:space="preserve"> Consolidated Account</w:t>
      </w:r>
      <w:r>
        <w:rPr>
          <w:snapToGrid w:val="0"/>
        </w:rPr>
        <w:t>, which to the necessary extent is appropriated accordingly.</w:t>
      </w:r>
    </w:p>
    <w:p>
      <w:pPr>
        <w:pStyle w:val="Subsection"/>
        <w:rPr>
          <w:snapToGrid w:val="0"/>
        </w:rPr>
      </w:pPr>
      <w:r>
        <w:rPr>
          <w:snapToGrid w:val="0"/>
        </w:rPr>
        <w:tab/>
        <w:t>(5)</w:t>
      </w:r>
      <w:r>
        <w:rPr>
          <w:snapToGrid w:val="0"/>
        </w:rPr>
        <w:tab/>
        <w:t>A guarantee under this section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Footnotesection"/>
      </w:pPr>
      <w:r>
        <w:tab/>
        <w:t xml:space="preserve">[Section 27 amended by No. 98 of 1985 s.3; No. 6 of 1993 s.11; No. 49 of 1996 s.64; No. 77 of 2006 s. 4.] </w:t>
      </w:r>
    </w:p>
    <w:p>
      <w:pPr>
        <w:pStyle w:val="Heading5"/>
        <w:rPr>
          <w:snapToGrid w:val="0"/>
        </w:rPr>
      </w:pPr>
      <w:bookmarkStart w:id="221" w:name="_Toc517767661"/>
      <w:bookmarkStart w:id="222" w:name="_Toc54688888"/>
      <w:bookmarkStart w:id="223" w:name="_Toc54689346"/>
      <w:bookmarkStart w:id="224" w:name="_Toc54689439"/>
      <w:bookmarkStart w:id="225" w:name="_Toc54689686"/>
      <w:bookmarkStart w:id="226" w:name="_Toc158008446"/>
      <w:r>
        <w:rPr>
          <w:rStyle w:val="CharSectno"/>
        </w:rPr>
        <w:t>28</w:t>
      </w:r>
      <w:r>
        <w:rPr>
          <w:snapToGrid w:val="0"/>
        </w:rPr>
        <w:t>.</w:t>
      </w:r>
      <w:r>
        <w:rPr>
          <w:snapToGrid w:val="0"/>
        </w:rPr>
        <w:tab/>
        <w:t xml:space="preserve">Application of </w:t>
      </w:r>
      <w:bookmarkEnd w:id="221"/>
      <w:bookmarkEnd w:id="222"/>
      <w:bookmarkEnd w:id="223"/>
      <w:bookmarkEnd w:id="224"/>
      <w:bookmarkEnd w:id="225"/>
      <w:r>
        <w:rPr>
          <w:i/>
        </w:rPr>
        <w:t>Financial Management Act 2006</w:t>
      </w:r>
      <w:r>
        <w:t xml:space="preserve"> and the </w:t>
      </w:r>
      <w:r>
        <w:rPr>
          <w:i/>
        </w:rPr>
        <w:t>Auditor General Act 2006</w:t>
      </w:r>
      <w:bookmarkEnd w:id="226"/>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 xml:space="preserve">[Section 28 inserted by No. 98 of 1985 s.3; amended by No. 77 of 2006 s. 17.] </w:t>
      </w:r>
    </w:p>
    <w:p>
      <w:pPr>
        <w:pStyle w:val="Heading5"/>
        <w:rPr>
          <w:snapToGrid w:val="0"/>
        </w:rPr>
      </w:pPr>
      <w:bookmarkStart w:id="227" w:name="_Toc517767662"/>
      <w:bookmarkStart w:id="228" w:name="_Toc54688889"/>
      <w:bookmarkStart w:id="229" w:name="_Toc54689347"/>
      <w:bookmarkStart w:id="230" w:name="_Toc54689440"/>
      <w:bookmarkStart w:id="231" w:name="_Toc54689687"/>
      <w:bookmarkStart w:id="232" w:name="_Toc158008447"/>
      <w:r>
        <w:rPr>
          <w:rStyle w:val="CharSectno"/>
        </w:rPr>
        <w:t>29</w:t>
      </w:r>
      <w:r>
        <w:rPr>
          <w:snapToGrid w:val="0"/>
        </w:rPr>
        <w:t>.</w:t>
      </w:r>
      <w:r>
        <w:rPr>
          <w:snapToGrid w:val="0"/>
        </w:rPr>
        <w:tab/>
        <w:t>Review of Act</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the expiration of 5 years from the commencement of the </w:t>
      </w:r>
      <w:r>
        <w:rPr>
          <w:i/>
          <w:snapToGrid w:val="0"/>
        </w:rPr>
        <w:t>Western Australian Tourism Commission Amendment Act 1994</w:t>
      </w:r>
      <w:r>
        <w:rPr>
          <w:snapToGrid w:val="0"/>
          <w:vertAlign w:val="superscript"/>
        </w:rPr>
        <w:t xml:space="preserve"> 1</w:t>
      </w:r>
      <w:r>
        <w:rPr>
          <w:snapToGrid w:val="0"/>
        </w:rPr>
        <w:t xml:space="preserve">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the preparation thereof, cause the report to be laid before each House of Parliament.</w:t>
      </w:r>
    </w:p>
    <w:p>
      <w:pPr>
        <w:pStyle w:val="Footnotesection"/>
      </w:pPr>
      <w:r>
        <w:tab/>
        <w:t xml:space="preserve">[Section 29 inserted by No. 68 of 1994 s.25.] </w:t>
      </w:r>
    </w:p>
    <w:p>
      <w:pPr>
        <w:pStyle w:val="Heading2"/>
      </w:pPr>
      <w:bookmarkStart w:id="233" w:name="_Toc156818659"/>
      <w:bookmarkStart w:id="234" w:name="_Toc156819616"/>
      <w:bookmarkStart w:id="235" w:name="_Toc158007652"/>
      <w:bookmarkStart w:id="236" w:name="_Toc158008448"/>
      <w:r>
        <w:rPr>
          <w:rStyle w:val="CharPartNo"/>
        </w:rPr>
        <w:t>Part IV</w:t>
      </w:r>
      <w:r>
        <w:rPr>
          <w:rStyle w:val="CharDivNo"/>
        </w:rPr>
        <w:t> </w:t>
      </w:r>
      <w:r>
        <w:t>—</w:t>
      </w:r>
      <w:r>
        <w:rPr>
          <w:rStyle w:val="CharDivText"/>
        </w:rPr>
        <w:t> </w:t>
      </w:r>
      <w:r>
        <w:rPr>
          <w:rStyle w:val="CharPartText"/>
        </w:rPr>
        <w:t>General</w:t>
      </w:r>
      <w:bookmarkEnd w:id="233"/>
      <w:bookmarkEnd w:id="234"/>
      <w:bookmarkEnd w:id="235"/>
      <w:bookmarkEnd w:id="236"/>
      <w:r>
        <w:rPr>
          <w:rStyle w:val="CharPartText"/>
        </w:rPr>
        <w:t xml:space="preserve"> </w:t>
      </w:r>
    </w:p>
    <w:p>
      <w:pPr>
        <w:pStyle w:val="Heading5"/>
        <w:rPr>
          <w:snapToGrid w:val="0"/>
        </w:rPr>
      </w:pPr>
      <w:bookmarkStart w:id="237" w:name="_Toc517767663"/>
      <w:bookmarkStart w:id="238" w:name="_Toc54688890"/>
      <w:bookmarkStart w:id="239" w:name="_Toc54689348"/>
      <w:bookmarkStart w:id="240" w:name="_Toc54689441"/>
      <w:bookmarkStart w:id="241" w:name="_Toc54689688"/>
      <w:bookmarkStart w:id="242" w:name="_Toc158008449"/>
      <w:r>
        <w:rPr>
          <w:rStyle w:val="CharSectno"/>
        </w:rPr>
        <w:t>30</w:t>
      </w:r>
      <w:r>
        <w:rPr>
          <w:snapToGrid w:val="0"/>
        </w:rPr>
        <w:t>.</w:t>
      </w:r>
      <w:r>
        <w:rPr>
          <w:snapToGrid w:val="0"/>
        </w:rPr>
        <w:tab/>
        <w:t>Regulations</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243" w:name="_Toc156818661"/>
      <w:bookmarkStart w:id="244" w:name="_Toc156819618"/>
      <w:bookmarkStart w:id="245" w:name="_Toc158007654"/>
      <w:bookmarkStart w:id="246" w:name="_Toc158008450"/>
      <w:r>
        <w:rPr>
          <w:rStyle w:val="CharPartNo"/>
        </w:rPr>
        <w:t>Part V</w:t>
      </w:r>
      <w:r>
        <w:rPr>
          <w:rStyle w:val="CharDivNo"/>
        </w:rPr>
        <w:t> </w:t>
      </w:r>
      <w:r>
        <w:t>—</w:t>
      </w:r>
      <w:r>
        <w:rPr>
          <w:rStyle w:val="CharDivText"/>
        </w:rPr>
        <w:t> </w:t>
      </w:r>
      <w:r>
        <w:rPr>
          <w:rStyle w:val="CharPartText"/>
        </w:rPr>
        <w:t>Transitional and repeal</w:t>
      </w:r>
      <w:bookmarkEnd w:id="243"/>
      <w:bookmarkEnd w:id="244"/>
      <w:bookmarkEnd w:id="245"/>
      <w:bookmarkEnd w:id="246"/>
      <w:r>
        <w:rPr>
          <w:rStyle w:val="CharPartText"/>
        </w:rPr>
        <w:t xml:space="preserve"> </w:t>
      </w:r>
    </w:p>
    <w:p>
      <w:pPr>
        <w:pStyle w:val="Heading5"/>
        <w:rPr>
          <w:snapToGrid w:val="0"/>
        </w:rPr>
      </w:pPr>
      <w:bookmarkStart w:id="247" w:name="_Toc517767664"/>
      <w:bookmarkStart w:id="248" w:name="_Toc54688891"/>
      <w:bookmarkStart w:id="249" w:name="_Toc54689349"/>
      <w:bookmarkStart w:id="250" w:name="_Toc54689442"/>
      <w:bookmarkStart w:id="251" w:name="_Toc54689689"/>
      <w:bookmarkStart w:id="252" w:name="_Toc158008451"/>
      <w:r>
        <w:rPr>
          <w:rStyle w:val="CharSectno"/>
        </w:rPr>
        <w:t>31</w:t>
      </w:r>
      <w:r>
        <w:rPr>
          <w:snapToGrid w:val="0"/>
        </w:rPr>
        <w:t>.</w:t>
      </w:r>
      <w:r>
        <w:rPr>
          <w:snapToGrid w:val="0"/>
        </w:rPr>
        <w:tab/>
        <w:t>Transitional</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On and from the day upon which this section comes into operation — </w:t>
      </w:r>
    </w:p>
    <w:p>
      <w:pPr>
        <w:pStyle w:val="Indenta"/>
        <w:rPr>
          <w:snapToGrid w:val="0"/>
        </w:rPr>
      </w:pPr>
      <w:r>
        <w:rPr>
          <w:snapToGrid w:val="0"/>
        </w:rPr>
        <w:tab/>
        <w:t>(a)</w:t>
      </w:r>
      <w:r>
        <w:rPr>
          <w:snapToGrid w:val="0"/>
        </w:rPr>
        <w:tab/>
        <w:t>the Department shall cease to exist and, subject to this Act all functions, powers, authorities and duties being exercised or performed immediately prior to that date by the Department shall be exercised and performed by the Commission;</w:t>
      </w:r>
    </w:p>
    <w:p>
      <w:pPr>
        <w:pStyle w:val="Indenta"/>
        <w:rPr>
          <w:snapToGrid w:val="0"/>
        </w:rPr>
      </w:pPr>
      <w:r>
        <w:rPr>
          <w:snapToGrid w:val="0"/>
        </w:rPr>
        <w:tab/>
        <w:t>(b)</w:t>
      </w:r>
      <w:r>
        <w:rPr>
          <w:snapToGrid w:val="0"/>
        </w:rPr>
        <w:tab/>
        <w:t>all premises occupied by or on behalf of the Department immediately prior to that day for or in connection with the conduct of the business of the Department shall be occupied by the Commission for or in connection with the conduct of its business and activities authorized by this Act;</w:t>
      </w:r>
    </w:p>
    <w:p>
      <w:pPr>
        <w:pStyle w:val="Indenta"/>
        <w:rPr>
          <w:snapToGrid w:val="0"/>
        </w:rPr>
      </w:pPr>
      <w:r>
        <w:rPr>
          <w:snapToGrid w:val="0"/>
        </w:rPr>
        <w:tab/>
        <w:t>(c)</w:t>
      </w:r>
      <w:r>
        <w:rPr>
          <w:snapToGrid w:val="0"/>
        </w:rPr>
        <w:tab/>
        <w:t>all assets (including furniture, fittings and other Crown property but excluding land) used by the Department shall be assigned to and taken over by the Commission;</w:t>
      </w:r>
    </w:p>
    <w:p>
      <w:pPr>
        <w:pStyle w:val="Indenta"/>
        <w:rPr>
          <w:snapToGrid w:val="0"/>
        </w:rPr>
      </w:pPr>
      <w:r>
        <w:rPr>
          <w:snapToGrid w:val="0"/>
        </w:rPr>
        <w:tab/>
        <w:t>(d)</w:t>
      </w:r>
      <w:r>
        <w:rPr>
          <w:snapToGrid w:val="0"/>
        </w:rPr>
        <w:tab/>
        <w:t>all liabilities incurred by or on behalf of the Department shall be transferred to and be borne and discharged by the Commission;</w:t>
      </w:r>
    </w:p>
    <w:p>
      <w:pPr>
        <w:pStyle w:val="Indenta"/>
        <w:rPr>
          <w:snapToGrid w:val="0"/>
        </w:rPr>
      </w:pPr>
      <w:r>
        <w:rPr>
          <w:snapToGrid w:val="0"/>
        </w:rPr>
        <w:tab/>
        <w:t>(e)</w:t>
      </w:r>
      <w:r>
        <w:rPr>
          <w:snapToGrid w:val="0"/>
        </w:rPr>
        <w:tab/>
        <w:t>all charges, fees and moneys due, payable or leviable by or on behalf of the Department shall be paid to and may be received, levied and recovered by the Commission;</w:t>
      </w:r>
    </w:p>
    <w:p>
      <w:pPr>
        <w:pStyle w:val="Indenta"/>
        <w:rPr>
          <w:snapToGrid w:val="0"/>
        </w:rPr>
      </w:pPr>
      <w:r>
        <w:rPr>
          <w:snapToGrid w:val="0"/>
        </w:rPr>
        <w:tab/>
        <w:t>(f)</w:t>
      </w:r>
      <w:r>
        <w:rPr>
          <w:snapToGrid w:val="0"/>
        </w:rPr>
        <w:tab/>
        <w:t>all contracts made by the Department or by any Minister of the Crown on behalf of the Department shall have effect as contracts by and with the Commission and may be enforced by and against the Commission accordingly;</w:t>
      </w:r>
    </w:p>
    <w:p>
      <w:pPr>
        <w:pStyle w:val="Indenta"/>
        <w:rPr>
          <w:snapToGrid w:val="0"/>
        </w:rPr>
      </w:pPr>
      <w:r>
        <w:rPr>
          <w:snapToGrid w:val="0"/>
        </w:rPr>
        <w:tab/>
        <w:t>(g)</w:t>
      </w:r>
      <w:r>
        <w:rPr>
          <w:snapToGrid w:val="0"/>
        </w:rPr>
        <w:tab/>
        <w:t>such books, documents, records and papers used by or on behalf of the Department as the Minister determines shall be handed over to the Commission.</w:t>
      </w:r>
    </w:p>
    <w:p>
      <w:pPr>
        <w:pStyle w:val="Subsection"/>
        <w:rPr>
          <w:snapToGrid w:val="0"/>
        </w:rPr>
      </w:pPr>
      <w:r>
        <w:rPr>
          <w:snapToGrid w:val="0"/>
        </w:rPr>
        <w:tab/>
        <w:t>(2)</w:t>
      </w:r>
      <w:r>
        <w:rPr>
          <w:snapToGrid w:val="0"/>
        </w:rPr>
        <w:tab/>
        <w:t>Not later than one month after the coming into operation of this section the Commission and the Minister for Works shall agree upon the terms and conditions on which the Commission shall — </w:t>
      </w:r>
    </w:p>
    <w:p>
      <w:pPr>
        <w:pStyle w:val="Indenta"/>
        <w:rPr>
          <w:snapToGrid w:val="0"/>
        </w:rPr>
      </w:pPr>
      <w:r>
        <w:rPr>
          <w:snapToGrid w:val="0"/>
        </w:rPr>
        <w:tab/>
        <w:t>(a)</w:t>
      </w:r>
      <w:r>
        <w:rPr>
          <w:snapToGrid w:val="0"/>
        </w:rPr>
        <w:tab/>
        <w:t>occupy the premises referred to in subsection (1)(b); and</w:t>
      </w:r>
    </w:p>
    <w:p>
      <w:pPr>
        <w:pStyle w:val="Indenta"/>
        <w:rPr>
          <w:snapToGrid w:val="0"/>
        </w:rPr>
      </w:pPr>
      <w:r>
        <w:rPr>
          <w:snapToGrid w:val="0"/>
        </w:rPr>
        <w:tab/>
        <w:t>(b)</w:t>
      </w:r>
      <w:r>
        <w:rPr>
          <w:snapToGrid w:val="0"/>
        </w:rPr>
        <w:tab/>
        <w:t>take an assignment of the assets referred to in subsection (1)(c),</w:t>
      </w:r>
    </w:p>
    <w:p>
      <w:pPr>
        <w:pStyle w:val="Subsection"/>
        <w:rPr>
          <w:snapToGrid w:val="0"/>
        </w:rPr>
      </w:pPr>
      <w:r>
        <w:rPr>
          <w:snapToGrid w:val="0"/>
        </w:rPr>
        <w:tab/>
      </w:r>
      <w:r>
        <w:rPr>
          <w:snapToGrid w:val="0"/>
        </w:rPr>
        <w:tab/>
        <w:t>and in default of agreement the terms and conditions of occupancy and assignment shall be as the Minister for Works determines.</w:t>
      </w:r>
    </w:p>
    <w:p>
      <w:pPr>
        <w:pStyle w:val="Heading5"/>
        <w:rPr>
          <w:snapToGrid w:val="0"/>
        </w:rPr>
      </w:pPr>
      <w:bookmarkStart w:id="253" w:name="_Toc517767665"/>
      <w:bookmarkStart w:id="254" w:name="_Toc54688892"/>
      <w:bookmarkStart w:id="255" w:name="_Toc54689350"/>
      <w:bookmarkStart w:id="256" w:name="_Toc54689443"/>
      <w:bookmarkStart w:id="257" w:name="_Toc54689690"/>
      <w:bookmarkStart w:id="258" w:name="_Toc158008452"/>
      <w:r>
        <w:rPr>
          <w:rStyle w:val="CharSectno"/>
        </w:rPr>
        <w:t>32</w:t>
      </w:r>
      <w:r>
        <w:rPr>
          <w:snapToGrid w:val="0"/>
        </w:rPr>
        <w:t>.</w:t>
      </w:r>
      <w:r>
        <w:rPr>
          <w:snapToGrid w:val="0"/>
        </w:rPr>
        <w:tab/>
        <w:t>References to Department of Tourism in other laws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 reference in any Act or regulation to the Department shall, unless the context otherwise requires, be read and construed as a reference to the Commission.</w:t>
      </w:r>
    </w:p>
    <w:p>
      <w:pPr>
        <w:pStyle w:val="Subsection"/>
        <w:rPr>
          <w:snapToGrid w:val="0"/>
        </w:rPr>
      </w:pPr>
      <w:r>
        <w:rPr>
          <w:snapToGrid w:val="0"/>
        </w:rPr>
        <w:tab/>
        <w:t>(2)</w:t>
      </w:r>
      <w:r>
        <w:rPr>
          <w:snapToGrid w:val="0"/>
        </w:rPr>
        <w:tab/>
        <w:t>A reference in any Act or regulation to the Director of Tourism or the Permanent Head of the Department shall, unless the context otherwise requires, be read and construed as a reference to the chairman.</w:t>
      </w:r>
    </w:p>
    <w:p>
      <w:pPr>
        <w:pStyle w:val="Heading5"/>
        <w:rPr>
          <w:snapToGrid w:val="0"/>
        </w:rPr>
      </w:pPr>
      <w:bookmarkStart w:id="259" w:name="_Toc517767666"/>
      <w:bookmarkStart w:id="260" w:name="_Toc54688893"/>
      <w:bookmarkStart w:id="261" w:name="_Toc54689351"/>
      <w:bookmarkStart w:id="262" w:name="_Toc54689444"/>
      <w:bookmarkStart w:id="263" w:name="_Toc54689691"/>
      <w:bookmarkStart w:id="264" w:name="_Toc158008453"/>
      <w:r>
        <w:rPr>
          <w:rStyle w:val="CharSectno"/>
        </w:rPr>
        <w:t>33</w:t>
      </w:r>
      <w:r>
        <w:rPr>
          <w:snapToGrid w:val="0"/>
        </w:rPr>
        <w:t>.</w:t>
      </w:r>
      <w:r>
        <w:rPr>
          <w:snapToGrid w:val="0"/>
        </w:rPr>
        <w:tab/>
        <w:t>Repeal</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 xml:space="preserve">The </w:t>
      </w:r>
      <w:r>
        <w:rPr>
          <w:i/>
          <w:snapToGrid w:val="0"/>
        </w:rPr>
        <w:t>Tourist Act 1973</w:t>
      </w:r>
      <w:r>
        <w:rPr>
          <w:i/>
          <w:snapToGrid w:val="0"/>
        </w:rPr>
        <w:noBreakHyphen/>
        <w:t>1981</w:t>
      </w:r>
      <w:r>
        <w:rPr>
          <w:snapToGrid w:val="0"/>
        </w:rPr>
        <w:t xml:space="preserve"> is hereby repealed.</w:t>
      </w:r>
    </w:p>
    <w:p>
      <w:pPr>
        <w:pStyle w:val="Ednotesection"/>
      </w:pPr>
      <w:r>
        <w:t>[</w:t>
      </w:r>
      <w:r>
        <w:rPr>
          <w:b/>
        </w:rPr>
        <w:t>34.</w:t>
      </w:r>
      <w:r>
        <w:tab/>
        <w:t>Deleted by No. 55 of 2003 s. 6.]</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65" w:name="_Toc156818665"/>
      <w:bookmarkStart w:id="266" w:name="_Toc156819622"/>
      <w:bookmarkStart w:id="267" w:name="_Toc158007658"/>
      <w:bookmarkStart w:id="268" w:name="_Toc158008454"/>
      <w:r>
        <w:t>Notes</w:t>
      </w:r>
      <w:bookmarkEnd w:id="265"/>
      <w:bookmarkEnd w:id="266"/>
      <w:bookmarkEnd w:id="267"/>
      <w:bookmarkEnd w:id="268"/>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Tourism Commission Act 1983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269" w:name="_Toc54688894"/>
      <w:bookmarkStart w:id="270" w:name="_Toc54689352"/>
      <w:bookmarkStart w:id="271" w:name="_Toc54689445"/>
      <w:bookmarkStart w:id="272" w:name="_Toc54689692"/>
      <w:bookmarkStart w:id="273" w:name="_Toc158008455"/>
      <w:r>
        <w:t>Compilation table</w:t>
      </w:r>
      <w:bookmarkEnd w:id="269"/>
      <w:bookmarkEnd w:id="270"/>
      <w:bookmarkEnd w:id="271"/>
      <w:bookmarkEnd w:id="272"/>
      <w:bookmarkEnd w:id="27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spacing w:before="120" w:after="60"/>
              <w:ind w:right="170"/>
              <w:rPr>
                <w:b/>
                <w:sz w:val="19"/>
              </w:rPr>
            </w:pPr>
            <w:r>
              <w:rPr>
                <w:b/>
                <w:sz w:val="19"/>
              </w:rPr>
              <w:t>Short title</w:t>
            </w:r>
          </w:p>
        </w:tc>
        <w:tc>
          <w:tcPr>
            <w:tcW w:w="1134" w:type="dxa"/>
            <w:tcBorders>
              <w:top w:val="single" w:sz="4" w:space="0" w:color="auto"/>
              <w:bottom w:val="single" w:sz="4" w:space="0" w:color="auto"/>
            </w:tcBorders>
          </w:tcPr>
          <w:p>
            <w:pPr>
              <w:pStyle w:val="nTable"/>
              <w:spacing w:before="120" w:after="60"/>
              <w:rPr>
                <w:b/>
                <w:sz w:val="19"/>
              </w:rPr>
            </w:pPr>
            <w:r>
              <w:rPr>
                <w:b/>
                <w:sz w:val="19"/>
              </w:rPr>
              <w:t>Number and year</w:t>
            </w:r>
          </w:p>
        </w:tc>
        <w:tc>
          <w:tcPr>
            <w:tcW w:w="1134" w:type="dxa"/>
            <w:tcBorders>
              <w:top w:val="single" w:sz="4" w:space="0" w:color="auto"/>
              <w:bottom w:val="single" w:sz="4" w:space="0" w:color="auto"/>
            </w:tcBorders>
          </w:tcPr>
          <w:p>
            <w:pPr>
              <w:pStyle w:val="nTable"/>
              <w:spacing w:before="120" w:after="60"/>
              <w:rPr>
                <w:b/>
                <w:sz w:val="19"/>
              </w:rPr>
            </w:pPr>
            <w:r>
              <w:rPr>
                <w:b/>
                <w:sz w:val="19"/>
              </w:rPr>
              <w:t>Assent</w:t>
            </w:r>
          </w:p>
        </w:tc>
        <w:tc>
          <w:tcPr>
            <w:tcW w:w="2552" w:type="dxa"/>
            <w:tcBorders>
              <w:top w:val="single" w:sz="4" w:space="0" w:color="auto"/>
              <w:bottom w:val="single" w:sz="4" w:space="0" w:color="auto"/>
            </w:tcBorders>
          </w:tcPr>
          <w:p>
            <w:pPr>
              <w:pStyle w:val="nTable"/>
              <w:spacing w:before="120" w:after="60"/>
              <w:rPr>
                <w:b/>
                <w:sz w:val="19"/>
              </w:rPr>
            </w:pPr>
            <w:r>
              <w:rPr>
                <w:b/>
                <w:sz w:val="19"/>
              </w:rPr>
              <w:t>Commencement</w:t>
            </w:r>
          </w:p>
        </w:tc>
      </w:tr>
      <w:tr>
        <w:trPr>
          <w:cantSplit/>
        </w:trPr>
        <w:tc>
          <w:tcPr>
            <w:tcW w:w="2268" w:type="dxa"/>
          </w:tcPr>
          <w:p>
            <w:pPr>
              <w:pStyle w:val="nTable"/>
              <w:spacing w:before="120"/>
              <w:ind w:right="170"/>
              <w:rPr>
                <w:sz w:val="19"/>
              </w:rPr>
            </w:pPr>
            <w:r>
              <w:rPr>
                <w:i/>
                <w:sz w:val="19"/>
              </w:rPr>
              <w:t>Western Australian Tourism Commission Act 1983</w:t>
            </w:r>
          </w:p>
        </w:tc>
        <w:tc>
          <w:tcPr>
            <w:tcW w:w="1134" w:type="dxa"/>
          </w:tcPr>
          <w:p>
            <w:pPr>
              <w:pStyle w:val="nTable"/>
              <w:spacing w:before="120"/>
              <w:rPr>
                <w:sz w:val="19"/>
              </w:rPr>
            </w:pPr>
            <w:r>
              <w:rPr>
                <w:sz w:val="19"/>
              </w:rPr>
              <w:t>57 of 1983</w:t>
            </w:r>
          </w:p>
        </w:tc>
        <w:tc>
          <w:tcPr>
            <w:tcW w:w="1134" w:type="dxa"/>
          </w:tcPr>
          <w:p>
            <w:pPr>
              <w:pStyle w:val="nTable"/>
              <w:spacing w:before="120"/>
              <w:rPr>
                <w:sz w:val="19"/>
              </w:rPr>
            </w:pPr>
            <w:r>
              <w:rPr>
                <w:sz w:val="19"/>
              </w:rPr>
              <w:t>13 Dec 1983</w:t>
            </w:r>
          </w:p>
        </w:tc>
        <w:tc>
          <w:tcPr>
            <w:tcW w:w="2552" w:type="dxa"/>
          </w:tcPr>
          <w:p>
            <w:pPr>
              <w:pStyle w:val="nTable"/>
              <w:spacing w:before="120"/>
              <w:rPr>
                <w:sz w:val="19"/>
              </w:rPr>
            </w:pPr>
            <w:r>
              <w:rPr>
                <w:sz w:val="19"/>
              </w:rPr>
              <w:t xml:space="preserve">1 Jan 1984 (see s. 2 and </w:t>
            </w:r>
            <w:r>
              <w:rPr>
                <w:i/>
                <w:sz w:val="19"/>
              </w:rPr>
              <w:t>Gazette</w:t>
            </w:r>
            <w:r>
              <w:rPr>
                <w:sz w:val="19"/>
              </w:rPr>
              <w:t xml:space="preserve"> 30 Dec 1983 p. 5017)</w:t>
            </w:r>
          </w:p>
        </w:tc>
      </w:tr>
      <w:tr>
        <w:trPr>
          <w:cantSplit/>
        </w:trPr>
        <w:tc>
          <w:tcPr>
            <w:tcW w:w="2268" w:type="dxa"/>
          </w:tcPr>
          <w:p>
            <w:pPr>
              <w:pStyle w:val="nTable"/>
              <w:spacing w:before="120"/>
              <w:ind w:right="170"/>
              <w:rPr>
                <w:sz w:val="19"/>
              </w:rPr>
            </w:pPr>
            <w:r>
              <w:rPr>
                <w:i/>
                <w:sz w:val="19"/>
              </w:rPr>
              <w:t xml:space="preserve">Acts Amendment (Financial Administration and Audit) Act 1985 </w:t>
            </w:r>
            <w:r>
              <w:rPr>
                <w:sz w:val="19"/>
              </w:rPr>
              <w:t>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70"/>
              <w:rPr>
                <w:sz w:val="19"/>
              </w:rPr>
            </w:pPr>
            <w:r>
              <w:rPr>
                <w:i/>
                <w:sz w:val="19"/>
              </w:rPr>
              <w:t>Acts Amendment (Public Service) Act </w:t>
            </w:r>
            <w:r>
              <w:rPr>
                <w:sz w:val="19"/>
              </w:rPr>
              <w:t>1987 s. 32</w:t>
            </w:r>
          </w:p>
        </w:tc>
        <w:tc>
          <w:tcPr>
            <w:tcW w:w="1134" w:type="dxa"/>
          </w:tcPr>
          <w:p>
            <w:pPr>
              <w:pStyle w:val="nTable"/>
              <w:spacing w:before="120"/>
              <w:rPr>
                <w:sz w:val="19"/>
              </w:rPr>
            </w:pPr>
            <w:r>
              <w:rPr>
                <w:sz w:val="19"/>
              </w:rPr>
              <w:t>113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120"/>
              <w:ind w:right="170"/>
              <w:rPr>
                <w:sz w:val="19"/>
              </w:rPr>
            </w:pPr>
            <w:r>
              <w:rPr>
                <w:i/>
                <w:sz w:val="19"/>
              </w:rPr>
              <w:t>Financial Administration Legislation Amendment Act 1993</w:t>
            </w:r>
            <w:r>
              <w:rPr>
                <w:sz w:val="19"/>
              </w:rPr>
              <w:t xml:space="preserve"> Pt. 4</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1 Jul 1993 (see s. 2(1))</w:t>
            </w:r>
          </w:p>
        </w:tc>
      </w:tr>
      <w:tr>
        <w:trPr>
          <w:cantSplit/>
        </w:trPr>
        <w:tc>
          <w:tcPr>
            <w:tcW w:w="2268" w:type="dxa"/>
          </w:tcPr>
          <w:p>
            <w:pPr>
              <w:pStyle w:val="nTable"/>
              <w:spacing w:before="120"/>
              <w:ind w:right="170"/>
              <w:rPr>
                <w:sz w:val="19"/>
              </w:rPr>
            </w:pPr>
            <w:r>
              <w:rPr>
                <w:i/>
                <w:sz w:val="19"/>
              </w:rPr>
              <w:t>Western Australian Tourism Commission Amendment Act 1993</w:t>
            </w:r>
          </w:p>
        </w:tc>
        <w:tc>
          <w:tcPr>
            <w:tcW w:w="1134" w:type="dxa"/>
          </w:tcPr>
          <w:p>
            <w:pPr>
              <w:pStyle w:val="nTable"/>
              <w:spacing w:before="120"/>
              <w:rPr>
                <w:sz w:val="19"/>
              </w:rPr>
            </w:pPr>
            <w:r>
              <w:rPr>
                <w:sz w:val="19"/>
              </w:rPr>
              <w:t>44 of 1993</w:t>
            </w:r>
          </w:p>
        </w:tc>
        <w:tc>
          <w:tcPr>
            <w:tcW w:w="1134" w:type="dxa"/>
          </w:tcPr>
          <w:p>
            <w:pPr>
              <w:pStyle w:val="nTable"/>
              <w:spacing w:before="120"/>
              <w:rPr>
                <w:sz w:val="19"/>
              </w:rPr>
            </w:pPr>
            <w:r>
              <w:rPr>
                <w:sz w:val="19"/>
              </w:rPr>
              <w:t>20 Dec 1993</w:t>
            </w:r>
          </w:p>
        </w:tc>
        <w:tc>
          <w:tcPr>
            <w:tcW w:w="2552" w:type="dxa"/>
          </w:tcPr>
          <w:p>
            <w:pPr>
              <w:pStyle w:val="nTable"/>
              <w:spacing w:before="120"/>
              <w:rPr>
                <w:sz w:val="19"/>
              </w:rPr>
            </w:pPr>
            <w:r>
              <w:rPr>
                <w:sz w:val="19"/>
              </w:rPr>
              <w:t>20 Dec 1993 (see s. 2)</w:t>
            </w:r>
          </w:p>
        </w:tc>
      </w:tr>
      <w:tr>
        <w:trPr>
          <w:cantSplit/>
        </w:trPr>
        <w:tc>
          <w:tcPr>
            <w:tcW w:w="2268" w:type="dxa"/>
          </w:tcPr>
          <w:p>
            <w:pPr>
              <w:pStyle w:val="nTable"/>
              <w:spacing w:before="120"/>
              <w:ind w:right="170"/>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Sept 1994 p. 4948)</w:t>
            </w:r>
          </w:p>
        </w:tc>
      </w:tr>
      <w:tr>
        <w:trPr>
          <w:cantSplit/>
        </w:trPr>
        <w:tc>
          <w:tcPr>
            <w:tcW w:w="2268" w:type="dxa"/>
          </w:tcPr>
          <w:p>
            <w:pPr>
              <w:pStyle w:val="nTable"/>
              <w:keepNext/>
              <w:spacing w:before="120"/>
              <w:ind w:right="170"/>
              <w:rPr>
                <w:sz w:val="19"/>
              </w:rPr>
            </w:pPr>
            <w:r>
              <w:rPr>
                <w:i/>
                <w:sz w:val="19"/>
              </w:rPr>
              <w:t>Western Australian Tourism Commission Amendment Act 1994</w:t>
            </w:r>
          </w:p>
        </w:tc>
        <w:tc>
          <w:tcPr>
            <w:tcW w:w="1134" w:type="dxa"/>
          </w:tcPr>
          <w:p>
            <w:pPr>
              <w:pStyle w:val="nTable"/>
              <w:keepNext/>
              <w:spacing w:before="120"/>
              <w:rPr>
                <w:sz w:val="19"/>
              </w:rPr>
            </w:pPr>
            <w:r>
              <w:rPr>
                <w:sz w:val="19"/>
              </w:rPr>
              <w:t>68 of 1994</w:t>
            </w:r>
          </w:p>
        </w:tc>
        <w:tc>
          <w:tcPr>
            <w:tcW w:w="1134" w:type="dxa"/>
          </w:tcPr>
          <w:p>
            <w:pPr>
              <w:pStyle w:val="nTable"/>
              <w:keepNext/>
              <w:spacing w:before="120"/>
              <w:rPr>
                <w:sz w:val="19"/>
              </w:rPr>
            </w:pPr>
            <w:r>
              <w:rPr>
                <w:sz w:val="19"/>
              </w:rPr>
              <w:t>9 Dec 1994</w:t>
            </w:r>
          </w:p>
        </w:tc>
        <w:tc>
          <w:tcPr>
            <w:tcW w:w="2552" w:type="dxa"/>
          </w:tcPr>
          <w:p>
            <w:pPr>
              <w:pStyle w:val="nTable"/>
              <w:keepNext/>
              <w:spacing w:before="120"/>
              <w:rPr>
                <w:sz w:val="19"/>
              </w:rPr>
            </w:pPr>
            <w:r>
              <w:rPr>
                <w:sz w:val="19"/>
              </w:rPr>
              <w:t xml:space="preserve">31 Dec 1994 (see s. 2 and </w:t>
            </w:r>
            <w:r>
              <w:rPr>
                <w:i/>
                <w:sz w:val="19"/>
              </w:rPr>
              <w:t>Gazette</w:t>
            </w:r>
            <w:r>
              <w:rPr>
                <w:sz w:val="19"/>
              </w:rPr>
              <w:t xml:space="preserve"> 30 Dec 1994 p. 7215)</w:t>
            </w:r>
          </w:p>
        </w:tc>
      </w:tr>
      <w:tr>
        <w:trPr>
          <w:cantSplit/>
        </w:trPr>
        <w:tc>
          <w:tcPr>
            <w:tcW w:w="2268" w:type="dxa"/>
          </w:tcPr>
          <w:p>
            <w:pPr>
              <w:pStyle w:val="nTable"/>
              <w:spacing w:before="120"/>
              <w:ind w:right="170"/>
              <w:rPr>
                <w:sz w:val="19"/>
              </w:rPr>
            </w:pPr>
            <w:r>
              <w:rPr>
                <w:i/>
                <w:sz w:val="19"/>
              </w:rPr>
              <w:t>Statutes (Repeals and Minor Amendments) Act 1994</w:t>
            </w:r>
            <w:r>
              <w:rPr>
                <w:sz w:val="19"/>
              </w:rPr>
              <w:t xml:space="preserve"> 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December 1994</w:t>
            </w:r>
          </w:p>
        </w:tc>
      </w:tr>
      <w:tr>
        <w:trPr>
          <w:cantSplit/>
        </w:trPr>
        <w:tc>
          <w:tcPr>
            <w:tcW w:w="2268" w:type="dxa"/>
          </w:tcPr>
          <w:p>
            <w:pPr>
              <w:pStyle w:val="nTable"/>
              <w:spacing w:before="120"/>
              <w:ind w:right="170"/>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70"/>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70"/>
              <w:rPr>
                <w:i/>
                <w:sz w:val="19"/>
              </w:rPr>
            </w:pPr>
            <w:r>
              <w:rPr>
                <w:i/>
                <w:sz w:val="19"/>
              </w:rPr>
              <w:t>Western Australian Tourism Commission Amendment Act 2003</w:t>
            </w:r>
          </w:p>
        </w:tc>
        <w:tc>
          <w:tcPr>
            <w:tcW w:w="1134" w:type="dxa"/>
          </w:tcPr>
          <w:p>
            <w:pPr>
              <w:pStyle w:val="nTable"/>
              <w:spacing w:before="120"/>
              <w:rPr>
                <w:sz w:val="19"/>
              </w:rPr>
            </w:pPr>
            <w:r>
              <w:rPr>
                <w:sz w:val="19"/>
              </w:rPr>
              <w:t>55 of 2003</w:t>
            </w:r>
          </w:p>
        </w:tc>
        <w:tc>
          <w:tcPr>
            <w:tcW w:w="1134" w:type="dxa"/>
          </w:tcPr>
          <w:p>
            <w:pPr>
              <w:pStyle w:val="nTable"/>
              <w:spacing w:before="120"/>
              <w:rPr>
                <w:sz w:val="19"/>
              </w:rPr>
            </w:pPr>
            <w:r>
              <w:rPr>
                <w:sz w:val="19"/>
              </w:rPr>
              <w:t>22 Oct 2003</w:t>
            </w:r>
          </w:p>
        </w:tc>
        <w:tc>
          <w:tcPr>
            <w:tcW w:w="2552" w:type="dxa"/>
          </w:tcPr>
          <w:p>
            <w:pPr>
              <w:pStyle w:val="nTable"/>
              <w:spacing w:before="120"/>
              <w:rPr>
                <w:sz w:val="19"/>
              </w:rPr>
            </w:pPr>
            <w:r>
              <w:rPr>
                <w:sz w:val="19"/>
              </w:rPr>
              <w:t>22 Oct 2003 (see s. 2)</w:t>
            </w:r>
          </w:p>
        </w:tc>
      </w:tr>
      <w:tr>
        <w:trPr>
          <w:cantSplit/>
        </w:trPr>
        <w:tc>
          <w:tcPr>
            <w:tcW w:w="2268" w:type="dxa"/>
            <w:tcBorders>
              <w:bottom w:val="single" w:sz="4" w:space="0" w:color="auto"/>
            </w:tcBorders>
          </w:tcPr>
          <w:p>
            <w:pPr>
              <w:pStyle w:val="nTable"/>
              <w:spacing w:before="120"/>
              <w:ind w:right="170"/>
              <w:rPr>
                <w:i/>
                <w:sz w:val="19"/>
              </w:rPr>
            </w:pPr>
            <w:r>
              <w:rPr>
                <w:i/>
                <w:snapToGrid w:val="0"/>
                <w:sz w:val="19"/>
              </w:rPr>
              <w:t xml:space="preserve">Financial Legislation Amendment and Repeal Act 2006 </w:t>
            </w:r>
            <w:r>
              <w:rPr>
                <w:snapToGrid w:val="0"/>
                <w:sz w:val="19"/>
              </w:rPr>
              <w:t>s. 4 and 17</w:t>
            </w:r>
          </w:p>
        </w:tc>
        <w:tc>
          <w:tcPr>
            <w:tcW w:w="1134" w:type="dxa"/>
            <w:tcBorders>
              <w:bottom w:val="single" w:sz="4" w:space="0" w:color="auto"/>
            </w:tcBorders>
          </w:tcPr>
          <w:p>
            <w:pPr>
              <w:pStyle w:val="nTable"/>
              <w:spacing w:before="120"/>
              <w:rPr>
                <w:sz w:val="19"/>
              </w:rPr>
            </w:pPr>
            <w:r>
              <w:rPr>
                <w:sz w:val="19"/>
              </w:rPr>
              <w:t>77 of 2006</w:t>
            </w:r>
          </w:p>
        </w:tc>
        <w:tc>
          <w:tcPr>
            <w:tcW w:w="1134" w:type="dxa"/>
            <w:tcBorders>
              <w:bottom w:val="single" w:sz="4" w:space="0" w:color="auto"/>
            </w:tcBorders>
          </w:tcPr>
          <w:p>
            <w:pPr>
              <w:pStyle w:val="nTable"/>
              <w:spacing w:before="120"/>
              <w:rPr>
                <w:sz w:val="19"/>
              </w:rPr>
            </w:pPr>
            <w:r>
              <w:rPr>
                <w:sz w:val="19"/>
              </w:rPr>
              <w:t>21 Dec 2006</w:t>
            </w:r>
          </w:p>
        </w:tc>
        <w:tc>
          <w:tcPr>
            <w:tcW w:w="2552" w:type="dxa"/>
            <w:tcBorders>
              <w:bottom w:val="single" w:sz="4" w:space="0" w:color="auto"/>
            </w:tcBorders>
          </w:tcPr>
          <w:p>
            <w:pPr>
              <w:pStyle w:val="nTable"/>
              <w:spacing w:before="1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keepNext/>
        <w:spacing w:before="200"/>
        <w:rPr>
          <w:snapToGrid w:val="0"/>
        </w:rPr>
      </w:pPr>
      <w:bookmarkStart w:id="274" w:name="UpToHere"/>
      <w:bookmarkEnd w:id="274"/>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275" w:name="_Toc54688895"/>
      <w:bookmarkStart w:id="276" w:name="_Toc54689353"/>
      <w:bookmarkStart w:id="277" w:name="_Toc54689446"/>
      <w:bookmarkStart w:id="278" w:name="_Toc54689693"/>
      <w:bookmarkStart w:id="279" w:name="_Toc158008456"/>
      <w:r>
        <w:t>Provisions that have not come into operation</w:t>
      </w:r>
      <w:bookmarkEnd w:id="275"/>
      <w:bookmarkEnd w:id="276"/>
      <w:bookmarkEnd w:id="277"/>
      <w:bookmarkEnd w:id="278"/>
      <w:bookmarkEnd w:id="27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52"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State Superannuation (Transitional and Consequential Provisions) Act 2000</w:t>
            </w:r>
            <w:r>
              <w:rPr>
                <w:snapToGrid w:val="0"/>
              </w:rPr>
              <w:t xml:space="preserve"> s. 73 </w:t>
            </w:r>
            <w:r>
              <w:rPr>
                <w:snapToGrid w:val="0"/>
                <w:vertAlign w:val="superscript"/>
              </w:rPr>
              <w:t>4</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pPr>
      <w:r>
        <w:rPr>
          <w:vertAlign w:val="superscript"/>
        </w:rPr>
        <w:t>2</w:t>
      </w:r>
      <w:r>
        <w:tab/>
        <w:t xml:space="preserve">Under section 112(1) of the </w:t>
      </w:r>
      <w:r>
        <w:rPr>
          <w:i/>
        </w:rPr>
        <w:t>Public Sector Management Act 1994</w:t>
      </w:r>
      <w:r>
        <w:t xml:space="preserve"> (No. 31 of 1994) references to the </w:t>
      </w:r>
      <w:r>
        <w:rPr>
          <w:i/>
        </w:rPr>
        <w:t>Public Service Act 1978</w:t>
      </w:r>
      <w:r>
        <w:t xml:space="preserve"> may be construed as references to the </w:t>
      </w:r>
      <w:r>
        <w:rPr>
          <w:i/>
        </w:rPr>
        <w:t>Public Sector Management Act 1994</w:t>
      </w:r>
      <w:r>
        <w:t>.</w:t>
      </w:r>
    </w:p>
    <w:p>
      <w:pPr>
        <w:pStyle w:val="nSubsection"/>
      </w:pPr>
      <w:r>
        <w:rPr>
          <w:vertAlign w:val="superscript"/>
        </w:rPr>
        <w:t>3</w:t>
      </w:r>
      <w:r>
        <w:tab/>
        <w:t xml:space="preserve">Under section 112(2) of the </w:t>
      </w:r>
      <w:r>
        <w:rPr>
          <w:i/>
        </w:rPr>
        <w:t>Public Sector Management Act 1994</w:t>
      </w:r>
      <w:r>
        <w:t xml:space="preserve"> (No. 31 of 1994) references to the Public Service Board may be construed as references to the Minister for Public Sector Management.</w:t>
      </w:r>
    </w:p>
    <w:p>
      <w:pPr>
        <w:pStyle w:val="nSubsection"/>
        <w:rPr>
          <w:snapToGrid w:val="0"/>
        </w:rPr>
      </w:pPr>
      <w:r>
        <w:rPr>
          <w:snapToGrid w:val="0"/>
          <w:vertAlign w:val="superscript"/>
        </w:rPr>
        <w:t>4</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73 had not come into operation.  It reads:</w:t>
      </w:r>
    </w:p>
    <w:p>
      <w:pPr>
        <w:pStyle w:val="MiscOpen"/>
      </w:pPr>
      <w:r>
        <w:t>“</w:t>
      </w:r>
    </w:p>
    <w:p>
      <w:pPr>
        <w:pStyle w:val="nzHeading5"/>
      </w:pPr>
      <w:bookmarkStart w:id="280" w:name="_Toc497533392"/>
      <w:r>
        <w:rPr>
          <w:rStyle w:val="CharSectno"/>
        </w:rPr>
        <w:t>73</w:t>
      </w:r>
      <w:r>
        <w:t>.</w:t>
      </w:r>
      <w:r>
        <w:tab/>
      </w:r>
      <w:r>
        <w:rPr>
          <w:i/>
        </w:rPr>
        <w:t>Western Australian Tourism Commission Act 1983</w:t>
      </w:r>
      <w:r>
        <w:t xml:space="preserve"> amended</w:t>
      </w:r>
      <w:bookmarkEnd w:id="280"/>
    </w:p>
    <w:p>
      <w:pPr>
        <w:pStyle w:val="nzSubsection"/>
      </w:pPr>
      <w:r>
        <w:tab/>
      </w:r>
      <w:r>
        <w:tab/>
        <w:t xml:space="preserve">Section 19 of the </w:t>
      </w:r>
      <w:r>
        <w:rPr>
          <w:i/>
        </w:rPr>
        <w:t>Western Australian Tourism Commission Act 1983</w:t>
      </w:r>
      <w:r>
        <w:t xml:space="preserve"> is amended as follows:</w:t>
      </w:r>
    </w:p>
    <w:p>
      <w:pPr>
        <w:pStyle w:val="nzIndenta"/>
      </w:pPr>
      <w:r>
        <w:tab/>
        <w:t>(a)</w:t>
      </w:r>
      <w:r>
        <w:tab/>
        <w:t xml:space="preserve">in subsection (1) by deleting “(including any rights under the </w:t>
      </w:r>
      <w:r>
        <w:rPr>
          <w:i/>
        </w:rPr>
        <w:t>Superannuation and Family Benefits Act 1938</w:t>
      </w:r>
      <w:r>
        <w:t xml:space="preserve">)”; </w:t>
      </w:r>
    </w:p>
    <w:p>
      <w:pPr>
        <w:pStyle w:val="nzIndenta"/>
      </w:pPr>
      <w:r>
        <w:tab/>
        <w:t>(b)</w:t>
      </w:r>
      <w:r>
        <w:tab/>
        <w:t xml:space="preserve">in subsection (2) by deleting “and for the purposes of the </w:t>
      </w:r>
      <w:r>
        <w:rPr>
          <w:i/>
        </w:rPr>
        <w:t>Superannuation and Family Benefits Act 1938</w:t>
      </w:r>
      <w:r>
        <w:t>”;</w:t>
      </w:r>
    </w:p>
    <w:p>
      <w:pPr>
        <w:pStyle w:val="nzIndenta"/>
      </w:pPr>
      <w:r>
        <w:tab/>
        <w:t>(c)</w:t>
      </w:r>
      <w:r>
        <w:tab/>
        <w:t>by repealing subsection (3).</w:t>
      </w:r>
    </w:p>
    <w:p>
      <w:pPr>
        <w:pStyle w:val="MiscClose"/>
      </w:pPr>
      <w:r>
        <w:t>”.</w:t>
      </w: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Tourism Commission Act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Tourism Commission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Tourism Commission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34EC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1484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94C9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4C3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C2C1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9620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0255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B27E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F24CFE"/>
    <w:lvl w:ilvl="0">
      <w:start w:val="1"/>
      <w:numFmt w:val="decimal"/>
      <w:pStyle w:val="ListNumber"/>
      <w:lvlText w:val="%1."/>
      <w:lvlJc w:val="left"/>
      <w:pPr>
        <w:tabs>
          <w:tab w:val="num" w:pos="360"/>
        </w:tabs>
        <w:ind w:left="360" w:hanging="360"/>
      </w:pPr>
    </w:lvl>
  </w:abstractNum>
  <w:abstractNum w:abstractNumId="9">
    <w:nsid w:val="FFFFFF89"/>
    <w:multiLevelType w:val="singleLevel"/>
    <w:tmpl w:val="5B1A59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524F6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2D88BD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6817</Words>
  <Characters>32659</Characters>
  <Application>Microsoft Office Word</Application>
  <DocSecurity>0</DocSecurity>
  <Lines>933</Lines>
  <Paragraphs>533</Paragraphs>
  <ScaleCrop>false</ScaleCrop>
  <HeadingPairs>
    <vt:vector size="2" baseType="variant">
      <vt:variant>
        <vt:lpstr>Title</vt:lpstr>
      </vt:variant>
      <vt:variant>
        <vt:i4>1</vt:i4>
      </vt:variant>
    </vt:vector>
  </HeadingPairs>
  <TitlesOfParts>
    <vt:vector size="1" baseType="lpstr">
      <vt:lpstr>Western Australian Tourism Commission Act 1983</vt:lpstr>
    </vt:vector>
  </TitlesOfParts>
  <Manager/>
  <Company/>
  <LinksUpToDate>false</LinksUpToDate>
  <CharactersWithSpaces>38943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Tourism Commission Act 1983 - 01-c0-07</dc:title>
  <dc:subject/>
  <dc:creator/>
  <cp:keywords/>
  <dc:description/>
  <cp:lastModifiedBy>svcMRProcess</cp:lastModifiedBy>
  <cp:revision>4</cp:revision>
  <cp:lastPrinted>1999-11-08T04:25:00Z</cp:lastPrinted>
  <dcterms:created xsi:type="dcterms:W3CDTF">2018-09-09T09:12:00Z</dcterms:created>
  <dcterms:modified xsi:type="dcterms:W3CDTF">2018-09-09T09:12:00Z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895</vt:i4>
  </property>
  <property fmtid="{D5CDD505-2E9C-101B-9397-08002B2CF9AE}" pid="6" name="AsAtDate">
    <vt:lpwstr>01 Feb 2007</vt:lpwstr>
  </property>
  <property fmtid="{D5CDD505-2E9C-101B-9397-08002B2CF9AE}" pid="7" name="Suffix">
    <vt:lpwstr>01-c0-07</vt:lpwstr>
  </property>
</Properties>
</file>