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_Toc378863541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_Toc378863542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_Toc378863544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_Toc378863545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1" w:name="BillCited"/>
      <w:bookmarkEnd w:id="1"/>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378863522"/>
      <w:bookmarkStart w:id="3" w:name="_Toc378863540"/>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378863541"/>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5" w:name="_Toc378863542"/>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 w:name="_Toc378863525"/>
      <w:bookmarkStart w:id="7" w:name="_Toc378863543"/>
      <w:r>
        <w:t>Notes</w:t>
      </w:r>
      <w:bookmarkEnd w:id="6"/>
      <w:bookmarkEnd w:id="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8" w:name="_Toc378863544"/>
      <w:r>
        <w:rPr>
          <w:snapToGrid w:val="0"/>
        </w:rPr>
        <w:t>Compilation table</w:t>
      </w:r>
      <w:bookmarkEnd w:id="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szCs w:val="19"/>
              </w:rPr>
            </w:pPr>
            <w:r>
              <w:rPr>
                <w:b/>
                <w:sz w:val="19"/>
                <w:szCs w:val="19"/>
              </w:rPr>
              <w:t>Short title</w:t>
            </w:r>
          </w:p>
        </w:tc>
        <w:tc>
          <w:tcPr>
            <w:tcW w:w="1134" w:type="dxa"/>
            <w:tcBorders>
              <w:bottom w:val="single" w:sz="8" w:space="0" w:color="auto"/>
            </w:tcBorders>
          </w:tcPr>
          <w:p>
            <w:pPr>
              <w:pStyle w:val="nTable"/>
              <w:spacing w:after="40"/>
              <w:rPr>
                <w:b/>
                <w:sz w:val="19"/>
                <w:szCs w:val="19"/>
              </w:rPr>
            </w:pPr>
            <w:r>
              <w:rPr>
                <w:b/>
                <w:sz w:val="19"/>
                <w:szCs w:val="19"/>
              </w:rPr>
              <w:t>Number and year</w:t>
            </w:r>
          </w:p>
        </w:tc>
        <w:tc>
          <w:tcPr>
            <w:tcW w:w="1134" w:type="dxa"/>
            <w:tcBorders>
              <w:bottom w:val="single" w:sz="8" w:space="0" w:color="auto"/>
            </w:tcBorders>
          </w:tcPr>
          <w:p>
            <w:pPr>
              <w:pStyle w:val="nTable"/>
              <w:spacing w:after="40"/>
              <w:rPr>
                <w:b/>
                <w:sz w:val="19"/>
                <w:szCs w:val="19"/>
              </w:rPr>
            </w:pPr>
            <w:r>
              <w:rPr>
                <w:b/>
                <w:sz w:val="19"/>
                <w:szCs w:val="19"/>
              </w:rPr>
              <w:t>Assent</w:t>
            </w:r>
          </w:p>
        </w:tc>
        <w:tc>
          <w:tcPr>
            <w:tcW w:w="2552" w:type="dxa"/>
            <w:tcBorders>
              <w:bottom w:val="single" w:sz="8" w:space="0" w:color="auto"/>
            </w:tcBorders>
          </w:tcPr>
          <w:p>
            <w:pPr>
              <w:pStyle w:val="nTable"/>
              <w:spacing w:after="40"/>
              <w:rPr>
                <w:b/>
                <w:sz w:val="19"/>
                <w:szCs w:val="19"/>
              </w:rPr>
            </w:pPr>
            <w:r>
              <w:rPr>
                <w:b/>
                <w:sz w:val="19"/>
                <w:szCs w:val="19"/>
              </w:rPr>
              <w:t>Commencement</w:t>
            </w:r>
          </w:p>
        </w:tc>
      </w:tr>
      <w:tr>
        <w:tc>
          <w:tcPr>
            <w:tcW w:w="2268" w:type="dxa"/>
            <w:tcBorders>
              <w:bottom w:val="single" w:sz="4" w:space="0" w:color="auto"/>
            </w:tcBorders>
          </w:tcPr>
          <w:p>
            <w:pPr>
              <w:pStyle w:val="nTable"/>
              <w:spacing w:after="40"/>
              <w:rPr>
                <w:iCs/>
                <w:sz w:val="19"/>
                <w:szCs w:val="19"/>
              </w:rPr>
            </w:pPr>
            <w:r>
              <w:rPr>
                <w:i/>
                <w:noProof/>
                <w:snapToGrid w:val="0"/>
                <w:sz w:val="19"/>
                <w:szCs w:val="19"/>
              </w:rPr>
              <w:t xml:space="preserve">Road Traffic (Authorisation to Drive) Act 2008 </w:t>
            </w:r>
            <w:r>
              <w:rPr>
                <w:iCs/>
                <w:noProof/>
                <w:snapToGrid w:val="0"/>
                <w:sz w:val="19"/>
                <w:szCs w:val="19"/>
              </w:rPr>
              <w:t>s. 1 and 2</w:t>
            </w:r>
          </w:p>
        </w:tc>
        <w:tc>
          <w:tcPr>
            <w:tcW w:w="1134" w:type="dxa"/>
            <w:tcBorders>
              <w:bottom w:val="single" w:sz="4" w:space="0" w:color="auto"/>
            </w:tcBorders>
          </w:tcPr>
          <w:p>
            <w:pPr>
              <w:pStyle w:val="nTable"/>
              <w:spacing w:after="40"/>
              <w:rPr>
                <w:sz w:val="19"/>
                <w:szCs w:val="19"/>
              </w:rPr>
            </w:pPr>
            <w:r>
              <w:rPr>
                <w:sz w:val="19"/>
                <w:szCs w:val="19"/>
              </w:rPr>
              <w:t>40 of 2008</w:t>
            </w:r>
          </w:p>
        </w:tc>
        <w:tc>
          <w:tcPr>
            <w:tcW w:w="1134" w:type="dxa"/>
            <w:tcBorders>
              <w:bottom w:val="single" w:sz="4" w:space="0" w:color="auto"/>
            </w:tcBorders>
          </w:tcPr>
          <w:p>
            <w:pPr>
              <w:pStyle w:val="nTable"/>
              <w:spacing w:after="40"/>
              <w:rPr>
                <w:sz w:val="19"/>
                <w:szCs w:val="19"/>
              </w:rPr>
            </w:pPr>
            <w:r>
              <w:rPr>
                <w:sz w:val="19"/>
                <w:szCs w:val="19"/>
              </w:rPr>
              <w:t>15 Aug 2008</w:t>
            </w:r>
          </w:p>
        </w:tc>
        <w:tc>
          <w:tcPr>
            <w:tcW w:w="2552" w:type="dxa"/>
            <w:tcBorders>
              <w:bottom w:val="single" w:sz="4" w:space="0" w:color="auto"/>
            </w:tcBorders>
          </w:tcPr>
          <w:p>
            <w:pPr>
              <w:pStyle w:val="nTable"/>
              <w:spacing w:after="40"/>
              <w:rPr>
                <w:sz w:val="19"/>
                <w:szCs w:val="19"/>
              </w:rPr>
            </w:pPr>
            <w:r>
              <w:rPr>
                <w:sz w:val="19"/>
                <w:szCs w:val="19"/>
              </w:rP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 w:name="_Toc378863545"/>
      <w:r>
        <w:t>Provisions that have not come into operation</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sz w:val="19"/>
                <w:szCs w:val="19"/>
                <w:vertAlign w:val="superscript"/>
              </w:rPr>
            </w:pPr>
            <w:r>
              <w:rPr>
                <w:i/>
                <w:noProof/>
                <w:snapToGrid w:val="0"/>
                <w:sz w:val="19"/>
                <w:szCs w:val="19"/>
              </w:rPr>
              <w:t xml:space="preserve">Road Traffic (Authorisation to Drive) Act 2008 </w:t>
            </w:r>
            <w:r>
              <w:rPr>
                <w:iCs/>
                <w:noProof/>
                <w:snapToGrid w:val="0"/>
                <w:sz w:val="19"/>
                <w:szCs w:val="19"/>
              </w:rPr>
              <w:t>s. 3 and Pt. 2</w:t>
            </w:r>
            <w:r>
              <w:rPr>
                <w:iCs/>
                <w:noProof/>
                <w:snapToGrid w:val="0"/>
                <w:sz w:val="19"/>
                <w:szCs w:val="19"/>
              </w:rPr>
              <w:noBreakHyphen/>
              <w:t>6</w:t>
            </w:r>
            <w:r>
              <w:rPr>
                <w:sz w:val="19"/>
                <w:szCs w:val="19"/>
                <w:vertAlign w:val="superscript"/>
              </w:rPr>
              <w:t>2</w:t>
            </w:r>
          </w:p>
        </w:tc>
        <w:tc>
          <w:tcPr>
            <w:tcW w:w="1134" w:type="dxa"/>
            <w:tcBorders>
              <w:top w:val="single" w:sz="8" w:space="0" w:color="auto"/>
            </w:tcBorders>
          </w:tcPr>
          <w:p>
            <w:pPr>
              <w:pStyle w:val="nTable"/>
              <w:spacing w:after="40"/>
              <w:rPr>
                <w:sz w:val="19"/>
                <w:szCs w:val="19"/>
              </w:rPr>
            </w:pPr>
            <w:r>
              <w:rPr>
                <w:sz w:val="19"/>
                <w:szCs w:val="19"/>
              </w:rPr>
              <w:t>40 of 2008 (as amended by No. 51 of 2010 Pt. 4)</w:t>
            </w:r>
          </w:p>
        </w:tc>
        <w:tc>
          <w:tcPr>
            <w:tcW w:w="1134" w:type="dxa"/>
            <w:tcBorders>
              <w:top w:val="single" w:sz="8" w:space="0" w:color="auto"/>
            </w:tcBorders>
          </w:tcPr>
          <w:p>
            <w:pPr>
              <w:pStyle w:val="nTable"/>
              <w:spacing w:after="40"/>
              <w:rPr>
                <w:sz w:val="19"/>
                <w:szCs w:val="19"/>
              </w:rPr>
            </w:pPr>
            <w:r>
              <w:rPr>
                <w:sz w:val="19"/>
                <w:szCs w:val="19"/>
              </w:rPr>
              <w:t>15 Aug 2008</w:t>
            </w:r>
          </w:p>
        </w:tc>
        <w:tc>
          <w:tcPr>
            <w:tcW w:w="2552" w:type="dxa"/>
            <w:tcBorders>
              <w:top w:val="single" w:sz="8" w:space="0" w:color="auto"/>
            </w:tcBorders>
          </w:tcPr>
          <w:p>
            <w:pPr>
              <w:pStyle w:val="nTable"/>
              <w:spacing w:after="40"/>
              <w:rPr>
                <w:sz w:val="19"/>
                <w:szCs w:val="19"/>
              </w:rPr>
            </w:pPr>
            <w:r>
              <w:rPr>
                <w:sz w:val="19"/>
                <w:szCs w:val="19"/>
              </w:rPr>
              <w:t xml:space="preserve">Operative on commencement of the </w:t>
            </w:r>
            <w:r>
              <w:rPr>
                <w:i/>
                <w:iCs/>
                <w:sz w:val="19"/>
                <w:szCs w:val="19"/>
              </w:rPr>
              <w:t>Road Traffic (Administration) Act 2008</w:t>
            </w:r>
            <w:r>
              <w:rPr>
                <w:sz w:val="19"/>
                <w:szCs w:val="19"/>
              </w:rPr>
              <w:t xml:space="preserve"> (see s. 2(b))</w:t>
            </w:r>
          </w:p>
        </w:tc>
      </w:tr>
      <w:tr>
        <w:trPr>
          <w:cantSplit/>
        </w:trPr>
        <w:tc>
          <w:tcPr>
            <w:tcW w:w="2268" w:type="dxa"/>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Pt. 4</w:t>
            </w:r>
            <w:r>
              <w:rPr>
                <w:snapToGrid w:val="0"/>
                <w:sz w:val="19"/>
                <w:szCs w:val="19"/>
                <w:vertAlign w:val="superscript"/>
              </w:rPr>
              <w:t> 4</w:t>
            </w:r>
          </w:p>
        </w:tc>
        <w:tc>
          <w:tcPr>
            <w:tcW w:w="1134" w:type="dxa"/>
          </w:tcPr>
          <w:p>
            <w:pPr>
              <w:pStyle w:val="nTable"/>
              <w:spacing w:after="40"/>
              <w:rPr>
                <w:snapToGrid w:val="0"/>
                <w:sz w:val="19"/>
                <w:szCs w:val="19"/>
              </w:rPr>
            </w:pPr>
            <w:r>
              <w:rPr>
                <w:snapToGrid w:val="0"/>
                <w:sz w:val="19"/>
                <w:szCs w:val="19"/>
              </w:rPr>
              <w:t>18 of 2011</w:t>
            </w:r>
          </w:p>
        </w:tc>
        <w:tc>
          <w:tcPr>
            <w:tcW w:w="1134" w:type="dxa"/>
          </w:tcPr>
          <w:p>
            <w:pPr>
              <w:pStyle w:val="nTable"/>
              <w:spacing w:after="40"/>
              <w:rPr>
                <w:snapToGrid w:val="0"/>
                <w:sz w:val="19"/>
                <w:szCs w:val="19"/>
              </w:rPr>
            </w:pPr>
            <w:r>
              <w:rPr>
                <w:snapToGrid w:val="0"/>
                <w:sz w:val="19"/>
                <w:szCs w:val="19"/>
              </w:rPr>
              <w:t>2 Jun 2011</w:t>
            </w:r>
          </w:p>
        </w:tc>
        <w:tc>
          <w:tcPr>
            <w:tcW w:w="2552" w:type="dxa"/>
          </w:tcPr>
          <w:p>
            <w:pPr>
              <w:pStyle w:val="nTable"/>
              <w:spacing w:after="40"/>
              <w:rPr>
                <w:snapToGrid w:val="0"/>
                <w:sz w:val="19"/>
                <w:szCs w:val="19"/>
              </w:rPr>
            </w:pPr>
            <w:r>
              <w:rPr>
                <w:snapToGrid w:val="0"/>
                <w:sz w:val="19"/>
                <w:szCs w:val="19"/>
              </w:rPr>
              <w:t xml:space="preserve">Pt. 4 (other than s. 25): operative on commencement of the </w:t>
            </w:r>
            <w:r>
              <w:rPr>
                <w:i/>
                <w:snapToGrid w:val="0"/>
                <w:sz w:val="19"/>
                <w:szCs w:val="19"/>
              </w:rPr>
              <w:t>Road Traffic (Administration) Act 2008</w:t>
            </w:r>
            <w:r>
              <w:rPr>
                <w:snapToGrid w:val="0"/>
                <w:sz w:val="19"/>
                <w:szCs w:val="19"/>
              </w:rPr>
              <w:t xml:space="preserve"> other than s. 1 and 2 (see s. 2(b) and </w:t>
            </w:r>
            <w:r>
              <w:rPr>
                <w:i/>
                <w:snapToGrid w:val="0"/>
                <w:sz w:val="19"/>
                <w:szCs w:val="19"/>
              </w:rPr>
              <w:t>Gazette</w:t>
            </w:r>
            <w:r>
              <w:rPr>
                <w:snapToGrid w:val="0"/>
                <w:sz w:val="19"/>
                <w:szCs w:val="19"/>
              </w:rPr>
              <w:t xml:space="preserve"> 29 Jun 2011 p. 2611);</w:t>
            </w:r>
            <w:r>
              <w:rPr>
                <w:snapToGrid w:val="0"/>
                <w:sz w:val="19"/>
                <w:szCs w:val="19"/>
              </w:rPr>
              <w:br/>
              <w:t xml:space="preserve">s. 25: 14 Jan 2013 (see s. 2(b) and </w:t>
            </w:r>
            <w:r>
              <w:rPr>
                <w:i/>
                <w:snapToGrid w:val="0"/>
                <w:sz w:val="19"/>
                <w:szCs w:val="19"/>
              </w:rPr>
              <w:t>Gazette</w:t>
            </w:r>
            <w:r>
              <w:rPr>
                <w:snapToGrid w:val="0"/>
                <w:sz w:val="19"/>
                <w:szCs w:val="19"/>
              </w:rPr>
              <w:t xml:space="preserve"> 4 Jan 2013 p. 3)</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6</w:t>
            </w:r>
            <w:r>
              <w:rPr>
                <w:snapToGrid w:val="0"/>
                <w:sz w:val="19"/>
                <w:szCs w:val="19"/>
                <w:vertAlign w:val="superscript"/>
              </w:rPr>
              <w:t> 5</w:t>
            </w:r>
          </w:p>
        </w:tc>
        <w:tc>
          <w:tcPr>
            <w:tcW w:w="1134" w:type="dxa"/>
            <w:tcBorders>
              <w:bottom w:val="single" w:sz="4" w:space="0" w:color="auto"/>
            </w:tcBorders>
          </w:tcPr>
          <w:p>
            <w:pPr>
              <w:pStyle w:val="nTable"/>
              <w:spacing w:after="40"/>
              <w:rPr>
                <w:snapToGrid w:val="0"/>
                <w:sz w:val="19"/>
                <w:szCs w:val="19"/>
              </w:rPr>
            </w:pPr>
            <w:r>
              <w:rPr>
                <w:snapToGrid w:val="0"/>
                <w:sz w:val="19"/>
                <w:szCs w:val="19"/>
              </w:rPr>
              <w:t>8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21 May 2012</w:t>
            </w:r>
          </w:p>
        </w:tc>
        <w:tc>
          <w:tcPr>
            <w:tcW w:w="2552" w:type="dxa"/>
            <w:tcBorders>
              <w:bottom w:val="single" w:sz="4"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2(f))</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10" w:name="PartIVADiv3"/>
      <w:bookmarkEnd w:id="10"/>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1" w:name="ExchInformation"/>
      <w:bookmarkEnd w:id="11"/>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rPr>
          <w:snapToGrid w:val="0"/>
        </w:rPr>
      </w:pPr>
    </w:p>
    <w:p>
      <w:pPr>
        <w:rPr>
          <w:snapToGrid w:val="0"/>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 w:name="_Toc378863528"/>
      <w:bookmarkStart w:id="13" w:name="_Toc378863546"/>
      <w:r>
        <w:rPr>
          <w:sz w:val="28"/>
        </w:rPr>
        <w:t>Defined Terms</w:t>
      </w:r>
      <w:bookmarkEnd w:id="12"/>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 w:name="DefinedTerms"/>
      <w:bookmarkEnd w:id="14"/>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grant</w:t>
      </w:r>
      <w:r>
        <w:tab/>
        <w:t>3(1)</w:t>
      </w:r>
    </w:p>
    <w:p>
      <w:pPr>
        <w:pStyle w:val="DefinedTerms"/>
      </w:pPr>
      <w:r>
        <w:t>infringement notice</w:t>
      </w:r>
      <w:r>
        <w:tab/>
        <w:t>40(1)</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special application</w:t>
      </w:r>
      <w:r>
        <w:tab/>
        <w:t>25</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253"/>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14935</Words>
  <Characters>73037</Characters>
  <Application>Microsoft Office Word</Application>
  <DocSecurity>0</DocSecurity>
  <Lines>1922</Lines>
  <Paragraphs>1047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2008 - 00-f0-03</dc:title>
  <dc:subject/>
  <dc:creator/>
  <cp:keywords/>
  <dc:description/>
  <cp:lastModifiedBy>svcMRProcess</cp:lastModifiedBy>
  <cp:revision>4</cp:revision>
  <cp:lastPrinted>2011-06-03T01:58:00Z</cp:lastPrinted>
  <dcterms:created xsi:type="dcterms:W3CDTF">2018-09-17T22:47:00Z</dcterms:created>
  <dcterms:modified xsi:type="dcterms:W3CDTF">2018-09-17T22:47:00Z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20130114</vt:lpwstr>
  </property>
  <property fmtid="{D5CDD505-2E9C-101B-9397-08002B2CF9AE}" pid="3" name="ActNo">
    <vt:lpwstr>40 of 2008</vt:lpwstr>
  </property>
  <property fmtid="{D5CDD505-2E9C-101B-9397-08002B2CF9AE}" pid="4" name="OwlsUID">
    <vt:i4>146691</vt:i4>
  </property>
  <property fmtid="{D5CDD505-2E9C-101B-9397-08002B2CF9AE}" pid="5" name="AsAtDate">
    <vt:lpwstr>14 Jan 2013</vt:lpwstr>
  </property>
  <property fmtid="{D5CDD505-2E9C-101B-9397-08002B2CF9AE}" pid="6" name="Suffix">
    <vt:lpwstr>00-f0-03</vt:lpwstr>
  </property>
  <property fmtid="{D5CDD505-2E9C-101B-9397-08002B2CF9AE}" pid="7" name="DocumentType">
    <vt:lpwstr>Act</vt:lpwstr>
  </property>
</Properties>
</file>