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4E" w:rsidRDefault="0083477D" w:rsidP="00FF3E4E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5" name="Picture 25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State">
          <w:r w:rsidR="00FF3E4E">
            <w:t xml:space="preserve">Western </w:t>
          </w:r>
          <w:smartTag w:uri="urn:schemas-microsoft-com:office:smarttags" w:element="country-region">
            <w:r w:rsidR="00FF3E4E">
              <w:t>Australia</w:t>
            </w:r>
          </w:smartTag>
        </w:smartTag>
      </w:smartTag>
    </w:p>
    <w:p w:rsidR="00FF3E4E" w:rsidRDefault="00FF3E4E" w:rsidP="00FF3E4E">
      <w:pPr>
        <w:pStyle w:val="PrincipalActReg"/>
        <w:spacing w:before="2600" w:after="0"/>
      </w:pPr>
      <w:r>
        <w:t>Trans</w:t>
      </w:r>
      <w:r>
        <w:noBreakHyphen/>
        <w:t>Tasman Mutual Recognition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Act 2007</w:t>
      </w:r>
    </w:p>
    <w:p w:rsidR="00FF3E4E" w:rsidRDefault="00FF3E4E" w:rsidP="00FF3E4E">
      <w:pPr>
        <w:pStyle w:val="NameofActRegPage1"/>
        <w:spacing w:before="196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200AE3">
        <w:rPr>
          <w:noProof/>
          <w:sz w:val="48"/>
        </w:rPr>
        <w:t>Trans-Tasman Mutual Recognition (Western Australia) (Temporary Exemptions) Regulations 2012</w:t>
      </w:r>
      <w:r>
        <w:rPr>
          <w:sz w:val="48"/>
        </w:rPr>
        <w:fldChar w:fldCharType="end"/>
      </w:r>
    </w:p>
    <w:p w:rsidR="00FF3E4E" w:rsidRDefault="00FF3E4E" w:rsidP="00FF3E4E">
      <w:pPr>
        <w:jc w:val="center"/>
        <w:rPr>
          <w:b/>
        </w:rPr>
        <w:sectPr w:rsidR="00FF3E4E" w:rsidSect="00FF3E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F3E4E" w:rsidRDefault="00FF3E4E" w:rsidP="00FF3E4E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>
            <w:lastRenderedPageBreak/>
            <w:t>Western Australia</w:t>
          </w:r>
        </w:smartTag>
      </w:smartTag>
    </w:p>
    <w:p w:rsidR="00FF3E4E" w:rsidRDefault="00FF3E4E" w:rsidP="00FF3E4E">
      <w:pPr>
        <w:pStyle w:val="NameofActRegPage1"/>
        <w:spacing w:before="400" w:after="112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00AE3">
        <w:rPr>
          <w:noProof/>
        </w:rPr>
        <w:t>Trans-Tasman Mutual Recognition (Western Australia) (Temporary Exemptions) Regulations 2012</w:t>
      </w:r>
      <w:r>
        <w:fldChar w:fldCharType="end"/>
      </w:r>
    </w:p>
    <w:p w:rsidR="00FF3E4E" w:rsidRDefault="00FF3E4E" w:rsidP="00FF3E4E">
      <w:pPr>
        <w:pStyle w:val="Arrangement"/>
      </w:pPr>
      <w:r>
        <w:t>CONTENTS</w:t>
      </w:r>
    </w:p>
    <w:p w:rsidR="00C36575" w:rsidRDefault="00FF3E4E">
      <w:pPr>
        <w:pStyle w:val="TOC8"/>
        <w:rPr>
          <w:sz w:val="24"/>
          <w:szCs w:val="24"/>
          <w:lang w:val="en-US"/>
        </w:rPr>
      </w:pPr>
      <w:r>
        <w:fldChar w:fldCharType="begin"/>
      </w:r>
      <w:r w:rsidRPr="00C36575">
        <w:rPr>
          <w:lang w:val="en-US"/>
        </w:rP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 w:rsidRPr="00C36575">
        <w:rPr>
          <w:lang w:val="en-US"/>
        </w:rPr>
        <w:noBreakHyphen/>
        <w:instrText xml:space="preserve">7" \w \* MERGEFORMAT </w:instrText>
      </w:r>
      <w:r>
        <w:fldChar w:fldCharType="separate"/>
      </w:r>
      <w:r w:rsidR="00C36575">
        <w:t>1.</w:t>
      </w:r>
      <w:r w:rsidR="00C36575">
        <w:tab/>
        <w:t>Citation</w:t>
      </w:r>
      <w:r w:rsidR="00C36575">
        <w:tab/>
      </w:r>
      <w:r w:rsidR="00C36575">
        <w:fldChar w:fldCharType="begin"/>
      </w:r>
      <w:r w:rsidR="00C36575">
        <w:instrText xml:space="preserve"> PAGEREF _Toc347310707 \h </w:instrText>
      </w:r>
      <w:r w:rsidR="00C36575">
        <w:fldChar w:fldCharType="separate"/>
      </w:r>
      <w:r w:rsidR="00200AE3">
        <w:t>1</w:t>
      </w:r>
      <w:r w:rsidR="00C36575">
        <w:fldChar w:fldCharType="end"/>
      </w:r>
    </w:p>
    <w:p w:rsidR="00C36575" w:rsidRDefault="00C36575">
      <w:pPr>
        <w:pStyle w:val="TOC8"/>
        <w:rPr>
          <w:sz w:val="24"/>
          <w:szCs w:val="24"/>
          <w:lang w:val="en-US"/>
        </w:rPr>
      </w:pPr>
      <w:r>
        <w:t>2</w:t>
      </w:r>
      <w:r w:rsidRPr="00A76FF3">
        <w:rPr>
          <w:spacing w:val="-2"/>
        </w:rPr>
        <w:t>.</w:t>
      </w:r>
      <w:r w:rsidRPr="00A76FF3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_Toc347310708 \h </w:instrText>
      </w:r>
      <w:r>
        <w:fldChar w:fldCharType="separate"/>
      </w:r>
      <w:r w:rsidR="00200AE3">
        <w:t>1</w:t>
      </w:r>
      <w:r>
        <w:fldChar w:fldCharType="end"/>
      </w:r>
    </w:p>
    <w:p w:rsidR="00C36575" w:rsidRDefault="00C36575">
      <w:pPr>
        <w:pStyle w:val="TOC8"/>
        <w:rPr>
          <w:sz w:val="24"/>
          <w:szCs w:val="24"/>
          <w:lang w:val="en-US"/>
        </w:rPr>
      </w:pPr>
      <w:r>
        <w:t>3</w:t>
      </w:r>
      <w:r w:rsidRPr="00A76FF3">
        <w:rPr>
          <w:snapToGrid w:val="0"/>
        </w:rPr>
        <w:t>.</w:t>
      </w:r>
      <w:r w:rsidRPr="00A76FF3">
        <w:rPr>
          <w:snapToGrid w:val="0"/>
        </w:rPr>
        <w:tab/>
        <w:t xml:space="preserve">Temporary exemption — law relating to </w:t>
      </w:r>
      <w:r>
        <w:t>drug paraphernalia</w:t>
      </w:r>
      <w:r>
        <w:tab/>
      </w:r>
      <w:r>
        <w:fldChar w:fldCharType="begin"/>
      </w:r>
      <w:r>
        <w:instrText xml:space="preserve"> PAGEREF _Toc347310709 \h </w:instrText>
      </w:r>
      <w:r>
        <w:fldChar w:fldCharType="separate"/>
      </w:r>
      <w:r w:rsidR="00200AE3">
        <w:t>1</w:t>
      </w:r>
      <w:r>
        <w:fldChar w:fldCharType="end"/>
      </w:r>
    </w:p>
    <w:p w:rsidR="00C36575" w:rsidRDefault="00C36575">
      <w:pPr>
        <w:pStyle w:val="TOC8"/>
        <w:rPr>
          <w:sz w:val="24"/>
          <w:szCs w:val="24"/>
          <w:lang w:val="en-US"/>
        </w:rPr>
      </w:pPr>
      <w:r>
        <w:t>4.</w:t>
      </w:r>
      <w:r>
        <w:tab/>
        <w:t>Expiry of regulations</w:t>
      </w:r>
      <w:r>
        <w:tab/>
      </w:r>
      <w:r>
        <w:fldChar w:fldCharType="begin"/>
      </w:r>
      <w:r>
        <w:instrText xml:space="preserve"> PAGEREF _Toc347310710 \h </w:instrText>
      </w:r>
      <w:r>
        <w:fldChar w:fldCharType="separate"/>
      </w:r>
      <w:r w:rsidR="00200AE3">
        <w:t>1</w:t>
      </w:r>
      <w:r>
        <w:fldChar w:fldCharType="end"/>
      </w:r>
    </w:p>
    <w:p w:rsidR="00C36575" w:rsidRDefault="00C36575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C36575" w:rsidRDefault="00C36575" w:rsidP="00C36575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_Toc347310712 \h </w:instrText>
      </w:r>
      <w:r>
        <w:fldChar w:fldCharType="separate"/>
      </w:r>
      <w:r w:rsidR="00200AE3">
        <w:t>2</w:t>
      </w:r>
      <w:r>
        <w:fldChar w:fldCharType="end"/>
      </w:r>
    </w:p>
    <w:p w:rsidR="00FF3E4E" w:rsidRDefault="00FF3E4E" w:rsidP="00FF3E4E">
      <w:pPr>
        <w:pStyle w:val="TOC8"/>
      </w:pPr>
      <w:r>
        <w:fldChar w:fldCharType="end"/>
      </w:r>
    </w:p>
    <w:p w:rsidR="00FF3E4E" w:rsidRDefault="00FF3E4E" w:rsidP="00FF3E4E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FF3E4E" w:rsidRDefault="00FF3E4E" w:rsidP="00FF3E4E">
      <w:pPr>
        <w:pStyle w:val="NoteHeading"/>
        <w:sectPr w:rsidR="00FF3E4E" w:rsidSect="00FF3E4E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FF3E4E" w:rsidRDefault="00FF3E4E" w:rsidP="00FF3E4E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>
            <w:lastRenderedPageBreak/>
            <w:t>Western Australia</w:t>
          </w:r>
        </w:smartTag>
      </w:smartTag>
    </w:p>
    <w:p w:rsidR="00ED52F3" w:rsidRDefault="00416D34">
      <w:pPr>
        <w:pStyle w:val="PrincipalActReg"/>
      </w:pPr>
      <w:r>
        <w:t>Trans</w:t>
      </w:r>
      <w:r>
        <w:noBreakHyphen/>
        <w:t>Tasman Mutual Recognition (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) Act 2007</w:t>
      </w:r>
    </w:p>
    <w:p w:rsidR="00ED52F3" w:rsidRDefault="00416D34">
      <w:pPr>
        <w:pStyle w:val="NameofActReg"/>
      </w:pPr>
      <w:r>
        <w:t>Trans</w:t>
      </w:r>
      <w:r>
        <w:noBreakHyphen/>
        <w:t>Tasman Mutual Recognition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(Temporary Exemptions) Regulations 2012</w:t>
      </w:r>
    </w:p>
    <w:p w:rsidR="00ED52F3" w:rsidRDefault="00FF3E4E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347310707"/>
      <w:r>
        <w:rPr>
          <w:rStyle w:val="CharSectno"/>
        </w:rPr>
        <w:t>1</w:t>
      </w:r>
      <w:r w:rsidR="00ED52F3">
        <w:t>.</w:t>
      </w:r>
      <w:r w:rsidR="00ED52F3"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D52F3" w:rsidRDefault="00ED52F3"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 w:rsidRPr="00384A30">
        <w:rPr>
          <w:spacing w:val="-2"/>
        </w:rPr>
        <w:t>These</w:t>
      </w:r>
      <w:r>
        <w:t xml:space="preserve"> </w:t>
      </w:r>
      <w:r w:rsidR="00416D34">
        <w:rPr>
          <w:spacing w:val="-2"/>
        </w:rPr>
        <w:t>regulations</w:t>
      </w:r>
      <w:r>
        <w:t xml:space="preserve"> are the </w:t>
      </w:r>
      <w:r w:rsidR="00416D34">
        <w:rPr>
          <w:i/>
        </w:rPr>
        <w:t>Trans</w:t>
      </w:r>
      <w:r w:rsidR="00416D34">
        <w:rPr>
          <w:i/>
        </w:rPr>
        <w:noBreakHyphen/>
        <w:t>Tasman Mutual Recognition (</w:t>
      </w:r>
      <w:smartTag w:uri="urn:schemas-microsoft-com:office:smarttags" w:element="State">
        <w:smartTag w:uri="urn:schemas-microsoft-com:office:smarttags" w:element="place">
          <w:r w:rsidR="00416D34">
            <w:rPr>
              <w:i/>
            </w:rPr>
            <w:t>Western Australia</w:t>
          </w:r>
        </w:smartTag>
      </w:smartTag>
      <w:r w:rsidR="00416D34">
        <w:rPr>
          <w:i/>
        </w:rPr>
        <w:t>) (Temporary Exemptions) Regulations 2012</w:t>
      </w:r>
      <w:r>
        <w:t>.</w:t>
      </w:r>
    </w:p>
    <w:p w:rsidR="00ED52F3" w:rsidRDefault="00FF3E4E"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347310708"/>
      <w:r>
        <w:rPr>
          <w:rStyle w:val="CharSectno"/>
        </w:rPr>
        <w:t>2</w:t>
      </w:r>
      <w:r w:rsidR="00ED52F3">
        <w:rPr>
          <w:spacing w:val="-2"/>
        </w:rPr>
        <w:t>.</w:t>
      </w:r>
      <w:r w:rsidR="00ED52F3"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D52F3" w:rsidRDefault="00ED52F3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384A30">
        <w:rPr>
          <w:spacing w:val="-2"/>
        </w:rPr>
        <w:t>These</w:t>
      </w:r>
      <w:r>
        <w:rPr>
          <w:spacing w:val="-2"/>
        </w:rPr>
        <w:t xml:space="preserve"> </w:t>
      </w:r>
      <w:r w:rsidR="00416D34">
        <w:rPr>
          <w:spacing w:val="-2"/>
        </w:rPr>
        <w:t>regulations</w:t>
      </w:r>
      <w:r>
        <w:rPr>
          <w:spacing w:val="-2"/>
        </w:rPr>
        <w:t xml:space="preserve"> come into operation </w:t>
      </w:r>
      <w:r w:rsidRPr="00BE575E">
        <w:rPr>
          <w:spacing w:val="-2"/>
        </w:rPr>
        <w:t>as follows</w:t>
      </w:r>
      <w:r w:rsidRPr="00BE575E">
        <w:t> —</w:t>
      </w:r>
    </w:p>
    <w:p w:rsidR="00ED52F3" w:rsidRDefault="00ED52F3">
      <w:pPr>
        <w:pStyle w:val="Indenta"/>
      </w:pPr>
      <w:r>
        <w:tab/>
      </w:r>
      <w:r w:rsidR="00FF3E4E">
        <w:t>(a)</w:t>
      </w:r>
      <w:r>
        <w:tab/>
      </w:r>
      <w:r w:rsidR="00416D34">
        <w:rPr>
          <w:spacing w:val="-2"/>
        </w:rPr>
        <w:t>regulations</w:t>
      </w:r>
      <w:r w:rsidR="001C06CA" w:rsidRPr="00BE575E">
        <w:t> </w:t>
      </w:r>
      <w:r w:rsidR="00416D34">
        <w:t>1</w:t>
      </w:r>
      <w:r w:rsidR="003D28F0">
        <w:t xml:space="preserve"> and</w:t>
      </w:r>
      <w:r w:rsidR="001C06CA">
        <w:t> </w:t>
      </w:r>
      <w:r w:rsidR="00416D34">
        <w:t>2</w:t>
      </w:r>
      <w:r>
        <w:t xml:space="preserve"> — on the day on which these </w:t>
      </w:r>
      <w:r w:rsidR="00416D34"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 w:rsidR="00ED52F3" w:rsidRDefault="00ED52F3">
      <w:pPr>
        <w:pStyle w:val="Indenta"/>
      </w:pPr>
      <w:r>
        <w:tab/>
      </w:r>
      <w:r w:rsidR="00FF3E4E">
        <w:t>(b)</w:t>
      </w:r>
      <w:r>
        <w:tab/>
        <w:t xml:space="preserve">the rest of the </w:t>
      </w:r>
      <w:r w:rsidR="00416D34">
        <w:rPr>
          <w:spacing w:val="-2"/>
        </w:rPr>
        <w:t>regulations</w:t>
      </w:r>
      <w:r>
        <w:t xml:space="preserve"> — </w:t>
      </w:r>
      <w:r w:rsidR="00BB101B">
        <w:t>when</w:t>
      </w:r>
      <w:r>
        <w:t xml:space="preserve"> </w:t>
      </w:r>
      <w:r w:rsidR="007D1B80">
        <w:t xml:space="preserve">the </w:t>
      </w:r>
      <w:r w:rsidR="007D1B80" w:rsidRPr="007D1B80">
        <w:rPr>
          <w:i/>
        </w:rPr>
        <w:t xml:space="preserve">Misuse of Drugs Amendment </w:t>
      </w:r>
      <w:r w:rsidR="001C06CA" w:rsidRPr="007D1B80">
        <w:rPr>
          <w:i/>
        </w:rPr>
        <w:t>Act</w:t>
      </w:r>
      <w:r w:rsidR="001C06CA">
        <w:rPr>
          <w:i/>
        </w:rPr>
        <w:t> </w:t>
      </w:r>
      <w:r w:rsidR="001C06CA" w:rsidRPr="007D1B80">
        <w:rPr>
          <w:i/>
        </w:rPr>
        <w:t>2</w:t>
      </w:r>
      <w:r w:rsidR="007D1B80" w:rsidRPr="007D1B80">
        <w:rPr>
          <w:i/>
        </w:rPr>
        <w:t>011</w:t>
      </w:r>
      <w:r w:rsidR="007D1B80">
        <w:t xml:space="preserve"> </w:t>
      </w:r>
      <w:r w:rsidR="007D1B80" w:rsidRPr="00BE575E">
        <w:t>section</w:t>
      </w:r>
      <w:r w:rsidR="007D1B80">
        <w:t> 6 comes into operation.</w:t>
      </w:r>
    </w:p>
    <w:p w:rsidR="00AA13F1" w:rsidRDefault="00AA13F1" w:rsidP="00AA13F1">
      <w:pPr>
        <w:pStyle w:val="Heading5"/>
      </w:pPr>
      <w:bookmarkStart w:id="18" w:name="_Toc347310709"/>
      <w:bookmarkStart w:id="19" w:name="_Toc423332724"/>
      <w:bookmarkStart w:id="20" w:name="_Toc425219443"/>
      <w:bookmarkStart w:id="21" w:name="_Toc426249310"/>
      <w:bookmarkStart w:id="22" w:name="_Toc449924706"/>
      <w:bookmarkStart w:id="23" w:name="_Toc449947724"/>
      <w:bookmarkStart w:id="24" w:name="_Toc454185715"/>
      <w:bookmarkStart w:id="25" w:name="_Toc51595868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 xml:space="preserve">Temporary </w:t>
      </w:r>
      <w:r w:rsidRPr="000D4DF5">
        <w:rPr>
          <w:snapToGrid w:val="0"/>
        </w:rPr>
        <w:t>exemption</w:t>
      </w:r>
      <w:r w:rsidRPr="006A3524">
        <w:rPr>
          <w:snapToGrid w:val="0"/>
        </w:rPr>
        <w:t xml:space="preserve"> — </w:t>
      </w:r>
      <w:r>
        <w:rPr>
          <w:snapToGrid w:val="0"/>
        </w:rPr>
        <w:t xml:space="preserve">law relating to </w:t>
      </w:r>
      <w:r w:rsidRPr="000D4DF5">
        <w:t>drug</w:t>
      </w:r>
      <w:r w:rsidRPr="001C7717">
        <w:t xml:space="preserve"> paraphernalia</w:t>
      </w:r>
      <w:bookmarkEnd w:id="18"/>
    </w:p>
    <w:p w:rsidR="00AA13F1" w:rsidRDefault="00AA13F1" w:rsidP="00AA13F1">
      <w:pPr>
        <w:pStyle w:val="Subsection"/>
        <w:rPr>
          <w:spacing w:val="-2"/>
        </w:rPr>
      </w:pPr>
      <w:r>
        <w:tab/>
      </w:r>
      <w:r>
        <w:tab/>
      </w:r>
      <w:r w:rsidRPr="0004425F">
        <w:rPr>
          <w:spacing w:val="-2"/>
        </w:rPr>
        <w:t xml:space="preserve">For the purposes of </w:t>
      </w:r>
      <w:r w:rsidRPr="00BE575E">
        <w:rPr>
          <w:spacing w:val="-2"/>
        </w:rPr>
        <w:t>section</w:t>
      </w:r>
      <w:r>
        <w:rPr>
          <w:spacing w:val="-2"/>
        </w:rPr>
        <w:t> </w:t>
      </w:r>
      <w:r w:rsidRPr="0004425F">
        <w:rPr>
          <w:spacing w:val="-2"/>
        </w:rPr>
        <w:t>5</w:t>
      </w:r>
      <w:r>
        <w:rPr>
          <w:spacing w:val="-2"/>
        </w:rPr>
        <w:t xml:space="preserve"> of the Act </w:t>
      </w:r>
      <w:r w:rsidRPr="0004425F">
        <w:rPr>
          <w:spacing w:val="-2"/>
        </w:rPr>
        <w:t>and the Comm</w:t>
      </w:r>
      <w:r>
        <w:rPr>
          <w:spacing w:val="-2"/>
        </w:rPr>
        <w:t xml:space="preserve">onwealth Act </w:t>
      </w:r>
      <w:r w:rsidRPr="00BE575E">
        <w:rPr>
          <w:spacing w:val="-2"/>
        </w:rPr>
        <w:t>section</w:t>
      </w:r>
      <w:r>
        <w:rPr>
          <w:spacing w:val="-2"/>
        </w:rPr>
        <w:t xml:space="preserve"> 46, the </w:t>
      </w:r>
      <w:r>
        <w:rPr>
          <w:i/>
          <w:spacing w:val="-2"/>
        </w:rPr>
        <w:t>Misuse of Drugs Act </w:t>
      </w:r>
      <w:r w:rsidRPr="007D1B80">
        <w:rPr>
          <w:i/>
          <w:spacing w:val="-2"/>
        </w:rPr>
        <w:t>1981</w:t>
      </w:r>
      <w:r>
        <w:rPr>
          <w:spacing w:val="-2"/>
        </w:rPr>
        <w:t xml:space="preserve"> </w:t>
      </w:r>
      <w:r w:rsidRPr="00BE575E">
        <w:rPr>
          <w:spacing w:val="-2"/>
        </w:rPr>
        <w:t>section</w:t>
      </w:r>
      <w:r>
        <w:rPr>
          <w:spacing w:val="-2"/>
        </w:rPr>
        <w:t> 7B is</w:t>
      </w:r>
      <w:r w:rsidRPr="0004425F">
        <w:rPr>
          <w:spacing w:val="-2"/>
        </w:rPr>
        <w:t xml:space="preserve"> declared to be exempt from the operation of the Commonwealth Act</w:t>
      </w:r>
      <w:r>
        <w:rPr>
          <w:spacing w:val="-2"/>
        </w:rPr>
        <w:t>.</w:t>
      </w:r>
    </w:p>
    <w:p w:rsidR="00AA13F1" w:rsidRDefault="00AA13F1" w:rsidP="00AA13F1">
      <w:pPr>
        <w:pStyle w:val="Heading5"/>
      </w:pPr>
      <w:bookmarkStart w:id="26" w:name="_Toc347310710"/>
      <w:r>
        <w:rPr>
          <w:rStyle w:val="CharSectno"/>
        </w:rPr>
        <w:t>4</w:t>
      </w:r>
      <w:r w:rsidRPr="0004425F">
        <w:t>.</w:t>
      </w:r>
      <w:r w:rsidRPr="0004425F">
        <w:tab/>
      </w:r>
      <w:r>
        <w:t>Expiry of regulations</w:t>
      </w:r>
      <w:bookmarkEnd w:id="26"/>
    </w:p>
    <w:p w:rsidR="00AA13F1" w:rsidRPr="0004425F" w:rsidRDefault="00AA13F1" w:rsidP="00AA13F1">
      <w:pPr>
        <w:pStyle w:val="Subsection"/>
      </w:pPr>
      <w:r>
        <w:tab/>
      </w:r>
      <w:r>
        <w:tab/>
      </w:r>
      <w:r w:rsidRPr="0004425F">
        <w:t>Unless sooner repealed, these regulations expire at the end of the period of 12</w:t>
      </w:r>
      <w:r>
        <w:t> </w:t>
      </w:r>
      <w:r w:rsidRPr="0004425F">
        <w:t>months beginning on the day on which regulation</w:t>
      </w:r>
      <w:r>
        <w:t> 3</w:t>
      </w:r>
      <w:r w:rsidRPr="0004425F">
        <w:t xml:space="preserve"> comes into operation.</w:t>
      </w:r>
    </w:p>
    <w:p w:rsidR="00FF3E4E" w:rsidRDefault="00FF3E4E" w:rsidP="007864A5">
      <w:pPr>
        <w:pStyle w:val="Footnotesection"/>
        <w:rPr>
          <w:rStyle w:val="CharDivText"/>
        </w:rPr>
        <w:sectPr w:rsidR="00FF3E4E" w:rsidSect="00FF3E4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FF3E4E" w:rsidRDefault="00FF3E4E" w:rsidP="00FF3E4E">
      <w:pPr>
        <w:pStyle w:val="nHeading2"/>
      </w:pPr>
      <w:bookmarkStart w:id="27" w:name="_Toc77066848"/>
      <w:bookmarkStart w:id="28" w:name="_Toc91479281"/>
      <w:bookmarkStart w:id="29" w:name="_Toc92427346"/>
      <w:bookmarkStart w:id="30" w:name="_Toc100974800"/>
      <w:bookmarkStart w:id="31" w:name="_Toc100975120"/>
      <w:bookmarkStart w:id="32" w:name="_Toc100977254"/>
      <w:bookmarkStart w:id="33" w:name="_Toc101064678"/>
      <w:bookmarkStart w:id="34" w:name="_Toc101081038"/>
      <w:bookmarkStart w:id="35" w:name="_Toc101774553"/>
      <w:bookmarkStart w:id="36" w:name="_Toc101774629"/>
      <w:bookmarkStart w:id="37" w:name="_Toc101774732"/>
      <w:bookmarkStart w:id="38" w:name="_Toc105391581"/>
      <w:bookmarkStart w:id="39" w:name="_Toc105577865"/>
      <w:bookmarkStart w:id="40" w:name="_Toc116984351"/>
      <w:bookmarkStart w:id="41" w:name="_Toc116986523"/>
      <w:bookmarkStart w:id="42" w:name="_Toc123708475"/>
      <w:bookmarkStart w:id="43" w:name="_Toc133903585"/>
      <w:bookmarkStart w:id="44" w:name="_Toc133903679"/>
      <w:bookmarkStart w:id="45" w:name="_Toc133921028"/>
      <w:bookmarkStart w:id="46" w:name="_Toc141162279"/>
      <w:bookmarkStart w:id="47" w:name="_Toc141173868"/>
      <w:bookmarkStart w:id="48" w:name="_Toc148256490"/>
      <w:bookmarkStart w:id="49" w:name="_Toc151192493"/>
      <w:bookmarkStart w:id="50" w:name="_Toc151260862"/>
      <w:bookmarkStart w:id="51" w:name="_Toc155062696"/>
      <w:bookmarkStart w:id="52" w:name="_Toc155080021"/>
      <w:bookmarkStart w:id="53" w:name="_Toc171737796"/>
      <w:bookmarkStart w:id="54" w:name="_Toc172087355"/>
      <w:bookmarkStart w:id="55" w:name="_Toc172087600"/>
      <w:bookmarkStart w:id="56" w:name="_Toc172087862"/>
      <w:bookmarkStart w:id="57" w:name="_Toc173915937"/>
      <w:bookmarkStart w:id="58" w:name="_Toc175536942"/>
      <w:bookmarkStart w:id="59" w:name="_Toc175629443"/>
      <w:bookmarkStart w:id="60" w:name="_Toc177792457"/>
      <w:bookmarkStart w:id="61" w:name="_Toc177877492"/>
      <w:bookmarkStart w:id="62" w:name="_Toc179704125"/>
      <w:bookmarkStart w:id="63" w:name="_Toc185647306"/>
      <w:bookmarkStart w:id="64" w:name="_Toc212947038"/>
      <w:bookmarkStart w:id="65" w:name="_Toc218325424"/>
      <w:bookmarkStart w:id="66" w:name="_Toc218325540"/>
      <w:bookmarkStart w:id="67" w:name="_Toc218400263"/>
      <w:bookmarkStart w:id="68" w:name="_Toc241566841"/>
      <w:bookmarkStart w:id="69" w:name="_Toc241566956"/>
      <w:bookmarkStart w:id="70" w:name="_Toc241571184"/>
      <w:bookmarkStart w:id="71" w:name="_Toc244662186"/>
      <w:bookmarkStart w:id="72" w:name="_Toc249261018"/>
      <w:bookmarkStart w:id="73" w:name="_Toc250704766"/>
      <w:bookmarkStart w:id="74" w:name="_Toc255544189"/>
      <w:bookmarkStart w:id="75" w:name="_Toc255552692"/>
      <w:bookmarkStart w:id="76" w:name="_Toc257636644"/>
      <w:bookmarkStart w:id="77" w:name="_Toc257705952"/>
      <w:bookmarkStart w:id="78" w:name="_Toc281461386"/>
      <w:bookmarkStart w:id="79" w:name="_Toc308095419"/>
      <w:bookmarkStart w:id="80" w:name="_Toc308162905"/>
      <w:bookmarkStart w:id="81" w:name="_Toc312827130"/>
      <w:bookmarkStart w:id="82" w:name="_Toc340825224"/>
      <w:bookmarkStart w:id="83" w:name="_Toc340825244"/>
      <w:bookmarkStart w:id="84" w:name="_Toc340825622"/>
      <w:bookmarkStart w:id="85" w:name="_Toc340830205"/>
      <w:bookmarkStart w:id="86" w:name="_Toc347308176"/>
      <w:bookmarkStart w:id="87" w:name="_Toc347310711"/>
      <w:r>
        <w:lastRenderedPageBreak/>
        <w:t>Notes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FF3E4E" w:rsidRDefault="00FF3E4E" w:rsidP="00FF3E4E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 w:rsidRPr="00FF3E4E">
        <w:rPr>
          <w:i/>
          <w:noProof/>
          <w:snapToGrid w:val="0"/>
        </w:rPr>
        <w:t>Trans-Tasman Mutual Recognition (WA) (Temporary Exemptions) Regulations 2012</w:t>
      </w:r>
      <w:r>
        <w:rPr>
          <w:noProof/>
          <w:snapToGrid w:val="0"/>
        </w:rPr>
        <w:t>. The following table contains information about those regulations</w:t>
      </w:r>
      <w:r>
        <w:rPr>
          <w:snapToGrid w:val="0"/>
        </w:rPr>
        <w:t>.</w:t>
      </w:r>
    </w:p>
    <w:p w:rsidR="00FF3E4E" w:rsidRDefault="00FF3E4E" w:rsidP="00FF3E4E">
      <w:pPr>
        <w:pStyle w:val="nHeading3"/>
      </w:pPr>
      <w:bookmarkStart w:id="88" w:name="_Toc312827131"/>
      <w:bookmarkStart w:id="89" w:name="_Toc340825245"/>
      <w:bookmarkStart w:id="90" w:name="_Toc347310712"/>
      <w:r>
        <w:t>Compilation table</w:t>
      </w:r>
      <w:bookmarkEnd w:id="88"/>
      <w:bookmarkEnd w:id="89"/>
      <w:bookmarkEnd w:id="90"/>
    </w:p>
    <w:tbl>
      <w:tblPr>
        <w:tblW w:w="0" w:type="auto"/>
        <w:tblInd w:w="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FF3E4E" w:rsidTr="006554F8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FF3E4E" w:rsidRDefault="00FF3E4E" w:rsidP="006554F8"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FF3E4E" w:rsidRDefault="00FF3E4E" w:rsidP="006554F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FF3E4E" w:rsidRDefault="00FF3E4E" w:rsidP="006554F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FF3E4E" w:rsidTr="006554F8">
        <w:trPr>
          <w:cantSplit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FF3E4E" w:rsidRPr="006B15A8" w:rsidRDefault="00FF3E4E" w:rsidP="006554F8">
            <w:pPr>
              <w:pStyle w:val="nTable"/>
              <w:spacing w:after="40"/>
              <w:ind w:right="113"/>
            </w:pPr>
            <w:r>
              <w:rPr>
                <w:i/>
                <w:sz w:val="19"/>
              </w:rPr>
              <w:t>Trans-Tasman Mutual Recognition (WA) (Temporary Exemptions) Regulations 2012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FF3E4E" w:rsidRDefault="00FF3E4E" w:rsidP="006554F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Nov 2012 p. 5644-5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FF3E4E" w:rsidRDefault="00AA13F1" w:rsidP="006554F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r. 1 and 2: </w:t>
            </w:r>
            <w:r w:rsidR="00FF3E4E">
              <w:rPr>
                <w:sz w:val="19"/>
              </w:rPr>
              <w:t>16 Nov 2012 (see</w:t>
            </w:r>
            <w:r w:rsidR="00C36575">
              <w:rPr>
                <w:sz w:val="19"/>
              </w:rPr>
              <w:t> </w:t>
            </w:r>
            <w:r w:rsidR="00FF3E4E">
              <w:rPr>
                <w:sz w:val="19"/>
              </w:rPr>
              <w:t>r</w:t>
            </w:r>
            <w:r>
              <w:rPr>
                <w:sz w:val="19"/>
              </w:rPr>
              <w:t>. </w:t>
            </w:r>
            <w:r w:rsidR="00FF3E4E">
              <w:rPr>
                <w:sz w:val="19"/>
              </w:rPr>
              <w:t>2(a))</w:t>
            </w:r>
            <w:r>
              <w:rPr>
                <w:sz w:val="19"/>
              </w:rPr>
              <w:t>;</w:t>
            </w:r>
            <w:r>
              <w:rPr>
                <w:sz w:val="19"/>
              </w:rPr>
              <w:br/>
            </w:r>
            <w:r w:rsidRPr="00AA13F1">
              <w:rPr>
                <w:rFonts w:ascii="Times" w:hAnsi="Times"/>
                <w:snapToGrid w:val="0"/>
                <w:sz w:val="19"/>
              </w:rPr>
              <w:t xml:space="preserve">Regulations other than r. 1 and 2: </w:t>
            </w:r>
            <w:r w:rsidRPr="00AA13F1">
              <w:rPr>
                <w:rFonts w:ascii="Times" w:hAnsi="Times"/>
                <w:snapToGrid w:val="0"/>
                <w:sz w:val="19"/>
                <w:lang w:val="en-US"/>
              </w:rPr>
              <w:t xml:space="preserve">30 Jan 2013 (see </w:t>
            </w:r>
            <w:r>
              <w:rPr>
                <w:rFonts w:ascii="Times" w:hAnsi="Times"/>
                <w:snapToGrid w:val="0"/>
                <w:sz w:val="19"/>
                <w:lang w:val="en-US"/>
              </w:rPr>
              <w:t>r</w:t>
            </w:r>
            <w:r w:rsidRPr="00AA13F1">
              <w:rPr>
                <w:rFonts w:ascii="Times" w:hAnsi="Times"/>
                <w:snapToGrid w:val="0"/>
                <w:sz w:val="19"/>
                <w:lang w:val="en-US"/>
              </w:rPr>
              <w:t xml:space="preserve">. 2(b) and </w:t>
            </w:r>
            <w:r w:rsidRPr="00AA13F1">
              <w:rPr>
                <w:rFonts w:ascii="Times" w:hAnsi="Times"/>
                <w:i/>
                <w:snapToGrid w:val="0"/>
                <w:sz w:val="19"/>
                <w:lang w:val="en-US"/>
              </w:rPr>
              <w:t xml:space="preserve">Gazette </w:t>
            </w:r>
            <w:r w:rsidRPr="00AA13F1">
              <w:rPr>
                <w:rFonts w:ascii="Times" w:hAnsi="Times"/>
                <w:snapToGrid w:val="0"/>
                <w:sz w:val="19"/>
                <w:lang w:val="en-US"/>
              </w:rPr>
              <w:t>29 Jan 2013 p. 324</w:t>
            </w:r>
            <w:r w:rsidRPr="00AA13F1">
              <w:rPr>
                <w:rFonts w:ascii="Times" w:hAnsi="Times"/>
                <w:snapToGrid w:val="0"/>
                <w:sz w:val="19"/>
                <w:lang w:val="en-US"/>
              </w:rPr>
              <w:noBreakHyphen/>
              <w:t>5)</w:t>
            </w:r>
          </w:p>
        </w:tc>
      </w:tr>
    </w:tbl>
    <w:p w:rsidR="00FF3E4E" w:rsidRDefault="00FF3E4E" w:rsidP="00FF3E4E"/>
    <w:p w:rsidR="00FF3E4E" w:rsidRDefault="00FF3E4E" w:rsidP="00FF3E4E">
      <w:pPr>
        <w:sectPr w:rsidR="00FF3E4E" w:rsidSect="00FF3E4E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19"/>
    <w:bookmarkEnd w:id="20"/>
    <w:bookmarkEnd w:id="21"/>
    <w:bookmarkEnd w:id="22"/>
    <w:bookmarkEnd w:id="23"/>
    <w:bookmarkEnd w:id="24"/>
    <w:bookmarkEnd w:id="25"/>
    <w:p w:rsidR="00FF3E4E" w:rsidRDefault="00FF3E4E" w:rsidP="00FF3E4E"/>
    <w:sectPr w:rsidR="00FF3E4E" w:rsidSect="00FF3E4E">
      <w:headerReference w:type="even" r:id="rId29"/>
      <w:endnotePr>
        <w:numFmt w:val="decimal"/>
      </w:endnotePr>
      <w:type w:val="continuous"/>
      <w:pgSz w:w="11906" w:h="16838" w:code="9"/>
      <w:pgMar w:top="2381" w:right="2410" w:bottom="3544" w:left="2410" w:header="720" w:footer="3379" w:gutter="0"/>
      <w:pgNumType w:start="1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75" w:rsidRDefault="00C36575">
      <w:pPr>
        <w:rPr>
          <w:b/>
          <w:sz w:val="28"/>
        </w:rPr>
      </w:pPr>
      <w:r>
        <w:rPr>
          <w:b/>
          <w:sz w:val="28"/>
        </w:rPr>
        <w:t>Endnotes</w:t>
      </w:r>
    </w:p>
    <w:p w:rsidR="00C36575" w:rsidRDefault="00C36575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C36575" w:rsidRDefault="00C36575"/>
  </w:endnote>
  <w:endnote w:type="continuationSeparator" w:id="0">
    <w:p w:rsidR="00C36575" w:rsidRDefault="00C36575">
      <w:pPr>
        <w:pStyle w:val="Footer"/>
      </w:pPr>
    </w:p>
    <w:p w:rsidR="00C36575" w:rsidRDefault="00C36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75" w:rsidRDefault="00C36575">
    <w:pPr>
      <w:pStyle w:val="Footer"/>
      <w:tabs>
        <w:tab w:val="clear" w:pos="4153"/>
        <w:tab w:val="right" w:pos="7088"/>
      </w:tabs>
      <w:rPr>
        <w:rStyle w:val="PageNumber"/>
      </w:rPr>
    </w:pPr>
  </w:p>
  <w:p w:rsidR="00C36575" w:rsidRDefault="00C365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</w:p>
  <w:p w:rsidR="00C36575" w:rsidRPr="00FF3E4E" w:rsidRDefault="00C36575" w:rsidP="00FF3E4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75" w:rsidRDefault="00C36575">
    <w:pPr>
      <w:pStyle w:val="Footer"/>
      <w:tabs>
        <w:tab w:val="clear" w:pos="4153"/>
        <w:tab w:val="right" w:pos="7088"/>
      </w:tabs>
      <w:rPr>
        <w:rStyle w:val="PageNumber"/>
      </w:rPr>
    </w:pPr>
  </w:p>
  <w:p w:rsidR="00C36575" w:rsidRDefault="00C365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36575" w:rsidRPr="00FF3E4E" w:rsidRDefault="00C36575" w:rsidP="00FF3E4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75" w:rsidRDefault="00C36575">
    <w:pPr>
      <w:pStyle w:val="Footer"/>
      <w:tabs>
        <w:tab w:val="clear" w:pos="4153"/>
        <w:tab w:val="right" w:pos="7088"/>
      </w:tabs>
      <w:rPr>
        <w:rStyle w:val="PageNumber"/>
      </w:rPr>
    </w:pPr>
  </w:p>
  <w:p w:rsidR="00C36575" w:rsidRDefault="00C365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36575" w:rsidRPr="00FF3E4E" w:rsidRDefault="00C36575" w:rsidP="00FF3E4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75" w:rsidRDefault="00C36575">
    <w:pPr>
      <w:pStyle w:val="Footer"/>
      <w:tabs>
        <w:tab w:val="clear" w:pos="4153"/>
        <w:tab w:val="right" w:pos="7088"/>
      </w:tabs>
      <w:rPr>
        <w:rStyle w:val="PageNumber"/>
      </w:rPr>
    </w:pPr>
  </w:p>
  <w:p w:rsidR="00C36575" w:rsidRDefault="00C365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909C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</w:p>
  <w:p w:rsidR="00C36575" w:rsidRPr="00FF3E4E" w:rsidRDefault="00C36575" w:rsidP="00FF3E4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75" w:rsidRDefault="00C36575">
    <w:pPr>
      <w:pStyle w:val="Footer"/>
      <w:tabs>
        <w:tab w:val="clear" w:pos="4153"/>
        <w:tab w:val="right" w:pos="7088"/>
      </w:tabs>
      <w:rPr>
        <w:rStyle w:val="PageNumber"/>
      </w:rPr>
    </w:pPr>
  </w:p>
  <w:p w:rsidR="00C36575" w:rsidRDefault="00C365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909C0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36575" w:rsidRPr="00FF3E4E" w:rsidRDefault="00C36575" w:rsidP="00FF3E4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75" w:rsidRDefault="00C36575">
    <w:pPr>
      <w:pStyle w:val="Footer"/>
      <w:tabs>
        <w:tab w:val="clear" w:pos="4153"/>
        <w:tab w:val="right" w:pos="7088"/>
      </w:tabs>
      <w:rPr>
        <w:rStyle w:val="PageNumber"/>
      </w:rPr>
    </w:pPr>
  </w:p>
  <w:p w:rsidR="00C36575" w:rsidRDefault="00C365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00AE3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36575" w:rsidRPr="00FF3E4E" w:rsidRDefault="00C36575" w:rsidP="00FF3E4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75" w:rsidRDefault="00C36575">
    <w:pPr>
      <w:pStyle w:val="Footer"/>
      <w:tabs>
        <w:tab w:val="clear" w:pos="4153"/>
        <w:tab w:val="right" w:pos="7088"/>
      </w:tabs>
      <w:rPr>
        <w:rStyle w:val="PageNumber"/>
      </w:rPr>
    </w:pPr>
  </w:p>
  <w:p w:rsidR="00C36575" w:rsidRDefault="00C365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00AE3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36575" w:rsidRPr="00FF3E4E" w:rsidRDefault="00C36575" w:rsidP="00FF3E4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75" w:rsidRDefault="00C36575">
    <w:pPr>
      <w:pStyle w:val="Footer"/>
      <w:tabs>
        <w:tab w:val="clear" w:pos="4153"/>
        <w:tab w:val="right" w:pos="7088"/>
      </w:tabs>
      <w:rPr>
        <w:rStyle w:val="PageNumber"/>
      </w:rPr>
    </w:pPr>
  </w:p>
  <w:p w:rsidR="00C36575" w:rsidRDefault="00C365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909C0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C36575" w:rsidRPr="00FF3E4E" w:rsidRDefault="00C36575" w:rsidP="00FF3E4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75" w:rsidRDefault="00C36575">
    <w:pPr>
      <w:pStyle w:val="Footer"/>
      <w:tabs>
        <w:tab w:val="clear" w:pos="4153"/>
        <w:tab w:val="right" w:pos="7088"/>
      </w:tabs>
      <w:rPr>
        <w:rStyle w:val="PageNumber"/>
      </w:rPr>
    </w:pPr>
  </w:p>
  <w:p w:rsidR="00C36575" w:rsidRDefault="00C36575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30 Jan 2013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200AE3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00AE3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36575" w:rsidRPr="00FF3E4E" w:rsidRDefault="00C36575" w:rsidP="00FF3E4E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75" w:rsidRDefault="00C36575">
      <w:r>
        <w:separator/>
      </w:r>
    </w:p>
  </w:footnote>
  <w:footnote w:type="continuationSeparator" w:id="0">
    <w:p w:rsidR="00C36575" w:rsidRDefault="00C36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75" w:rsidRDefault="00C3657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36575">
      <w:trPr>
        <w:cantSplit/>
      </w:trPr>
      <w:tc>
        <w:tcPr>
          <w:tcW w:w="7263" w:type="dxa"/>
          <w:gridSpan w:val="2"/>
        </w:tcPr>
        <w:p w:rsidR="00C36575" w:rsidRDefault="00C36575">
          <w:pPr>
            <w:pStyle w:val="HeaderActNameRight"/>
            <w:ind w:right="17"/>
          </w:pPr>
          <w:fldSimple w:instr=" Styleref &quot;Name of Act/Reg&quot; ">
            <w:r w:rsidR="00200AE3">
              <w:rPr>
                <w:noProof/>
              </w:rPr>
              <w:t>Trans-Tasman Mutual Recognition (Western Australia) (Temporary Exemptions) Regulations 2012</w:t>
            </w:r>
          </w:fldSimple>
        </w:p>
      </w:tc>
    </w:tr>
    <w:tr w:rsidR="00C36575">
      <w:tc>
        <w:tcPr>
          <w:tcW w:w="5715" w:type="dxa"/>
          <w:vAlign w:val="bottom"/>
        </w:tcPr>
        <w:p w:rsidR="00C36575" w:rsidRDefault="00C36575">
          <w:pPr>
            <w:pStyle w:val="HeaderTextRight"/>
          </w:pPr>
        </w:p>
      </w:tc>
      <w:tc>
        <w:tcPr>
          <w:tcW w:w="1548" w:type="dxa"/>
        </w:tcPr>
        <w:p w:rsidR="00C36575" w:rsidRDefault="00C36575">
          <w:pPr>
            <w:pStyle w:val="HeaderNumberRight"/>
            <w:ind w:right="17"/>
          </w:pPr>
        </w:p>
      </w:tc>
    </w:tr>
    <w:tr w:rsidR="00C36575">
      <w:tc>
        <w:tcPr>
          <w:tcW w:w="5715" w:type="dxa"/>
        </w:tcPr>
        <w:p w:rsidR="00C36575" w:rsidRDefault="00C36575">
          <w:pPr>
            <w:pStyle w:val="HeaderTextRight"/>
          </w:pPr>
        </w:p>
      </w:tc>
      <w:tc>
        <w:tcPr>
          <w:tcW w:w="1548" w:type="dxa"/>
        </w:tcPr>
        <w:p w:rsidR="00C36575" w:rsidRDefault="00C36575">
          <w:pPr>
            <w:pStyle w:val="HeaderNumberRight"/>
            <w:ind w:right="17"/>
          </w:pPr>
        </w:p>
      </w:tc>
    </w:tr>
    <w:tr w:rsidR="00C36575">
      <w:tc>
        <w:tcPr>
          <w:tcW w:w="5715" w:type="dxa"/>
        </w:tcPr>
        <w:p w:rsidR="00C36575" w:rsidRDefault="00C36575">
          <w:pPr>
            <w:pStyle w:val="HeaderTextRight"/>
          </w:pPr>
        </w:p>
      </w:tc>
      <w:tc>
        <w:tcPr>
          <w:tcW w:w="1548" w:type="dxa"/>
        </w:tcPr>
        <w:p w:rsidR="00C36575" w:rsidRDefault="00C36575">
          <w:pPr>
            <w:pStyle w:val="HeaderNumberRight"/>
            <w:ind w:right="17"/>
          </w:pPr>
        </w:p>
      </w:tc>
    </w:tr>
  </w:tbl>
  <w:p w:rsidR="00C36575" w:rsidRDefault="00C36575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75" w:rsidRDefault="00C36575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75" w:rsidRDefault="00C365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75" w:rsidRDefault="00C365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75" w:rsidRDefault="00C3657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36575">
      <w:trPr>
        <w:cantSplit/>
      </w:trPr>
      <w:tc>
        <w:tcPr>
          <w:tcW w:w="7258" w:type="dxa"/>
          <w:gridSpan w:val="2"/>
        </w:tcPr>
        <w:p w:rsidR="00C36575" w:rsidRDefault="00C36575">
          <w:pPr>
            <w:pStyle w:val="HeaderActNameLeft"/>
          </w:pPr>
          <w:fldSimple w:instr=" Styleref &quot;Name of Act/Reg&quot; ">
            <w:r w:rsidR="00200AE3">
              <w:rPr>
                <w:noProof/>
              </w:rPr>
              <w:t>Trans-Tasman Mutual Recognition (Western Australia) (Temporary Exemptions) Regulations 2012</w:t>
            </w:r>
          </w:fldSimple>
        </w:p>
      </w:tc>
    </w:tr>
    <w:tr w:rsidR="00C36575">
      <w:tc>
        <w:tcPr>
          <w:tcW w:w="1548" w:type="dxa"/>
        </w:tcPr>
        <w:p w:rsidR="00C36575" w:rsidRDefault="00C36575">
          <w:pPr>
            <w:pStyle w:val="HeaderNumberLeft"/>
          </w:pPr>
        </w:p>
      </w:tc>
      <w:tc>
        <w:tcPr>
          <w:tcW w:w="5715" w:type="dxa"/>
        </w:tcPr>
        <w:p w:rsidR="00C36575" w:rsidRDefault="00C36575">
          <w:pPr>
            <w:pStyle w:val="HeaderTextLeft"/>
          </w:pPr>
        </w:p>
      </w:tc>
    </w:tr>
    <w:tr w:rsidR="00C36575">
      <w:tc>
        <w:tcPr>
          <w:tcW w:w="1548" w:type="dxa"/>
        </w:tcPr>
        <w:p w:rsidR="00C36575" w:rsidRDefault="00C36575">
          <w:pPr>
            <w:pStyle w:val="HeaderNumberLeft"/>
          </w:pPr>
        </w:p>
      </w:tc>
      <w:tc>
        <w:tcPr>
          <w:tcW w:w="5715" w:type="dxa"/>
        </w:tcPr>
        <w:p w:rsidR="00C36575" w:rsidRDefault="00C36575">
          <w:pPr>
            <w:pStyle w:val="HeaderTextLeft"/>
          </w:pPr>
        </w:p>
      </w:tc>
    </w:tr>
    <w:tr w:rsidR="00C36575">
      <w:trPr>
        <w:cantSplit/>
      </w:trPr>
      <w:tc>
        <w:tcPr>
          <w:tcW w:w="7258" w:type="dxa"/>
          <w:gridSpan w:val="2"/>
        </w:tcPr>
        <w:p w:rsidR="00C36575" w:rsidRDefault="00C36575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36575" w:rsidRDefault="00C36575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36575">
      <w:trPr>
        <w:cantSplit/>
      </w:trPr>
      <w:tc>
        <w:tcPr>
          <w:tcW w:w="7258" w:type="dxa"/>
          <w:gridSpan w:val="2"/>
        </w:tcPr>
        <w:p w:rsidR="00C36575" w:rsidRDefault="00C36575">
          <w:pPr>
            <w:pStyle w:val="HeaderActNameRight"/>
            <w:ind w:right="17"/>
          </w:pPr>
          <w:fldSimple w:instr=" Styleref &quot;Name of Act/Reg&quot; ">
            <w:r w:rsidR="00200AE3">
              <w:rPr>
                <w:noProof/>
              </w:rPr>
              <w:t>Trans-Tasman Mutual Recognition (Western Australia) (Temporary Exemptions) Regulations 2012</w:t>
            </w:r>
          </w:fldSimple>
        </w:p>
      </w:tc>
    </w:tr>
    <w:tr w:rsidR="00C36575">
      <w:tc>
        <w:tcPr>
          <w:tcW w:w="5715" w:type="dxa"/>
        </w:tcPr>
        <w:p w:rsidR="00C36575" w:rsidRDefault="00C36575">
          <w:pPr>
            <w:pStyle w:val="HeaderTextRight"/>
          </w:pPr>
        </w:p>
      </w:tc>
      <w:tc>
        <w:tcPr>
          <w:tcW w:w="1548" w:type="dxa"/>
        </w:tcPr>
        <w:p w:rsidR="00C36575" w:rsidRDefault="00C36575">
          <w:pPr>
            <w:pStyle w:val="HeaderNumberRight"/>
            <w:ind w:right="17"/>
          </w:pPr>
        </w:p>
      </w:tc>
    </w:tr>
    <w:tr w:rsidR="00C36575">
      <w:tc>
        <w:tcPr>
          <w:tcW w:w="5715" w:type="dxa"/>
        </w:tcPr>
        <w:p w:rsidR="00C36575" w:rsidRDefault="00C36575">
          <w:pPr>
            <w:pStyle w:val="HeaderTextRight"/>
          </w:pPr>
        </w:p>
      </w:tc>
      <w:tc>
        <w:tcPr>
          <w:tcW w:w="1548" w:type="dxa"/>
        </w:tcPr>
        <w:p w:rsidR="00C36575" w:rsidRDefault="00C36575">
          <w:pPr>
            <w:pStyle w:val="HeaderNumberRight"/>
            <w:ind w:right="17"/>
          </w:pPr>
        </w:p>
      </w:tc>
    </w:tr>
    <w:tr w:rsidR="00C36575">
      <w:trPr>
        <w:cantSplit/>
      </w:trPr>
      <w:tc>
        <w:tcPr>
          <w:tcW w:w="7258" w:type="dxa"/>
          <w:gridSpan w:val="2"/>
        </w:tcPr>
        <w:p w:rsidR="00C36575" w:rsidRDefault="00C36575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36575" w:rsidRDefault="00C36575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92"/>
      <w:gridCol w:w="5871"/>
    </w:tblGrid>
    <w:tr w:rsidR="00C36575">
      <w:trPr>
        <w:cantSplit/>
      </w:trPr>
      <w:tc>
        <w:tcPr>
          <w:tcW w:w="7263" w:type="dxa"/>
          <w:gridSpan w:val="2"/>
        </w:tcPr>
        <w:p w:rsidR="00C36575" w:rsidRDefault="00C36575">
          <w:pPr>
            <w:pStyle w:val="HeaderActNameLeft"/>
          </w:pPr>
          <w:fldSimple w:instr=" Styleref &quot;Name of Act/Reg&quot; ">
            <w:r w:rsidR="00200AE3">
              <w:rPr>
                <w:noProof/>
              </w:rPr>
              <w:t>Trans-Tasman Mutual Recognition (Western Australia) (Temporary Exemptions) Regulations 2012</w:t>
            </w:r>
          </w:fldSimple>
        </w:p>
      </w:tc>
    </w:tr>
    <w:tr w:rsidR="00C36575">
      <w:tc>
        <w:tcPr>
          <w:tcW w:w="1392" w:type="dxa"/>
        </w:tcPr>
        <w:p w:rsidR="00C36575" w:rsidRDefault="00C3657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871" w:type="dxa"/>
          <w:vAlign w:val="bottom"/>
        </w:tcPr>
        <w:p w:rsidR="00C36575" w:rsidRDefault="00C3657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36575">
      <w:tc>
        <w:tcPr>
          <w:tcW w:w="1392" w:type="dxa"/>
        </w:tcPr>
        <w:p w:rsidR="00C36575" w:rsidRDefault="00C3657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871" w:type="dxa"/>
          <w:vAlign w:val="bottom"/>
        </w:tcPr>
        <w:p w:rsidR="00C36575" w:rsidRDefault="00C3657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36575">
      <w:trPr>
        <w:cantSplit/>
      </w:trPr>
      <w:tc>
        <w:tcPr>
          <w:tcW w:w="7263" w:type="dxa"/>
          <w:gridSpan w:val="2"/>
        </w:tcPr>
        <w:p w:rsidR="00C36575" w:rsidRDefault="00C36575">
          <w:pPr>
            <w:pStyle w:val="HeaderSectionLeft"/>
          </w:pPr>
          <w:r>
            <w:t xml:space="preserve">r. </w:t>
          </w:r>
          <w:fldSimple w:instr=" styleref CharSectno ">
            <w:r w:rsidR="00200AE3">
              <w:rPr>
                <w:noProof/>
              </w:rPr>
              <w:t>1</w:t>
            </w:r>
          </w:fldSimple>
        </w:p>
      </w:tc>
    </w:tr>
  </w:tbl>
  <w:p w:rsidR="00C36575" w:rsidRDefault="00C36575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52"/>
      <w:gridCol w:w="1311"/>
    </w:tblGrid>
    <w:tr w:rsidR="00C36575">
      <w:trPr>
        <w:cantSplit/>
      </w:trPr>
      <w:tc>
        <w:tcPr>
          <w:tcW w:w="7263" w:type="dxa"/>
          <w:gridSpan w:val="2"/>
        </w:tcPr>
        <w:p w:rsidR="00C36575" w:rsidRDefault="00C36575">
          <w:pPr>
            <w:pStyle w:val="HeaderActNameRight"/>
            <w:ind w:right="17"/>
          </w:pPr>
          <w:fldSimple w:instr=" Styleref &quot;Name of Act/Reg&quot; ">
            <w:r w:rsidR="00200AE3">
              <w:rPr>
                <w:noProof/>
              </w:rPr>
              <w:t>Trans-Tasman Mutual Recognition (Western Australia) (Temporary Exemptions) Regulations 2012</w:t>
            </w:r>
          </w:fldSimple>
        </w:p>
      </w:tc>
    </w:tr>
    <w:tr w:rsidR="00C36575">
      <w:tc>
        <w:tcPr>
          <w:tcW w:w="5952" w:type="dxa"/>
          <w:vAlign w:val="bottom"/>
        </w:tcPr>
        <w:p w:rsidR="00C36575" w:rsidRDefault="00C3657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11" w:type="dxa"/>
        </w:tcPr>
        <w:p w:rsidR="00C36575" w:rsidRDefault="00C365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36575">
      <w:tc>
        <w:tcPr>
          <w:tcW w:w="5952" w:type="dxa"/>
          <w:vAlign w:val="bottom"/>
        </w:tcPr>
        <w:p w:rsidR="00C36575" w:rsidRDefault="00C3657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11" w:type="dxa"/>
        </w:tcPr>
        <w:p w:rsidR="00C36575" w:rsidRDefault="00C36575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36575">
      <w:trPr>
        <w:cantSplit/>
      </w:trPr>
      <w:tc>
        <w:tcPr>
          <w:tcW w:w="7263" w:type="dxa"/>
          <w:gridSpan w:val="2"/>
        </w:tcPr>
        <w:p w:rsidR="00C36575" w:rsidRDefault="00C36575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200AE3">
              <w:rPr>
                <w:noProof/>
              </w:rPr>
              <w:t>1</w:t>
            </w:r>
          </w:fldSimple>
        </w:p>
      </w:tc>
    </w:tr>
  </w:tbl>
  <w:p w:rsidR="00C36575" w:rsidRDefault="00C36575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75" w:rsidRDefault="00C3657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36575">
      <w:trPr>
        <w:cantSplit/>
      </w:trPr>
      <w:tc>
        <w:tcPr>
          <w:tcW w:w="7258" w:type="dxa"/>
          <w:gridSpan w:val="2"/>
        </w:tcPr>
        <w:p w:rsidR="00C36575" w:rsidRDefault="00200AE3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Trans-Tasman Mutual Recognition (Western Australia) (Temporary Exemptions) Regulations 2012</w:t>
          </w:r>
          <w:r>
            <w:rPr>
              <w:noProof/>
            </w:rPr>
            <w:fldChar w:fldCharType="end"/>
          </w:r>
        </w:p>
      </w:tc>
    </w:tr>
    <w:tr w:rsidR="00C36575">
      <w:tc>
        <w:tcPr>
          <w:tcW w:w="1548" w:type="dxa"/>
        </w:tcPr>
        <w:p w:rsidR="00C36575" w:rsidRDefault="00C36575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C36575" w:rsidRDefault="00C36575">
          <w:pPr>
            <w:pStyle w:val="HeaderTextLeft"/>
          </w:pPr>
        </w:p>
      </w:tc>
    </w:tr>
    <w:tr w:rsidR="00C36575">
      <w:tc>
        <w:tcPr>
          <w:tcW w:w="1548" w:type="dxa"/>
        </w:tcPr>
        <w:p w:rsidR="00C36575" w:rsidRDefault="00C36575"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 w:rsidR="00C36575" w:rsidRDefault="00C36575">
          <w:pPr>
            <w:pStyle w:val="HeaderTextLeft"/>
          </w:pPr>
        </w:p>
      </w:tc>
    </w:tr>
    <w:tr w:rsidR="00C36575">
      <w:tc>
        <w:tcPr>
          <w:tcW w:w="1548" w:type="dxa"/>
        </w:tcPr>
        <w:p w:rsidR="00C36575" w:rsidRDefault="00C36575">
          <w:pPr>
            <w:pStyle w:val="HeaderNumberLeft"/>
          </w:pPr>
        </w:p>
      </w:tc>
      <w:tc>
        <w:tcPr>
          <w:tcW w:w="5715" w:type="dxa"/>
        </w:tcPr>
        <w:p w:rsidR="00C36575" w:rsidRDefault="00C36575">
          <w:pPr>
            <w:pStyle w:val="HeaderTextLeft"/>
          </w:pPr>
        </w:p>
      </w:tc>
    </w:tr>
  </w:tbl>
  <w:p w:rsidR="00C36575" w:rsidRDefault="00C36575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3C"/>
    <w:rsid w:val="00007B54"/>
    <w:rsid w:val="00022AB3"/>
    <w:rsid w:val="000351C4"/>
    <w:rsid w:val="00035BD3"/>
    <w:rsid w:val="00036B23"/>
    <w:rsid w:val="0004425F"/>
    <w:rsid w:val="00056C98"/>
    <w:rsid w:val="0006496C"/>
    <w:rsid w:val="000677CC"/>
    <w:rsid w:val="00091C60"/>
    <w:rsid w:val="0009344D"/>
    <w:rsid w:val="000B7BC0"/>
    <w:rsid w:val="000C724B"/>
    <w:rsid w:val="000D1E57"/>
    <w:rsid w:val="000D4DF5"/>
    <w:rsid w:val="000D5983"/>
    <w:rsid w:val="001003B6"/>
    <w:rsid w:val="00104927"/>
    <w:rsid w:val="00132489"/>
    <w:rsid w:val="00144146"/>
    <w:rsid w:val="00144DFE"/>
    <w:rsid w:val="0015080A"/>
    <w:rsid w:val="00161147"/>
    <w:rsid w:val="00171FF7"/>
    <w:rsid w:val="00192235"/>
    <w:rsid w:val="00193222"/>
    <w:rsid w:val="001C06CA"/>
    <w:rsid w:val="001D05E3"/>
    <w:rsid w:val="001D269A"/>
    <w:rsid w:val="001E3E7B"/>
    <w:rsid w:val="00200AE3"/>
    <w:rsid w:val="002020EF"/>
    <w:rsid w:val="00214D26"/>
    <w:rsid w:val="00237D07"/>
    <w:rsid w:val="00244365"/>
    <w:rsid w:val="00246AEF"/>
    <w:rsid w:val="00291F48"/>
    <w:rsid w:val="00292F46"/>
    <w:rsid w:val="00296AED"/>
    <w:rsid w:val="002C4E73"/>
    <w:rsid w:val="002D41D3"/>
    <w:rsid w:val="002E2DC6"/>
    <w:rsid w:val="003357C0"/>
    <w:rsid w:val="00336C15"/>
    <w:rsid w:val="0034284E"/>
    <w:rsid w:val="0035564E"/>
    <w:rsid w:val="00370B3A"/>
    <w:rsid w:val="0037237A"/>
    <w:rsid w:val="003758B0"/>
    <w:rsid w:val="00380E00"/>
    <w:rsid w:val="00384A30"/>
    <w:rsid w:val="00387106"/>
    <w:rsid w:val="003A5576"/>
    <w:rsid w:val="003D28F0"/>
    <w:rsid w:val="003E5695"/>
    <w:rsid w:val="003F5DD7"/>
    <w:rsid w:val="004057C6"/>
    <w:rsid w:val="004066BD"/>
    <w:rsid w:val="004117C5"/>
    <w:rsid w:val="00416D34"/>
    <w:rsid w:val="00440243"/>
    <w:rsid w:val="00477D23"/>
    <w:rsid w:val="00483C33"/>
    <w:rsid w:val="0049002E"/>
    <w:rsid w:val="004A059A"/>
    <w:rsid w:val="004A26FC"/>
    <w:rsid w:val="004A393B"/>
    <w:rsid w:val="004A4996"/>
    <w:rsid w:val="004B5A0B"/>
    <w:rsid w:val="004B5F1A"/>
    <w:rsid w:val="004D69D7"/>
    <w:rsid w:val="004F1425"/>
    <w:rsid w:val="004F41A4"/>
    <w:rsid w:val="004F59CF"/>
    <w:rsid w:val="004F6299"/>
    <w:rsid w:val="00501775"/>
    <w:rsid w:val="005116A4"/>
    <w:rsid w:val="00532DF3"/>
    <w:rsid w:val="00547CBB"/>
    <w:rsid w:val="00551939"/>
    <w:rsid w:val="0055595C"/>
    <w:rsid w:val="00564AE1"/>
    <w:rsid w:val="00567A30"/>
    <w:rsid w:val="0058445D"/>
    <w:rsid w:val="00585592"/>
    <w:rsid w:val="00590D8C"/>
    <w:rsid w:val="00591B57"/>
    <w:rsid w:val="00591D98"/>
    <w:rsid w:val="005936E5"/>
    <w:rsid w:val="005A3700"/>
    <w:rsid w:val="005C3E98"/>
    <w:rsid w:val="005E3DCE"/>
    <w:rsid w:val="005F2E1A"/>
    <w:rsid w:val="005F794D"/>
    <w:rsid w:val="00646B63"/>
    <w:rsid w:val="006554F8"/>
    <w:rsid w:val="006A3524"/>
    <w:rsid w:val="006C3AB7"/>
    <w:rsid w:val="006D17DB"/>
    <w:rsid w:val="006E6CD7"/>
    <w:rsid w:val="006E773A"/>
    <w:rsid w:val="007214B2"/>
    <w:rsid w:val="00726B4D"/>
    <w:rsid w:val="00735987"/>
    <w:rsid w:val="00750F73"/>
    <w:rsid w:val="00760AC2"/>
    <w:rsid w:val="007864A5"/>
    <w:rsid w:val="007909C0"/>
    <w:rsid w:val="007B6541"/>
    <w:rsid w:val="007C18A5"/>
    <w:rsid w:val="007C3F8C"/>
    <w:rsid w:val="007D1B80"/>
    <w:rsid w:val="007F133D"/>
    <w:rsid w:val="008169AF"/>
    <w:rsid w:val="0083477D"/>
    <w:rsid w:val="00842C49"/>
    <w:rsid w:val="00845C21"/>
    <w:rsid w:val="008511A5"/>
    <w:rsid w:val="0087195D"/>
    <w:rsid w:val="00893035"/>
    <w:rsid w:val="008B2869"/>
    <w:rsid w:val="008C07C8"/>
    <w:rsid w:val="008C3E97"/>
    <w:rsid w:val="009114A2"/>
    <w:rsid w:val="0093549F"/>
    <w:rsid w:val="00942143"/>
    <w:rsid w:val="00947041"/>
    <w:rsid w:val="0095504A"/>
    <w:rsid w:val="0096215C"/>
    <w:rsid w:val="00970C10"/>
    <w:rsid w:val="00993A97"/>
    <w:rsid w:val="0099762A"/>
    <w:rsid w:val="009D400D"/>
    <w:rsid w:val="009F4799"/>
    <w:rsid w:val="00A14FB2"/>
    <w:rsid w:val="00A30F85"/>
    <w:rsid w:val="00A405A8"/>
    <w:rsid w:val="00A67071"/>
    <w:rsid w:val="00A71055"/>
    <w:rsid w:val="00A769AE"/>
    <w:rsid w:val="00A76F17"/>
    <w:rsid w:val="00A91E8A"/>
    <w:rsid w:val="00A96FEF"/>
    <w:rsid w:val="00AA13F1"/>
    <w:rsid w:val="00AA156B"/>
    <w:rsid w:val="00AC0CC9"/>
    <w:rsid w:val="00AC0D13"/>
    <w:rsid w:val="00AC7A6D"/>
    <w:rsid w:val="00AD794E"/>
    <w:rsid w:val="00B17B3F"/>
    <w:rsid w:val="00B3410E"/>
    <w:rsid w:val="00B36C8D"/>
    <w:rsid w:val="00B50F0E"/>
    <w:rsid w:val="00B56C8E"/>
    <w:rsid w:val="00B62029"/>
    <w:rsid w:val="00B669C6"/>
    <w:rsid w:val="00BA1B2B"/>
    <w:rsid w:val="00BA4B9E"/>
    <w:rsid w:val="00BB101B"/>
    <w:rsid w:val="00BC1754"/>
    <w:rsid w:val="00BC7472"/>
    <w:rsid w:val="00BE575E"/>
    <w:rsid w:val="00BE7960"/>
    <w:rsid w:val="00BF7F14"/>
    <w:rsid w:val="00C01002"/>
    <w:rsid w:val="00C03011"/>
    <w:rsid w:val="00C06841"/>
    <w:rsid w:val="00C171F9"/>
    <w:rsid w:val="00C20A1A"/>
    <w:rsid w:val="00C36575"/>
    <w:rsid w:val="00C8513C"/>
    <w:rsid w:val="00CA2C7F"/>
    <w:rsid w:val="00CD754A"/>
    <w:rsid w:val="00CE0ABA"/>
    <w:rsid w:val="00CF06EF"/>
    <w:rsid w:val="00D02D0F"/>
    <w:rsid w:val="00D04FAA"/>
    <w:rsid w:val="00D3241F"/>
    <w:rsid w:val="00D45589"/>
    <w:rsid w:val="00D50E8B"/>
    <w:rsid w:val="00DA13AC"/>
    <w:rsid w:val="00DA7C1E"/>
    <w:rsid w:val="00DB1D84"/>
    <w:rsid w:val="00DD0609"/>
    <w:rsid w:val="00DD0A7C"/>
    <w:rsid w:val="00DE7374"/>
    <w:rsid w:val="00E14E60"/>
    <w:rsid w:val="00E27B10"/>
    <w:rsid w:val="00E470D7"/>
    <w:rsid w:val="00E53B33"/>
    <w:rsid w:val="00E804E8"/>
    <w:rsid w:val="00EA0BF2"/>
    <w:rsid w:val="00EA12FF"/>
    <w:rsid w:val="00ED52F3"/>
    <w:rsid w:val="00EE1D3C"/>
    <w:rsid w:val="00EF0D3D"/>
    <w:rsid w:val="00F02E71"/>
    <w:rsid w:val="00F0517C"/>
    <w:rsid w:val="00F07E81"/>
    <w:rsid w:val="00F445C7"/>
    <w:rsid w:val="00F450DD"/>
    <w:rsid w:val="00F61119"/>
    <w:rsid w:val="00F747B5"/>
    <w:rsid w:val="00F81323"/>
    <w:rsid w:val="00F846C0"/>
    <w:rsid w:val="00FC6B4C"/>
    <w:rsid w:val="00FD352A"/>
    <w:rsid w:val="00FE6B35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rsid w:val="005936E5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rsid w:val="005936E5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5936E5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rsid w:val="005936E5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5936E5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rsid w:val="005936E5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5936E5"/>
  </w:style>
  <w:style w:type="paragraph" w:customStyle="1" w:styleId="Ednotepenpara">
    <w:name w:val="Ednote(penpara)"/>
    <w:basedOn w:val="Ednotepara"/>
    <w:rsid w:val="005936E5"/>
  </w:style>
  <w:style w:type="paragraph" w:customStyle="1" w:styleId="Ednotepensubpara">
    <w:name w:val="Ednote(pensubpara)"/>
    <w:basedOn w:val="Ednotesubpara"/>
    <w:rsid w:val="005936E5"/>
  </w:style>
  <w:style w:type="paragraph" w:customStyle="1" w:styleId="Ednotesection">
    <w:name w:val="Ednote(section)"/>
    <w:rsid w:val="005936E5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rsid w:val="005936E5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rsid w:val="005936E5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5936E5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5936E5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5936E5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5936E5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5936E5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5936E5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5936E5"/>
  </w:style>
  <w:style w:type="paragraph" w:customStyle="1" w:styleId="Ednotesubdivision">
    <w:name w:val="Ednote(subdivision)"/>
    <w:basedOn w:val="Ednotepart"/>
    <w:rsid w:val="005936E5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5936E5"/>
    <w:rPr>
      <w:i w:val="0"/>
      <w:sz w:val="22"/>
    </w:rPr>
  </w:style>
  <w:style w:type="paragraph" w:customStyle="1" w:styleId="yEdnotedefpara">
    <w:name w:val="yEdnote(defpara)"/>
    <w:basedOn w:val="Ednotedefpara"/>
    <w:rsid w:val="005936E5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5936E5"/>
    <w:rPr>
      <w:i w:val="0"/>
      <w:sz w:val="22"/>
    </w:rPr>
  </w:style>
  <w:style w:type="paragraph" w:customStyle="1" w:styleId="yEdnoteschedule">
    <w:name w:val="yEdnote(schedule)"/>
    <w:basedOn w:val="yEdnotesection"/>
    <w:rsid w:val="005936E5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5936E5"/>
  </w:style>
  <w:style w:type="paragraph" w:customStyle="1" w:styleId="yEdnotesubdivision">
    <w:name w:val="yEdnote(subdivision)"/>
    <w:basedOn w:val="yEdnoteschedule"/>
    <w:rsid w:val="005936E5"/>
  </w:style>
  <w:style w:type="paragraph" w:customStyle="1" w:styleId="yEdnotesubsection">
    <w:name w:val="yEdnote(subsection)"/>
    <w:basedOn w:val="Ednotesubsection"/>
    <w:rsid w:val="005936E5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  <w:rPr>
      <w:lang w:eastAsia="en-US"/>
    </w:rPr>
  </w:style>
  <w:style w:type="paragraph" w:customStyle="1" w:styleId="SignatureText">
    <w:name w:val="SignatureText"/>
    <w:basedOn w:val="Normal"/>
    <w:rsid w:val="00214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rsid w:val="005936E5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rsid w:val="005936E5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5936E5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rsid w:val="005936E5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5936E5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rsid w:val="005936E5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5936E5"/>
  </w:style>
  <w:style w:type="paragraph" w:customStyle="1" w:styleId="Ednotepenpara">
    <w:name w:val="Ednote(penpara)"/>
    <w:basedOn w:val="Ednotepara"/>
    <w:rsid w:val="005936E5"/>
  </w:style>
  <w:style w:type="paragraph" w:customStyle="1" w:styleId="Ednotepensubpara">
    <w:name w:val="Ednote(pensubpara)"/>
    <w:basedOn w:val="Ednotesubpara"/>
    <w:rsid w:val="005936E5"/>
  </w:style>
  <w:style w:type="paragraph" w:customStyle="1" w:styleId="Ednotesection">
    <w:name w:val="Ednote(section)"/>
    <w:rsid w:val="005936E5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rsid w:val="005936E5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rsid w:val="005936E5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5936E5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5936E5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5936E5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5936E5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5936E5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rsid w:val="005936E5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5936E5"/>
  </w:style>
  <w:style w:type="paragraph" w:customStyle="1" w:styleId="Ednotesubdivision">
    <w:name w:val="Ednote(subdivision)"/>
    <w:basedOn w:val="Ednotepart"/>
    <w:rsid w:val="005936E5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5936E5"/>
    <w:rPr>
      <w:i w:val="0"/>
      <w:sz w:val="22"/>
    </w:rPr>
  </w:style>
  <w:style w:type="paragraph" w:customStyle="1" w:styleId="yEdnotedefpara">
    <w:name w:val="yEdnote(defpara)"/>
    <w:basedOn w:val="Ednotedefpara"/>
    <w:rsid w:val="005936E5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5936E5"/>
    <w:rPr>
      <w:i w:val="0"/>
      <w:sz w:val="22"/>
    </w:rPr>
  </w:style>
  <w:style w:type="paragraph" w:customStyle="1" w:styleId="yEdnoteschedule">
    <w:name w:val="yEdnote(schedule)"/>
    <w:basedOn w:val="yEdnotesection"/>
    <w:rsid w:val="005936E5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5936E5"/>
  </w:style>
  <w:style w:type="paragraph" w:customStyle="1" w:styleId="yEdnotesubdivision">
    <w:name w:val="yEdnote(subdivision)"/>
    <w:basedOn w:val="yEdnoteschedule"/>
    <w:rsid w:val="005936E5"/>
  </w:style>
  <w:style w:type="paragraph" w:customStyle="1" w:styleId="yEdnotesubsection">
    <w:name w:val="yEdnote(subsection)"/>
    <w:basedOn w:val="Ednotesubsection"/>
    <w:rsid w:val="005936E5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  <w:rPr>
      <w:lang w:eastAsia="en-US"/>
    </w:rPr>
  </w:style>
  <w:style w:type="paragraph" w:customStyle="1" w:styleId="SignatureText">
    <w:name w:val="SignatureText"/>
    <w:basedOn w:val="Normal"/>
    <w:rsid w:val="0021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363</Words>
  <Characters>2119</Characters>
  <Application>Microsoft Office Word</Application>
  <DocSecurity>0</DocSecurity>
  <Lines>88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Western Australia</vt:lpstr>
      <vt:lpstr>Trans-Tasman Mutual Recognition (Western Australia) (Temporary Exemptions) Regul</vt:lpstr>
      <vt:lpstr>    Notes</vt:lpstr>
    </vt:vector>
  </TitlesOfParts>
  <Company>Parliamentary Counsel's Office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Trans-Tasman Mutual Recognition (Western Australia) (Temporary Exemptions) Regulations 2012 - 00-b0-01</dc:title>
  <dc:subject>Subsidiary Legislation</dc:subject>
  <dc:creator>Clare Dias</dc:creator>
  <cp:keywords/>
  <dc:description>V1.1</dc:description>
  <cp:lastModifiedBy>svcMRProcess</cp:lastModifiedBy>
  <cp:revision>4</cp:revision>
  <cp:lastPrinted>2012-10-18T03:28:00Z</cp:lastPrinted>
  <dcterms:created xsi:type="dcterms:W3CDTF">2013-02-19T03:08:00Z</dcterms:created>
  <dcterms:modified xsi:type="dcterms:W3CDTF">2013-02-19T03:08:00Z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Nov 2012 p 5644-5</vt:lpwstr>
  </property>
  <property fmtid="{D5CDD505-2E9C-101B-9397-08002B2CF9AE}" pid="3" name="CommencementDate">
    <vt:lpwstr>20130130</vt:lpwstr>
  </property>
  <property fmtid="{D5CDD505-2E9C-101B-9397-08002B2CF9AE}" pid="4" name="AsAtDate">
    <vt:lpwstr>30 Jan 2013</vt:lpwstr>
  </property>
  <property fmtid="{D5CDD505-2E9C-101B-9397-08002B2CF9AE}" pid="5" name="Suffix">
    <vt:lpwstr>00-b0-01</vt:lpwstr>
  </property>
  <property fmtid="{D5CDD505-2E9C-101B-9397-08002B2CF9AE}" pid="6" name="DocumentType">
    <vt:lpwstr>Reg</vt:lpwstr>
  </property>
</Properties>
</file>