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Biosecurity and Agriculture Management Act 2007</w:t>
      </w:r>
    </w:p>
    <w:p>
      <w:pPr>
        <w:pStyle w:val="NameofActRegPage1"/>
        <w:spacing w:before="1800" w:after="420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_Toc347827423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_Toc347827424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_Toc347827426 \h </w:instrText>
      </w:r>
      <w:r>
        <w:fldChar w:fldCharType="separate"/>
      </w:r>
      <w:r>
        <w:t>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_Toc347827427 \h </w:instrText>
      </w:r>
      <w:r>
        <w:fldChar w:fldCharType="separate"/>
      </w:r>
      <w:r>
        <w:t>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1" w:name="_Toc317151148"/>
      <w:bookmarkStart w:id="2" w:name="_Toc324145275"/>
      <w:bookmarkStart w:id="3" w:name="_Toc324150350"/>
      <w:bookmarkStart w:id="4" w:name="_Toc324150601"/>
      <w:bookmarkStart w:id="5" w:name="_Toc324155345"/>
      <w:bookmarkStart w:id="6" w:name="_Toc324155408"/>
      <w:bookmarkStart w:id="7" w:name="_Toc324157287"/>
      <w:bookmarkStart w:id="8" w:name="_Toc324170333"/>
      <w:bookmarkStart w:id="9" w:name="_Toc324170675"/>
      <w:bookmarkStart w:id="10" w:name="_Toc324172446"/>
      <w:bookmarkStart w:id="11" w:name="_Toc327281428"/>
      <w:bookmarkStart w:id="12" w:name="_Toc327281494"/>
      <w:bookmarkStart w:id="13" w:name="_Toc340660210"/>
      <w:bookmarkStart w:id="14" w:name="_Toc340660280"/>
      <w:bookmarkStart w:id="15" w:name="_Toc343176685"/>
      <w:bookmarkStart w:id="16" w:name="_Toc343176771"/>
      <w:bookmarkStart w:id="17" w:name="_Toc343240748"/>
      <w:bookmarkStart w:id="18" w:name="_Toc343246270"/>
      <w:bookmarkStart w:id="19" w:name="_Toc343500581"/>
      <w:bookmarkStart w:id="20" w:name="_Toc343502365"/>
      <w:bookmarkStart w:id="21" w:name="_Toc343503342"/>
      <w:bookmarkStart w:id="22" w:name="_Toc343503428"/>
      <w:bookmarkStart w:id="23" w:name="_Toc343504262"/>
      <w:bookmarkStart w:id="24" w:name="_Toc343504540"/>
      <w:bookmarkStart w:id="25" w:name="_Toc343504937"/>
      <w:bookmarkStart w:id="26" w:name="_Toc343505723"/>
      <w:bookmarkStart w:id="27" w:name="_Toc343506428"/>
      <w:bookmarkStart w:id="28" w:name="_Toc343507502"/>
      <w:bookmarkStart w:id="29" w:name="_Toc343516577"/>
      <w:bookmarkStart w:id="30" w:name="_Toc343516855"/>
      <w:bookmarkStart w:id="31" w:name="_Toc345488334"/>
      <w:bookmarkStart w:id="32" w:name="_Toc345659869"/>
      <w:bookmarkStart w:id="33" w:name="_Toc345661128"/>
      <w:bookmarkStart w:id="34" w:name="_Toc345661323"/>
      <w:bookmarkStart w:id="35" w:name="_Toc347747609"/>
      <w:bookmarkStart w:id="36" w:name="_Toc347747977"/>
      <w:bookmarkStart w:id="37" w:name="_Toc347749500"/>
      <w:bookmarkStart w:id="38" w:name="_Toc347754507"/>
      <w:bookmarkStart w:id="39" w:name="_Toc347754856"/>
      <w:bookmarkStart w:id="40" w:name="_Toc3478274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423332722"/>
      <w:bookmarkStart w:id="42" w:name="_Toc425219441"/>
      <w:bookmarkStart w:id="43" w:name="_Toc426249308"/>
      <w:bookmarkStart w:id="44" w:name="_Toc449924704"/>
      <w:bookmarkStart w:id="45" w:name="_Toc449947722"/>
      <w:bookmarkStart w:id="46" w:name="_Toc454185713"/>
      <w:bookmarkStart w:id="47" w:name="_Toc515958686"/>
      <w:bookmarkStart w:id="48" w:name="_Toc317151149"/>
      <w:bookmarkStart w:id="49" w:name="_Toc345661324"/>
      <w:bookmarkStart w:id="50" w:name="_Toc347747610"/>
      <w:bookmarkStart w:id="51" w:name="_Toc347827423"/>
      <w:r>
        <w:rPr>
          <w:rStyle w:val="CharSectno"/>
        </w:rPr>
        <w:t>1</w:t>
      </w:r>
      <w:r>
        <w:t>.</w:t>
      </w:r>
      <w:r>
        <w:tab/>
        <w:t>Citation</w:t>
      </w:r>
      <w:bookmarkEnd w:id="41"/>
      <w:bookmarkEnd w:id="42"/>
      <w:bookmarkEnd w:id="43"/>
      <w:bookmarkEnd w:id="44"/>
      <w:bookmarkEnd w:id="45"/>
      <w:bookmarkEnd w:id="46"/>
      <w:bookmarkEnd w:id="47"/>
      <w:bookmarkEnd w:id="48"/>
      <w:bookmarkEnd w:id="49"/>
      <w:bookmarkEnd w:id="50"/>
      <w:bookmarkEnd w:id="51"/>
    </w:p>
    <w:p>
      <w:pPr>
        <w:pStyle w:val="Subsection"/>
        <w:rPr>
          <w:i/>
        </w:rPr>
      </w:pPr>
      <w:r>
        <w:tab/>
      </w:r>
      <w:r>
        <w:tab/>
      </w:r>
      <w:bookmarkStart w:id="52" w:name="Start_Cursor"/>
      <w:bookmarkEnd w:id="52"/>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53" w:name="_Toc423332723"/>
      <w:bookmarkStart w:id="54" w:name="_Toc425219442"/>
      <w:bookmarkStart w:id="55" w:name="_Toc426249309"/>
      <w:bookmarkStart w:id="56" w:name="_Toc449924705"/>
      <w:bookmarkStart w:id="57" w:name="_Toc449947723"/>
      <w:bookmarkStart w:id="58" w:name="_Toc454185714"/>
      <w:bookmarkStart w:id="59" w:name="_Toc515958687"/>
      <w:bookmarkStart w:id="60" w:name="_Toc317151150"/>
      <w:bookmarkStart w:id="61" w:name="_Toc345661325"/>
      <w:bookmarkStart w:id="62" w:name="_Toc347747611"/>
      <w:bookmarkStart w:id="63" w:name="_Toc347827424"/>
      <w:r>
        <w:rPr>
          <w:rStyle w:val="CharSectno"/>
        </w:rPr>
        <w:t>2</w:t>
      </w:r>
      <w:r>
        <w:rPr>
          <w:spacing w:val="-2"/>
        </w:rPr>
        <w:t>.</w:t>
      </w:r>
      <w:r>
        <w:rPr>
          <w:spacing w:val="-2"/>
        </w:rPr>
        <w:tab/>
        <w:t>Commencement</w:t>
      </w:r>
      <w:bookmarkEnd w:id="53"/>
      <w:bookmarkEnd w:id="54"/>
      <w:bookmarkEnd w:id="55"/>
      <w:bookmarkEnd w:id="56"/>
      <w:bookmarkEnd w:id="57"/>
      <w:bookmarkEnd w:id="58"/>
      <w:bookmarkEnd w:id="59"/>
      <w:bookmarkEnd w:id="60"/>
      <w:bookmarkEnd w:id="61"/>
      <w:bookmarkEnd w:id="62"/>
      <w:bookmarkEnd w:id="6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Ednotesection"/>
      </w:pPr>
      <w:r>
        <w:t>[</w:t>
      </w:r>
      <w:r>
        <w:rPr>
          <w:b/>
        </w:rPr>
        <w:t>3</w:t>
      </w:r>
      <w:r>
        <w:rPr>
          <w:b/>
        </w:rPr>
        <w:noBreakHyphen/>
        <w:t>5.</w:t>
      </w:r>
      <w:r>
        <w:rPr>
          <w:b/>
        </w:rPr>
        <w:tab/>
      </w:r>
      <w:r>
        <w:t>Have not come into operation </w:t>
      </w:r>
      <w:r>
        <w:rPr>
          <w:i w:val="0"/>
          <w:vertAlign w:val="superscript"/>
        </w:rPr>
        <w:t>2</w:t>
      </w:r>
      <w:r>
        <w:rPr>
          <w:i w:val="0"/>
        </w:rPr>
        <w:t>.</w:t>
      </w:r>
      <w:r>
        <w:t>]</w:t>
      </w:r>
    </w:p>
    <w:p>
      <w:pPr>
        <w:pStyle w:val="Ednotepart"/>
      </w:pPr>
      <w:r>
        <w:t>[Parts 2</w:t>
      </w:r>
      <w:r>
        <w:noBreakHyphen/>
        <w:t>8 have not come into operation </w:t>
      </w:r>
      <w:r>
        <w:rPr>
          <w:i w:val="0"/>
          <w:vertAlign w:val="superscript"/>
        </w:rPr>
        <w:t>2</w:t>
      </w:r>
      <w:r>
        <w:rPr>
          <w:i w:val="0"/>
        </w:rPr>
        <w:t>.</w:t>
      </w:r>
      <w:r>
        <w:t>]</w:t>
      </w:r>
    </w:p>
    <w:p>
      <w:pPr>
        <w:pStyle w:val="yEdnoteschedule"/>
      </w:pPr>
      <w:bookmarkStart w:id="64" w:name="_Toc113695922"/>
      <w:r>
        <w:t>[Sch. 1</w:t>
      </w:r>
      <w:r>
        <w:noBreakHyphen/>
        <w:t>6</w:t>
      </w:r>
      <w:r>
        <w:rPr>
          <w:b/>
        </w:rPr>
        <w:t xml:space="preserve"> </w:t>
      </w:r>
      <w:r>
        <w:t>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65" w:name="_Toc347749503"/>
      <w:bookmarkStart w:id="66" w:name="_Toc347754510"/>
      <w:bookmarkStart w:id="67" w:name="_Toc347754859"/>
      <w:bookmarkStart w:id="68" w:name="_Toc347827425"/>
      <w:r>
        <w:t>Notes</w:t>
      </w:r>
      <w:bookmarkEnd w:id="64"/>
      <w:bookmarkEnd w:id="65"/>
      <w:bookmarkEnd w:id="66"/>
      <w:bookmarkEnd w:id="67"/>
      <w:bookmarkEnd w:id="68"/>
    </w:p>
    <w:p>
      <w:pPr>
        <w:pStyle w:val="nSubsection"/>
        <w:rPr>
          <w:snapToGrid w:val="0"/>
        </w:rPr>
      </w:pPr>
      <w:bookmarkStart w:id="69" w:name="_Toc70311430"/>
      <w:bookmarkStart w:id="70" w:name="_Toc113695923"/>
      <w:r>
        <w:rPr>
          <w:snapToGrid w:val="0"/>
          <w:vertAlign w:val="superscript"/>
        </w:rPr>
        <w:t>1</w:t>
      </w:r>
      <w:r>
        <w:rPr>
          <w:snapToGrid w:val="0"/>
        </w:rPr>
        <w:tab/>
        <w:t xml:space="preserve">This is a compilation of the </w:t>
      </w:r>
      <w:r>
        <w:rPr>
          <w:i/>
          <w:noProof/>
          <w:snapToGrid w:val="0"/>
        </w:rPr>
        <w:t>Biosecurity and Agriculture Management (Agriculture Standards) Regulations 2013</w:t>
      </w:r>
      <w:r>
        <w:rPr>
          <w:snapToGrid w:val="0"/>
        </w:rPr>
        <w:t>.  The following table contains information about those regulations </w:t>
      </w:r>
      <w:r>
        <w:rPr>
          <w:snapToGrid w:val="0"/>
          <w:vertAlign w:val="superscript"/>
        </w:rPr>
        <w:t>1a</w:t>
      </w:r>
      <w:r>
        <w:rPr>
          <w:snapToGrid w:val="0"/>
        </w:rPr>
        <w:t xml:space="preserve">. </w:t>
      </w:r>
    </w:p>
    <w:p>
      <w:pPr>
        <w:pStyle w:val="nHeading3"/>
      </w:pPr>
      <w:bookmarkStart w:id="71" w:name="_Toc347827426"/>
      <w:r>
        <w:t>Compilation table</w:t>
      </w:r>
      <w:bookmarkEnd w:id="69"/>
      <w:bookmarkEnd w:id="70"/>
      <w:bookmarkEnd w:id="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Pr>
          <w:p>
            <w:pPr>
              <w:pStyle w:val="nTable"/>
              <w:spacing w:after="40"/>
              <w:rPr>
                <w:sz w:val="19"/>
                <w:szCs w:val="19"/>
              </w:rPr>
            </w:pPr>
            <w:r>
              <w:rPr>
                <w:i/>
                <w:noProof/>
                <w:snapToGrid w:val="0"/>
                <w:sz w:val="19"/>
                <w:szCs w:val="19"/>
              </w:rPr>
              <w:t>Biosecurity and Agriculture Management (Agriculture Standards) Regulations 2013</w:t>
            </w:r>
            <w:r>
              <w:rPr>
                <w:noProof/>
                <w:snapToGrid w:val="0"/>
                <w:sz w:val="19"/>
                <w:szCs w:val="19"/>
              </w:rPr>
              <w:t xml:space="preserve"> r. 1 and 2</w:t>
            </w:r>
          </w:p>
        </w:tc>
        <w:tc>
          <w:tcPr>
            <w:tcW w:w="1276" w:type="dxa"/>
          </w:tcPr>
          <w:p>
            <w:pPr>
              <w:pStyle w:val="nTable"/>
              <w:spacing w:after="40"/>
              <w:rPr>
                <w:sz w:val="19"/>
                <w:szCs w:val="19"/>
              </w:rPr>
            </w:pPr>
            <w:r>
              <w:rPr>
                <w:sz w:val="19"/>
                <w:szCs w:val="19"/>
              </w:rPr>
              <w:t>5 Feb 2013 p. 763</w:t>
            </w:r>
            <w:r>
              <w:rPr>
                <w:sz w:val="19"/>
                <w:szCs w:val="19"/>
              </w:rPr>
              <w:noBreakHyphen/>
              <w:t>820</w:t>
            </w:r>
          </w:p>
        </w:tc>
        <w:tc>
          <w:tcPr>
            <w:tcW w:w="2693" w:type="dxa"/>
          </w:tcPr>
          <w:p>
            <w:pPr>
              <w:pStyle w:val="nTable"/>
              <w:spacing w:after="40"/>
              <w:rPr>
                <w:sz w:val="19"/>
                <w:szCs w:val="19"/>
              </w:rPr>
            </w:pPr>
            <w:r>
              <w:rPr>
                <w:sz w:val="19"/>
                <w:szCs w:val="19"/>
              </w:rPr>
              <w:t>5 Feb 2013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 w:name="_Toc534778309"/>
      <w:bookmarkStart w:id="73" w:name="_Toc7405063"/>
      <w:bookmarkStart w:id="74" w:name="_Toc296601212"/>
      <w:bookmarkStart w:id="75" w:name="_Toc309727460"/>
      <w:bookmarkStart w:id="76" w:name="_Toc347827427"/>
      <w:r>
        <w:rPr>
          <w:snapToGrid w:val="0"/>
        </w:rPr>
        <w:t>Provisions that have not come into operation</w:t>
      </w:r>
      <w:bookmarkEnd w:id="72"/>
      <w:bookmarkEnd w:id="73"/>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Citation</w:t>
            </w:r>
          </w:p>
        </w:tc>
        <w:tc>
          <w:tcPr>
            <w:tcW w:w="1276" w:type="dxa"/>
            <w:tcBorders>
              <w:top w:val="single" w:sz="8" w:space="0" w:color="auto"/>
              <w:bottom w:val="single" w:sz="8" w:space="0" w:color="auto"/>
            </w:tcBorders>
          </w:tcPr>
          <w:p>
            <w:pPr>
              <w:pStyle w:val="nTable"/>
              <w:keepNext/>
              <w:spacing w:before="60" w:after="60"/>
              <w:rPr>
                <w:b/>
                <w:sz w:val="19"/>
                <w:szCs w:val="19"/>
              </w:rPr>
            </w:pPr>
            <w:r>
              <w:rPr>
                <w:b/>
                <w:sz w:val="19"/>
                <w:szCs w:val="19"/>
              </w:rPr>
              <w:t>Gazettal</w:t>
            </w:r>
          </w:p>
        </w:tc>
        <w:tc>
          <w:tcPr>
            <w:tcW w:w="2693"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i/>
                <w:sz w:val="19"/>
                <w:szCs w:val="19"/>
                <w:vertAlign w:val="superscript"/>
              </w:rPr>
            </w:pPr>
            <w:r>
              <w:rPr>
                <w:i/>
                <w:noProof/>
                <w:snapToGrid w:val="0"/>
                <w:sz w:val="19"/>
                <w:szCs w:val="19"/>
              </w:rPr>
              <w:t>Biosecurity and Agriculture Management (Agriculture Standards) Regulations 2013</w:t>
            </w:r>
            <w:r>
              <w:rPr>
                <w:noProof/>
                <w:snapToGrid w:val="0"/>
                <w:sz w:val="19"/>
                <w:szCs w:val="19"/>
              </w:rPr>
              <w:t xml:space="preserve"> r. 3</w:t>
            </w:r>
            <w:r>
              <w:rPr>
                <w:noProof/>
                <w:snapToGrid w:val="0"/>
                <w:sz w:val="19"/>
                <w:szCs w:val="19"/>
              </w:rPr>
              <w:noBreakHyphen/>
              <w:t>5, Pt. 2</w:t>
            </w:r>
            <w:r>
              <w:rPr>
                <w:noProof/>
                <w:snapToGrid w:val="0"/>
                <w:sz w:val="19"/>
                <w:szCs w:val="19"/>
              </w:rPr>
              <w:noBreakHyphen/>
              <w:t>8 and Sch. 1</w:t>
            </w:r>
            <w:r>
              <w:rPr>
                <w:noProof/>
                <w:snapToGrid w:val="0"/>
                <w:sz w:val="19"/>
                <w:szCs w:val="19"/>
              </w:rPr>
              <w:noBreakHyphen/>
              <w:t>6</w:t>
            </w:r>
            <w:r>
              <w:rPr>
                <w:i/>
                <w:noProof/>
                <w:snapToGrid w:val="0"/>
                <w:sz w:val="19"/>
                <w:szCs w:val="19"/>
              </w:rPr>
              <w:t> </w:t>
            </w:r>
            <w:r>
              <w:rPr>
                <w:noProof/>
                <w:snapToGrid w:val="0"/>
                <w:sz w:val="19"/>
                <w:szCs w:val="19"/>
                <w:vertAlign w:val="superscript"/>
              </w:rPr>
              <w:t>2</w:t>
            </w:r>
          </w:p>
        </w:tc>
        <w:tc>
          <w:tcPr>
            <w:tcW w:w="1276" w:type="dxa"/>
          </w:tcPr>
          <w:p>
            <w:pPr>
              <w:pStyle w:val="nTable"/>
              <w:spacing w:after="40"/>
              <w:rPr>
                <w:sz w:val="19"/>
                <w:szCs w:val="19"/>
              </w:rPr>
            </w:pPr>
            <w:r>
              <w:rPr>
                <w:sz w:val="19"/>
                <w:szCs w:val="19"/>
              </w:rPr>
              <w:t>5 Feb 2013 p. 763</w:t>
            </w:r>
            <w:r>
              <w:rPr>
                <w:sz w:val="19"/>
                <w:szCs w:val="19"/>
              </w:rPr>
              <w:noBreakHyphen/>
              <w:t>820</w:t>
            </w:r>
          </w:p>
        </w:tc>
        <w:tc>
          <w:tcPr>
            <w:tcW w:w="2693" w:type="dxa"/>
          </w:tcPr>
          <w:p>
            <w:pPr>
              <w:pStyle w:val="nTable"/>
              <w:spacing w:after="40"/>
              <w:rPr>
                <w:sz w:val="19"/>
                <w:szCs w:val="19"/>
              </w:rPr>
            </w:pPr>
            <w:r>
              <w:rPr>
                <w:sz w:val="19"/>
                <w:szCs w:val="19"/>
              </w:rPr>
              <w:t xml:space="preserve">1 May 2013 (see r. 2(b) and </w:t>
            </w:r>
            <w:r>
              <w:rPr>
                <w:i/>
                <w:sz w:val="19"/>
                <w:szCs w:val="19"/>
              </w:rPr>
              <w:t>Gazette</w:t>
            </w:r>
            <w:r>
              <w:rPr>
                <w:sz w:val="19"/>
                <w:szCs w:val="19"/>
              </w:rPr>
              <w:t xml:space="preserve"> 5 Feb 2013 p. 823)</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Biosecurity and Agriculture Management (Agriculture Standards) Regulations 2013 </w:t>
      </w:r>
      <w:r>
        <w:rPr>
          <w:snapToGrid w:val="0"/>
        </w:rPr>
        <w:t>r. 3</w:t>
      </w:r>
      <w:r>
        <w:rPr>
          <w:snapToGrid w:val="0"/>
        </w:rPr>
        <w:noBreakHyphen/>
        <w:t>5, Pt. 2</w:t>
      </w:r>
      <w:r>
        <w:rPr>
          <w:snapToGrid w:val="0"/>
        </w:rPr>
        <w:noBreakHyphen/>
        <w:t>8 and Sch. 1</w:t>
      </w:r>
      <w:r>
        <w:rPr>
          <w:snapToGrid w:val="0"/>
        </w:rPr>
        <w:noBreakHyphen/>
        <w:t>6</w:t>
      </w:r>
      <w:r>
        <w:rPr>
          <w:i/>
          <w:snapToGrid w:val="0"/>
        </w:rPr>
        <w:t xml:space="preserve"> </w:t>
      </w:r>
      <w:r>
        <w:rPr>
          <w:snapToGrid w:val="0"/>
        </w:rPr>
        <w:t>had not come into operation.  They read as follows:</w:t>
      </w:r>
    </w:p>
    <w:p>
      <w:pPr>
        <w:pStyle w:val="BlankOpen"/>
      </w:pPr>
    </w:p>
    <w:p>
      <w:pPr>
        <w:pStyle w:val="nzHeading5"/>
        <w:rPr>
          <w:snapToGrid w:val="0"/>
        </w:rPr>
      </w:pPr>
      <w:bookmarkStart w:id="77" w:name="_Toc423332724"/>
      <w:bookmarkStart w:id="78" w:name="_Toc425219443"/>
      <w:bookmarkStart w:id="79" w:name="_Toc426249310"/>
      <w:bookmarkStart w:id="80" w:name="_Toc449924706"/>
      <w:bookmarkStart w:id="81" w:name="_Toc449947724"/>
      <w:bookmarkStart w:id="82" w:name="_Toc454185715"/>
      <w:bookmarkStart w:id="83" w:name="_Toc515958688"/>
      <w:bookmarkStart w:id="84" w:name="_Toc317151151"/>
      <w:bookmarkStart w:id="85" w:name="_Toc345661326"/>
      <w:bookmarkStart w:id="86" w:name="_Toc278295530"/>
      <w:r>
        <w:rPr>
          <w:rStyle w:val="CharSectno"/>
        </w:rPr>
        <w:t>3</w:t>
      </w:r>
      <w:r>
        <w:rPr>
          <w:snapToGrid w:val="0"/>
        </w:rPr>
        <w:t>.</w:t>
      </w:r>
      <w:r>
        <w:rPr>
          <w:snapToGrid w:val="0"/>
        </w:rPr>
        <w:tab/>
      </w:r>
      <w:bookmarkEnd w:id="77"/>
      <w:bookmarkEnd w:id="78"/>
      <w:bookmarkEnd w:id="79"/>
      <w:bookmarkEnd w:id="80"/>
      <w:bookmarkEnd w:id="81"/>
      <w:bookmarkEnd w:id="82"/>
      <w:bookmarkEnd w:id="83"/>
      <w:r>
        <w:rPr>
          <w:snapToGrid w:val="0"/>
        </w:rPr>
        <w:t>Terms used</w:t>
      </w:r>
      <w:bookmarkEnd w:id="84"/>
      <w:bookmarkEnd w:id="85"/>
      <w:r>
        <w:rPr>
          <w:snapToGrid w:val="0"/>
        </w:rPr>
        <w:t xml:space="preserve"> </w:t>
      </w:r>
      <w:bookmarkEnd w:id="86"/>
    </w:p>
    <w:p>
      <w:pPr>
        <w:pStyle w:val="nzSubsection"/>
      </w:pPr>
      <w:r>
        <w:tab/>
      </w:r>
      <w:r>
        <w:tab/>
        <w:t xml:space="preserve">In these regulations — </w:t>
      </w:r>
    </w:p>
    <w:p>
      <w:pPr>
        <w:pStyle w:val="nz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nzDefstart"/>
      </w:pPr>
      <w:r>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nzDefstart"/>
      </w:pPr>
      <w:r>
        <w:tab/>
      </w:r>
      <w:r>
        <w:rPr>
          <w:rStyle w:val="CharDefText"/>
        </w:rPr>
        <w:t>ISO</w:t>
      </w:r>
      <w:r>
        <w:t xml:space="preserve"> means the International Organisation for Standardization;</w:t>
      </w:r>
    </w:p>
    <w:p>
      <w:pPr>
        <w:pStyle w:val="nzDefstart"/>
      </w:pPr>
      <w:r>
        <w:tab/>
      </w:r>
      <w:r>
        <w:rPr>
          <w:rStyle w:val="CharDefText"/>
        </w:rPr>
        <w:t>metal contaminant</w:t>
      </w:r>
      <w:r>
        <w:t xml:space="preserve"> has the meaning given in the Food Standards Code, Standard 1.4.1 clause 2;</w:t>
      </w:r>
    </w:p>
    <w:p>
      <w:pPr>
        <w:pStyle w:val="nzDefstart"/>
      </w:pPr>
      <w:r>
        <w:tab/>
      </w:r>
      <w:r>
        <w:rPr>
          <w:rStyle w:val="CharDefText"/>
        </w:rPr>
        <w:t>non</w:t>
      </w:r>
      <w:r>
        <w:rPr>
          <w:rStyle w:val="CharDefText"/>
        </w:rPr>
        <w:noBreakHyphen/>
        <w:t>metal contaminant</w:t>
      </w:r>
      <w:r>
        <w:t xml:space="preserve"> has the meaning given in the Food Standards Code, Standard 1.4.1 clause 3;</w:t>
      </w:r>
    </w:p>
    <w:p>
      <w:pPr>
        <w:pStyle w:val="nz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nzDefstart"/>
      </w:pPr>
      <w:r>
        <w:tab/>
      </w:r>
      <w:r>
        <w:rPr>
          <w:rStyle w:val="CharDefText"/>
        </w:rPr>
        <w:t>ruminant</w:t>
      </w:r>
      <w:r>
        <w:t xml:space="preserve"> means alpaca, buffalo, camel, cattle, deer, goat, llama, sheep or any other animal that chews its cud;</w:t>
      </w:r>
    </w:p>
    <w:p>
      <w:pPr>
        <w:pStyle w:val="nzDefstart"/>
      </w:pPr>
      <w:r>
        <w:tab/>
      </w:r>
      <w:r>
        <w:rPr>
          <w:rStyle w:val="CharDefText"/>
        </w:rPr>
        <w:t>tallow</w:t>
      </w:r>
      <w:r>
        <w:t xml:space="preserve"> means any product (including, but not limited to, any product known as tallow, yellow grease or acid oil) which — </w:t>
      </w:r>
    </w:p>
    <w:p>
      <w:pPr>
        <w:pStyle w:val="nzDefpara"/>
      </w:pPr>
      <w:r>
        <w:tab/>
        <w:t>(a)</w:t>
      </w:r>
      <w:r>
        <w:tab/>
        <w:t>contains rendered fats and oils from any animal; and</w:t>
      </w:r>
    </w:p>
    <w:p>
      <w:pPr>
        <w:pStyle w:val="nz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nzDefstart"/>
      </w:pPr>
      <w:r>
        <w:tab/>
      </w:r>
      <w:r>
        <w:rPr>
          <w:rStyle w:val="CharDefText"/>
        </w:rPr>
        <w:t>test sieve</w:t>
      </w:r>
      <w:r>
        <w:t xml:space="preserve"> means a sieve certified in accordance with an ISO standard to deliver a specified aperture size;</w:t>
      </w:r>
    </w:p>
    <w:p>
      <w:pPr>
        <w:pStyle w:val="nzDefstart"/>
      </w:pPr>
      <w:r>
        <w:tab/>
      </w:r>
      <w:r>
        <w:rPr>
          <w:rStyle w:val="CharDefText"/>
        </w:rPr>
        <w:t>used cooking oil</w:t>
      </w:r>
      <w:r>
        <w:t xml:space="preserve"> means oil previously used for the purposes of cooking which — </w:t>
      </w:r>
    </w:p>
    <w:p>
      <w:pPr>
        <w:pStyle w:val="nzDefpara"/>
      </w:pPr>
      <w:r>
        <w:tab/>
        <w:t>(a)</w:t>
      </w:r>
      <w:r>
        <w:tab/>
        <w:t>has been filtered or otherwise treated to remove visible particulate matter; and</w:t>
      </w:r>
    </w:p>
    <w:p>
      <w:pPr>
        <w:pStyle w:val="nz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nzHeading5"/>
      </w:pPr>
      <w:bookmarkStart w:id="87" w:name="_Toc278295531"/>
      <w:bookmarkStart w:id="88" w:name="_Toc317151152"/>
      <w:bookmarkStart w:id="89" w:name="_Toc345661327"/>
      <w:r>
        <w:rPr>
          <w:rStyle w:val="CharSectno"/>
        </w:rPr>
        <w:t>4</w:t>
      </w:r>
      <w:r>
        <w:t>.</w:t>
      </w:r>
      <w:r>
        <w:tab/>
        <w:t>Chemical products: section 6</w:t>
      </w:r>
      <w:bookmarkEnd w:id="87"/>
      <w:bookmarkEnd w:id="88"/>
      <w:bookmarkEnd w:id="89"/>
    </w:p>
    <w:p>
      <w:pPr>
        <w:pStyle w:val="nzSubsection"/>
      </w:pPr>
      <w:r>
        <w:tab/>
      </w:r>
      <w:r>
        <w:tab/>
        <w:t xml:space="preserve">The following substances are prescribed for the purposes of the definition of </w:t>
      </w:r>
      <w:r>
        <w:rPr>
          <w:b/>
          <w:i/>
        </w:rPr>
        <w:t>chemical product</w:t>
      </w:r>
      <w:r>
        <w:t xml:space="preserve"> in section 6 of the Act — </w:t>
      </w:r>
    </w:p>
    <w:p>
      <w:pPr>
        <w:pStyle w:val="nzIndenta"/>
      </w:pPr>
      <w:r>
        <w:tab/>
        <w:t>(a)</w:t>
      </w:r>
      <w:r>
        <w:tab/>
        <w:t>a metal contaminant;</w:t>
      </w:r>
    </w:p>
    <w:p>
      <w:pPr>
        <w:pStyle w:val="nzIndenta"/>
      </w:pPr>
      <w:r>
        <w:tab/>
        <w:t>(b)</w:t>
      </w:r>
      <w:r>
        <w:tab/>
        <w:t>a non</w:t>
      </w:r>
      <w:r>
        <w:noBreakHyphen/>
        <w:t>metal contaminant.</w:t>
      </w:r>
    </w:p>
    <w:p>
      <w:pPr>
        <w:pStyle w:val="nzHeading5"/>
      </w:pPr>
      <w:bookmarkStart w:id="90" w:name="_Toc337559769"/>
      <w:bookmarkStart w:id="91" w:name="_Toc345408240"/>
      <w:bookmarkStart w:id="92" w:name="_Toc345661328"/>
      <w:r>
        <w:rPr>
          <w:rStyle w:val="CharSectno"/>
        </w:rPr>
        <w:t>5</w:t>
      </w:r>
      <w:r>
        <w:t>.</w:t>
      </w:r>
      <w:r>
        <w:tab/>
        <w:t>Notes</w:t>
      </w:r>
      <w:bookmarkEnd w:id="90"/>
      <w:bookmarkEnd w:id="91"/>
      <w:bookmarkEnd w:id="92"/>
    </w:p>
    <w:p>
      <w:pPr>
        <w:pStyle w:val="nzSubsection"/>
      </w:pPr>
      <w:r>
        <w:tab/>
      </w:r>
      <w:r>
        <w:tab/>
        <w:t>Notes in these regulations are provided to assist understanding and do not form part of the regulations.</w:t>
      </w:r>
    </w:p>
    <w:p>
      <w:pPr>
        <w:pStyle w:val="nzHeading2"/>
      </w:pPr>
      <w:bookmarkStart w:id="93" w:name="_Toc324145280"/>
      <w:bookmarkStart w:id="94" w:name="_Toc324150355"/>
      <w:bookmarkStart w:id="95" w:name="_Toc324150606"/>
      <w:bookmarkStart w:id="96" w:name="_Toc324155350"/>
      <w:bookmarkStart w:id="97" w:name="_Toc324155413"/>
      <w:bookmarkStart w:id="98" w:name="_Toc324157292"/>
      <w:bookmarkStart w:id="99" w:name="_Toc324170338"/>
      <w:bookmarkStart w:id="100" w:name="_Toc324170680"/>
      <w:bookmarkStart w:id="101" w:name="_Toc324172451"/>
      <w:bookmarkStart w:id="102" w:name="_Toc327281433"/>
      <w:bookmarkStart w:id="103" w:name="_Toc327281499"/>
      <w:bookmarkStart w:id="104" w:name="_Toc340660215"/>
      <w:bookmarkStart w:id="105" w:name="_Toc340660285"/>
      <w:bookmarkStart w:id="106" w:name="_Toc343176690"/>
      <w:bookmarkStart w:id="107" w:name="_Toc343176776"/>
      <w:bookmarkStart w:id="108" w:name="_Toc343240753"/>
      <w:bookmarkStart w:id="109" w:name="_Toc343246275"/>
      <w:bookmarkStart w:id="110" w:name="_Toc343500586"/>
      <w:bookmarkStart w:id="111" w:name="_Toc343502370"/>
      <w:bookmarkStart w:id="112" w:name="_Toc343503347"/>
      <w:bookmarkStart w:id="113" w:name="_Toc343503433"/>
      <w:bookmarkStart w:id="114" w:name="_Toc343504267"/>
      <w:bookmarkStart w:id="115" w:name="_Toc343504545"/>
      <w:bookmarkStart w:id="116" w:name="_Toc343504942"/>
      <w:bookmarkStart w:id="117" w:name="_Toc343505728"/>
      <w:bookmarkStart w:id="118" w:name="_Toc343506433"/>
      <w:bookmarkStart w:id="119" w:name="_Toc343507507"/>
      <w:bookmarkStart w:id="120" w:name="_Toc343516582"/>
      <w:bookmarkStart w:id="121" w:name="_Toc343516860"/>
      <w:bookmarkStart w:id="122" w:name="_Toc345488340"/>
      <w:bookmarkStart w:id="123" w:name="_Toc345659875"/>
      <w:bookmarkStart w:id="124" w:name="_Toc345661134"/>
      <w:bookmarkStart w:id="125" w:name="_Toc345661329"/>
      <w:r>
        <w:rPr>
          <w:rStyle w:val="CharPartNo"/>
        </w:rPr>
        <w:t>Part 2</w:t>
      </w:r>
      <w:r>
        <w:t> — </w:t>
      </w:r>
      <w:r>
        <w:rPr>
          <w:rStyle w:val="CharPartText"/>
        </w:rPr>
        <w:t>Chemical residues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nzHeading3"/>
      </w:pPr>
      <w:bookmarkStart w:id="126" w:name="_Toc324145281"/>
      <w:bookmarkStart w:id="127" w:name="_Toc324150356"/>
      <w:bookmarkStart w:id="128" w:name="_Toc324150607"/>
      <w:bookmarkStart w:id="129" w:name="_Toc324155351"/>
      <w:bookmarkStart w:id="130" w:name="_Toc324155414"/>
      <w:bookmarkStart w:id="131" w:name="_Toc324157293"/>
      <w:bookmarkStart w:id="132" w:name="_Toc324170339"/>
      <w:bookmarkStart w:id="133" w:name="_Toc324170681"/>
      <w:bookmarkStart w:id="134" w:name="_Toc324172452"/>
      <w:bookmarkStart w:id="135" w:name="_Toc327281434"/>
      <w:bookmarkStart w:id="136" w:name="_Toc327281500"/>
      <w:bookmarkStart w:id="137" w:name="_Toc340660216"/>
      <w:bookmarkStart w:id="138" w:name="_Toc340660286"/>
      <w:bookmarkStart w:id="139" w:name="_Toc343176691"/>
      <w:bookmarkStart w:id="140" w:name="_Toc343176777"/>
      <w:bookmarkStart w:id="141" w:name="_Toc343240754"/>
      <w:bookmarkStart w:id="142" w:name="_Toc343246276"/>
      <w:bookmarkStart w:id="143" w:name="_Toc343500587"/>
      <w:bookmarkStart w:id="144" w:name="_Toc343502371"/>
      <w:bookmarkStart w:id="145" w:name="_Toc343503348"/>
      <w:bookmarkStart w:id="146" w:name="_Toc343503434"/>
      <w:bookmarkStart w:id="147" w:name="_Toc343504268"/>
      <w:bookmarkStart w:id="148" w:name="_Toc343504546"/>
      <w:bookmarkStart w:id="149" w:name="_Toc343504943"/>
      <w:bookmarkStart w:id="150" w:name="_Toc343505729"/>
      <w:bookmarkStart w:id="151" w:name="_Toc343506434"/>
      <w:bookmarkStart w:id="152" w:name="_Toc343507508"/>
      <w:bookmarkStart w:id="153" w:name="_Toc343516583"/>
      <w:bookmarkStart w:id="154" w:name="_Toc343516861"/>
      <w:bookmarkStart w:id="155" w:name="_Toc345488341"/>
      <w:bookmarkStart w:id="156" w:name="_Toc345659876"/>
      <w:bookmarkStart w:id="157" w:name="_Toc345661135"/>
      <w:bookmarkStart w:id="158" w:name="_Toc345661330"/>
      <w:r>
        <w:rPr>
          <w:rStyle w:val="CharDivNo"/>
        </w:rPr>
        <w:t>Division 1</w:t>
      </w:r>
      <w:r>
        <w:t> — </w:t>
      </w:r>
      <w:r>
        <w:rPr>
          <w:rStyle w:val="CharDivText"/>
        </w:rPr>
        <w:t>Preliminary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zHeading5"/>
      </w:pPr>
      <w:bookmarkStart w:id="159" w:name="_Toc345661331"/>
      <w:r>
        <w:rPr>
          <w:rStyle w:val="CharSectno"/>
        </w:rPr>
        <w:t>6</w:t>
      </w:r>
      <w:r>
        <w:t>.</w:t>
      </w:r>
      <w:r>
        <w:tab/>
        <w:t>Terms used</w:t>
      </w:r>
      <w:bookmarkEnd w:id="159"/>
    </w:p>
    <w:p>
      <w:pPr>
        <w:pStyle w:val="nzSubsection"/>
      </w:pPr>
      <w:r>
        <w:tab/>
      </w:r>
      <w:r>
        <w:tab/>
        <w:t xml:space="preserve">In this Part — </w:t>
      </w:r>
    </w:p>
    <w:p>
      <w:pPr>
        <w:pStyle w:val="nz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nz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nzDefstart"/>
      </w:pPr>
      <w:r>
        <w:tab/>
      </w:r>
      <w:r>
        <w:rPr>
          <w:rStyle w:val="CharDefText"/>
        </w:rPr>
        <w:t>MRL Standard</w:t>
      </w:r>
      <w:r>
        <w:t xml:space="preserve"> means the Maximum Residue Limit Standard, listing maximum residue limits set by the APVMA, as published in the </w:t>
      </w:r>
      <w:r>
        <w:rPr>
          <w:i/>
          <w:iCs/>
        </w:rPr>
        <w:t xml:space="preserve">Agricultural and Veterinary Chemical Gazette </w:t>
      </w:r>
      <w:r>
        <w:t>of the Commonwealth, together with any amendments to that Standard;</w:t>
      </w:r>
    </w:p>
    <w:p>
      <w:pPr>
        <w:pStyle w:val="nzDefstart"/>
      </w:pPr>
      <w:r>
        <w:tab/>
      </w:r>
      <w:r>
        <w:rPr>
          <w:rStyle w:val="CharDefText"/>
        </w:rPr>
        <w:t>residue exposed product</w:t>
      </w:r>
      <w:r>
        <w:t xml:space="preserve"> means an animal, agricultural product or animal feed that is — </w:t>
      </w:r>
    </w:p>
    <w:p>
      <w:pPr>
        <w:pStyle w:val="nzDefpara"/>
      </w:pPr>
      <w:r>
        <w:tab/>
        <w:t>(a)</w:t>
      </w:r>
      <w:r>
        <w:tab/>
        <w:t>produced wholly or partly on land that is subject to a residue management notice; or</w:t>
      </w:r>
    </w:p>
    <w:p>
      <w:pPr>
        <w:pStyle w:val="nz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nzDefstart"/>
      </w:pPr>
      <w:r>
        <w:tab/>
      </w:r>
      <w:r>
        <w:rPr>
          <w:rStyle w:val="CharDefText"/>
        </w:rPr>
        <w:t>residue quarantine notice</w:t>
      </w:r>
      <w:r>
        <w:t xml:space="preserve"> means a residue quarantine notice given under regulation 10.</w:t>
      </w:r>
    </w:p>
    <w:p>
      <w:pPr>
        <w:pStyle w:val="nzHeading5"/>
      </w:pPr>
      <w:bookmarkStart w:id="160" w:name="_Toc278295532"/>
      <w:bookmarkStart w:id="161" w:name="_Toc317151153"/>
      <w:bookmarkStart w:id="162" w:name="_Toc345661332"/>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160"/>
      <w:bookmarkEnd w:id="161"/>
      <w:bookmarkEnd w:id="162"/>
    </w:p>
    <w:p>
      <w:pPr>
        <w:pStyle w:val="nz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nz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nz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nz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nzMiscellaneousBody"/>
      </w:pPr>
      <w:r>
        <w:rPr>
          <w:b/>
          <w:bCs/>
        </w:rPr>
        <w:tab/>
      </w:r>
      <w:r>
        <w:rPr>
          <w:b/>
          <w:bCs/>
          <w:u w:val="single"/>
        </w:rPr>
        <w:t>For a mixture of 2</w:t>
      </w:r>
      <w:r>
        <w:rPr>
          <w:b/>
          <w:bCs/>
        </w:rPr>
        <w:t xml:space="preserve">: </w:t>
      </w:r>
    </w:p>
    <w:p>
      <w:pPr>
        <w:pStyle w:val="Equation"/>
        <w:ind w:left="851" w:firstLine="442"/>
        <w:jc w:val="both"/>
      </w:pPr>
      <w:r>
        <w:rPr>
          <w:position w:val="-30"/>
          <w:lang w:eastAsia="en-AU"/>
        </w:rPr>
        <w:drawing>
          <wp:inline distT="0" distB="0" distL="0" distR="0">
            <wp:extent cx="36099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09975" cy="428625"/>
                    </a:xfrm>
                    <a:prstGeom prst="rect">
                      <a:avLst/>
                    </a:prstGeom>
                    <a:noFill/>
                    <a:ln>
                      <a:noFill/>
                    </a:ln>
                  </pic:spPr>
                </pic:pic>
              </a:graphicData>
            </a:graphic>
          </wp:inline>
        </w:drawing>
      </w:r>
    </w:p>
    <w:p>
      <w:pPr>
        <w:pStyle w:val="nzMiscellaneousBody"/>
      </w:pPr>
      <w:r>
        <w:tab/>
        <w:t xml:space="preserve">Where — </w:t>
      </w:r>
    </w:p>
    <w:p>
      <w:pPr>
        <w:pStyle w:val="nzMiscellaneousBody"/>
      </w:pPr>
      <w:r>
        <w:rPr>
          <w:b/>
          <w:bCs/>
        </w:rPr>
        <w:tab/>
        <w:t>MRL C</w:t>
      </w:r>
      <w:r>
        <w:t xml:space="preserve"> = </w:t>
      </w:r>
      <w:r>
        <w:tab/>
        <w:t>the maximum residue limit that applies to the chemical product in the food item;</w:t>
      </w:r>
    </w:p>
    <w:p>
      <w:pPr>
        <w:pStyle w:val="nzMiscellaneousBody"/>
      </w:pPr>
      <w:r>
        <w:rPr>
          <w:b/>
          <w:bCs/>
        </w:rPr>
        <w:tab/>
        <w:t>MRL A</w:t>
      </w:r>
      <w:r>
        <w:t xml:space="preserve"> = </w:t>
      </w:r>
      <w:r>
        <w:tab/>
        <w:t>the maximum residue limit for the chemical product which applies to food commodity A;</w:t>
      </w:r>
    </w:p>
    <w:p>
      <w:pPr>
        <w:pStyle w:val="nzMiscellaneousBody"/>
      </w:pPr>
      <w:r>
        <w:rPr>
          <w:b/>
          <w:bCs/>
        </w:rPr>
        <w:tab/>
        <w:t>MRL B</w:t>
      </w:r>
      <w:r>
        <w:t xml:space="preserve"> = </w:t>
      </w:r>
      <w:r>
        <w:tab/>
        <w:t>the maximum residue limit for the chemical product which applies to food commodity B;</w:t>
      </w:r>
    </w:p>
    <w:p>
      <w:pPr>
        <w:pStyle w:val="nzMiscellaneousBody"/>
      </w:pPr>
      <w:r>
        <w:rPr>
          <w:b/>
          <w:bCs/>
        </w:rPr>
        <w:tab/>
        <w:t>Total Weight</w:t>
      </w:r>
      <w:r>
        <w:t xml:space="preserve"> = </w:t>
      </w:r>
      <w:r>
        <w:tab/>
        <w:t>the total weight of the food item;</w:t>
      </w:r>
    </w:p>
    <w:p>
      <w:pPr>
        <w:pStyle w:val="nzMiscellaneousBody"/>
      </w:pPr>
      <w:r>
        <w:rPr>
          <w:b/>
          <w:bCs/>
        </w:rPr>
        <w:tab/>
        <w:t>Weight A</w:t>
      </w:r>
      <w:r>
        <w:t xml:space="preserve"> = </w:t>
      </w:r>
      <w:r>
        <w:tab/>
        <w:t>the total weight of food commodity A in the food item;</w:t>
      </w:r>
    </w:p>
    <w:p>
      <w:pPr>
        <w:pStyle w:val="nzMiscellaneousBody"/>
      </w:pPr>
      <w:r>
        <w:rPr>
          <w:b/>
          <w:bCs/>
        </w:rPr>
        <w:tab/>
        <w:t>Weight B</w:t>
      </w:r>
      <w:r>
        <w:t xml:space="preserve"> = </w:t>
      </w:r>
      <w:r>
        <w:tab/>
        <w:t>the total weight of food commodity B in the food item.</w:t>
      </w:r>
    </w:p>
    <w:p>
      <w:pPr>
        <w:pStyle w:val="nzMiscellaneousBody"/>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lang w:eastAsia="en-AU"/>
        </w:rPr>
        <w:drawing>
          <wp:inline distT="0" distB="0" distL="0" distR="0">
            <wp:extent cx="2276475"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pPr>
        <w:pStyle w:val="nzSubsection"/>
      </w:pPr>
      <w:r>
        <w:tab/>
        <w:t>(5)</w:t>
      </w:r>
      <w:r>
        <w:tab/>
        <w:t>Subregulations (3) and (4) apply in respect of a food commodity whether it is a human food commodity or an animal feed commodity.</w:t>
      </w:r>
    </w:p>
    <w:p>
      <w:pPr>
        <w:pStyle w:val="nz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nz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nzSubsection"/>
      </w:pPr>
      <w:r>
        <w:tab/>
        <w:t>(8)</w:t>
      </w:r>
      <w:r>
        <w:tab/>
        <w:t xml:space="preserve">For the purposes of subregulation (7) — </w:t>
      </w:r>
    </w:p>
    <w:p>
      <w:pPr>
        <w:pStyle w:val="nz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nzHeading5"/>
      </w:pPr>
      <w:bookmarkStart w:id="163" w:name="_Toc278295533"/>
      <w:bookmarkStart w:id="164" w:name="_Toc317151154"/>
      <w:bookmarkStart w:id="165" w:name="_Toc345661333"/>
      <w:r>
        <w:rPr>
          <w:rStyle w:val="CharSectno"/>
        </w:rPr>
        <w:t>8</w:t>
      </w:r>
      <w:r>
        <w:t>.</w:t>
      </w:r>
      <w:r>
        <w:tab/>
        <w:t>Contaminated animals: section 7(d)</w:t>
      </w:r>
      <w:bookmarkEnd w:id="163"/>
      <w:bookmarkEnd w:id="164"/>
      <w:bookmarkEnd w:id="165"/>
    </w:p>
    <w:p>
      <w:pPr>
        <w:pStyle w:val="nzSubsection"/>
      </w:pPr>
      <w:r>
        <w:tab/>
      </w:r>
      <w:r>
        <w:tab/>
        <w:t>Ruminants which have consumed restricted animal material are prescribed to be contaminated for the purposes of the Act.</w:t>
      </w:r>
    </w:p>
    <w:p>
      <w:pPr>
        <w:pStyle w:val="nzHeading3"/>
      </w:pPr>
      <w:bookmarkStart w:id="166" w:name="_Toc324145285"/>
      <w:bookmarkStart w:id="167" w:name="_Toc324150360"/>
      <w:bookmarkStart w:id="168" w:name="_Toc324150611"/>
      <w:bookmarkStart w:id="169" w:name="_Toc324155355"/>
      <w:bookmarkStart w:id="170" w:name="_Toc324155418"/>
      <w:bookmarkStart w:id="171" w:name="_Toc324157297"/>
      <w:bookmarkStart w:id="172" w:name="_Toc324170343"/>
      <w:bookmarkStart w:id="173" w:name="_Toc324170685"/>
      <w:bookmarkStart w:id="174" w:name="_Toc324172456"/>
      <w:bookmarkStart w:id="175" w:name="_Toc327281438"/>
      <w:bookmarkStart w:id="176" w:name="_Toc327281504"/>
      <w:bookmarkStart w:id="177" w:name="_Toc340660220"/>
      <w:bookmarkStart w:id="178" w:name="_Toc340660290"/>
      <w:bookmarkStart w:id="179" w:name="_Toc343176695"/>
      <w:bookmarkStart w:id="180" w:name="_Toc343176781"/>
      <w:bookmarkStart w:id="181" w:name="_Toc343240758"/>
      <w:bookmarkStart w:id="182" w:name="_Toc343246280"/>
      <w:bookmarkStart w:id="183" w:name="_Toc343500591"/>
      <w:bookmarkStart w:id="184" w:name="_Toc343502375"/>
      <w:bookmarkStart w:id="185" w:name="_Toc343503352"/>
      <w:bookmarkStart w:id="186" w:name="_Toc343503438"/>
      <w:bookmarkStart w:id="187" w:name="_Toc343504272"/>
      <w:bookmarkStart w:id="188" w:name="_Toc343504550"/>
      <w:bookmarkStart w:id="189" w:name="_Toc343504947"/>
      <w:bookmarkStart w:id="190" w:name="_Toc343505733"/>
      <w:bookmarkStart w:id="191" w:name="_Toc343506438"/>
      <w:bookmarkStart w:id="192" w:name="_Toc343507512"/>
      <w:bookmarkStart w:id="193" w:name="_Toc343516587"/>
      <w:bookmarkStart w:id="194" w:name="_Toc343516865"/>
      <w:bookmarkStart w:id="195" w:name="_Toc345488345"/>
      <w:bookmarkStart w:id="196" w:name="_Toc345659880"/>
      <w:bookmarkStart w:id="197" w:name="_Toc345661139"/>
      <w:bookmarkStart w:id="198" w:name="_Toc345661334"/>
      <w:r>
        <w:rPr>
          <w:rStyle w:val="CharDivNo"/>
        </w:rPr>
        <w:t>Division 2</w:t>
      </w:r>
      <w:r>
        <w:t> — </w:t>
      </w:r>
      <w:bookmarkStart w:id="199" w:name="_Toc317151155"/>
      <w:bookmarkStart w:id="200" w:name="_Toc225574974"/>
      <w:bookmarkStart w:id="201" w:name="_Toc225931006"/>
      <w:bookmarkStart w:id="202" w:name="_Toc226449314"/>
      <w:bookmarkStart w:id="203" w:name="_Toc226451326"/>
      <w:bookmarkStart w:id="204" w:name="_Toc226797784"/>
      <w:bookmarkStart w:id="205" w:name="_Toc261530563"/>
      <w:bookmarkStart w:id="206" w:name="_Toc278295546"/>
      <w:r>
        <w:rPr>
          <w:rStyle w:val="CharDivText"/>
        </w:rPr>
        <w:t>Residue management notices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zHeading5"/>
      </w:pPr>
      <w:bookmarkStart w:id="207" w:name="_Toc278295547"/>
      <w:bookmarkStart w:id="208" w:name="_Toc317151156"/>
      <w:bookmarkStart w:id="209" w:name="_Toc345661335"/>
      <w:r>
        <w:rPr>
          <w:rStyle w:val="CharSectno"/>
        </w:rPr>
        <w:t>9</w:t>
      </w:r>
      <w:r>
        <w:t>.</w:t>
      </w:r>
      <w:r>
        <w:tab/>
        <w:t>Review by Director General: section 53(1)</w:t>
      </w:r>
      <w:bookmarkEnd w:id="207"/>
      <w:bookmarkEnd w:id="208"/>
      <w:bookmarkEnd w:id="209"/>
    </w:p>
    <w:p>
      <w:pPr>
        <w:pStyle w:val="nzSubsection"/>
      </w:pPr>
      <w:r>
        <w:tab/>
        <w:t>(1)</w:t>
      </w:r>
      <w:r>
        <w:tab/>
        <w:t xml:space="preserve">In this regulation — </w:t>
      </w:r>
    </w:p>
    <w:p>
      <w:pPr>
        <w:pStyle w:val="nz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nzDefpara"/>
      </w:pPr>
      <w:r>
        <w:tab/>
        <w:t>(a)</w:t>
      </w:r>
      <w:r>
        <w:tab/>
        <w:t>the estimated levels of the organochlorine or other chemical product or substance; and</w:t>
      </w:r>
    </w:p>
    <w:p>
      <w:pPr>
        <w:pStyle w:val="nzDefpara"/>
      </w:pPr>
      <w:r>
        <w:tab/>
        <w:t>(b)</w:t>
      </w:r>
      <w:r>
        <w:tab/>
        <w:t>the known soil decay rate for the organochlorine or other chemical product or substance; and</w:t>
      </w:r>
    </w:p>
    <w:p>
      <w:pPr>
        <w:pStyle w:val="nzDefpara"/>
      </w:pPr>
      <w:r>
        <w:tab/>
        <w:t>(c)</w:t>
      </w:r>
      <w:r>
        <w:tab/>
        <w:t>soil testing results for the land; and</w:t>
      </w:r>
    </w:p>
    <w:p>
      <w:pPr>
        <w:pStyle w:val="nzDefpara"/>
      </w:pPr>
      <w:r>
        <w:tab/>
        <w:t>(d)</w:t>
      </w:r>
      <w:r>
        <w:tab/>
        <w:t>results of testing of animal or agricultural products produced wholly or partly on the land.</w:t>
      </w:r>
    </w:p>
    <w:p>
      <w:pPr>
        <w:pStyle w:val="nzSubsection"/>
      </w:pPr>
      <w:r>
        <w:tab/>
        <w:t>(2)</w:t>
      </w:r>
      <w:r>
        <w:tab/>
        <w:t xml:space="preserve">The Director General must review a residue management notice — </w:t>
      </w:r>
    </w:p>
    <w:p>
      <w:pPr>
        <w:pStyle w:val="nzIndenta"/>
      </w:pPr>
      <w:r>
        <w:tab/>
        <w:t>(a)</w:t>
      </w:r>
      <w:r>
        <w:tab/>
        <w:t>not later than 5 years after it is given to an owner or occupier; and</w:t>
      </w:r>
    </w:p>
    <w:p>
      <w:pPr>
        <w:pStyle w:val="nzIndenta"/>
      </w:pPr>
      <w:r>
        <w:tab/>
        <w:t>(b)</w:t>
      </w:r>
      <w:r>
        <w:tab/>
        <w:t>in each succeeding 5 year period after it is last reviewed.</w:t>
      </w:r>
    </w:p>
    <w:p>
      <w:pPr>
        <w:pStyle w:val="nzSubsection"/>
      </w:pPr>
      <w:r>
        <w:tab/>
        <w:t>(3)</w:t>
      </w:r>
      <w:r>
        <w:tab/>
        <w:t>In conducting the review the Director General must have regard to any residue data that is available to the Director General.</w:t>
      </w:r>
    </w:p>
    <w:p>
      <w:pPr>
        <w:pStyle w:val="nzSubsection"/>
      </w:pPr>
      <w:r>
        <w:tab/>
        <w:t>(4)</w:t>
      </w:r>
      <w:r>
        <w:tab/>
        <w:t>The Director General is not required to conduct any further soil testing for the purpose of the review.</w:t>
      </w:r>
    </w:p>
    <w:p>
      <w:pPr>
        <w:pStyle w:val="nz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nzIndenta"/>
      </w:pPr>
      <w:r>
        <w:tab/>
        <w:t>(a)</w:t>
      </w:r>
      <w:r>
        <w:tab/>
        <w:t>provide the additional residue data to the Director General; and</w:t>
      </w:r>
    </w:p>
    <w:p>
      <w:pPr>
        <w:pStyle w:val="nzIndenta"/>
      </w:pPr>
      <w:r>
        <w:tab/>
        <w:t>(b)</w:t>
      </w:r>
      <w:r>
        <w:tab/>
        <w:t>request the Director General to review the residue management notice having regard to that residue data.</w:t>
      </w:r>
    </w:p>
    <w:p>
      <w:pPr>
        <w:pStyle w:val="nzHeading3"/>
      </w:pPr>
      <w:bookmarkStart w:id="210" w:name="_Toc324145288"/>
      <w:bookmarkStart w:id="211" w:name="_Toc324150363"/>
      <w:bookmarkStart w:id="212" w:name="_Toc324150614"/>
      <w:bookmarkStart w:id="213" w:name="_Toc324155358"/>
      <w:bookmarkStart w:id="214" w:name="_Toc324155421"/>
      <w:bookmarkStart w:id="215" w:name="_Toc324157300"/>
      <w:bookmarkStart w:id="216" w:name="_Toc324170346"/>
      <w:bookmarkStart w:id="217" w:name="_Toc324170688"/>
      <w:bookmarkStart w:id="218" w:name="_Toc324172459"/>
      <w:bookmarkStart w:id="219" w:name="_Toc327281441"/>
      <w:bookmarkStart w:id="220" w:name="_Toc327281507"/>
      <w:bookmarkStart w:id="221" w:name="_Toc340660223"/>
      <w:bookmarkStart w:id="222" w:name="_Toc340660293"/>
      <w:bookmarkStart w:id="223" w:name="_Toc343176697"/>
      <w:bookmarkStart w:id="224" w:name="_Toc343176783"/>
      <w:bookmarkStart w:id="225" w:name="_Toc343240760"/>
      <w:bookmarkStart w:id="226" w:name="_Toc343246282"/>
      <w:bookmarkStart w:id="227" w:name="_Toc343500593"/>
      <w:bookmarkStart w:id="228" w:name="_Toc343502377"/>
      <w:bookmarkStart w:id="229" w:name="_Toc343503354"/>
      <w:bookmarkStart w:id="230" w:name="_Toc343503440"/>
      <w:bookmarkStart w:id="231" w:name="_Toc343504274"/>
      <w:bookmarkStart w:id="232" w:name="_Toc343504552"/>
      <w:bookmarkStart w:id="233" w:name="_Toc343504949"/>
      <w:bookmarkStart w:id="234" w:name="_Toc343505735"/>
      <w:bookmarkStart w:id="235" w:name="_Toc343506440"/>
      <w:bookmarkStart w:id="236" w:name="_Toc343507514"/>
      <w:bookmarkStart w:id="237" w:name="_Toc343516589"/>
      <w:bookmarkStart w:id="238" w:name="_Toc343516867"/>
      <w:bookmarkStart w:id="239" w:name="_Toc345488347"/>
      <w:bookmarkStart w:id="240" w:name="_Toc345659882"/>
      <w:bookmarkStart w:id="241" w:name="_Toc345661141"/>
      <w:bookmarkStart w:id="242" w:name="_Toc345661336"/>
      <w:r>
        <w:rPr>
          <w:rStyle w:val="CharDivNo"/>
        </w:rPr>
        <w:t>Division 3</w:t>
      </w:r>
      <w:r>
        <w:t> — </w:t>
      </w:r>
      <w:bookmarkStart w:id="243" w:name="_Toc317151157"/>
      <w:bookmarkStart w:id="244" w:name="_Toc197852160"/>
      <w:bookmarkStart w:id="245" w:name="_Toc197855857"/>
      <w:bookmarkStart w:id="246" w:name="_Toc197858363"/>
      <w:bookmarkStart w:id="247" w:name="_Toc197858428"/>
      <w:bookmarkStart w:id="248" w:name="_Toc225063228"/>
      <w:bookmarkStart w:id="249" w:name="_Toc225064707"/>
      <w:bookmarkStart w:id="250" w:name="_Toc225574966"/>
      <w:bookmarkStart w:id="251" w:name="_Toc225930998"/>
      <w:bookmarkStart w:id="252" w:name="_Toc226449306"/>
      <w:bookmarkStart w:id="253" w:name="_Toc226451317"/>
      <w:bookmarkStart w:id="254" w:name="_Toc226797775"/>
      <w:bookmarkStart w:id="255" w:name="_Toc261530554"/>
      <w:bookmarkStart w:id="256" w:name="_Toc278295537"/>
      <w:r>
        <w:rPr>
          <w:rStyle w:val="CharDivText"/>
        </w:rPr>
        <w:t>Residue quarantine notices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zHeading5"/>
      </w:pPr>
      <w:bookmarkStart w:id="257" w:name="_Toc278295538"/>
      <w:bookmarkStart w:id="258" w:name="_Toc317151158"/>
      <w:bookmarkStart w:id="259" w:name="_Toc345661337"/>
      <w:r>
        <w:rPr>
          <w:rStyle w:val="CharSectno"/>
        </w:rPr>
        <w:t>10</w:t>
      </w:r>
      <w:r>
        <w:t>.</w:t>
      </w:r>
      <w:r>
        <w:tab/>
        <w:t>Residue quarantine notice</w:t>
      </w:r>
      <w:bookmarkEnd w:id="257"/>
      <w:bookmarkEnd w:id="258"/>
      <w:bookmarkEnd w:id="259"/>
    </w:p>
    <w:p>
      <w:pPr>
        <w:pStyle w:val="nzSubsection"/>
      </w:pPr>
      <w:r>
        <w:tab/>
        <w:t>(1)</w:t>
      </w:r>
      <w:r>
        <w:tab/>
        <w:t>An inspector may give a residue quarantine notice to the owner or occupier of land, or each of them, in respect of a residue exposed product produced, kept or found on that land.</w:t>
      </w:r>
    </w:p>
    <w:p>
      <w:pPr>
        <w:pStyle w:val="nzSubsection"/>
      </w:pPr>
      <w:r>
        <w:tab/>
        <w:t>(2)</w:t>
      </w:r>
      <w:r>
        <w:tab/>
        <w:t xml:space="preserve">A residue quarantine notice must — </w:t>
      </w:r>
    </w:p>
    <w:p>
      <w:pPr>
        <w:pStyle w:val="nzIndenta"/>
      </w:pPr>
      <w:r>
        <w:tab/>
        <w:t>(a)</w:t>
      </w:r>
      <w:r>
        <w:tab/>
        <w:t>be in a form approved by the Director General; and</w:t>
      </w:r>
    </w:p>
    <w:p>
      <w:pPr>
        <w:pStyle w:val="nzIndenta"/>
      </w:pPr>
      <w:r>
        <w:tab/>
        <w:t>(b)</w:t>
      </w:r>
      <w:r>
        <w:tab/>
        <w:t>advise the owner or occupier to whom it is given that an animal or agricultural product produced (either wholly or in part), kept or found on that land is a residue exposed product; and</w:t>
      </w:r>
    </w:p>
    <w:p>
      <w:pPr>
        <w:pStyle w:val="nzIndenta"/>
      </w:pPr>
      <w:r>
        <w:tab/>
        <w:t>(c)</w:t>
      </w:r>
      <w:r>
        <w:tab/>
        <w:t>specify the duties and obligations imposed on the owner or occupier under the notice.</w:t>
      </w:r>
    </w:p>
    <w:p>
      <w:pPr>
        <w:pStyle w:val="nzSubsection"/>
      </w:pPr>
      <w:r>
        <w:tab/>
        <w:t>(3)</w:t>
      </w:r>
      <w:r>
        <w:tab/>
        <w:t>A residue quarantine notice may be expressed to extend to offspring born to a residue exposed product subject to a residue quarantine notice.</w:t>
      </w:r>
    </w:p>
    <w:p>
      <w:pPr>
        <w:pStyle w:val="nzSubsection"/>
      </w:pPr>
      <w:r>
        <w:tab/>
        <w:t>(4)</w:t>
      </w:r>
      <w:r>
        <w:tab/>
        <w:t xml:space="preserve">A residue quarantine notice remains in force — </w:t>
      </w:r>
    </w:p>
    <w:p>
      <w:pPr>
        <w:pStyle w:val="nzIndenta"/>
      </w:pPr>
      <w:r>
        <w:tab/>
        <w:t>(a)</w:t>
      </w:r>
      <w:r>
        <w:tab/>
        <w:t>if a period of operation is stated in the notice — until the end of that period; or</w:t>
      </w:r>
    </w:p>
    <w:p>
      <w:pPr>
        <w:pStyle w:val="nzIndenta"/>
      </w:pPr>
      <w:r>
        <w:tab/>
        <w:t>(b)</w:t>
      </w:r>
      <w:r>
        <w:tab/>
        <w:t>otherwise — until it is cancelled by an inspector.</w:t>
      </w:r>
    </w:p>
    <w:p>
      <w:pPr>
        <w:pStyle w:val="nzSubsection"/>
      </w:pPr>
      <w:r>
        <w:tab/>
        <w:t>(5)</w:t>
      </w:r>
      <w:r>
        <w:tab/>
        <w:t>A residue quarantine notice while it remains in force binds each person to whom it is given.</w:t>
      </w:r>
    </w:p>
    <w:p>
      <w:pPr>
        <w:pStyle w:val="nzSubsection"/>
      </w:pPr>
      <w:r>
        <w:tab/>
        <w:t>(6)</w:t>
      </w:r>
      <w:r>
        <w:tab/>
        <w:t>A person bound by a residue quarantine notice must comply with a duty or obligation imposed under the notice.</w:t>
      </w:r>
    </w:p>
    <w:p>
      <w:pPr>
        <w:pStyle w:val="nzPenstart"/>
      </w:pPr>
      <w:r>
        <w:tab/>
        <w:t xml:space="preserve">Penalty: </w:t>
      </w:r>
    </w:p>
    <w:p>
      <w:pPr>
        <w:pStyle w:val="nzPenpara"/>
      </w:pPr>
      <w:r>
        <w:tab/>
        <w:t>(a)</w:t>
      </w:r>
      <w:r>
        <w:tab/>
        <w:t>if section 57 of the Act applies to the contravention, the penalty imposed under that section;</w:t>
      </w:r>
    </w:p>
    <w:p>
      <w:pPr>
        <w:pStyle w:val="nzPenpara"/>
        <w:rPr>
          <w:rStyle w:val="DraftersNotes"/>
        </w:rPr>
      </w:pPr>
      <w:r>
        <w:tab/>
        <w:t>(b)</w:t>
      </w:r>
      <w:r>
        <w:tab/>
        <w:t>otherwise, a fine of $20 000.</w:t>
      </w:r>
    </w:p>
    <w:p>
      <w:pPr>
        <w:pStyle w:val="nzHeading5"/>
      </w:pPr>
      <w:bookmarkStart w:id="260" w:name="_Toc278295539"/>
      <w:bookmarkStart w:id="261" w:name="_Toc317151159"/>
      <w:bookmarkStart w:id="262" w:name="_Toc345661338"/>
      <w:r>
        <w:rPr>
          <w:rStyle w:val="CharSectno"/>
        </w:rPr>
        <w:t>11</w:t>
      </w:r>
      <w:r>
        <w:t>.</w:t>
      </w:r>
      <w:r>
        <w:tab/>
        <w:t>Duties and obligations under residue quarantine notice</w:t>
      </w:r>
      <w:bookmarkEnd w:id="260"/>
      <w:bookmarkEnd w:id="261"/>
      <w:bookmarkEnd w:id="262"/>
    </w:p>
    <w:p>
      <w:pPr>
        <w:pStyle w:val="nzSubsection"/>
      </w:pPr>
      <w:r>
        <w:tab/>
      </w:r>
      <w:r>
        <w:tab/>
        <w:t xml:space="preserve">A residue quarantine notice may impose on the owner or occupier to whom it is given a duty or obligation to do one or more of the following — </w:t>
      </w:r>
    </w:p>
    <w:p>
      <w:pPr>
        <w:pStyle w:val="nzIndenta"/>
      </w:pPr>
      <w:r>
        <w:tab/>
        <w:t>(a)</w:t>
      </w:r>
      <w:r>
        <w:tab/>
        <w:t>obtain the written approval of an inspector before using a residue exposed product in a manner, or for a purpose, specified in the notice;</w:t>
      </w:r>
    </w:p>
    <w:p>
      <w:pPr>
        <w:pStyle w:val="nzIndenta"/>
      </w:pPr>
      <w:r>
        <w:tab/>
        <w:t>(b)</w:t>
      </w:r>
      <w:r>
        <w:tab/>
        <w:t xml:space="preserve">cease, or restrict in a manner specified in the notice, the supply of a residue exposed product for — </w:t>
      </w:r>
    </w:p>
    <w:p>
      <w:pPr>
        <w:pStyle w:val="nzIndenti"/>
      </w:pPr>
      <w:r>
        <w:tab/>
        <w:t>(i)</w:t>
      </w:r>
      <w:r>
        <w:tab/>
        <w:t>a period specified in the notice; or</w:t>
      </w:r>
    </w:p>
    <w:p>
      <w:pPr>
        <w:pStyle w:val="nzIndenti"/>
      </w:pPr>
      <w:r>
        <w:tab/>
        <w:t>(ii)</w:t>
      </w:r>
      <w:r>
        <w:tab/>
        <w:t>indefinitely;</w:t>
      </w:r>
    </w:p>
    <w:p>
      <w:pPr>
        <w:pStyle w:val="nzIndenta"/>
      </w:pPr>
      <w:r>
        <w:tab/>
        <w:t>(c)</w:t>
      </w:r>
      <w:r>
        <w:tab/>
        <w:t>label, mark or otherwise identify a residue exposed product in a manner specified in the notice;</w:t>
      </w:r>
    </w:p>
    <w:p>
      <w:pPr>
        <w:pStyle w:val="nzIndenta"/>
      </w:pPr>
      <w:r>
        <w:tab/>
        <w:t>(d)</w:t>
      </w:r>
      <w:r>
        <w:tab/>
        <w:t>handle a residue exposed product in ways specified in the notice so as to prevent or limit further exposure or access to contaminants;</w:t>
      </w:r>
    </w:p>
    <w:p>
      <w:pPr>
        <w:pStyle w:val="nzIndenta"/>
      </w:pPr>
      <w:r>
        <w:tab/>
        <w:t>(e)</w:t>
      </w:r>
      <w:r>
        <w:tab/>
        <w:t>treat a residue exposed product in a manner specified in the notice which decontaminates the product;</w:t>
      </w:r>
    </w:p>
    <w:p>
      <w:pPr>
        <w:pStyle w:val="nzIndenta"/>
      </w:pPr>
      <w:r>
        <w:tab/>
        <w:t>(f)</w:t>
      </w:r>
      <w:r>
        <w:tab/>
        <w:t>handle or keep a residue exposed product in accordance with an approved quality assurance plan;</w:t>
      </w:r>
    </w:p>
    <w:p>
      <w:pPr>
        <w:pStyle w:val="nzIndenta"/>
      </w:pPr>
      <w:r>
        <w:tab/>
        <w:t>(g)</w:t>
      </w:r>
      <w:r>
        <w:tab/>
        <w:t>demonstrate compliance with an approved quality assurance plan by allowing an auditor approved by the Director General to conduct audits as specified in the notice;</w:t>
      </w:r>
    </w:p>
    <w:p>
      <w:pPr>
        <w:pStyle w:val="nzIndenta"/>
      </w:pPr>
      <w:r>
        <w:tab/>
        <w:t>(h)</w:t>
      </w:r>
      <w:r>
        <w:tab/>
        <w:t xml:space="preserve">test, at the expense of the owner or occupier, a residue exposed product so as to — </w:t>
      </w:r>
    </w:p>
    <w:p>
      <w:pPr>
        <w:pStyle w:val="nzIndenti"/>
      </w:pPr>
      <w:r>
        <w:tab/>
        <w:t>(i)</w:t>
      </w:r>
      <w:r>
        <w:tab/>
        <w:t>determine the extent to which that product is contaminated; or</w:t>
      </w:r>
    </w:p>
    <w:p>
      <w:pPr>
        <w:pStyle w:val="nzIndenti"/>
      </w:pPr>
      <w:r>
        <w:tab/>
        <w:t>(ii)</w:t>
      </w:r>
      <w:r>
        <w:tab/>
        <w:t>demonstrate that the conditions imposed by a residue quarantine notice have been complied with and that the product is not, or is no longer, contaminated;</w:t>
      </w:r>
    </w:p>
    <w:p>
      <w:pPr>
        <w:pStyle w:val="nzIndenta"/>
      </w:pPr>
      <w:r>
        <w:tab/>
        <w:t>(i)</w:t>
      </w:r>
      <w:r>
        <w:tab/>
        <w:t xml:space="preserve">provide information about the details of the restrictions contained in the residue quarantine notice to — </w:t>
      </w:r>
    </w:p>
    <w:p>
      <w:pPr>
        <w:pStyle w:val="nzIndenti"/>
      </w:pPr>
      <w:r>
        <w:tab/>
        <w:t>(i)</w:t>
      </w:r>
      <w:r>
        <w:tab/>
        <w:t>any purchaser, potential purchaser, lessee or potential lessee of the land on which the residue exposed product is produced, kept or found; or</w:t>
      </w:r>
    </w:p>
    <w:p>
      <w:pPr>
        <w:pStyle w:val="nzIndenti"/>
      </w:pPr>
      <w:r>
        <w:tab/>
        <w:t>(ii)</w:t>
      </w:r>
      <w:r>
        <w:tab/>
        <w:t>any person growing or producing agricultural products or agisting or running stock on the land on which the residue exposed product is produced, kept or found;</w:t>
      </w:r>
    </w:p>
    <w:p>
      <w:pPr>
        <w:pStyle w:val="nzIndenta"/>
      </w:pPr>
      <w:r>
        <w:tab/>
        <w:t>(j)</w:t>
      </w:r>
      <w:r>
        <w:tab/>
        <w:t xml:space="preserve">provide information to an inspector of any proposed change of identity of — </w:t>
      </w:r>
    </w:p>
    <w:p>
      <w:pPr>
        <w:pStyle w:val="nzIndenti"/>
      </w:pPr>
      <w:r>
        <w:tab/>
        <w:t>(i)</w:t>
      </w:r>
      <w:r>
        <w:tab/>
        <w:t>an owner or lessee of the land on which the residue exposed product is produced, kept or found; or</w:t>
      </w:r>
    </w:p>
    <w:p>
      <w:pPr>
        <w:pStyle w:val="nzIndenti"/>
      </w:pPr>
      <w:r>
        <w:tab/>
        <w:t>(ii)</w:t>
      </w:r>
      <w:r>
        <w:tab/>
        <w:t>any person growing or producing agricultural products or agisting or running stock on the land on which the residue exposed product is produced, kept or found.</w:t>
      </w:r>
    </w:p>
    <w:p>
      <w:pPr>
        <w:pStyle w:val="nzHeading5"/>
      </w:pPr>
      <w:bookmarkStart w:id="263" w:name="_Toc278295540"/>
      <w:bookmarkStart w:id="264" w:name="_Toc317151160"/>
      <w:bookmarkStart w:id="265" w:name="_Toc345661339"/>
      <w:r>
        <w:rPr>
          <w:rStyle w:val="CharSectno"/>
        </w:rPr>
        <w:t>12</w:t>
      </w:r>
      <w:r>
        <w:t>.</w:t>
      </w:r>
      <w:r>
        <w:tab/>
        <w:t>Review by Director General</w:t>
      </w:r>
      <w:bookmarkEnd w:id="263"/>
      <w:bookmarkEnd w:id="264"/>
      <w:bookmarkEnd w:id="265"/>
    </w:p>
    <w:p>
      <w:pPr>
        <w:pStyle w:val="nzSubsection"/>
      </w:pPr>
      <w:r>
        <w:tab/>
        <w:t>(1)</w:t>
      </w:r>
      <w:r>
        <w:tab/>
        <w:t xml:space="preserve">In this regulation — </w:t>
      </w:r>
    </w:p>
    <w:p>
      <w:pPr>
        <w:pStyle w:val="nz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nzSubsection"/>
      </w:pPr>
      <w:r>
        <w:tab/>
        <w:t>(2)</w:t>
      </w:r>
      <w:r>
        <w:tab/>
        <w:t xml:space="preserve">The Director General must review a residue quarantine notice that has a period of operation of more than 5 years or that operates indefinitely — </w:t>
      </w:r>
    </w:p>
    <w:p>
      <w:pPr>
        <w:pStyle w:val="nzIndenta"/>
      </w:pPr>
      <w:r>
        <w:tab/>
        <w:t>(a)</w:t>
      </w:r>
      <w:r>
        <w:tab/>
        <w:t>not later than 5 years after it is given to an owner or occupier; and</w:t>
      </w:r>
    </w:p>
    <w:p>
      <w:pPr>
        <w:pStyle w:val="nzIndenta"/>
      </w:pPr>
      <w:r>
        <w:tab/>
        <w:t>(b)</w:t>
      </w:r>
      <w:r>
        <w:tab/>
        <w:t>in each succeeding 5 year period after it is last reviewed.</w:t>
      </w:r>
    </w:p>
    <w:p>
      <w:pPr>
        <w:pStyle w:val="nzSubsection"/>
      </w:pPr>
      <w:r>
        <w:tab/>
        <w:t>(3)</w:t>
      </w:r>
      <w:r>
        <w:tab/>
        <w:t>In conducting the review the Director General must have regard to any residue data that is available to the Director General.</w:t>
      </w:r>
    </w:p>
    <w:p>
      <w:pPr>
        <w:pStyle w:val="nzSubsection"/>
      </w:pPr>
      <w:r>
        <w:tab/>
        <w:t>(4)</w:t>
      </w:r>
      <w:r>
        <w:tab/>
        <w:t xml:space="preserve">If an owner or occupier bound by a residue quarantine notice has residue data available that is additional to the residue data available to the Director General, the owner or occupier may — </w:t>
      </w:r>
    </w:p>
    <w:p>
      <w:pPr>
        <w:pStyle w:val="nzIndenta"/>
      </w:pPr>
      <w:r>
        <w:tab/>
        <w:t>(a)</w:t>
      </w:r>
      <w:r>
        <w:tab/>
        <w:t>provide the additional residue data to the Director General; and</w:t>
      </w:r>
    </w:p>
    <w:p>
      <w:pPr>
        <w:pStyle w:val="nzIndenta"/>
      </w:pPr>
      <w:r>
        <w:tab/>
        <w:t>(b)</w:t>
      </w:r>
      <w:r>
        <w:tab/>
        <w:t>request the Director General to review the residue quarantine notice having regard to that residue data.</w:t>
      </w:r>
    </w:p>
    <w:p>
      <w:pPr>
        <w:pStyle w:val="nzHeading5"/>
      </w:pPr>
      <w:bookmarkStart w:id="266" w:name="_Toc278295541"/>
      <w:bookmarkStart w:id="267" w:name="_Toc317151161"/>
      <w:bookmarkStart w:id="268" w:name="_Toc345661340"/>
      <w:r>
        <w:rPr>
          <w:rStyle w:val="CharSectno"/>
        </w:rPr>
        <w:t>13</w:t>
      </w:r>
      <w:r>
        <w:t>.</w:t>
      </w:r>
      <w:r>
        <w:tab/>
        <w:t>Review by State Administrative Tribunal</w:t>
      </w:r>
      <w:bookmarkEnd w:id="266"/>
      <w:bookmarkEnd w:id="267"/>
      <w:bookmarkEnd w:id="268"/>
    </w:p>
    <w:p>
      <w:pPr>
        <w:pStyle w:val="nzSubsection"/>
      </w:pPr>
      <w:r>
        <w:tab/>
      </w:r>
      <w:r>
        <w:tab/>
        <w:t xml:space="preserve">A person aggrieved by — </w:t>
      </w:r>
    </w:p>
    <w:p>
      <w:pPr>
        <w:pStyle w:val="nzIndenta"/>
      </w:pPr>
      <w:r>
        <w:tab/>
        <w:t>(a)</w:t>
      </w:r>
      <w:r>
        <w:tab/>
        <w:t>a decision to issue a residue quarantine notice; or</w:t>
      </w:r>
    </w:p>
    <w:p>
      <w:pPr>
        <w:pStyle w:val="nz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nzIndenta"/>
      </w:pPr>
      <w:r>
        <w:tab/>
        <w:t>(c)</w:t>
      </w:r>
      <w:r>
        <w:tab/>
        <w:t>a decision not to cancel a residue quarantine notice following a review conducted under regulation 12(2); or</w:t>
      </w:r>
    </w:p>
    <w:p>
      <w:pPr>
        <w:pStyle w:val="nzIndenta"/>
      </w:pPr>
      <w:r>
        <w:tab/>
        <w:t>(d)</w:t>
      </w:r>
      <w:r>
        <w:tab/>
        <w:t>a decision by the Director General to refuse a request under regulation 12(4)(b),</w:t>
      </w:r>
    </w:p>
    <w:p>
      <w:pPr>
        <w:pStyle w:val="nzSubsection"/>
      </w:pPr>
      <w:r>
        <w:tab/>
      </w:r>
      <w:r>
        <w:tab/>
        <w:t>may apply to the State Administrative Tribunal for a review of the decision.</w:t>
      </w:r>
    </w:p>
    <w:p>
      <w:pPr>
        <w:pStyle w:val="nzHeading3"/>
      </w:pPr>
      <w:bookmarkStart w:id="269" w:name="_Toc324145294"/>
      <w:bookmarkStart w:id="270" w:name="_Toc324150369"/>
      <w:bookmarkStart w:id="271" w:name="_Toc324150620"/>
      <w:bookmarkStart w:id="272" w:name="_Toc324155364"/>
      <w:bookmarkStart w:id="273" w:name="_Toc324155427"/>
      <w:bookmarkStart w:id="274" w:name="_Toc324157306"/>
      <w:bookmarkStart w:id="275" w:name="_Toc324170352"/>
      <w:bookmarkStart w:id="276" w:name="_Toc324170694"/>
      <w:bookmarkStart w:id="277" w:name="_Toc324172465"/>
      <w:bookmarkStart w:id="278" w:name="_Toc327281447"/>
      <w:bookmarkStart w:id="279" w:name="_Toc327281513"/>
      <w:bookmarkStart w:id="280" w:name="_Toc340660229"/>
      <w:bookmarkStart w:id="281" w:name="_Toc340660299"/>
      <w:bookmarkStart w:id="282" w:name="_Toc343176702"/>
      <w:bookmarkStart w:id="283" w:name="_Toc343176788"/>
      <w:bookmarkStart w:id="284" w:name="_Toc343240765"/>
      <w:bookmarkStart w:id="285" w:name="_Toc343246287"/>
      <w:bookmarkStart w:id="286" w:name="_Toc343500598"/>
      <w:bookmarkStart w:id="287" w:name="_Toc343502382"/>
      <w:bookmarkStart w:id="288" w:name="_Toc343503359"/>
      <w:bookmarkStart w:id="289" w:name="_Toc343503445"/>
      <w:bookmarkStart w:id="290" w:name="_Toc343504279"/>
      <w:bookmarkStart w:id="291" w:name="_Toc343504557"/>
      <w:bookmarkStart w:id="292" w:name="_Toc343504954"/>
      <w:bookmarkStart w:id="293" w:name="_Toc343505740"/>
      <w:bookmarkStart w:id="294" w:name="_Toc343506445"/>
      <w:bookmarkStart w:id="295" w:name="_Toc343507519"/>
      <w:bookmarkStart w:id="296" w:name="_Toc343516594"/>
      <w:bookmarkStart w:id="297" w:name="_Toc343516872"/>
      <w:bookmarkStart w:id="298" w:name="_Toc345488352"/>
      <w:bookmarkStart w:id="299" w:name="_Toc345659887"/>
      <w:bookmarkStart w:id="300" w:name="_Toc345661146"/>
      <w:bookmarkStart w:id="301" w:name="_Toc345661341"/>
      <w:r>
        <w:rPr>
          <w:rStyle w:val="CharDivNo"/>
        </w:rPr>
        <w:t>Division 4</w:t>
      </w:r>
      <w:r>
        <w:t> — </w:t>
      </w:r>
      <w:bookmarkStart w:id="302" w:name="_Toc317151162"/>
      <w:bookmarkStart w:id="303" w:name="_Toc526818923"/>
      <w:bookmarkStart w:id="304" w:name="_Toc92872212"/>
      <w:bookmarkStart w:id="305" w:name="_Toc110920815"/>
      <w:bookmarkStart w:id="306" w:name="_Toc110920909"/>
      <w:bookmarkStart w:id="307" w:name="_Toc110921045"/>
      <w:bookmarkStart w:id="308" w:name="_Toc110921129"/>
      <w:bookmarkStart w:id="309" w:name="_Toc110921142"/>
      <w:bookmarkStart w:id="310" w:name="_Toc110921348"/>
      <w:bookmarkStart w:id="311" w:name="_Toc110921427"/>
      <w:bookmarkStart w:id="312" w:name="_Toc110921535"/>
      <w:bookmarkStart w:id="313" w:name="_Toc110921585"/>
      <w:bookmarkStart w:id="314" w:name="_Toc110921686"/>
      <w:bookmarkStart w:id="315" w:name="_Toc110921828"/>
      <w:bookmarkStart w:id="316" w:name="_Toc110921861"/>
      <w:bookmarkStart w:id="317" w:name="_Toc110921907"/>
      <w:bookmarkStart w:id="318" w:name="_Toc110921951"/>
      <w:bookmarkStart w:id="319" w:name="_Toc142977796"/>
      <w:bookmarkStart w:id="320" w:name="_Toc142988005"/>
      <w:bookmarkStart w:id="321" w:name="_Toc156105227"/>
      <w:bookmarkStart w:id="322" w:name="_Toc156106646"/>
      <w:bookmarkStart w:id="323" w:name="_Toc157230435"/>
      <w:bookmarkStart w:id="324" w:name="_Toc157243350"/>
      <w:bookmarkStart w:id="325" w:name="_Toc159235170"/>
      <w:bookmarkStart w:id="326" w:name="_Toc162085062"/>
      <w:bookmarkStart w:id="327" w:name="_Toc162147795"/>
      <w:r>
        <w:rPr>
          <w:rStyle w:val="CharDivText"/>
        </w:rPr>
        <w:t>Residue exposed products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nzHeading5"/>
      </w:pPr>
      <w:bookmarkStart w:id="328" w:name="_Toc345661342"/>
      <w:r>
        <w:rPr>
          <w:rStyle w:val="CharSectno"/>
        </w:rPr>
        <w:t>14</w:t>
      </w:r>
      <w:r>
        <w:t>.</w:t>
      </w:r>
      <w:r>
        <w:tab/>
        <w:t>Term used: withholding period</w:t>
      </w:r>
      <w:bookmarkEnd w:id="328"/>
    </w:p>
    <w:p>
      <w:pPr>
        <w:pStyle w:val="nzSubsection"/>
      </w:pPr>
      <w:r>
        <w:tab/>
      </w:r>
      <w:r>
        <w:tab/>
        <w:t xml:space="preserve">In this Division — </w:t>
      </w:r>
    </w:p>
    <w:p>
      <w:pPr>
        <w:pStyle w:val="nzDefstart"/>
      </w:pPr>
      <w:r>
        <w:rPr>
          <w:b/>
        </w:rPr>
        <w:tab/>
      </w:r>
      <w:r>
        <w:rPr>
          <w:rStyle w:val="CharDefText"/>
        </w:rPr>
        <w:t>withholding period</w:t>
      </w:r>
      <w:r>
        <w:t xml:space="preserve">, in relation to the use of a chemical product, means the minimum period that needs to elapse between — </w:t>
      </w:r>
    </w:p>
    <w:p>
      <w:pPr>
        <w:pStyle w:val="nzDefpara"/>
      </w:pPr>
      <w:r>
        <w:tab/>
        <w:t>(a)</w:t>
      </w:r>
      <w:r>
        <w:tab/>
        <w:t>the last use of the chemical product in relation to an animal, agricultural product or animal feed; and</w:t>
      </w:r>
    </w:p>
    <w:p>
      <w:pPr>
        <w:pStyle w:val="nzDefpara"/>
      </w:pPr>
      <w:r>
        <w:tab/>
        <w:t>(b)</w:t>
      </w:r>
      <w:r>
        <w:tab/>
        <w:t>the use of the animal, agricultural product or animal feed,</w:t>
      </w:r>
    </w:p>
    <w:p>
      <w:pPr>
        <w:pStyle w:val="nzDefstart"/>
      </w:pPr>
      <w:r>
        <w:tab/>
        <w:t>in order to ensure that the animal, agriculture product or animal feed is not contaminated.</w:t>
      </w:r>
    </w:p>
    <w:p>
      <w:pPr>
        <w:pStyle w:val="nzHeading5"/>
      </w:pPr>
      <w:bookmarkStart w:id="329" w:name="_Toc278295543"/>
      <w:bookmarkStart w:id="330" w:name="_Toc317151163"/>
      <w:bookmarkStart w:id="331" w:name="_Toc345661343"/>
      <w:r>
        <w:rPr>
          <w:rStyle w:val="CharSectno"/>
        </w:rPr>
        <w:t>15</w:t>
      </w:r>
      <w:r>
        <w:t>.</w:t>
      </w:r>
      <w:r>
        <w:tab/>
        <w:t xml:space="preserve">Duty to provide information about </w:t>
      </w:r>
      <w:bookmarkEnd w:id="329"/>
      <w:r>
        <w:t>residue exposed products</w:t>
      </w:r>
      <w:bookmarkEnd w:id="330"/>
      <w:bookmarkEnd w:id="331"/>
    </w:p>
    <w:p>
      <w:pPr>
        <w:pStyle w:val="nzSubsection"/>
      </w:pPr>
      <w:r>
        <w:tab/>
        <w:t>(1)</w:t>
      </w:r>
      <w:r>
        <w:tab/>
        <w:t xml:space="preserve">For the purposes of this regulation — </w:t>
      </w:r>
    </w:p>
    <w:p>
      <w:pPr>
        <w:pStyle w:val="nzDefstart"/>
      </w:pPr>
      <w:r>
        <w:tab/>
      </w:r>
      <w:r>
        <w:rPr>
          <w:rStyle w:val="CharDefText"/>
        </w:rPr>
        <w:t>relevant person</w:t>
      </w:r>
      <w:r>
        <w:rPr>
          <w:bCs/>
        </w:rPr>
        <w:t>, in relation to an animal, agricultural product or animal feed,</w:t>
      </w:r>
      <w:r>
        <w:t xml:space="preserve"> means — </w:t>
      </w:r>
    </w:p>
    <w:p>
      <w:pPr>
        <w:pStyle w:val="nzDefpara"/>
      </w:pPr>
      <w:r>
        <w:tab/>
        <w:t>(a)</w:t>
      </w:r>
      <w:r>
        <w:tab/>
        <w:t xml:space="preserve">an owner or occupier of land on which the </w:t>
      </w:r>
      <w:r>
        <w:rPr>
          <w:bCs/>
        </w:rPr>
        <w:t>animal, agricultural product or animal feed</w:t>
      </w:r>
      <w:r>
        <w:t xml:space="preserve"> is kept or found; or</w:t>
      </w:r>
    </w:p>
    <w:p>
      <w:pPr>
        <w:pStyle w:val="nzDefpara"/>
      </w:pPr>
      <w:r>
        <w:tab/>
        <w:t>(b)</w:t>
      </w:r>
      <w:r>
        <w:tab/>
        <w:t xml:space="preserve">an owner, or any person in control, of the </w:t>
      </w:r>
      <w:r>
        <w:rPr>
          <w:bCs/>
        </w:rPr>
        <w:t>animal, agricultural product or animal feed</w:t>
      </w:r>
      <w:r>
        <w:t>; or</w:t>
      </w:r>
    </w:p>
    <w:p>
      <w:pPr>
        <w:pStyle w:val="nz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nz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nzPenstart"/>
      </w:pPr>
      <w:r>
        <w:tab/>
        <w:t xml:space="preserve">Penalty: </w:t>
      </w:r>
    </w:p>
    <w:p>
      <w:pPr>
        <w:pStyle w:val="nzPenpara"/>
      </w:pPr>
      <w:r>
        <w:tab/>
        <w:t>(a)</w:t>
      </w:r>
      <w:r>
        <w:tab/>
        <w:t>if section 57 of the Act applies to the contravention, the penalty imposed under that section;</w:t>
      </w:r>
    </w:p>
    <w:p>
      <w:pPr>
        <w:pStyle w:val="nzPenpara"/>
        <w:rPr>
          <w:rStyle w:val="DraftersNotes"/>
        </w:rPr>
      </w:pPr>
      <w:r>
        <w:tab/>
        <w:t>(b)</w:t>
      </w:r>
      <w:r>
        <w:tab/>
        <w:t>otherwise, a fine of $2 000.</w:t>
      </w:r>
    </w:p>
    <w:p>
      <w:pPr>
        <w:pStyle w:val="nzSubsection"/>
      </w:pPr>
      <w:r>
        <w:tab/>
        <w:t>(3)</w:t>
      </w:r>
      <w:r>
        <w:tab/>
        <w:t xml:space="preserve">Information — </w:t>
      </w:r>
    </w:p>
    <w:p>
      <w:pPr>
        <w:pStyle w:val="nzIndenta"/>
      </w:pPr>
      <w:r>
        <w:tab/>
        <w:t>(a)</w:t>
      </w:r>
      <w:r>
        <w:tab/>
        <w:t>may be provided orally or in writing; and</w:t>
      </w:r>
    </w:p>
    <w:p>
      <w:pPr>
        <w:pStyle w:val="nz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nzIndenta"/>
      </w:pPr>
      <w:r>
        <w:tab/>
        <w:t>(c)</w:t>
      </w:r>
      <w:r>
        <w:tab/>
        <w:t>must include any other relevant information within the person’s knowledge; and</w:t>
      </w:r>
    </w:p>
    <w:p>
      <w:pPr>
        <w:pStyle w:val="nzIndenta"/>
      </w:pPr>
      <w:r>
        <w:tab/>
        <w:t>(d)</w:t>
      </w:r>
      <w:r>
        <w:tab/>
        <w:t>must be provided as soon as practicable after determining the presence of the contaminant or suspecting its presence.</w:t>
      </w:r>
    </w:p>
    <w:p>
      <w:pPr>
        <w:pStyle w:val="nz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nzSubsection"/>
      </w:pPr>
      <w:r>
        <w:tab/>
        <w:t>(5)</w:t>
      </w:r>
      <w:r>
        <w:tab/>
        <w:t>Subregulation (4) has effect whether the advice was sought or given, or the services were provided, in relation to the place, organism or thing, or in relation to any other matter.</w:t>
      </w:r>
    </w:p>
    <w:p>
      <w:pPr>
        <w:pStyle w:val="nzHeading5"/>
      </w:pPr>
      <w:bookmarkStart w:id="332" w:name="_Toc278295544"/>
      <w:bookmarkStart w:id="333" w:name="_Toc317151164"/>
      <w:bookmarkStart w:id="334" w:name="_Toc345661344"/>
      <w:r>
        <w:rPr>
          <w:rStyle w:val="CharSectno"/>
        </w:rPr>
        <w:t>16</w:t>
      </w:r>
      <w:r>
        <w:t>.</w:t>
      </w:r>
      <w:r>
        <w:tab/>
        <w:t xml:space="preserve">Supply of </w:t>
      </w:r>
      <w:bookmarkEnd w:id="332"/>
      <w:r>
        <w:t>residue exposed products</w:t>
      </w:r>
      <w:bookmarkEnd w:id="333"/>
      <w:bookmarkEnd w:id="334"/>
    </w:p>
    <w:p>
      <w:pPr>
        <w:pStyle w:val="nz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nzPenstart"/>
      </w:pPr>
      <w:r>
        <w:tab/>
        <w:t xml:space="preserve">Penalty: </w:t>
      </w:r>
    </w:p>
    <w:p>
      <w:pPr>
        <w:pStyle w:val="nzPenpara"/>
      </w:pPr>
      <w:r>
        <w:tab/>
        <w:t>(a)</w:t>
      </w:r>
      <w:r>
        <w:tab/>
        <w:t>if section 57 of the Act applies to the contravention, the penalty imposed under that section;</w:t>
      </w:r>
    </w:p>
    <w:p>
      <w:pPr>
        <w:pStyle w:val="nzPenpara"/>
        <w:rPr>
          <w:rStyle w:val="DraftersNotes"/>
        </w:rPr>
      </w:pPr>
      <w:r>
        <w:tab/>
        <w:t>(b)</w:t>
      </w:r>
      <w:r>
        <w:tab/>
        <w:t>otherwise, a fine of $20 000.</w:t>
      </w:r>
    </w:p>
    <w:p>
      <w:pPr>
        <w:pStyle w:val="nzSubsection"/>
      </w:pPr>
      <w:r>
        <w:tab/>
        <w:t>(2)</w:t>
      </w:r>
      <w:r>
        <w:tab/>
        <w:t xml:space="preserve">It is a defence to a charge for an offence under subregulation (1) to prove that — </w:t>
      </w:r>
    </w:p>
    <w:p>
      <w:pPr>
        <w:pStyle w:val="nzIndenta"/>
      </w:pPr>
      <w:r>
        <w:tab/>
        <w:t>(a)</w:t>
      </w:r>
      <w:r>
        <w:tab/>
        <w:t>the supplier is the owner or occupier of the land on which the residue exposed product was produced or located before the supply; and</w:t>
      </w:r>
    </w:p>
    <w:p>
      <w:pPr>
        <w:pStyle w:val="nzIndenta"/>
      </w:pPr>
      <w:r>
        <w:tab/>
        <w:t>(b)</w:t>
      </w:r>
      <w:r>
        <w:tab/>
        <w:t>the supply is in accordance with a residue quarantine notice given to the supplier in respect of the animal, agricultural product or animal feed; and</w:t>
      </w:r>
    </w:p>
    <w:p>
      <w:pPr>
        <w:pStyle w:val="nzIndenta"/>
      </w:pPr>
      <w:r>
        <w:tab/>
        <w:t>(c)</w:t>
      </w:r>
      <w:r>
        <w:tab/>
        <w:t xml:space="preserve">the supplier — </w:t>
      </w:r>
    </w:p>
    <w:p>
      <w:pPr>
        <w:pStyle w:val="nzIndenti"/>
      </w:pPr>
      <w:r>
        <w:tab/>
        <w:t>(i)</w:t>
      </w:r>
      <w:r>
        <w:tab/>
        <w:t>has been provided with an inspector’s written permission to supply that residue exposed product; and</w:t>
      </w:r>
    </w:p>
    <w:p>
      <w:pPr>
        <w:pStyle w:val="nzIndenti"/>
      </w:pPr>
      <w:r>
        <w:tab/>
        <w:t>(ii)</w:t>
      </w:r>
      <w:r>
        <w:tab/>
        <w:t>has provided a copy of the permission to the consumer before the supply of the residue exposed product; and</w:t>
      </w:r>
    </w:p>
    <w:p>
      <w:pPr>
        <w:pStyle w:val="nzIndenti"/>
      </w:pPr>
      <w:r>
        <w:tab/>
        <w:t>(iii)</w:t>
      </w:r>
      <w:r>
        <w:tab/>
        <w:t>notified the Director General or an inspector of the name and address of the consumer within 24 hours of the supply of the residue exposed product.</w:t>
      </w:r>
    </w:p>
    <w:p>
      <w:pPr>
        <w:pStyle w:val="nzSubsection"/>
      </w:pPr>
      <w:r>
        <w:tab/>
        <w:t>(3)</w:t>
      </w:r>
      <w:r>
        <w:tab/>
        <w:t>It is a defence to a charge for an offence under subregulation (1) to prove that —</w:t>
      </w:r>
    </w:p>
    <w:p>
      <w:pPr>
        <w:pStyle w:val="nzIndenta"/>
      </w:pPr>
      <w:r>
        <w:tab/>
        <w:t>(a)</w:t>
      </w:r>
      <w:r>
        <w:tab/>
        <w:t>the residue exposed product is an animal that has been treated with a veterinary chemical product in respect of which a withholding period applies and for which the withholding period has not elapsed; and</w:t>
      </w:r>
    </w:p>
    <w:p>
      <w:pPr>
        <w:pStyle w:val="nzIndenta"/>
      </w:pPr>
      <w:r>
        <w:tab/>
        <w:t>(b)</w:t>
      </w:r>
      <w:r>
        <w:tab/>
        <w:t xml:space="preserve">the supplier has given the consumer written notice of the treatment of the animal including the following — </w:t>
      </w:r>
    </w:p>
    <w:p>
      <w:pPr>
        <w:pStyle w:val="nzIndenti"/>
      </w:pPr>
      <w:r>
        <w:tab/>
        <w:t>(i)</w:t>
      </w:r>
      <w:r>
        <w:tab/>
        <w:t xml:space="preserve">the withholding period for use of the chemical product or the date the withholding period elapses; </w:t>
      </w:r>
    </w:p>
    <w:p>
      <w:pPr>
        <w:pStyle w:val="nzIndenti"/>
      </w:pPr>
      <w:r>
        <w:tab/>
        <w:t>(ii)</w:t>
      </w:r>
      <w:r>
        <w:tab/>
        <w:t xml:space="preserve">the name of — </w:t>
      </w:r>
    </w:p>
    <w:p>
      <w:pPr>
        <w:pStyle w:val="nzIndentI0"/>
      </w:pPr>
      <w:r>
        <w:tab/>
        <w:t>(I)</w:t>
      </w:r>
      <w:r>
        <w:tab/>
        <w:t>the product used; or</w:t>
      </w:r>
    </w:p>
    <w:p>
      <w:pPr>
        <w:pStyle w:val="nzIndentI0"/>
      </w:pPr>
      <w:r>
        <w:tab/>
        <w:t>(II)</w:t>
      </w:r>
      <w:r>
        <w:tab/>
        <w:t>if the product does not have a name, the product’s active constituent;</w:t>
      </w:r>
    </w:p>
    <w:p>
      <w:pPr>
        <w:pStyle w:val="nzIndenti"/>
      </w:pPr>
      <w:r>
        <w:tab/>
        <w:t>(iii)</w:t>
      </w:r>
      <w:r>
        <w:tab/>
        <w:t xml:space="preserve">details to identify the animal that has been treated; </w:t>
      </w:r>
    </w:p>
    <w:p>
      <w:pPr>
        <w:pStyle w:val="nzIndenti"/>
      </w:pPr>
      <w:r>
        <w:tab/>
        <w:t>(iv)</w:t>
      </w:r>
      <w:r>
        <w:tab/>
        <w:t>the date of the most recent treatment.</w:t>
      </w:r>
    </w:p>
    <w:p>
      <w:pPr>
        <w:pStyle w:val="nzSubsection"/>
      </w:pPr>
      <w:r>
        <w:tab/>
        <w:t>(4)</w:t>
      </w:r>
      <w:r>
        <w:tab/>
        <w:t xml:space="preserve">It is a defence to a charge for an offence under subregulation (1) to prove that — </w:t>
      </w:r>
    </w:p>
    <w:p>
      <w:pPr>
        <w:pStyle w:val="nzIndenta"/>
      </w:pPr>
      <w:r>
        <w:tab/>
        <w:t>(a)</w:t>
      </w:r>
      <w:r>
        <w:tab/>
        <w:t>the supplier did not know, and had no grounds to suspect, that the animal, agricultural product or animal feed supplied was contaminated; and</w:t>
      </w:r>
    </w:p>
    <w:p>
      <w:pPr>
        <w:pStyle w:val="nzIndenta"/>
      </w:pPr>
      <w:r>
        <w:tab/>
        <w:t>(b)</w:t>
      </w:r>
      <w:r>
        <w:tab/>
        <w:t>the supplier has taken reasonable measures to ensure that the animal, agricultural product or animal feed supplied was not contaminated.</w:t>
      </w:r>
    </w:p>
    <w:p>
      <w:pPr>
        <w:pStyle w:val="nzNotesPerm"/>
      </w:pPr>
      <w:r>
        <w:tab/>
        <w:t>Note:</w:t>
      </w:r>
      <w:r>
        <w:tab/>
        <w:t>Such reasonable measures include the adoption of appropriate quality assurance plans or the obtaining of vendor declarations for received products.</w:t>
      </w:r>
    </w:p>
    <w:p>
      <w:pPr>
        <w:pStyle w:val="nzSubsection"/>
      </w:pPr>
      <w:r>
        <w:tab/>
        <w:t>(5)</w:t>
      </w:r>
      <w:r>
        <w:tab/>
        <w:t xml:space="preserve">A defence under subregulation (4) is only available to a supplier who has — </w:t>
      </w:r>
    </w:p>
    <w:p>
      <w:pPr>
        <w:pStyle w:val="nzIndenta"/>
      </w:pPr>
      <w:r>
        <w:tab/>
        <w:t>(a)</w:t>
      </w:r>
      <w:r>
        <w:tab/>
        <w:t>used a chemical product in connection with the supply of contaminated animals, agricultural products or animal feed; and</w:t>
      </w:r>
    </w:p>
    <w:p>
      <w:pPr>
        <w:pStyle w:val="nzIndenta"/>
      </w:pPr>
      <w:r>
        <w:tab/>
        <w:t>(b)</w:t>
      </w:r>
      <w:r>
        <w:tab/>
        <w:t>supplied animals, agricultural products or animal feed contaminated by substances found in that chemical product,</w:t>
      </w:r>
    </w:p>
    <w:p>
      <w:pPr>
        <w:pStyle w:val="nzSubsection"/>
      </w:pPr>
      <w:r>
        <w:tab/>
      </w:r>
      <w:r>
        <w:tab/>
        <w:t xml:space="preserve">if that supplier can demonstrate that — </w:t>
      </w:r>
    </w:p>
    <w:p>
      <w:pPr>
        <w:pStyle w:val="nz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nzIndenta"/>
      </w:pPr>
      <w:r>
        <w:tab/>
        <w:t>(d)</w:t>
      </w:r>
      <w:r>
        <w:tab/>
        <w:t xml:space="preserve">the chemical product was used in accordance with — </w:t>
      </w:r>
    </w:p>
    <w:p>
      <w:pPr>
        <w:pStyle w:val="nzIndenti"/>
      </w:pPr>
      <w:r>
        <w:tab/>
        <w:t>(i)</w:t>
      </w:r>
      <w:r>
        <w:tab/>
        <w:t>all label directions, including withholding periods in respect of the chemical product; or</w:t>
      </w:r>
    </w:p>
    <w:p>
      <w:pPr>
        <w:pStyle w:val="nzIndenti"/>
      </w:pPr>
      <w:r>
        <w:tab/>
        <w:t>(ii)</w:t>
      </w:r>
      <w:r>
        <w:tab/>
        <w:t xml:space="preserve">the provisions of the </w:t>
      </w:r>
      <w:r>
        <w:rPr>
          <w:i/>
          <w:iCs/>
        </w:rPr>
        <w:t>Veterinary Chemical Control Regulations 2006</w:t>
      </w:r>
      <w:r>
        <w:t>.</w:t>
      </w:r>
    </w:p>
    <w:p>
      <w:pPr>
        <w:pStyle w:val="nzHeading5"/>
      </w:pPr>
      <w:bookmarkStart w:id="335" w:name="_Toc278295545"/>
      <w:bookmarkStart w:id="336" w:name="_Toc317151165"/>
      <w:bookmarkStart w:id="337" w:name="_Toc345661345"/>
      <w:r>
        <w:rPr>
          <w:rStyle w:val="CharSectno"/>
        </w:rPr>
        <w:t>17</w:t>
      </w:r>
      <w:r>
        <w:t>.</w:t>
      </w:r>
      <w:r>
        <w:tab/>
        <w:t>Dealing with residue exposed product</w:t>
      </w:r>
      <w:bookmarkEnd w:id="335"/>
      <w:r>
        <w:t xml:space="preserve"> in accordance with permission</w:t>
      </w:r>
      <w:bookmarkEnd w:id="336"/>
      <w:bookmarkEnd w:id="337"/>
    </w:p>
    <w:p>
      <w:pPr>
        <w:pStyle w:val="nz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nzPenstart"/>
      </w:pPr>
      <w:r>
        <w:tab/>
        <w:t xml:space="preserve">Penalty: </w:t>
      </w:r>
    </w:p>
    <w:p>
      <w:pPr>
        <w:pStyle w:val="nzPenpara"/>
      </w:pPr>
      <w:r>
        <w:tab/>
        <w:t>(a)</w:t>
      </w:r>
      <w:r>
        <w:tab/>
        <w:t>if section 57 of the Act applies to the contravention, the penalty imposed under that section;</w:t>
      </w:r>
    </w:p>
    <w:p>
      <w:pPr>
        <w:pStyle w:val="nzPenpara"/>
        <w:rPr>
          <w:rStyle w:val="DraftersNotes"/>
        </w:rPr>
      </w:pPr>
      <w:r>
        <w:tab/>
        <w:t>(b)</w:t>
      </w:r>
      <w:r>
        <w:tab/>
        <w:t>otherwise, a fine of $20 000.</w:t>
      </w:r>
    </w:p>
    <w:p>
      <w:pPr>
        <w:pStyle w:val="nzHeading5"/>
      </w:pPr>
      <w:bookmarkStart w:id="338" w:name="_Toc345661346"/>
      <w:r>
        <w:rPr>
          <w:rStyle w:val="CharSectno"/>
        </w:rPr>
        <w:t>18</w:t>
      </w:r>
      <w:r>
        <w:t>.</w:t>
      </w:r>
      <w:r>
        <w:tab/>
        <w:t>Using residue exposed product during withholding period</w:t>
      </w:r>
      <w:bookmarkEnd w:id="338"/>
    </w:p>
    <w:p>
      <w:pPr>
        <w:pStyle w:val="nzSubsection"/>
      </w:pPr>
      <w:r>
        <w:tab/>
        <w:t>(1)</w:t>
      </w:r>
      <w:r>
        <w:tab/>
        <w:t xml:space="preserve">A person must not use a residue exposed product for human or animal consumption if — </w:t>
      </w:r>
    </w:p>
    <w:p>
      <w:pPr>
        <w:pStyle w:val="nzIndenta"/>
      </w:pPr>
      <w:r>
        <w:tab/>
        <w:t>(a)</w:t>
      </w:r>
      <w:r>
        <w:tab/>
        <w:t xml:space="preserve">a withholding period applies to the use of a chemical product that was used in relation to the residue exposed product; and </w:t>
      </w:r>
    </w:p>
    <w:p>
      <w:pPr>
        <w:pStyle w:val="nzIndenta"/>
      </w:pPr>
      <w:r>
        <w:tab/>
        <w:t>(b)</w:t>
      </w:r>
      <w:r>
        <w:tab/>
        <w:t>the withholding period has not elapsed.</w:t>
      </w:r>
    </w:p>
    <w:p>
      <w:pPr>
        <w:pStyle w:val="nzPenstart"/>
      </w:pPr>
      <w:r>
        <w:tab/>
        <w:t xml:space="preserve">Penalty: </w:t>
      </w:r>
    </w:p>
    <w:p>
      <w:pPr>
        <w:pStyle w:val="nzPenpara"/>
      </w:pPr>
      <w:r>
        <w:tab/>
        <w:t>(a)</w:t>
      </w:r>
      <w:r>
        <w:tab/>
        <w:t>if section 57 of the Act applies to the contravention, the penalty imposed under that section;</w:t>
      </w:r>
    </w:p>
    <w:p>
      <w:pPr>
        <w:pStyle w:val="nzPenpara"/>
        <w:rPr>
          <w:rStyle w:val="DraftersNotes"/>
        </w:rPr>
      </w:pPr>
      <w:r>
        <w:tab/>
        <w:t>(b)</w:t>
      </w:r>
      <w:r>
        <w:tab/>
        <w:t>otherwise, a fine of $20 000.</w:t>
      </w:r>
    </w:p>
    <w:p>
      <w:pPr>
        <w:pStyle w:val="nzSubsection"/>
      </w:pPr>
      <w:r>
        <w:tab/>
        <w:t>(2)</w:t>
      </w:r>
      <w:r>
        <w:tab/>
        <w:t xml:space="preserve">It is a defence to a charge for an offence under subregulation (1) to prove that — </w:t>
      </w:r>
    </w:p>
    <w:p>
      <w:pPr>
        <w:pStyle w:val="nzIndenta"/>
      </w:pPr>
      <w:r>
        <w:tab/>
        <w:t>(a)</w:t>
      </w:r>
      <w:r>
        <w:tab/>
        <w:t>a residue quarantine notice was in effect in relation to residue exposed product; and</w:t>
      </w:r>
    </w:p>
    <w:p>
      <w:pPr>
        <w:pStyle w:val="nzIndenta"/>
      </w:pPr>
      <w:r>
        <w:tab/>
        <w:t>(b)</w:t>
      </w:r>
      <w:r>
        <w:tab/>
        <w:t xml:space="preserve">the use of the residue exposed product was in accordance with the notice. </w:t>
      </w:r>
    </w:p>
    <w:p>
      <w:pPr>
        <w:pStyle w:val="nzHeading5"/>
      </w:pPr>
      <w:bookmarkStart w:id="339" w:name="_Toc278295536"/>
      <w:bookmarkStart w:id="340" w:name="_Toc317151166"/>
      <w:bookmarkStart w:id="341" w:name="_Toc345661347"/>
      <w:r>
        <w:rPr>
          <w:rStyle w:val="CharSectno"/>
        </w:rPr>
        <w:t>19</w:t>
      </w:r>
      <w:r>
        <w:t>.</w:t>
      </w:r>
      <w:bookmarkEnd w:id="339"/>
      <w:r>
        <w:tab/>
        <w:t>Approval of quality assurance plan</w:t>
      </w:r>
      <w:bookmarkEnd w:id="340"/>
      <w:bookmarkEnd w:id="341"/>
    </w:p>
    <w:p>
      <w:pPr>
        <w:pStyle w:val="nz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nzSubsection"/>
        <w:rPr>
          <w:rStyle w:val="CharDefText"/>
          <w:b w:val="0"/>
          <w:bCs/>
          <w:i w:val="0"/>
        </w:rPr>
      </w:pPr>
      <w:r>
        <w:tab/>
        <w:t>(2)</w:t>
      </w:r>
      <w:r>
        <w:tab/>
        <w:t>The Director General may approve a quality assurance plan if the Director General is satisfied that the plan sets out suitable procedures to manage the levels of contamination of animals or agricultural products on the land</w:t>
      </w:r>
      <w:r>
        <w:rPr>
          <w:rStyle w:val="CharDefText"/>
          <w:b w:val="0"/>
          <w:bCs/>
          <w:i w:val="0"/>
        </w:rPr>
        <w:t>.</w:t>
      </w:r>
    </w:p>
    <w:p>
      <w:pPr>
        <w:pStyle w:val="nzHeading2"/>
      </w:pPr>
      <w:bookmarkStart w:id="342" w:name="_Toc317151167"/>
      <w:bookmarkStart w:id="343" w:name="_Toc324145300"/>
      <w:bookmarkStart w:id="344" w:name="_Toc324150375"/>
      <w:bookmarkStart w:id="345" w:name="_Toc324150626"/>
      <w:bookmarkStart w:id="346" w:name="_Toc324155370"/>
      <w:bookmarkStart w:id="347" w:name="_Toc324155433"/>
      <w:bookmarkStart w:id="348" w:name="_Toc324157312"/>
      <w:bookmarkStart w:id="349" w:name="_Toc324170358"/>
      <w:bookmarkStart w:id="350" w:name="_Toc324170700"/>
      <w:bookmarkStart w:id="351" w:name="_Toc324172471"/>
      <w:bookmarkStart w:id="352" w:name="_Toc327281454"/>
      <w:bookmarkStart w:id="353" w:name="_Toc327281520"/>
      <w:bookmarkStart w:id="354" w:name="_Toc340660236"/>
      <w:bookmarkStart w:id="355" w:name="_Toc340660306"/>
      <w:bookmarkStart w:id="356" w:name="_Toc343176709"/>
      <w:bookmarkStart w:id="357" w:name="_Toc343176795"/>
      <w:bookmarkStart w:id="358" w:name="_Toc343240772"/>
      <w:bookmarkStart w:id="359" w:name="_Toc343246294"/>
      <w:bookmarkStart w:id="360" w:name="_Toc343500605"/>
      <w:bookmarkStart w:id="361" w:name="_Toc343502389"/>
      <w:bookmarkStart w:id="362" w:name="_Toc343503366"/>
      <w:bookmarkStart w:id="363" w:name="_Toc343503452"/>
      <w:bookmarkStart w:id="364" w:name="_Toc343504286"/>
      <w:bookmarkStart w:id="365" w:name="_Toc343504564"/>
      <w:bookmarkStart w:id="366" w:name="_Toc343504961"/>
      <w:bookmarkStart w:id="367" w:name="_Toc343505747"/>
      <w:bookmarkStart w:id="368" w:name="_Toc343506452"/>
      <w:bookmarkStart w:id="369" w:name="_Toc343507526"/>
      <w:bookmarkStart w:id="370" w:name="_Toc343516601"/>
      <w:bookmarkStart w:id="371" w:name="_Toc343516879"/>
      <w:bookmarkStart w:id="372" w:name="_Toc345488359"/>
      <w:bookmarkStart w:id="373" w:name="_Toc345659894"/>
      <w:bookmarkStart w:id="374" w:name="_Toc345661153"/>
      <w:bookmarkStart w:id="375" w:name="_Toc345661348"/>
      <w:r>
        <w:rPr>
          <w:rStyle w:val="CharPartNo"/>
        </w:rPr>
        <w:t>Part 3</w:t>
      </w:r>
      <w:r>
        <w:t> — </w:t>
      </w:r>
      <w:r>
        <w:rPr>
          <w:rStyle w:val="CharPartText"/>
        </w:rPr>
        <w:t>Animal feed</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nzHeading3"/>
      </w:pPr>
      <w:bookmarkStart w:id="376" w:name="_Toc324145301"/>
      <w:bookmarkStart w:id="377" w:name="_Toc324150376"/>
      <w:bookmarkStart w:id="378" w:name="_Toc324150627"/>
      <w:bookmarkStart w:id="379" w:name="_Toc324155371"/>
      <w:bookmarkStart w:id="380" w:name="_Toc324155434"/>
      <w:bookmarkStart w:id="381" w:name="_Toc324157313"/>
      <w:bookmarkStart w:id="382" w:name="_Toc324170359"/>
      <w:bookmarkStart w:id="383" w:name="_Toc324170701"/>
      <w:bookmarkStart w:id="384" w:name="_Toc324172472"/>
      <w:bookmarkStart w:id="385" w:name="_Toc327281455"/>
      <w:bookmarkStart w:id="386" w:name="_Toc327281521"/>
      <w:bookmarkStart w:id="387" w:name="_Toc340660237"/>
      <w:bookmarkStart w:id="388" w:name="_Toc340660307"/>
      <w:bookmarkStart w:id="389" w:name="_Toc343176710"/>
      <w:bookmarkStart w:id="390" w:name="_Toc343176796"/>
      <w:bookmarkStart w:id="391" w:name="_Toc343240773"/>
      <w:bookmarkStart w:id="392" w:name="_Toc343246295"/>
      <w:bookmarkStart w:id="393" w:name="_Toc343500606"/>
      <w:bookmarkStart w:id="394" w:name="_Toc343502390"/>
      <w:bookmarkStart w:id="395" w:name="_Toc343503367"/>
      <w:bookmarkStart w:id="396" w:name="_Toc343503453"/>
      <w:bookmarkStart w:id="397" w:name="_Toc343504287"/>
      <w:bookmarkStart w:id="398" w:name="_Toc343504565"/>
      <w:bookmarkStart w:id="399" w:name="_Toc343504962"/>
      <w:bookmarkStart w:id="400" w:name="_Toc343505748"/>
      <w:bookmarkStart w:id="401" w:name="_Toc343506453"/>
      <w:bookmarkStart w:id="402" w:name="_Toc343507527"/>
      <w:bookmarkStart w:id="403" w:name="_Toc343516602"/>
      <w:bookmarkStart w:id="404" w:name="_Toc343516880"/>
      <w:bookmarkStart w:id="405" w:name="_Toc345488360"/>
      <w:bookmarkStart w:id="406" w:name="_Toc345659895"/>
      <w:bookmarkStart w:id="407" w:name="_Toc345661154"/>
      <w:bookmarkStart w:id="408" w:name="_Toc345661349"/>
      <w:r>
        <w:rPr>
          <w:rStyle w:val="CharDivNo"/>
        </w:rPr>
        <w:t>Division 1</w:t>
      </w:r>
      <w:r>
        <w:t> — </w:t>
      </w:r>
      <w:r>
        <w:rPr>
          <w:rStyle w:val="CharDivText"/>
        </w:rPr>
        <w:t>Preliminary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zHeading5"/>
      </w:pPr>
      <w:bookmarkStart w:id="409" w:name="_Toc317151169"/>
      <w:bookmarkStart w:id="410" w:name="_Toc345661350"/>
      <w:r>
        <w:rPr>
          <w:rStyle w:val="CharSectno"/>
        </w:rPr>
        <w:t>20</w:t>
      </w:r>
      <w:r>
        <w:t>.</w:t>
      </w:r>
      <w:r>
        <w:tab/>
        <w:t>Application of Part</w:t>
      </w:r>
      <w:bookmarkEnd w:id="409"/>
      <w:bookmarkEnd w:id="410"/>
    </w:p>
    <w:p>
      <w:pPr>
        <w:pStyle w:val="nzSubsection"/>
      </w:pPr>
      <w:r>
        <w:tab/>
        <w:t>(1)</w:t>
      </w:r>
      <w:r>
        <w:tab/>
        <w:t xml:space="preserve">This Part applies to animal feed consumed or intended for consumption by any animal other than the following — </w:t>
      </w:r>
    </w:p>
    <w:p>
      <w:pPr>
        <w:pStyle w:val="nzIndenta"/>
      </w:pPr>
      <w:r>
        <w:tab/>
        <w:t>(a)</w:t>
      </w:r>
      <w:r>
        <w:tab/>
        <w:t>birds kept as domestic pets and not for the purposes of human consumption or the laying of eggs for human consumption;</w:t>
      </w:r>
    </w:p>
    <w:p>
      <w:pPr>
        <w:pStyle w:val="nzIndenta"/>
      </w:pPr>
      <w:r>
        <w:tab/>
        <w:t>(b)</w:t>
      </w:r>
      <w:r>
        <w:tab/>
        <w:t>cats;</w:t>
      </w:r>
    </w:p>
    <w:p>
      <w:pPr>
        <w:pStyle w:val="nzIndenta"/>
      </w:pPr>
      <w:r>
        <w:tab/>
        <w:t>(c)</w:t>
      </w:r>
      <w:r>
        <w:tab/>
        <w:t>dogs;</w:t>
      </w:r>
    </w:p>
    <w:p>
      <w:pPr>
        <w:pStyle w:val="nzIndenta"/>
      </w:pPr>
      <w:r>
        <w:tab/>
        <w:t>(d)</w:t>
      </w:r>
      <w:r>
        <w:tab/>
        <w:t>fish kept as domestic pets and not for the purpose of human consumption;</w:t>
      </w:r>
    </w:p>
    <w:p>
      <w:pPr>
        <w:pStyle w:val="nzIndenta"/>
      </w:pPr>
      <w:r>
        <w:tab/>
        <w:t>(e)</w:t>
      </w:r>
      <w:r>
        <w:tab/>
        <w:t>guinea pigs;</w:t>
      </w:r>
    </w:p>
    <w:p>
      <w:pPr>
        <w:pStyle w:val="nzIndenta"/>
      </w:pPr>
      <w:r>
        <w:tab/>
        <w:t>(f)</w:t>
      </w:r>
      <w:r>
        <w:tab/>
        <w:t>rodents.</w:t>
      </w:r>
    </w:p>
    <w:p>
      <w:pPr>
        <w:pStyle w:val="nzSubsection"/>
      </w:pPr>
      <w:r>
        <w:tab/>
        <w:t>(2)</w:t>
      </w:r>
      <w:r>
        <w:tab/>
        <w:t>The Director General may, by notice given in writing, exempt animal feed specified in the notice from the application of this Part.</w:t>
      </w:r>
    </w:p>
    <w:p>
      <w:pPr>
        <w:pStyle w:val="nzHeading5"/>
      </w:pPr>
      <w:bookmarkStart w:id="411" w:name="_Toc317151168"/>
      <w:bookmarkStart w:id="412" w:name="_Toc345661351"/>
      <w:r>
        <w:rPr>
          <w:rStyle w:val="CharSectno"/>
        </w:rPr>
        <w:t>21</w:t>
      </w:r>
      <w:r>
        <w:t>.</w:t>
      </w:r>
      <w:r>
        <w:tab/>
        <w:t>Terms used</w:t>
      </w:r>
      <w:bookmarkEnd w:id="411"/>
      <w:bookmarkEnd w:id="412"/>
    </w:p>
    <w:p>
      <w:pPr>
        <w:pStyle w:val="nzSubsection"/>
      </w:pPr>
      <w:r>
        <w:tab/>
        <w:t>(1)</w:t>
      </w:r>
      <w:r>
        <w:tab/>
        <w:t xml:space="preserve">In this Part — </w:t>
      </w:r>
    </w:p>
    <w:p>
      <w:pPr>
        <w:pStyle w:val="nzDefstart"/>
      </w:pPr>
      <w:r>
        <w:tab/>
      </w:r>
      <w:r>
        <w:rPr>
          <w:rStyle w:val="CharDefText"/>
        </w:rPr>
        <w:t>feed supplement</w:t>
      </w:r>
      <w:r>
        <w:t xml:space="preserve"> means animal feed that contains added protein or urea or both and that is designed to be used in conjunction with other animal feed;</w:t>
      </w:r>
    </w:p>
    <w:p>
      <w:pPr>
        <w:pStyle w:val="nzDefstart"/>
      </w:pPr>
      <w:r>
        <w:tab/>
      </w:r>
      <w:r>
        <w:rPr>
          <w:rStyle w:val="CharDefText"/>
        </w:rPr>
        <w:t>premix</w:t>
      </w:r>
      <w:r>
        <w:t xml:space="preserve"> means animal feed that consists of vitamins, minerals or veterinary chemical products but does not include added fibre, protein or urea.</w:t>
      </w:r>
    </w:p>
    <w:p>
      <w:pPr>
        <w:pStyle w:val="nz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nzHeading3"/>
      </w:pPr>
      <w:bookmarkStart w:id="413" w:name="_Toc324145304"/>
      <w:bookmarkStart w:id="414" w:name="_Toc324150379"/>
      <w:bookmarkStart w:id="415" w:name="_Toc324150630"/>
      <w:bookmarkStart w:id="416" w:name="_Toc324155374"/>
      <w:bookmarkStart w:id="417" w:name="_Toc324155437"/>
      <w:bookmarkStart w:id="418" w:name="_Toc324157316"/>
      <w:bookmarkStart w:id="419" w:name="_Toc324170362"/>
      <w:bookmarkStart w:id="420" w:name="_Toc324170704"/>
      <w:bookmarkStart w:id="421" w:name="_Toc324172475"/>
      <w:bookmarkStart w:id="422" w:name="_Toc327281458"/>
      <w:bookmarkStart w:id="423" w:name="_Toc327281524"/>
      <w:bookmarkStart w:id="424" w:name="_Toc340660240"/>
      <w:bookmarkStart w:id="425" w:name="_Toc340660310"/>
      <w:bookmarkStart w:id="426" w:name="_Toc343176713"/>
      <w:bookmarkStart w:id="427" w:name="_Toc343176799"/>
      <w:bookmarkStart w:id="428" w:name="_Toc343240776"/>
      <w:bookmarkStart w:id="429" w:name="_Toc343246298"/>
      <w:bookmarkStart w:id="430" w:name="_Toc343500609"/>
      <w:bookmarkStart w:id="431" w:name="_Toc343502393"/>
      <w:bookmarkStart w:id="432" w:name="_Toc343503370"/>
      <w:bookmarkStart w:id="433" w:name="_Toc343503456"/>
      <w:bookmarkStart w:id="434" w:name="_Toc343504290"/>
      <w:bookmarkStart w:id="435" w:name="_Toc343504568"/>
      <w:bookmarkStart w:id="436" w:name="_Toc343504965"/>
      <w:bookmarkStart w:id="437" w:name="_Toc343505751"/>
      <w:bookmarkStart w:id="438" w:name="_Toc343506456"/>
      <w:bookmarkStart w:id="439" w:name="_Toc343507530"/>
      <w:bookmarkStart w:id="440" w:name="_Toc343516605"/>
      <w:bookmarkStart w:id="441" w:name="_Toc343516883"/>
      <w:bookmarkStart w:id="442" w:name="_Toc345488363"/>
      <w:bookmarkStart w:id="443" w:name="_Toc345659898"/>
      <w:bookmarkStart w:id="444" w:name="_Toc345661157"/>
      <w:bookmarkStart w:id="445" w:name="_Toc345661352"/>
      <w:r>
        <w:rPr>
          <w:rStyle w:val="CharDivNo"/>
        </w:rPr>
        <w:t>Division 2</w:t>
      </w:r>
      <w:r>
        <w:t> — </w:t>
      </w:r>
      <w:r>
        <w:rPr>
          <w:rStyle w:val="CharDivText"/>
        </w:rPr>
        <w:t>Animal feed: standards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zHeading5"/>
      </w:pPr>
      <w:bookmarkStart w:id="446" w:name="_Toc345661353"/>
      <w:bookmarkStart w:id="447" w:name="_Toc317151170"/>
      <w:r>
        <w:rPr>
          <w:rStyle w:val="CharSectno"/>
        </w:rPr>
        <w:t>22</w:t>
      </w:r>
      <w:r>
        <w:t>.</w:t>
      </w:r>
      <w:r>
        <w:tab/>
        <w:t>Animal feed: standards</w:t>
      </w:r>
      <w:bookmarkEnd w:id="446"/>
      <w:r>
        <w:t xml:space="preserve"> </w:t>
      </w:r>
      <w:bookmarkEnd w:id="447"/>
    </w:p>
    <w:p>
      <w:pPr>
        <w:pStyle w:val="nzSubsection"/>
      </w:pPr>
      <w:r>
        <w:tab/>
        <w:t>(1)</w:t>
      </w:r>
      <w:r>
        <w:tab/>
        <w:t>This regulation prescribes standards for the formulation and manufacture of animal feed.</w:t>
      </w:r>
    </w:p>
    <w:p>
      <w:pPr>
        <w:pStyle w:val="nzSubsection"/>
      </w:pPr>
      <w:r>
        <w:tab/>
        <w:t>(2)</w:t>
      </w:r>
      <w:r>
        <w:tab/>
        <w:t>Animal feed must not contain a substance listed in Schedule 1.</w:t>
      </w:r>
    </w:p>
    <w:p>
      <w:pPr>
        <w:pStyle w:val="nzSubsection"/>
      </w:pPr>
      <w:r>
        <w:tab/>
        <w:t>(3)</w:t>
      </w:r>
      <w:r>
        <w:tab/>
        <w:t>Animal feed, or an ingredient of animal feed, described in Schedule 2 column 2 must not contain more of a contaminant described in Schedule 2 column 3 than is specified in Schedule 2 column 4.</w:t>
      </w:r>
    </w:p>
    <w:p>
      <w:pPr>
        <w:pStyle w:val="nzSubsection"/>
      </w:pPr>
      <w:r>
        <w:tab/>
        <w:t>(4)</w:t>
      </w:r>
      <w:r>
        <w:tab/>
        <w:t>Animal feed in Schedule 3 column 2 must not contain more of a substance described in Schedule 3 column 3 than is specified in Schedule 3 column 4.</w:t>
      </w:r>
    </w:p>
    <w:p>
      <w:pPr>
        <w:pStyle w:val="nz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nzSubsection"/>
      </w:pPr>
      <w:r>
        <w:tab/>
        <w:t>(6)</w:t>
      </w:r>
      <w:r>
        <w:tab/>
        <w:t xml:space="preserve">Animal feed must not contain an additive that is not a veterinary chemical product unless the additive — </w:t>
      </w:r>
    </w:p>
    <w:p>
      <w:pPr>
        <w:pStyle w:val="nzIndenta"/>
      </w:pPr>
      <w:r>
        <w:tab/>
        <w:t>(a)</w:t>
      </w:r>
      <w:r>
        <w:tab/>
        <w:t>is registered, or approved, by the APVMA, or the APVMA has indicated that the additive does not require registration or approval; or</w:t>
      </w:r>
    </w:p>
    <w:p>
      <w:pPr>
        <w:pStyle w:val="nzIndenta"/>
      </w:pPr>
      <w:r>
        <w:tab/>
        <w:t>(b)</w:t>
      </w:r>
      <w:r>
        <w:tab/>
        <w:t>if not an additive referred to in paragraph (a), is approved by the Director General.</w:t>
      </w:r>
    </w:p>
    <w:p>
      <w:pPr>
        <w:pStyle w:val="nzSubsection"/>
      </w:pPr>
      <w:r>
        <w:tab/>
        <w:t>(7)</w:t>
      </w:r>
      <w:r>
        <w:tab/>
        <w:t>Animal feed must not contain a veterinary chemical product unless the veterinary chemical product is registered, or approved, by the APVMA.</w:t>
      </w:r>
    </w:p>
    <w:p>
      <w:pPr>
        <w:pStyle w:val="nzHeading5"/>
      </w:pPr>
      <w:bookmarkStart w:id="448" w:name="_Toc317151171"/>
      <w:bookmarkStart w:id="449" w:name="_Toc345661354"/>
      <w:r>
        <w:rPr>
          <w:rStyle w:val="CharSectno"/>
        </w:rPr>
        <w:t>23</w:t>
      </w:r>
      <w:r>
        <w:t>.</w:t>
      </w:r>
      <w:r>
        <w:tab/>
        <w:t>Compliance with standards for animal feed</w:t>
      </w:r>
      <w:bookmarkEnd w:id="448"/>
      <w:bookmarkEnd w:id="449"/>
    </w:p>
    <w:p>
      <w:pPr>
        <w:pStyle w:val="nzSubsection"/>
      </w:pPr>
      <w:r>
        <w:tab/>
      </w:r>
      <w:r>
        <w:tab/>
        <w:t>A person must not supply animal feed unless the animal feed complies with the standards set out in regulation 22 that are relevant to the animal feed.</w:t>
      </w:r>
    </w:p>
    <w:p>
      <w:pPr>
        <w:pStyle w:val="nzPenstart"/>
      </w:pPr>
      <w:r>
        <w:tab/>
        <w:t>Penalty: a fine of $2 000 and a daily penalty of $200.</w:t>
      </w:r>
    </w:p>
    <w:p>
      <w:pPr>
        <w:pStyle w:val="nzHeading5"/>
      </w:pPr>
      <w:bookmarkStart w:id="450" w:name="_Toc345661355"/>
      <w:r>
        <w:rPr>
          <w:rStyle w:val="CharSectno"/>
        </w:rPr>
        <w:t>24</w:t>
      </w:r>
      <w:r>
        <w:t>.</w:t>
      </w:r>
      <w:r>
        <w:tab/>
        <w:t>Unhygienic production etc. of animal feed</w:t>
      </w:r>
      <w:bookmarkEnd w:id="450"/>
    </w:p>
    <w:p>
      <w:pPr>
        <w:pStyle w:val="nzSubsection"/>
      </w:pPr>
      <w:r>
        <w:tab/>
      </w:r>
      <w:r>
        <w:tab/>
        <w:t>A person must not produce, hold or store animal feed for the purpose of supply in a manner that is, or at premises that are, unsanitary.</w:t>
      </w:r>
    </w:p>
    <w:p>
      <w:pPr>
        <w:pStyle w:val="nzPenstart"/>
      </w:pPr>
      <w:r>
        <w:tab/>
        <w:t>Penalty: a fine of $2 000 and a daily penalty of $200.</w:t>
      </w:r>
    </w:p>
    <w:p>
      <w:pPr>
        <w:pStyle w:val="nzHeading3"/>
      </w:pPr>
      <w:bookmarkStart w:id="451" w:name="_Toc327281462"/>
      <w:bookmarkStart w:id="452" w:name="_Toc327281528"/>
      <w:bookmarkStart w:id="453" w:name="_Toc340660244"/>
      <w:bookmarkStart w:id="454" w:name="_Toc340660314"/>
      <w:bookmarkStart w:id="455" w:name="_Toc343176717"/>
      <w:bookmarkStart w:id="456" w:name="_Toc343176803"/>
      <w:bookmarkStart w:id="457" w:name="_Toc343240780"/>
      <w:bookmarkStart w:id="458" w:name="_Toc343246302"/>
      <w:bookmarkStart w:id="459" w:name="_Toc343500613"/>
      <w:bookmarkStart w:id="460" w:name="_Toc343502397"/>
      <w:bookmarkStart w:id="461" w:name="_Toc343503374"/>
      <w:bookmarkStart w:id="462" w:name="_Toc343503460"/>
      <w:bookmarkStart w:id="463" w:name="_Toc343504294"/>
      <w:bookmarkStart w:id="464" w:name="_Toc343504572"/>
      <w:bookmarkStart w:id="465" w:name="_Toc343504969"/>
      <w:bookmarkStart w:id="466" w:name="_Toc343505755"/>
      <w:bookmarkStart w:id="467" w:name="_Toc343506460"/>
      <w:bookmarkStart w:id="468" w:name="_Toc343507534"/>
      <w:bookmarkStart w:id="469" w:name="_Toc343516609"/>
      <w:bookmarkStart w:id="470" w:name="_Toc343516887"/>
      <w:bookmarkStart w:id="471" w:name="_Toc345488367"/>
      <w:bookmarkStart w:id="472" w:name="_Toc345659902"/>
      <w:bookmarkStart w:id="473" w:name="_Toc345661161"/>
      <w:bookmarkStart w:id="474" w:name="_Toc345661356"/>
      <w:r>
        <w:rPr>
          <w:rStyle w:val="CharDivNo"/>
        </w:rPr>
        <w:t>Division 3</w:t>
      </w:r>
      <w:r>
        <w:t> — </w:t>
      </w:r>
      <w:r>
        <w:rPr>
          <w:rStyle w:val="CharDivText"/>
        </w:rPr>
        <w:t>Quality assurance schemes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nzHeading5"/>
      </w:pPr>
      <w:bookmarkStart w:id="475" w:name="_Toc345661357"/>
      <w:r>
        <w:rPr>
          <w:rStyle w:val="CharSectno"/>
        </w:rPr>
        <w:t>25</w:t>
      </w:r>
      <w:r>
        <w:t>.</w:t>
      </w:r>
      <w:r>
        <w:tab/>
        <w:t>Animal feed to be manufactured in accordance with quality assurance scheme</w:t>
      </w:r>
      <w:bookmarkEnd w:id="475"/>
      <w:r>
        <w:t xml:space="preserve"> </w:t>
      </w:r>
    </w:p>
    <w:p>
      <w:pPr>
        <w:pStyle w:val="nzSubsection"/>
      </w:pPr>
      <w:r>
        <w:tab/>
      </w:r>
      <w:r>
        <w:tab/>
        <w:t>A person who produces manufactured animal feed for the purpose of supply must ensure that the animal feed is produced in accordance with a quality assurance scheme approved under regulation 26.</w:t>
      </w:r>
    </w:p>
    <w:p>
      <w:pPr>
        <w:pStyle w:val="nzPenstart"/>
      </w:pPr>
      <w:r>
        <w:tab/>
        <w:t>Penalty: a fine of $5 000.</w:t>
      </w:r>
    </w:p>
    <w:p>
      <w:pPr>
        <w:pStyle w:val="nzHeading5"/>
      </w:pPr>
      <w:bookmarkStart w:id="476" w:name="_Toc345661358"/>
      <w:r>
        <w:rPr>
          <w:rStyle w:val="CharSectno"/>
        </w:rPr>
        <w:t>26</w:t>
      </w:r>
      <w:r>
        <w:t>.</w:t>
      </w:r>
      <w:r>
        <w:tab/>
        <w:t>Director General may approve quality assurance schemes</w:t>
      </w:r>
      <w:bookmarkEnd w:id="476"/>
    </w:p>
    <w:p>
      <w:pPr>
        <w:pStyle w:val="nzSubsection"/>
      </w:pPr>
      <w:bookmarkStart w:id="477" w:name="_Toc324145308"/>
      <w:bookmarkStart w:id="478" w:name="_Toc324150383"/>
      <w:bookmarkStart w:id="479" w:name="_Toc324150634"/>
      <w:bookmarkStart w:id="480" w:name="_Toc324155378"/>
      <w:bookmarkStart w:id="481" w:name="_Toc324155441"/>
      <w:bookmarkStart w:id="482" w:name="_Toc324157320"/>
      <w:bookmarkStart w:id="483" w:name="_Toc324170366"/>
      <w:bookmarkStart w:id="484" w:name="_Toc324170708"/>
      <w:bookmarkStart w:id="485" w:name="_Toc324172479"/>
      <w:r>
        <w:tab/>
      </w:r>
      <w:r>
        <w:tab/>
        <w:t xml:space="preserve">The Director General may, in writing, approve a quality assurance scheme in relation to the production of manufactured animal feed if the Director General is satisfied that the scheme — </w:t>
      </w:r>
    </w:p>
    <w:p>
      <w:pPr>
        <w:pStyle w:val="nzIndenta"/>
      </w:pPr>
      <w:r>
        <w:tab/>
        <w:t>(a)</w:t>
      </w:r>
      <w:r>
        <w:tab/>
        <w:t xml:space="preserve">sets out suitable procedures for the following — </w:t>
      </w:r>
    </w:p>
    <w:p>
      <w:pPr>
        <w:pStyle w:val="nzIndenti"/>
      </w:pPr>
      <w:r>
        <w:tab/>
        <w:t>(i)</w:t>
      </w:r>
      <w:r>
        <w:tab/>
        <w:t>ensuring that the standards that are relevant to the animal feed are complied with;</w:t>
      </w:r>
    </w:p>
    <w:p>
      <w:pPr>
        <w:pStyle w:val="nzIndenti"/>
      </w:pPr>
      <w:r>
        <w:tab/>
        <w:t>(ii)</w:t>
      </w:r>
      <w:r>
        <w:tab/>
        <w:t xml:space="preserve">identifying and tracing the source of ingredients used in the production of the animal feed; </w:t>
      </w:r>
    </w:p>
    <w:p>
      <w:pPr>
        <w:pStyle w:val="nzIndenti"/>
      </w:pPr>
      <w:r>
        <w:tab/>
        <w:t>(iii)</w:t>
      </w:r>
      <w:r>
        <w:tab/>
        <w:t>managing the levels of contamination in the animal feed;</w:t>
      </w:r>
    </w:p>
    <w:p>
      <w:pPr>
        <w:pStyle w:val="nzIndenta"/>
      </w:pPr>
      <w:r>
        <w:tab/>
      </w:r>
      <w:r>
        <w:tab/>
        <w:t>and</w:t>
      </w:r>
    </w:p>
    <w:p>
      <w:pPr>
        <w:pStyle w:val="nzIndenta"/>
      </w:pPr>
      <w:r>
        <w:tab/>
        <w:t>(b)</w:t>
      </w:r>
      <w:r>
        <w:tab/>
        <w:t>provides for auditing by a suitable independent auditor.</w:t>
      </w:r>
    </w:p>
    <w:p>
      <w:pPr>
        <w:pStyle w:val="nzHeading3"/>
      </w:pPr>
      <w:bookmarkStart w:id="486" w:name="_Toc327281465"/>
      <w:bookmarkStart w:id="487" w:name="_Toc327281531"/>
      <w:bookmarkStart w:id="488" w:name="_Toc340660247"/>
      <w:bookmarkStart w:id="489" w:name="_Toc340660317"/>
      <w:bookmarkStart w:id="490" w:name="_Toc343176720"/>
      <w:bookmarkStart w:id="491" w:name="_Toc343176806"/>
      <w:bookmarkStart w:id="492" w:name="_Toc343240783"/>
      <w:bookmarkStart w:id="493" w:name="_Toc343246305"/>
      <w:bookmarkStart w:id="494" w:name="_Toc343500616"/>
      <w:bookmarkStart w:id="495" w:name="_Toc343502400"/>
      <w:bookmarkStart w:id="496" w:name="_Toc343503377"/>
      <w:bookmarkStart w:id="497" w:name="_Toc343503463"/>
      <w:bookmarkStart w:id="498" w:name="_Toc343504297"/>
      <w:bookmarkStart w:id="499" w:name="_Toc343504575"/>
      <w:bookmarkStart w:id="500" w:name="_Toc343504972"/>
      <w:bookmarkStart w:id="501" w:name="_Toc343505758"/>
      <w:bookmarkStart w:id="502" w:name="_Toc343506463"/>
      <w:bookmarkStart w:id="503" w:name="_Toc343507537"/>
      <w:bookmarkStart w:id="504" w:name="_Toc343516612"/>
      <w:bookmarkStart w:id="505" w:name="_Toc343516890"/>
      <w:bookmarkStart w:id="506" w:name="_Toc345488370"/>
      <w:bookmarkStart w:id="507" w:name="_Toc345659905"/>
      <w:bookmarkStart w:id="508" w:name="_Toc345661164"/>
      <w:bookmarkStart w:id="509" w:name="_Toc345661359"/>
      <w:r>
        <w:rPr>
          <w:rStyle w:val="CharDivNo"/>
        </w:rPr>
        <w:t>Division 4</w:t>
      </w:r>
      <w:r>
        <w:t> — </w:t>
      </w:r>
      <w:r>
        <w:rPr>
          <w:rStyle w:val="CharDivText"/>
        </w:rPr>
        <w:t>Animal feed: labelling</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nzHeading5"/>
      </w:pPr>
      <w:bookmarkStart w:id="510" w:name="_Toc317151175"/>
      <w:bookmarkStart w:id="511" w:name="_Toc345661360"/>
      <w:r>
        <w:rPr>
          <w:rStyle w:val="CharSectno"/>
        </w:rPr>
        <w:t>27</w:t>
      </w:r>
      <w:r>
        <w:t>.</w:t>
      </w:r>
      <w:r>
        <w:tab/>
        <w:t>Labelling requirements: manufactured animal feed</w:t>
      </w:r>
      <w:bookmarkEnd w:id="510"/>
      <w:bookmarkEnd w:id="511"/>
    </w:p>
    <w:p>
      <w:pPr>
        <w:pStyle w:val="nz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nzIndenta"/>
      </w:pPr>
      <w:r>
        <w:tab/>
        <w:t>(a)</w:t>
      </w:r>
      <w:r>
        <w:tab/>
        <w:t>its trade name;</w:t>
      </w:r>
    </w:p>
    <w:p>
      <w:pPr>
        <w:pStyle w:val="nzIndenta"/>
      </w:pPr>
      <w:r>
        <w:tab/>
        <w:t>(b)</w:t>
      </w:r>
      <w:r>
        <w:tab/>
        <w:t>if not included in its trade name, the animals and the ages of animals for which it is manufactured;</w:t>
      </w:r>
    </w:p>
    <w:p>
      <w:pPr>
        <w:pStyle w:val="nzIndenta"/>
      </w:pPr>
      <w:r>
        <w:tab/>
        <w:t>(c)</w:t>
      </w:r>
      <w:r>
        <w:tab/>
        <w:t>directions for its use;</w:t>
      </w:r>
    </w:p>
    <w:p>
      <w:pPr>
        <w:pStyle w:val="nzIndenta"/>
      </w:pPr>
      <w:r>
        <w:tab/>
        <w:t>(d)</w:t>
      </w:r>
      <w:r>
        <w:tab/>
        <w:t>storage instructions;</w:t>
      </w:r>
    </w:p>
    <w:p>
      <w:pPr>
        <w:pStyle w:val="nzIndenta"/>
      </w:pPr>
      <w:r>
        <w:tab/>
        <w:t>(e)</w:t>
      </w:r>
      <w:r>
        <w:tab/>
        <w:t>its expiry date or the date before which it should be used;</w:t>
      </w:r>
    </w:p>
    <w:p>
      <w:pPr>
        <w:pStyle w:val="nzIndenta"/>
      </w:pPr>
      <w:r>
        <w:tab/>
        <w:t>(f)</w:t>
      </w:r>
      <w:r>
        <w:tab/>
        <w:t>if it contains added fibre, its maximum crude fibre percentage;</w:t>
      </w:r>
    </w:p>
    <w:p>
      <w:pPr>
        <w:pStyle w:val="nzIndenta"/>
      </w:pPr>
      <w:r>
        <w:tab/>
        <w:t>(g)</w:t>
      </w:r>
      <w:r>
        <w:tab/>
        <w:t>if it contains added protein, its minimum crude protein equivalent;</w:t>
      </w:r>
    </w:p>
    <w:p>
      <w:pPr>
        <w:pStyle w:val="nzIndenta"/>
      </w:pPr>
      <w:r>
        <w:tab/>
        <w:t>(h)</w:t>
      </w:r>
      <w:r>
        <w:tab/>
        <w:t>if it contains added salt, its maximum salt percentage;</w:t>
      </w:r>
    </w:p>
    <w:p>
      <w:pPr>
        <w:pStyle w:val="nzIndenta"/>
      </w:pPr>
      <w:r>
        <w:tab/>
        <w:t>(i)</w:t>
      </w:r>
      <w:r>
        <w:tab/>
        <w:t>if it contains added urea, its urea percentage;</w:t>
      </w:r>
    </w:p>
    <w:p>
      <w:pPr>
        <w:pStyle w:val="nzIndenta"/>
      </w:pPr>
      <w:r>
        <w:tab/>
        <w:t>(j)</w:t>
      </w:r>
      <w:r>
        <w:tab/>
        <w:t>if it contains more the 3% of urea, a warning that urea can be poisonous to stock;</w:t>
      </w:r>
    </w:p>
    <w:p>
      <w:pPr>
        <w:pStyle w:val="nzIndenta"/>
      </w:pPr>
      <w:r>
        <w:tab/>
        <w:t>(k)</w:t>
      </w:r>
      <w:r>
        <w:tab/>
        <w:t>the net weight in the container;</w:t>
      </w:r>
    </w:p>
    <w:p>
      <w:pPr>
        <w:pStyle w:val="nzIndenta"/>
      </w:pPr>
      <w:r>
        <w:tab/>
        <w:t>(l)</w:t>
      </w:r>
      <w:r>
        <w:tab/>
        <w:t>its batch number or date of manufacture;</w:t>
      </w:r>
    </w:p>
    <w:p>
      <w:pPr>
        <w:pStyle w:val="nzIndenta"/>
      </w:pPr>
      <w:r>
        <w:tab/>
        <w:t>(m)</w:t>
      </w:r>
      <w:r>
        <w:tab/>
        <w:t>the name and the address of the principal place of business, of the manufacturer or distributor.</w:t>
      </w:r>
    </w:p>
    <w:p>
      <w:pPr>
        <w:pStyle w:val="nzPenstart"/>
      </w:pPr>
      <w:r>
        <w:tab/>
        <w:t>Penalty: a fine of $2 000 and a daily penalty of $200.</w:t>
      </w:r>
    </w:p>
    <w:p>
      <w:pPr>
        <w:pStyle w:val="nz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nzIndenta"/>
      </w:pPr>
      <w:r>
        <w:tab/>
        <w:t>(a)</w:t>
      </w:r>
      <w:r>
        <w:tab/>
        <w:t>its trade name;</w:t>
      </w:r>
    </w:p>
    <w:p>
      <w:pPr>
        <w:pStyle w:val="nzIndenta"/>
      </w:pPr>
      <w:r>
        <w:tab/>
        <w:t>(b)</w:t>
      </w:r>
      <w:r>
        <w:tab/>
        <w:t>if not included in its trade name, the animals and the ages of animals for which it is manufactured;</w:t>
      </w:r>
    </w:p>
    <w:p>
      <w:pPr>
        <w:pStyle w:val="nzIndenta"/>
      </w:pPr>
      <w:r>
        <w:tab/>
        <w:t>(c)</w:t>
      </w:r>
      <w:r>
        <w:tab/>
        <w:t>the net weight in the container;</w:t>
      </w:r>
    </w:p>
    <w:p>
      <w:pPr>
        <w:pStyle w:val="nzIndenta"/>
      </w:pPr>
      <w:r>
        <w:tab/>
        <w:t>(d)</w:t>
      </w:r>
      <w:r>
        <w:tab/>
        <w:t>the name and the address of the principal place of business of the distributor.</w:t>
      </w:r>
    </w:p>
    <w:p>
      <w:pPr>
        <w:pStyle w:val="nzPenstart"/>
      </w:pPr>
      <w:r>
        <w:tab/>
        <w:t>Penalty: a fine of $2 000 and a daily penalty of $200.</w:t>
      </w:r>
    </w:p>
    <w:p>
      <w:pPr>
        <w:pStyle w:val="nz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nzPenstart"/>
      </w:pPr>
      <w:r>
        <w:tab/>
        <w:t>Penalty: a fine of $2 000 and a daily penalty of $200.</w:t>
      </w:r>
    </w:p>
    <w:p>
      <w:pPr>
        <w:pStyle w:val="nzSubsection"/>
      </w:pPr>
      <w:r>
        <w:tab/>
        <w:t>(4)</w:t>
      </w:r>
      <w:r>
        <w:tab/>
        <w:t xml:space="preserve">A person who supplies manufactured animal feed in bulk must ensure that the delivery docket for the supply is labelled with the following information about the animal feed — </w:t>
      </w:r>
    </w:p>
    <w:p>
      <w:pPr>
        <w:pStyle w:val="nzIndenta"/>
      </w:pPr>
      <w:r>
        <w:tab/>
        <w:t>(a)</w:t>
      </w:r>
      <w:r>
        <w:tab/>
        <w:t>its trade name;</w:t>
      </w:r>
    </w:p>
    <w:p>
      <w:pPr>
        <w:pStyle w:val="nzIndenta"/>
      </w:pPr>
      <w:r>
        <w:tab/>
        <w:t>(b)</w:t>
      </w:r>
      <w:r>
        <w:tab/>
        <w:t>its expiry date or the date before which it should be used;</w:t>
      </w:r>
    </w:p>
    <w:p>
      <w:pPr>
        <w:pStyle w:val="nzIndenta"/>
      </w:pPr>
      <w:r>
        <w:tab/>
        <w:t>(c)</w:t>
      </w:r>
      <w:r>
        <w:tab/>
        <w:t>its batch number or date of manufacture;</w:t>
      </w:r>
    </w:p>
    <w:p>
      <w:pPr>
        <w:pStyle w:val="nzIndenta"/>
      </w:pPr>
      <w:r>
        <w:tab/>
        <w:t>(d)</w:t>
      </w:r>
      <w:r>
        <w:tab/>
        <w:t>the net weight supplied;</w:t>
      </w:r>
    </w:p>
    <w:p>
      <w:pPr>
        <w:pStyle w:val="nzIndenta"/>
      </w:pPr>
      <w:r>
        <w:tab/>
        <w:t>(e)</w:t>
      </w:r>
      <w:r>
        <w:tab/>
        <w:t>the name of the person to whom it is supplied.</w:t>
      </w:r>
    </w:p>
    <w:p>
      <w:pPr>
        <w:pStyle w:val="nzPenstart"/>
      </w:pPr>
      <w:r>
        <w:tab/>
        <w:t>Penalty: a fine of $2 000 and a daily penalty of $200.</w:t>
      </w:r>
    </w:p>
    <w:p>
      <w:pPr>
        <w:pStyle w:val="nzSubsection"/>
      </w:pPr>
      <w:r>
        <w:tab/>
        <w:t>(5)</w:t>
      </w:r>
      <w:r>
        <w:tab/>
        <w:t xml:space="preserve">A manufacturer of manufactured animal feed who supplies 500 kg or more of the animal feed in containers to a single person as a single transaction must ensure that — </w:t>
      </w:r>
    </w:p>
    <w:p>
      <w:pPr>
        <w:pStyle w:val="nzIndenta"/>
      </w:pPr>
      <w:r>
        <w:tab/>
        <w:t>(a)</w:t>
      </w:r>
      <w:r>
        <w:tab/>
        <w:t>each container is labelled in accordance with subregulation (1); or</w:t>
      </w:r>
    </w:p>
    <w:p>
      <w:pPr>
        <w:pStyle w:val="nzIndenta"/>
      </w:pPr>
      <w:r>
        <w:tab/>
        <w:t>(b)</w:t>
      </w:r>
      <w:r>
        <w:tab/>
        <w:t xml:space="preserve">the delivery docket for the supply complies with subregulation (4) and each container is labelled with the following information — </w:t>
      </w:r>
    </w:p>
    <w:p>
      <w:pPr>
        <w:pStyle w:val="nzIndenti"/>
      </w:pPr>
      <w:r>
        <w:tab/>
        <w:t>(i)</w:t>
      </w:r>
      <w:r>
        <w:tab/>
        <w:t xml:space="preserve">the words “This bag must not be sold separately” or words to that effect; </w:t>
      </w:r>
    </w:p>
    <w:p>
      <w:pPr>
        <w:pStyle w:val="nzIndenti"/>
      </w:pPr>
      <w:r>
        <w:tab/>
        <w:t>(ii)</w:t>
      </w:r>
      <w:r>
        <w:tab/>
        <w:t xml:space="preserve">the following information about the animal feed — </w:t>
      </w:r>
    </w:p>
    <w:p>
      <w:pPr>
        <w:pStyle w:val="nzIndentI0"/>
      </w:pPr>
      <w:r>
        <w:tab/>
        <w:t>(I)</w:t>
      </w:r>
      <w:r>
        <w:tab/>
        <w:t>its trade name;</w:t>
      </w:r>
    </w:p>
    <w:p>
      <w:pPr>
        <w:pStyle w:val="nzIndentI0"/>
      </w:pPr>
      <w:r>
        <w:tab/>
        <w:t>(II)</w:t>
      </w:r>
      <w:r>
        <w:tab/>
        <w:t>if not included in its trade name, the animals and the ages of animals for which it is manufactured;</w:t>
      </w:r>
    </w:p>
    <w:p>
      <w:pPr>
        <w:pStyle w:val="nzIndentI0"/>
      </w:pPr>
      <w:r>
        <w:tab/>
        <w:t>(III)</w:t>
      </w:r>
      <w:r>
        <w:tab/>
        <w:t>the name and the address of the principal place of business of the manufacturer or distributor.</w:t>
      </w:r>
    </w:p>
    <w:p>
      <w:pPr>
        <w:pStyle w:val="nzPenstart"/>
      </w:pPr>
      <w:r>
        <w:tab/>
        <w:t>Penalty: a fine of $2 000 and a daily penalty of $200.</w:t>
      </w:r>
    </w:p>
    <w:p>
      <w:pPr>
        <w:pStyle w:val="nz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nzIndenta"/>
      </w:pPr>
      <w:r>
        <w:tab/>
        <w:t>(a)</w:t>
      </w:r>
      <w:r>
        <w:tab/>
        <w:t>the information required by subregulations (1) to (5) as applicable;</w:t>
      </w:r>
    </w:p>
    <w:p>
      <w:pPr>
        <w:pStyle w:val="nzIndenta"/>
      </w:pPr>
      <w:r>
        <w:tab/>
        <w:t>(b)</w:t>
      </w:r>
      <w:r>
        <w:tab/>
        <w:t>the words “Medicated animal food stuf</w:t>
      </w:r>
      <w:r>
        <w:rPr>
          <w:spacing w:val="32"/>
        </w:rPr>
        <w:t>f”</w:t>
      </w:r>
      <w:r>
        <w:t xml:space="preserve"> or “For animal treatment only”;</w:t>
      </w:r>
    </w:p>
    <w:p>
      <w:pPr>
        <w:pStyle w:val="nzIndenta"/>
      </w:pPr>
      <w:r>
        <w:tab/>
        <w:t>(c)</w:t>
      </w:r>
      <w:r>
        <w:tab/>
        <w:t>the name and concentration of the active constituents of the veterinary chemical product;</w:t>
      </w:r>
    </w:p>
    <w:p>
      <w:pPr>
        <w:pStyle w:val="nzIndenta"/>
      </w:pPr>
      <w:r>
        <w:tab/>
        <w:t>(d)</w:t>
      </w:r>
      <w:r>
        <w:tab/>
        <w:t>the purpose of the veterinary chemical product;</w:t>
      </w:r>
    </w:p>
    <w:p>
      <w:pPr>
        <w:pStyle w:val="nzIndenta"/>
      </w:pPr>
      <w:r>
        <w:tab/>
        <w:t>(e)</w:t>
      </w:r>
      <w:r>
        <w:tab/>
        <w:t>any warnings or precautionary statements applicable to the veterinary chemical product;</w:t>
      </w:r>
    </w:p>
    <w:p>
      <w:pPr>
        <w:pStyle w:val="nzIndenta"/>
      </w:pPr>
      <w:r>
        <w:tab/>
        <w:t>(f)</w:t>
      </w:r>
      <w:r>
        <w:tab/>
        <w:t>directions for the use of the animal feed;</w:t>
      </w:r>
    </w:p>
    <w:p>
      <w:pPr>
        <w:pStyle w:val="nzIndenta"/>
      </w:pPr>
      <w:r>
        <w:tab/>
        <w:t>(g)</w:t>
      </w:r>
      <w:r>
        <w:tab/>
        <w:t>if a withholding period applies to the animal feed, the period in bold capital letters.</w:t>
      </w:r>
    </w:p>
    <w:p>
      <w:pPr>
        <w:pStyle w:val="nzPenstart"/>
      </w:pPr>
      <w:r>
        <w:tab/>
        <w:t>Penalty: a fine of $2 000 and a daily penalty of $200.</w:t>
      </w:r>
    </w:p>
    <w:p>
      <w:pPr>
        <w:pStyle w:val="nzSubsection"/>
      </w:pPr>
      <w:r>
        <w:tab/>
        <w:t>(7)</w:t>
      </w:r>
      <w:r>
        <w:tab/>
        <w:t xml:space="preserve">This regulation is in addition to the labelling requirements under the </w:t>
      </w:r>
      <w:r>
        <w:rPr>
          <w:i/>
        </w:rPr>
        <w:t>Poisons Act 1964</w:t>
      </w:r>
      <w:r>
        <w:t>.</w:t>
      </w:r>
    </w:p>
    <w:p>
      <w:pPr>
        <w:pStyle w:val="nz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 xml:space="preserve">. </w:t>
      </w:r>
    </w:p>
    <w:p>
      <w:pPr>
        <w:pStyle w:val="nzHeading5"/>
      </w:pPr>
      <w:bookmarkStart w:id="512" w:name="_Toc317151176"/>
      <w:bookmarkStart w:id="513" w:name="_Toc345661361"/>
      <w:r>
        <w:rPr>
          <w:rStyle w:val="CharSectno"/>
        </w:rPr>
        <w:t>28</w:t>
      </w:r>
      <w:r>
        <w:t>.</w:t>
      </w:r>
      <w:r>
        <w:tab/>
        <w:t>Labelling requirements for manufactured animal feed for export</w:t>
      </w:r>
      <w:bookmarkEnd w:id="512"/>
      <w:bookmarkEnd w:id="513"/>
      <w:r>
        <w:t xml:space="preserve"> </w:t>
      </w:r>
    </w:p>
    <w:p>
      <w:pPr>
        <w:pStyle w:val="nz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nzIndenta"/>
      </w:pPr>
      <w:r>
        <w:tab/>
        <w:t>(a)</w:t>
      </w:r>
      <w:r>
        <w:tab/>
        <w:t>the name and the address of the principal place of business of the manufacturer or distributor of the animal feed;</w:t>
      </w:r>
    </w:p>
    <w:p>
      <w:pPr>
        <w:pStyle w:val="nz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nzHeading5"/>
      </w:pPr>
      <w:bookmarkStart w:id="514" w:name="_Toc317151179"/>
      <w:bookmarkStart w:id="515" w:name="_Toc345661362"/>
      <w:r>
        <w:rPr>
          <w:rStyle w:val="CharSectno"/>
        </w:rPr>
        <w:t>29</w:t>
      </w:r>
      <w:r>
        <w:t>.</w:t>
      </w:r>
      <w:r>
        <w:tab/>
        <w:t>Compliance with labelling on animal feed</w:t>
      </w:r>
      <w:bookmarkEnd w:id="514"/>
      <w:bookmarkEnd w:id="515"/>
    </w:p>
    <w:p>
      <w:pPr>
        <w:pStyle w:val="nz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nzPenstart"/>
      </w:pPr>
      <w:r>
        <w:tab/>
        <w:t>Penalty: a fine of $2 000 and a daily penalty of $200.</w:t>
      </w:r>
    </w:p>
    <w:p>
      <w:pPr>
        <w:pStyle w:val="nzSubsection"/>
      </w:pPr>
      <w:r>
        <w:tab/>
        <w:t>(2)</w:t>
      </w:r>
      <w:r>
        <w:tab/>
        <w:t>A person who is not the manufacturer of manufactured animal feed must not supply a container of the animal feed that is labelled with “This bag must not be sold separately.” or words to that effect.</w:t>
      </w:r>
    </w:p>
    <w:p>
      <w:pPr>
        <w:pStyle w:val="nzPenstart"/>
      </w:pPr>
      <w:r>
        <w:tab/>
        <w:t>Penalty: a fine of $2 000 and a daily penalty of $200.</w:t>
      </w:r>
    </w:p>
    <w:p>
      <w:pPr>
        <w:pStyle w:val="nz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nzPenstart"/>
      </w:pPr>
      <w:r>
        <w:tab/>
        <w:t>Penalty: a fine of $2 000 and a daily penalty of $200.</w:t>
      </w:r>
    </w:p>
    <w:p>
      <w:pPr>
        <w:pStyle w:val="nz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nzPenstart"/>
      </w:pPr>
      <w:r>
        <w:tab/>
        <w:t>Penalty: a fine of $2 000 and a daily penalty of $200.</w:t>
      </w:r>
    </w:p>
    <w:p>
      <w:pPr>
        <w:pStyle w:val="nzSubsection"/>
      </w:pPr>
      <w:r>
        <w:tab/>
        <w:t>(5)</w:t>
      </w:r>
      <w:r>
        <w:tab/>
        <w:t>A person who stores animal feed for the purpose of supplying it must store it in accordance with any storage instructions on the label or delivery docket of the feed.</w:t>
      </w:r>
    </w:p>
    <w:p>
      <w:pPr>
        <w:pStyle w:val="nzPenstart"/>
      </w:pPr>
      <w:r>
        <w:tab/>
        <w:t>Penalty: a fine of $2 000 and a daily penalty of $200.</w:t>
      </w:r>
    </w:p>
    <w:p>
      <w:pPr>
        <w:pStyle w:val="nzHeading3"/>
      </w:pPr>
      <w:bookmarkStart w:id="516" w:name="_Toc324145312"/>
      <w:bookmarkStart w:id="517" w:name="_Toc324150387"/>
      <w:bookmarkStart w:id="518" w:name="_Toc324150638"/>
      <w:bookmarkStart w:id="519" w:name="_Toc324155382"/>
      <w:bookmarkStart w:id="520" w:name="_Toc324155445"/>
      <w:bookmarkStart w:id="521" w:name="_Toc324157324"/>
      <w:bookmarkStart w:id="522" w:name="_Toc324170370"/>
      <w:bookmarkStart w:id="523" w:name="_Toc324170712"/>
      <w:bookmarkStart w:id="524" w:name="_Toc324172483"/>
      <w:bookmarkStart w:id="525" w:name="_Toc327281469"/>
      <w:bookmarkStart w:id="526" w:name="_Toc327281535"/>
      <w:bookmarkStart w:id="527" w:name="_Toc340660251"/>
      <w:bookmarkStart w:id="528" w:name="_Toc340660321"/>
      <w:bookmarkStart w:id="529" w:name="_Toc343176724"/>
      <w:bookmarkStart w:id="530" w:name="_Toc343176810"/>
      <w:bookmarkStart w:id="531" w:name="_Toc343240787"/>
      <w:bookmarkStart w:id="532" w:name="_Toc343246309"/>
      <w:bookmarkStart w:id="533" w:name="_Toc343500620"/>
      <w:bookmarkStart w:id="534" w:name="_Toc343502404"/>
      <w:bookmarkStart w:id="535" w:name="_Toc343503381"/>
      <w:bookmarkStart w:id="536" w:name="_Toc343503467"/>
      <w:bookmarkStart w:id="537" w:name="_Toc343504301"/>
      <w:bookmarkStart w:id="538" w:name="_Toc343504579"/>
      <w:bookmarkStart w:id="539" w:name="_Toc343504976"/>
      <w:bookmarkStart w:id="540" w:name="_Toc343505762"/>
      <w:bookmarkStart w:id="541" w:name="_Toc343506467"/>
      <w:bookmarkStart w:id="542" w:name="_Toc343507541"/>
      <w:bookmarkStart w:id="543" w:name="_Toc343516616"/>
      <w:bookmarkStart w:id="544" w:name="_Toc343516894"/>
      <w:bookmarkStart w:id="545" w:name="_Toc345488374"/>
      <w:bookmarkStart w:id="546" w:name="_Toc345659909"/>
      <w:bookmarkStart w:id="547" w:name="_Toc345661168"/>
      <w:bookmarkStart w:id="548" w:name="_Toc345661363"/>
      <w:r>
        <w:rPr>
          <w:rStyle w:val="CharDivNo"/>
        </w:rPr>
        <w:t>Division 5</w:t>
      </w:r>
      <w:r>
        <w:t> — </w:t>
      </w:r>
      <w:r>
        <w:rPr>
          <w:rStyle w:val="CharDivText"/>
        </w:rPr>
        <w:t>Animal feed: restricted animal material</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zHeading5"/>
      </w:pPr>
      <w:bookmarkStart w:id="549" w:name="_Toc317151172"/>
      <w:bookmarkStart w:id="550" w:name="_Toc345661364"/>
      <w:r>
        <w:rPr>
          <w:rStyle w:val="CharSectno"/>
        </w:rPr>
        <w:t>30</w:t>
      </w:r>
      <w:r>
        <w:t>.</w:t>
      </w:r>
      <w:r>
        <w:tab/>
        <w:t>Manufactured animal feed for ruminants</w:t>
      </w:r>
      <w:bookmarkEnd w:id="549"/>
      <w:r>
        <w:t>: production</w:t>
      </w:r>
      <w:bookmarkEnd w:id="550"/>
      <w:r>
        <w:t xml:space="preserve"> </w:t>
      </w:r>
    </w:p>
    <w:p>
      <w:pPr>
        <w:pStyle w:val="nz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nzPenstart"/>
      </w:pPr>
      <w:r>
        <w:tab/>
        <w:t>Penalty: a fine of $5 000 and a daily penalty of $500.</w:t>
      </w:r>
    </w:p>
    <w:p>
      <w:pPr>
        <w:pStyle w:val="nzHeading5"/>
      </w:pPr>
      <w:bookmarkStart w:id="551" w:name="_Toc317151173"/>
      <w:bookmarkStart w:id="552" w:name="_Toc345661365"/>
      <w:r>
        <w:rPr>
          <w:rStyle w:val="CharSectno"/>
        </w:rPr>
        <w:t>31</w:t>
      </w:r>
      <w:r>
        <w:t>.</w:t>
      </w:r>
      <w:r>
        <w:tab/>
        <w:t>Manufactured animal feed</w:t>
      </w:r>
      <w:bookmarkEnd w:id="551"/>
      <w:r>
        <w:t xml:space="preserve"> for ruminants: holding and storage</w:t>
      </w:r>
      <w:bookmarkEnd w:id="552"/>
    </w:p>
    <w:p>
      <w:pPr>
        <w:pStyle w:val="nzSubsection"/>
      </w:pPr>
      <w:r>
        <w:tab/>
      </w:r>
      <w:r>
        <w:tab/>
        <w:t>A person who holds or stores manufactured animal feed for ruminants must ensure that the manufactured animal feed is held or stored in such a manner that it does not come in contact with restricted animal material.</w:t>
      </w:r>
    </w:p>
    <w:p>
      <w:pPr>
        <w:pStyle w:val="nzPenstart"/>
      </w:pPr>
      <w:r>
        <w:tab/>
        <w:t>Penalty: a fine of $5 000 and a daily penalty of $500.</w:t>
      </w:r>
    </w:p>
    <w:p>
      <w:pPr>
        <w:pStyle w:val="nzHeading5"/>
      </w:pPr>
      <w:bookmarkStart w:id="553" w:name="_Toc317151177"/>
      <w:bookmarkStart w:id="554" w:name="_Toc345661366"/>
      <w:r>
        <w:rPr>
          <w:rStyle w:val="CharSectno"/>
        </w:rPr>
        <w:t>32</w:t>
      </w:r>
      <w:r>
        <w:t>.</w:t>
      </w:r>
      <w:r>
        <w:tab/>
        <w:t xml:space="preserve">Animal feed containing restricted animal material: limits on use </w:t>
      </w:r>
      <w:bookmarkEnd w:id="553"/>
      <w:r>
        <w:t>and storage</w:t>
      </w:r>
      <w:bookmarkEnd w:id="554"/>
    </w:p>
    <w:p>
      <w:pPr>
        <w:pStyle w:val="nzSubsection"/>
      </w:pPr>
      <w:r>
        <w:tab/>
        <w:t>(1)</w:t>
      </w:r>
      <w:r>
        <w:tab/>
        <w:t xml:space="preserve">A person must not — </w:t>
      </w:r>
    </w:p>
    <w:p>
      <w:pPr>
        <w:pStyle w:val="nzIndenta"/>
      </w:pPr>
      <w:r>
        <w:tab/>
        <w:t>(a)</w:t>
      </w:r>
      <w:r>
        <w:tab/>
        <w:t>feed to a ruminant animal feed that consists of or contains restricted animal material; or</w:t>
      </w:r>
    </w:p>
    <w:p>
      <w:pPr>
        <w:pStyle w:val="nzIndenta"/>
      </w:pPr>
      <w:r>
        <w:tab/>
        <w:t>(b)</w:t>
      </w:r>
      <w:r>
        <w:tab/>
        <w:t>allow a ruminant to have access to animal feed that consists of or contains restricted animal material.</w:t>
      </w:r>
    </w:p>
    <w:p>
      <w:pPr>
        <w:pStyle w:val="nzPenstart"/>
      </w:pPr>
      <w:r>
        <w:tab/>
        <w:t>Penalty: a fine of $5 000 and a daily penalty of $500.</w:t>
      </w:r>
    </w:p>
    <w:p>
      <w:pPr>
        <w:pStyle w:val="nz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nzSubsection"/>
      </w:pPr>
      <w:r>
        <w:tab/>
        <w:t>(3)</w:t>
      </w:r>
      <w:r>
        <w:tab/>
        <w:t>A person must take every reasonable measure to ensure that a ruminant does not gain access to animal feed that is in the possession of the person that consists of or contains restricted animal material.</w:t>
      </w:r>
    </w:p>
    <w:p>
      <w:pPr>
        <w:pStyle w:val="nzPenstart"/>
      </w:pPr>
      <w:r>
        <w:tab/>
        <w:t>Penalty: a fine of $5 000 and a daily penalty of $500.</w:t>
      </w:r>
    </w:p>
    <w:p>
      <w:pPr>
        <w:pStyle w:val="nz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nzPenstart"/>
      </w:pPr>
      <w:r>
        <w:tab/>
        <w:t>Penalty: a fine of $5 000 and a daily penalty of $500.</w:t>
      </w:r>
    </w:p>
    <w:p>
      <w:pPr>
        <w:pStyle w:val="nzSubsection"/>
      </w:pPr>
      <w:r>
        <w:tab/>
        <w:t>(5)</w:t>
      </w:r>
      <w:r>
        <w:tab/>
        <w:t>A person must not put animal feed for ruminants in a container that has been used for packaging a product that consists of or contains restricted animal material.</w:t>
      </w:r>
    </w:p>
    <w:p>
      <w:pPr>
        <w:pStyle w:val="nzPenstart"/>
      </w:pPr>
      <w:r>
        <w:tab/>
        <w:t>Penalty: a fine of $5 000 and a daily penalty of $500.</w:t>
      </w:r>
    </w:p>
    <w:p>
      <w:pPr>
        <w:pStyle w:val="nzHeading5"/>
      </w:pPr>
      <w:bookmarkStart w:id="555" w:name="_Toc317151174"/>
      <w:bookmarkStart w:id="556" w:name="_Toc345661367"/>
      <w:r>
        <w:rPr>
          <w:rStyle w:val="CharSectno"/>
        </w:rPr>
        <w:t>33</w:t>
      </w:r>
      <w:r>
        <w:t>.</w:t>
      </w:r>
      <w:r>
        <w:tab/>
        <w:t>Labelling requirements: restricted animal material in manufactured animal feed</w:t>
      </w:r>
      <w:bookmarkEnd w:id="555"/>
      <w:bookmarkEnd w:id="556"/>
      <w:r>
        <w:t xml:space="preserve"> </w:t>
      </w:r>
    </w:p>
    <w:p>
      <w:pPr>
        <w:pStyle w:val="nz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nzPenstart"/>
      </w:pPr>
      <w:r>
        <w:tab/>
        <w:t>Penalty: a fine of $2 000 and a daily penalty of $200.</w:t>
      </w:r>
    </w:p>
    <w:p>
      <w:pPr>
        <w:pStyle w:val="nzSubsection"/>
      </w:pPr>
      <w:r>
        <w:tab/>
        <w:t>(2)</w:t>
      </w:r>
      <w:r>
        <w:tab/>
        <w:t xml:space="preserve">The following statements are RAM statements — </w:t>
      </w:r>
    </w:p>
    <w:p>
      <w:pPr>
        <w:pStyle w:val="nzIndenta"/>
      </w:pPr>
      <w:r>
        <w:tab/>
        <w:t>(a)</w:t>
      </w:r>
      <w:r>
        <w:tab/>
        <w:t>“This product contains restricted animal material. DO NOT FEED TO CATTLE, SHEEP, GOATS, DEER OR ANY OTHER RUMINANTS.”;</w:t>
      </w:r>
    </w:p>
    <w:p>
      <w:pPr>
        <w:pStyle w:val="nzIndenta"/>
      </w:pPr>
      <w:r>
        <w:tab/>
        <w:t>(b)</w:t>
      </w:r>
      <w:r>
        <w:tab/>
        <w:t>“This product does not contain restricted animal material.”;</w:t>
      </w:r>
    </w:p>
    <w:p>
      <w:pPr>
        <w:pStyle w:val="nzIndenta"/>
      </w:pPr>
      <w:r>
        <w:tab/>
        <w:t>(c)</w:t>
      </w:r>
      <w:r>
        <w:tab/>
        <w:t xml:space="preserve">a statement approved in writing by the Director General relating to a product — </w:t>
      </w:r>
    </w:p>
    <w:p>
      <w:pPr>
        <w:pStyle w:val="nzIndenti"/>
      </w:pPr>
      <w:r>
        <w:tab/>
        <w:t>(i)</w:t>
      </w:r>
      <w:r>
        <w:tab/>
        <w:t>that contains a restricted animal material; or</w:t>
      </w:r>
    </w:p>
    <w:p>
      <w:pPr>
        <w:pStyle w:val="nzIndenti"/>
      </w:pPr>
      <w:r>
        <w:tab/>
        <w:t>(ii)</w:t>
      </w:r>
      <w:r>
        <w:tab/>
        <w:t>that does not contain a restricted animal material.</w:t>
      </w:r>
    </w:p>
    <w:p>
      <w:pPr>
        <w:pStyle w:val="nz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nzPenstart"/>
      </w:pPr>
      <w:r>
        <w:tab/>
        <w:t>Penalty: a fine of $2 000 and a daily penalty of $200.</w:t>
      </w:r>
    </w:p>
    <w:p>
      <w:pPr>
        <w:pStyle w:val="nz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nzPenstart"/>
      </w:pPr>
      <w:r>
        <w:tab/>
        <w:t>Penalty: a fine of $2 000 and a daily penalty of $200.</w:t>
      </w:r>
    </w:p>
    <w:p>
      <w:pPr>
        <w:pStyle w:val="nzSubsection"/>
      </w:pPr>
      <w:r>
        <w:tab/>
        <w:t>(5)</w:t>
      </w:r>
      <w:r>
        <w:tab/>
        <w:t xml:space="preserve">The letters on a label required by this regulation must — </w:t>
      </w:r>
    </w:p>
    <w:p>
      <w:pPr>
        <w:pStyle w:val="nzIndenta"/>
      </w:pPr>
      <w:r>
        <w:tab/>
        <w:t>(a)</w:t>
      </w:r>
      <w:r>
        <w:tab/>
        <w:t>if the label is printed or stencilled on a container the net weight of which is more than 5 kg, be at least 10 mm high; and</w:t>
      </w:r>
    </w:p>
    <w:p>
      <w:pPr>
        <w:pStyle w:val="nzIndenta"/>
      </w:pPr>
      <w:r>
        <w:tab/>
        <w:t>(b)</w:t>
      </w:r>
      <w:r>
        <w:tab/>
        <w:t>in any other case (including a label on a delivery docket and a label attached as a separate item to a container), be at least 3 mm high.</w:t>
      </w:r>
    </w:p>
    <w:p>
      <w:pPr>
        <w:pStyle w:val="nz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nzHeading3"/>
      </w:pPr>
      <w:bookmarkStart w:id="557" w:name="_Toc340660256"/>
      <w:bookmarkStart w:id="558" w:name="_Toc340660326"/>
      <w:bookmarkStart w:id="559" w:name="_Toc343176729"/>
      <w:bookmarkStart w:id="560" w:name="_Toc343176815"/>
      <w:bookmarkStart w:id="561" w:name="_Toc343240792"/>
      <w:bookmarkStart w:id="562" w:name="_Toc343246314"/>
      <w:bookmarkStart w:id="563" w:name="_Toc343500625"/>
      <w:bookmarkStart w:id="564" w:name="_Toc343502409"/>
      <w:bookmarkStart w:id="565" w:name="_Toc343503386"/>
      <w:bookmarkStart w:id="566" w:name="_Toc343503472"/>
      <w:bookmarkStart w:id="567" w:name="_Toc343504306"/>
      <w:bookmarkStart w:id="568" w:name="_Toc343504584"/>
      <w:bookmarkStart w:id="569" w:name="_Toc343504981"/>
      <w:bookmarkStart w:id="570" w:name="_Toc343505767"/>
      <w:bookmarkStart w:id="571" w:name="_Toc343506472"/>
      <w:bookmarkStart w:id="572" w:name="_Toc343507546"/>
      <w:bookmarkStart w:id="573" w:name="_Toc343516621"/>
      <w:bookmarkStart w:id="574" w:name="_Toc343516899"/>
      <w:bookmarkStart w:id="575" w:name="_Toc345488379"/>
      <w:bookmarkStart w:id="576" w:name="_Toc345659914"/>
      <w:bookmarkStart w:id="577" w:name="_Toc345661173"/>
      <w:bookmarkStart w:id="578" w:name="_Toc345661368"/>
      <w:r>
        <w:rPr>
          <w:rStyle w:val="CharDivNo"/>
        </w:rPr>
        <w:t>Division 6</w:t>
      </w:r>
      <w:r>
        <w:t> — </w:t>
      </w:r>
      <w:r>
        <w:rPr>
          <w:rStyle w:val="CharDivText"/>
        </w:rPr>
        <w:t>Pig feed</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nzHeading5"/>
      </w:pPr>
      <w:bookmarkStart w:id="579" w:name="_Toc345661369"/>
      <w:r>
        <w:rPr>
          <w:rStyle w:val="CharSectno"/>
        </w:rPr>
        <w:t>34</w:t>
      </w:r>
      <w:r>
        <w:t>.</w:t>
      </w:r>
      <w:r>
        <w:tab/>
        <w:t>Terms used</w:t>
      </w:r>
      <w:bookmarkEnd w:id="579"/>
    </w:p>
    <w:p>
      <w:pPr>
        <w:pStyle w:val="nzSubsection"/>
      </w:pPr>
      <w:r>
        <w:tab/>
      </w:r>
      <w:r>
        <w:tab/>
        <w:t xml:space="preserve">In this Division — </w:t>
      </w:r>
    </w:p>
    <w:p>
      <w:pPr>
        <w:pStyle w:val="nzDefstart"/>
      </w:pPr>
      <w:r>
        <w:tab/>
      </w:r>
      <w:r>
        <w:rPr>
          <w:rStyle w:val="CharDefText"/>
        </w:rPr>
        <w:t>approved feed</w:t>
      </w:r>
      <w:r>
        <w:t xml:space="preserve"> means feed that is approved for use as pig feed under with regulation 35(1);</w:t>
      </w:r>
    </w:p>
    <w:p>
      <w:pPr>
        <w:pStyle w:val="nz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nzHeading5"/>
      </w:pPr>
      <w:bookmarkStart w:id="580" w:name="_Toc345661370"/>
      <w:r>
        <w:rPr>
          <w:rStyle w:val="CharSectno"/>
        </w:rPr>
        <w:t>35</w:t>
      </w:r>
      <w:r>
        <w:t>.</w:t>
      </w:r>
      <w:r>
        <w:tab/>
        <w:t>Approved pig feed</w:t>
      </w:r>
      <w:bookmarkEnd w:id="580"/>
    </w:p>
    <w:p>
      <w:pPr>
        <w:pStyle w:val="nzSubsection"/>
      </w:pPr>
      <w:r>
        <w:tab/>
        <w:t>(1)</w:t>
      </w:r>
      <w:r>
        <w:tab/>
        <w:t xml:space="preserve">Except as provided in subregulation (3), the following feed is approved for use as pig feed — </w:t>
      </w:r>
    </w:p>
    <w:p>
      <w:pPr>
        <w:pStyle w:val="nz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nzIndenta"/>
      </w:pPr>
      <w:r>
        <w:tab/>
        <w:t>(b)</w:t>
      </w:r>
      <w:r>
        <w:tab/>
        <w:t>feed that contains or consists of the flesh, bones, blood or offal of a mammal that has been treated by a process approved by the Director General in writing;</w:t>
      </w:r>
    </w:p>
    <w:p>
      <w:pPr>
        <w:pStyle w:val="nzIndenta"/>
      </w:pPr>
      <w:r>
        <w:tab/>
        <w:t>(c)</w:t>
      </w:r>
      <w:r>
        <w:tab/>
        <w:t>feed that is used in accordance with an approval given under subregulation (2).</w:t>
      </w:r>
    </w:p>
    <w:p>
      <w:pPr>
        <w:pStyle w:val="nz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nzIndenta"/>
      </w:pPr>
      <w:r>
        <w:tab/>
        <w:t>(a)</w:t>
      </w:r>
      <w:r>
        <w:tab/>
        <w:t>baiting of feral pigs;</w:t>
      </w:r>
    </w:p>
    <w:p>
      <w:pPr>
        <w:pStyle w:val="nzIndenta"/>
      </w:pPr>
      <w:r>
        <w:tab/>
        <w:t>(b)</w:t>
      </w:r>
      <w:r>
        <w:tab/>
        <w:t>research relating to pigs;</w:t>
      </w:r>
    </w:p>
    <w:p>
      <w:pPr>
        <w:pStyle w:val="nzIndenta"/>
      </w:pPr>
      <w:r>
        <w:tab/>
        <w:t>(c)</w:t>
      </w:r>
      <w:r>
        <w:tab/>
        <w:t>therapeutic treatment of a pig.</w:t>
      </w:r>
    </w:p>
    <w:p>
      <w:pPr>
        <w:pStyle w:val="nz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nzIndenta"/>
      </w:pPr>
      <w:r>
        <w:tab/>
        <w:t>(a)</w:t>
      </w:r>
      <w:r>
        <w:tab/>
        <w:t>there is an outbreak of, or likely presence of a disease; and</w:t>
      </w:r>
    </w:p>
    <w:p>
      <w:pPr>
        <w:pStyle w:val="nzIndenta"/>
      </w:pPr>
      <w:r>
        <w:tab/>
        <w:t>(b)</w:t>
      </w:r>
      <w:r>
        <w:tab/>
        <w:t xml:space="preserve">the disease could be spread by the use of the feed. </w:t>
      </w:r>
    </w:p>
    <w:p>
      <w:pPr>
        <w:pStyle w:val="nzHeading5"/>
      </w:pPr>
      <w:bookmarkStart w:id="581" w:name="_Toc317151178"/>
      <w:bookmarkStart w:id="582" w:name="_Toc345661371"/>
      <w:r>
        <w:rPr>
          <w:rStyle w:val="CharSectno"/>
        </w:rPr>
        <w:t>36</w:t>
      </w:r>
      <w:r>
        <w:t>.</w:t>
      </w:r>
      <w:r>
        <w:tab/>
      </w:r>
      <w:bookmarkEnd w:id="581"/>
      <w:r>
        <w:t>Prohibited pig feed: limits on use, storage and supply</w:t>
      </w:r>
      <w:bookmarkEnd w:id="582"/>
    </w:p>
    <w:p>
      <w:pPr>
        <w:pStyle w:val="nzSubsection"/>
      </w:pPr>
      <w:r>
        <w:tab/>
      </w:r>
      <w:r>
        <w:tab/>
        <w:t xml:space="preserve">A person must not — </w:t>
      </w:r>
    </w:p>
    <w:p>
      <w:pPr>
        <w:pStyle w:val="nzIndenta"/>
      </w:pPr>
      <w:r>
        <w:tab/>
        <w:t>(a)</w:t>
      </w:r>
      <w:r>
        <w:tab/>
        <w:t>store prohibited pig feed at premises at which pigs are kept; or</w:t>
      </w:r>
    </w:p>
    <w:p>
      <w:pPr>
        <w:pStyle w:val="nzIndenta"/>
      </w:pPr>
      <w:r>
        <w:tab/>
        <w:t>(b)</w:t>
      </w:r>
      <w:r>
        <w:tab/>
        <w:t>collect material that is prohibited pig feed for use for feeding to pigs; or</w:t>
      </w:r>
    </w:p>
    <w:p>
      <w:pPr>
        <w:pStyle w:val="nzIndenta"/>
      </w:pPr>
      <w:r>
        <w:tab/>
        <w:t>(c)</w:t>
      </w:r>
      <w:r>
        <w:tab/>
        <w:t>feed to a pig prohibited pig feed; or</w:t>
      </w:r>
    </w:p>
    <w:p>
      <w:pPr>
        <w:pStyle w:val="nzIndenta"/>
      </w:pPr>
      <w:r>
        <w:tab/>
        <w:t>(d)</w:t>
      </w:r>
      <w:r>
        <w:tab/>
        <w:t>allow a pig to have access to prohibited pig feed; or</w:t>
      </w:r>
    </w:p>
    <w:p>
      <w:pPr>
        <w:pStyle w:val="nzIndenta"/>
      </w:pPr>
      <w:r>
        <w:tab/>
        <w:t>(e)</w:t>
      </w:r>
      <w:r>
        <w:tab/>
        <w:t>supply to another person prohibited pig feed that the person supplying the feed knows is for use for feeding to any pig.</w:t>
      </w:r>
    </w:p>
    <w:p>
      <w:pPr>
        <w:pStyle w:val="nzPenstart"/>
      </w:pPr>
      <w:r>
        <w:tab/>
        <w:t>Penalty: a fine of $5 000 and a daily penalty of $500.</w:t>
      </w:r>
    </w:p>
    <w:p>
      <w:pPr>
        <w:pStyle w:val="nzHeading2"/>
      </w:pPr>
      <w:bookmarkStart w:id="583" w:name="_Toc317151184"/>
      <w:bookmarkStart w:id="584" w:name="_Toc324145318"/>
      <w:bookmarkStart w:id="585" w:name="_Toc324150393"/>
      <w:bookmarkStart w:id="586" w:name="_Toc324150644"/>
      <w:bookmarkStart w:id="587" w:name="_Toc324155388"/>
      <w:bookmarkStart w:id="588" w:name="_Toc324155451"/>
      <w:bookmarkStart w:id="589" w:name="_Toc324157330"/>
      <w:bookmarkStart w:id="590" w:name="_Toc324170376"/>
      <w:bookmarkStart w:id="591" w:name="_Toc324170718"/>
      <w:bookmarkStart w:id="592" w:name="_Toc324172489"/>
      <w:bookmarkStart w:id="593" w:name="_Toc327281475"/>
      <w:bookmarkStart w:id="594" w:name="_Toc327281541"/>
      <w:bookmarkStart w:id="595" w:name="_Toc340660261"/>
      <w:bookmarkStart w:id="596" w:name="_Toc340660331"/>
      <w:bookmarkStart w:id="597" w:name="_Toc343176733"/>
      <w:bookmarkStart w:id="598" w:name="_Toc343176819"/>
      <w:bookmarkStart w:id="599" w:name="_Toc343240796"/>
      <w:bookmarkStart w:id="600" w:name="_Toc343246318"/>
      <w:bookmarkStart w:id="601" w:name="_Toc343500629"/>
      <w:bookmarkStart w:id="602" w:name="_Toc343502413"/>
      <w:bookmarkStart w:id="603" w:name="_Toc343503390"/>
      <w:bookmarkStart w:id="604" w:name="_Toc343503476"/>
      <w:bookmarkStart w:id="605" w:name="_Toc343504310"/>
      <w:bookmarkStart w:id="606" w:name="_Toc343504588"/>
      <w:bookmarkStart w:id="607" w:name="_Toc343504985"/>
      <w:bookmarkStart w:id="608" w:name="_Toc343505771"/>
      <w:bookmarkStart w:id="609" w:name="_Toc343506476"/>
      <w:bookmarkStart w:id="610" w:name="_Toc343507550"/>
      <w:bookmarkStart w:id="611" w:name="_Toc343516625"/>
      <w:bookmarkStart w:id="612" w:name="_Toc343516903"/>
      <w:bookmarkStart w:id="613" w:name="_Toc345488383"/>
      <w:bookmarkStart w:id="614" w:name="_Toc345659918"/>
      <w:bookmarkStart w:id="615" w:name="_Toc345661177"/>
      <w:bookmarkStart w:id="616" w:name="_Toc345661372"/>
      <w:r>
        <w:rPr>
          <w:rStyle w:val="CharPartNo"/>
        </w:rPr>
        <w:t>Part 4</w:t>
      </w:r>
      <w:r>
        <w:t> — </w:t>
      </w:r>
      <w:r>
        <w:rPr>
          <w:rStyle w:val="CharPartText"/>
        </w:rPr>
        <w:t>Fertilisers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nzHeading3"/>
      </w:pPr>
      <w:bookmarkStart w:id="617" w:name="_Toc324145321"/>
      <w:bookmarkStart w:id="618" w:name="_Toc324150396"/>
      <w:bookmarkStart w:id="619" w:name="_Toc324150647"/>
      <w:bookmarkStart w:id="620" w:name="_Toc324155389"/>
      <w:bookmarkStart w:id="621" w:name="_Toc324155452"/>
      <w:bookmarkStart w:id="622" w:name="_Toc324157331"/>
      <w:bookmarkStart w:id="623" w:name="_Toc324170377"/>
      <w:bookmarkStart w:id="624" w:name="_Toc324170719"/>
      <w:bookmarkStart w:id="625" w:name="_Toc324172490"/>
      <w:bookmarkStart w:id="626" w:name="_Toc327281476"/>
      <w:bookmarkStart w:id="627" w:name="_Toc327281542"/>
      <w:bookmarkStart w:id="628" w:name="_Toc340660262"/>
      <w:bookmarkStart w:id="629" w:name="_Toc340660332"/>
      <w:bookmarkStart w:id="630" w:name="_Toc343176734"/>
      <w:bookmarkStart w:id="631" w:name="_Toc343176820"/>
      <w:bookmarkStart w:id="632" w:name="_Toc343240797"/>
      <w:bookmarkStart w:id="633" w:name="_Toc343246319"/>
      <w:bookmarkStart w:id="634" w:name="_Toc343500630"/>
      <w:bookmarkStart w:id="635" w:name="_Toc343502414"/>
      <w:bookmarkStart w:id="636" w:name="_Toc343503391"/>
      <w:bookmarkStart w:id="637" w:name="_Toc343503477"/>
      <w:bookmarkStart w:id="638" w:name="_Toc343504311"/>
      <w:bookmarkStart w:id="639" w:name="_Toc343504589"/>
      <w:bookmarkStart w:id="640" w:name="_Toc343504986"/>
      <w:bookmarkStart w:id="641" w:name="_Toc343505772"/>
      <w:bookmarkStart w:id="642" w:name="_Toc343506477"/>
      <w:bookmarkStart w:id="643" w:name="_Toc343507551"/>
      <w:bookmarkStart w:id="644" w:name="_Toc343516626"/>
      <w:bookmarkStart w:id="645" w:name="_Toc343516904"/>
      <w:bookmarkStart w:id="646" w:name="_Toc345488384"/>
      <w:bookmarkStart w:id="647" w:name="_Toc345659919"/>
      <w:bookmarkStart w:id="648" w:name="_Toc345661178"/>
      <w:bookmarkStart w:id="649" w:name="_Toc345661373"/>
      <w:r>
        <w:rPr>
          <w:rStyle w:val="CharDivNo"/>
        </w:rPr>
        <w:t>Division 1</w:t>
      </w:r>
      <w:r>
        <w:t> — </w:t>
      </w:r>
      <w:r>
        <w:rPr>
          <w:rStyle w:val="CharDivText"/>
        </w:rPr>
        <w:t>Fertilisers: standards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nzHeading5"/>
      </w:pPr>
      <w:bookmarkStart w:id="650" w:name="_Toc317151186"/>
      <w:bookmarkStart w:id="651" w:name="_Toc345661374"/>
      <w:r>
        <w:rPr>
          <w:rStyle w:val="CharSectno"/>
        </w:rPr>
        <w:t>37</w:t>
      </w:r>
      <w:r>
        <w:t>.</w:t>
      </w:r>
      <w:r>
        <w:tab/>
        <w:t>Fertilisers</w:t>
      </w:r>
      <w:bookmarkEnd w:id="650"/>
      <w:r>
        <w:t>: standards</w:t>
      </w:r>
      <w:bookmarkEnd w:id="651"/>
    </w:p>
    <w:p>
      <w:pPr>
        <w:pStyle w:val="nzSubsection"/>
      </w:pPr>
      <w:r>
        <w:tab/>
        <w:t>(1)</w:t>
      </w:r>
      <w:r>
        <w:tab/>
        <w:t>This regulation prescribes standards for the formulation and manufacture of fertilisers.</w:t>
      </w:r>
    </w:p>
    <w:p>
      <w:pPr>
        <w:pStyle w:val="nz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nz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nzSubsection"/>
      </w:pPr>
      <w:r>
        <w:tab/>
        <w:t>(4)</w:t>
      </w:r>
      <w:r>
        <w:tab/>
        <w:t xml:space="preserve">A fertiliser sold by a description specified in Schedule 6 column 2 must — </w:t>
      </w:r>
    </w:p>
    <w:p>
      <w:pPr>
        <w:pStyle w:val="nzIndenta"/>
      </w:pPr>
      <w:r>
        <w:tab/>
        <w:t>(a)</w:t>
      </w:r>
      <w:r>
        <w:tab/>
        <w:t>contain at least the percentage specified in Schedule 6 column 3 of fine material as described in that column; and</w:t>
      </w:r>
    </w:p>
    <w:p>
      <w:pPr>
        <w:pStyle w:val="nzIndenta"/>
      </w:pPr>
      <w:r>
        <w:tab/>
        <w:t>(b)</w:t>
      </w:r>
      <w:r>
        <w:tab/>
        <w:t>have a neutralising value that is at least the percentage of the neutralising value of pure calcium carbonate specified in Schedule 6 column 4;</w:t>
      </w:r>
    </w:p>
    <w:p>
      <w:pPr>
        <w:pStyle w:val="nzIndenta"/>
      </w:pPr>
      <w:r>
        <w:tab/>
        <w:t>(c)</w:t>
      </w:r>
      <w:r>
        <w:tab/>
        <w:t>satisfy any other requirements in Schedule 6 column 5.</w:t>
      </w:r>
    </w:p>
    <w:p>
      <w:pPr>
        <w:pStyle w:val="nzSubsection"/>
      </w:pPr>
      <w:r>
        <w:tab/>
        <w:t>(5)</w:t>
      </w:r>
      <w:r>
        <w:tab/>
        <w:t>A fertiliser must not contain more than 0.05% of lead or lead compounds by weight.</w:t>
      </w:r>
    </w:p>
    <w:p>
      <w:pPr>
        <w:pStyle w:val="nzSubsection"/>
      </w:pPr>
      <w:r>
        <w:tab/>
        <w:t>(6)</w:t>
      </w:r>
      <w:r>
        <w:tab/>
        <w:t xml:space="preserve">A fertiliser — </w:t>
      </w:r>
    </w:p>
    <w:p>
      <w:pPr>
        <w:pStyle w:val="nzIndenta"/>
      </w:pPr>
      <w:r>
        <w:tab/>
        <w:t>(a)</w:t>
      </w:r>
      <w:r>
        <w:tab/>
        <w:t>that contains 2% or more phosphorous must not contain more than 0.005% of mercury or mercury compounds determined by reference to the weight of phosphorus in the fertiliser; or</w:t>
      </w:r>
    </w:p>
    <w:p>
      <w:pPr>
        <w:pStyle w:val="nzIndenta"/>
      </w:pPr>
      <w:r>
        <w:tab/>
        <w:t>(b)</w:t>
      </w:r>
      <w:r>
        <w:tab/>
        <w:t>other than a fertiliser referred to in paragraph (a), must not contain more than 0.0005% of mercury or mercury compounds by weight.</w:t>
      </w:r>
    </w:p>
    <w:p>
      <w:pPr>
        <w:pStyle w:val="nzSubsection"/>
      </w:pPr>
      <w:r>
        <w:tab/>
        <w:t>(7)</w:t>
      </w:r>
      <w:r>
        <w:tab/>
        <w:t xml:space="preserve">A fertiliser — </w:t>
      </w:r>
    </w:p>
    <w:p>
      <w:pPr>
        <w:pStyle w:val="nzIndenta"/>
      </w:pPr>
      <w:r>
        <w:tab/>
        <w:t>(a)</w:t>
      </w:r>
      <w:r>
        <w:tab/>
        <w:t>that contains an ingredient referred to in Schedule 5 items 7 to 13 must not contain more than 0.005% of cadmium or cadmium compounds by weight; or</w:t>
      </w:r>
    </w:p>
    <w:p>
      <w:pPr>
        <w:pStyle w:val="nzIndenta"/>
      </w:pPr>
      <w:r>
        <w:tab/>
        <w:t>(b)</w:t>
      </w:r>
      <w:r>
        <w:tab/>
        <w:t>that contains 2% or more of more phosphorous must not  contain more than 0.03% of cadmium or cadmium compounds determined by reference to the weight of phosphorous in the fertiliser; or</w:t>
      </w:r>
    </w:p>
    <w:p>
      <w:pPr>
        <w:pStyle w:val="nzIndenta"/>
      </w:pPr>
      <w:r>
        <w:tab/>
        <w:t>(c)</w:t>
      </w:r>
      <w:r>
        <w:tab/>
        <w:t>other than a fertiliser referred to in paragraph (a) or (b), must not contain more than 0.001% of cadmium or cadmium compounds by weight.</w:t>
      </w:r>
    </w:p>
    <w:p>
      <w:pPr>
        <w:pStyle w:val="nzHeading5"/>
      </w:pPr>
      <w:bookmarkStart w:id="652" w:name="_Toc345661375"/>
      <w:r>
        <w:rPr>
          <w:rStyle w:val="CharSectno"/>
        </w:rPr>
        <w:t>38</w:t>
      </w:r>
      <w:r>
        <w:t>.</w:t>
      </w:r>
      <w:r>
        <w:tab/>
        <w:t>Compliance with standards for fertilisers</w:t>
      </w:r>
      <w:bookmarkEnd w:id="652"/>
    </w:p>
    <w:p>
      <w:pPr>
        <w:pStyle w:val="nzSubsection"/>
      </w:pPr>
      <w:r>
        <w:tab/>
      </w:r>
      <w:r>
        <w:tab/>
        <w:t>A person must not supply a fertiliser unless the fertiliser complies with the standards set out in regulation 37 that are relevant to the fertiliser.</w:t>
      </w:r>
    </w:p>
    <w:p>
      <w:pPr>
        <w:pStyle w:val="nzPenstart"/>
      </w:pPr>
      <w:r>
        <w:tab/>
        <w:t>Penalty: a fine of $5 000.</w:t>
      </w:r>
    </w:p>
    <w:p>
      <w:pPr>
        <w:pStyle w:val="nzHeading3"/>
      </w:pPr>
      <w:bookmarkStart w:id="653" w:name="_Toc324145324"/>
      <w:bookmarkStart w:id="654" w:name="_Toc324150399"/>
      <w:bookmarkStart w:id="655" w:name="_Toc324150650"/>
      <w:bookmarkStart w:id="656" w:name="_Toc324155392"/>
      <w:bookmarkStart w:id="657" w:name="_Toc324155455"/>
      <w:bookmarkStart w:id="658" w:name="_Toc324157334"/>
      <w:bookmarkStart w:id="659" w:name="_Toc324170380"/>
      <w:bookmarkStart w:id="660" w:name="_Toc324170722"/>
      <w:bookmarkStart w:id="661" w:name="_Toc324172493"/>
      <w:bookmarkStart w:id="662" w:name="_Toc327281479"/>
      <w:bookmarkStart w:id="663" w:name="_Toc327281545"/>
      <w:bookmarkStart w:id="664" w:name="_Toc340660265"/>
      <w:bookmarkStart w:id="665" w:name="_Toc340660335"/>
      <w:bookmarkStart w:id="666" w:name="_Toc343176737"/>
      <w:bookmarkStart w:id="667" w:name="_Toc343176823"/>
      <w:bookmarkStart w:id="668" w:name="_Toc343240800"/>
      <w:bookmarkStart w:id="669" w:name="_Toc343246322"/>
      <w:bookmarkStart w:id="670" w:name="_Toc343500633"/>
      <w:bookmarkStart w:id="671" w:name="_Toc343502417"/>
      <w:bookmarkStart w:id="672" w:name="_Toc343503394"/>
      <w:bookmarkStart w:id="673" w:name="_Toc343503480"/>
      <w:bookmarkStart w:id="674" w:name="_Toc343504314"/>
      <w:bookmarkStart w:id="675" w:name="_Toc343504592"/>
      <w:bookmarkStart w:id="676" w:name="_Toc343504989"/>
      <w:bookmarkStart w:id="677" w:name="_Toc343505775"/>
      <w:bookmarkStart w:id="678" w:name="_Toc343506480"/>
      <w:bookmarkStart w:id="679" w:name="_Toc343507554"/>
      <w:bookmarkStart w:id="680" w:name="_Toc343516629"/>
      <w:bookmarkStart w:id="681" w:name="_Toc343516907"/>
      <w:bookmarkStart w:id="682" w:name="_Toc345488387"/>
      <w:bookmarkStart w:id="683" w:name="_Toc345659922"/>
      <w:bookmarkStart w:id="684" w:name="_Toc345661181"/>
      <w:bookmarkStart w:id="685" w:name="_Toc345661376"/>
      <w:r>
        <w:rPr>
          <w:rStyle w:val="CharDivNo"/>
        </w:rPr>
        <w:t>Division 2</w:t>
      </w:r>
      <w:r>
        <w:t> — </w:t>
      </w:r>
      <w:r>
        <w:rPr>
          <w:rStyle w:val="CharDivText"/>
        </w:rPr>
        <w:t>Fertilisers: labelling</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zHeading5"/>
      </w:pPr>
      <w:bookmarkStart w:id="686" w:name="_Toc317151189"/>
      <w:bookmarkStart w:id="687" w:name="_Toc345661377"/>
      <w:r>
        <w:rPr>
          <w:rStyle w:val="CharSectno"/>
        </w:rPr>
        <w:t>39</w:t>
      </w:r>
      <w:r>
        <w:t>.</w:t>
      </w:r>
      <w:r>
        <w:tab/>
        <w:t>Labelling requirements: fertilisers</w:t>
      </w:r>
      <w:bookmarkEnd w:id="686"/>
      <w:bookmarkEnd w:id="687"/>
      <w:r>
        <w:t xml:space="preserve"> </w:t>
      </w:r>
    </w:p>
    <w:p>
      <w:pPr>
        <w:pStyle w:val="nz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nzIndenta"/>
      </w:pPr>
      <w:r>
        <w:tab/>
        <w:t>(a)</w:t>
      </w:r>
      <w:r>
        <w:tab/>
        <w:t>the name of the fertiliser;</w:t>
      </w:r>
    </w:p>
    <w:p>
      <w:pPr>
        <w:pStyle w:val="nzIndenta"/>
      </w:pPr>
      <w:r>
        <w:tab/>
        <w:t>(b)</w:t>
      </w:r>
      <w:r>
        <w:tab/>
        <w:t>the brand of the fertiliser;</w:t>
      </w:r>
    </w:p>
    <w:p>
      <w:pPr>
        <w:pStyle w:val="nzIndenta"/>
      </w:pPr>
      <w:r>
        <w:tab/>
        <w:t>(c)</w:t>
      </w:r>
      <w:r>
        <w:tab/>
        <w:t>the name and the address of the principal place of business, of the Australian manufacturer or distributor;</w:t>
      </w:r>
    </w:p>
    <w:p>
      <w:pPr>
        <w:pStyle w:val="nzIndenta"/>
      </w:pPr>
      <w:r>
        <w:tab/>
        <w:t>(d)</w:t>
      </w:r>
      <w:r>
        <w:tab/>
        <w:t>if the label or docket states that the fertiliser contains any specified ingredients, the minimum percentages of those ingredients contained in the fertiliser.</w:t>
      </w:r>
    </w:p>
    <w:p>
      <w:pPr>
        <w:pStyle w:val="nzPenstart"/>
        <w:rPr>
          <w:rStyle w:val="DraftersNotes"/>
        </w:rPr>
      </w:pPr>
      <w:r>
        <w:tab/>
        <w:t>Penalty: a fine of $2 000 and a daily penalty of $200.</w:t>
      </w:r>
    </w:p>
    <w:p>
      <w:pPr>
        <w:pStyle w:val="nzSubsection"/>
        <w:rPr>
          <w:rStyle w:val="DraftersNotes"/>
        </w:rPr>
      </w:pPr>
      <w:r>
        <w:tab/>
        <w:t>(2)</w:t>
      </w:r>
      <w:r>
        <w:tab/>
        <w:t>The letters on a label required by this regulation must be at least 2 mm high.</w:t>
      </w:r>
    </w:p>
    <w:p>
      <w:pPr>
        <w:pStyle w:val="nzSubsection"/>
      </w:pPr>
      <w:r>
        <w:tab/>
        <w:t>(3)</w:t>
      </w:r>
      <w:r>
        <w:tab/>
        <w:t>Subregulation (1) does not apply to the supply of 20 kg or less of a fertiliser if the fertiliser is taken in the presence of the purchaser from a container labelled in accordance with that subregulation.</w:t>
      </w:r>
    </w:p>
    <w:p>
      <w:pPr>
        <w:pStyle w:val="nzHeading3"/>
      </w:pPr>
      <w:bookmarkStart w:id="688" w:name="_Toc324145326"/>
      <w:bookmarkStart w:id="689" w:name="_Toc324150401"/>
      <w:bookmarkStart w:id="690" w:name="_Toc324150652"/>
      <w:bookmarkStart w:id="691" w:name="_Toc324155394"/>
      <w:bookmarkStart w:id="692" w:name="_Toc324155457"/>
      <w:bookmarkStart w:id="693" w:name="_Toc324157336"/>
      <w:bookmarkStart w:id="694" w:name="_Toc324170382"/>
      <w:bookmarkStart w:id="695" w:name="_Toc324170724"/>
      <w:bookmarkStart w:id="696" w:name="_Toc324172495"/>
      <w:bookmarkStart w:id="697" w:name="_Toc327281481"/>
      <w:bookmarkStart w:id="698" w:name="_Toc327281547"/>
      <w:bookmarkStart w:id="699" w:name="_Toc340660267"/>
      <w:bookmarkStart w:id="700" w:name="_Toc340660337"/>
      <w:bookmarkStart w:id="701" w:name="_Toc343176739"/>
      <w:bookmarkStart w:id="702" w:name="_Toc343176825"/>
      <w:bookmarkStart w:id="703" w:name="_Toc343240802"/>
      <w:bookmarkStart w:id="704" w:name="_Toc343246324"/>
      <w:bookmarkStart w:id="705" w:name="_Toc343500635"/>
      <w:bookmarkStart w:id="706" w:name="_Toc343502419"/>
      <w:bookmarkStart w:id="707" w:name="_Toc343503396"/>
      <w:bookmarkStart w:id="708" w:name="_Toc343503482"/>
      <w:bookmarkStart w:id="709" w:name="_Toc343504316"/>
      <w:bookmarkStart w:id="710" w:name="_Toc343504594"/>
      <w:bookmarkStart w:id="711" w:name="_Toc343504991"/>
      <w:bookmarkStart w:id="712" w:name="_Toc343505777"/>
      <w:bookmarkStart w:id="713" w:name="_Toc343506482"/>
      <w:bookmarkStart w:id="714" w:name="_Toc343507556"/>
      <w:bookmarkStart w:id="715" w:name="_Toc343516631"/>
      <w:bookmarkStart w:id="716" w:name="_Toc343516909"/>
      <w:bookmarkStart w:id="717" w:name="_Toc345488389"/>
      <w:bookmarkStart w:id="718" w:name="_Toc345659924"/>
      <w:bookmarkStart w:id="719" w:name="_Toc345661183"/>
      <w:bookmarkStart w:id="720" w:name="_Toc345661378"/>
      <w:r>
        <w:rPr>
          <w:rStyle w:val="CharDivNo"/>
        </w:rPr>
        <w:t>Division 3</w:t>
      </w:r>
      <w:r>
        <w:t> — </w:t>
      </w:r>
      <w:r>
        <w:rPr>
          <w:rStyle w:val="CharDivText"/>
        </w:rPr>
        <w:t>Fertilisers: sampling and analysis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nzHeading5"/>
      </w:pPr>
      <w:bookmarkStart w:id="721" w:name="_Toc317151190"/>
      <w:bookmarkStart w:id="722" w:name="_Toc345661379"/>
      <w:r>
        <w:rPr>
          <w:rStyle w:val="CharSectno"/>
        </w:rPr>
        <w:t>40</w:t>
      </w:r>
      <w:r>
        <w:t>.</w:t>
      </w:r>
      <w:r>
        <w:tab/>
        <w:t>Taking of samples</w:t>
      </w:r>
      <w:bookmarkEnd w:id="721"/>
      <w:r>
        <w:t xml:space="preserve"> of fertilisers</w:t>
      </w:r>
      <w:bookmarkEnd w:id="722"/>
    </w:p>
    <w:p>
      <w:pPr>
        <w:pStyle w:val="nzSubsection"/>
      </w:pPr>
      <w:r>
        <w:tab/>
        <w:t>(1)</w:t>
      </w:r>
      <w:r>
        <w:tab/>
        <w:t xml:space="preserve">For the purposes of section 119(3)(a) of the Act the following manners of taking of samples of fertilisers are prescribed — </w:t>
      </w:r>
    </w:p>
    <w:p>
      <w:pPr>
        <w:pStyle w:val="nz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nz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nz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nzIndenta"/>
      </w:pPr>
      <w:r>
        <w:tab/>
        <w:t>(d)</w:t>
      </w:r>
      <w:r>
        <w:tab/>
        <w:t>for liquid fertiliser that is in the form of a clear solution, by taking the sample direct from the container;</w:t>
      </w:r>
    </w:p>
    <w:p>
      <w:pPr>
        <w:pStyle w:val="nzIndenta"/>
      </w:pPr>
      <w:r>
        <w:tab/>
        <w:t>(e)</w:t>
      </w:r>
      <w:r>
        <w:tab/>
        <w:t>for fertiliser in a fluid solution containing suspended material, by agitating the fertiliser until mixed and drawing the sample from the outlet or from the top of the container by a dipper.</w:t>
      </w:r>
    </w:p>
    <w:p>
      <w:pPr>
        <w:pStyle w:val="nzSubsection"/>
      </w:pPr>
      <w:r>
        <w:tab/>
        <w:t>(2)</w:t>
      </w:r>
      <w:r>
        <w:tab/>
        <w:t xml:space="preserve">A sample of a fertiliser must be taken in the presence of the supplier of the fertiliser or another person apparently in charge of the fertiliser unless it would be impractical to do so. </w:t>
      </w:r>
    </w:p>
    <w:p>
      <w:pPr>
        <w:pStyle w:val="nzSubsection"/>
      </w:pPr>
      <w:r>
        <w:tab/>
        <w:t>(3)</w:t>
      </w:r>
      <w:r>
        <w:tab/>
        <w:t xml:space="preserve">An inspector who takes a sample of a fertiliser must — </w:t>
      </w:r>
    </w:p>
    <w:p>
      <w:pPr>
        <w:pStyle w:val="nzIndenta"/>
      </w:pPr>
      <w:r>
        <w:tab/>
        <w:t>(a)</w:t>
      </w:r>
      <w:r>
        <w:tab/>
        <w:t>thoroughly mix the sample and divide it into approximately 3 equal parts; and</w:t>
      </w:r>
    </w:p>
    <w:p>
      <w:pPr>
        <w:pStyle w:val="nzIndenta"/>
      </w:pPr>
      <w:r>
        <w:tab/>
        <w:t>(b)</w:t>
      </w:r>
      <w:r>
        <w:tab/>
        <w:t>place each of those parts in a separate container and seal or fasten each container; and</w:t>
      </w:r>
    </w:p>
    <w:p>
      <w:pPr>
        <w:pStyle w:val="nzIndenta"/>
      </w:pPr>
      <w:r>
        <w:tab/>
        <w:t>(c)</w:t>
      </w:r>
      <w:r>
        <w:tab/>
        <w:t>place on each container a label stating the brand of the fertiliser or substance; and</w:t>
      </w:r>
    </w:p>
    <w:p>
      <w:pPr>
        <w:pStyle w:val="nzIndenta"/>
      </w:pPr>
      <w:r>
        <w:tab/>
        <w:t>(d)</w:t>
      </w:r>
      <w:r>
        <w:tab/>
        <w:t>provide one of the parts of the sample to the supplier of the fertiliser or the person apparently in charge of the fertiliser; and</w:t>
      </w:r>
    </w:p>
    <w:p>
      <w:pPr>
        <w:pStyle w:val="nzIndenta"/>
      </w:pPr>
      <w:r>
        <w:tab/>
        <w:t>(e)</w:t>
      </w:r>
      <w:r>
        <w:tab/>
        <w:t>retain 2 of the parts, one for the purposes of analysis and the other for future comparison.</w:t>
      </w:r>
    </w:p>
    <w:p>
      <w:pPr>
        <w:pStyle w:val="nzHeading5"/>
      </w:pPr>
      <w:bookmarkStart w:id="723" w:name="_Toc317151192"/>
      <w:bookmarkStart w:id="724" w:name="_Toc345661380"/>
      <w:r>
        <w:rPr>
          <w:rStyle w:val="CharSectno"/>
        </w:rPr>
        <w:t>41</w:t>
      </w:r>
      <w:r>
        <w:t>.</w:t>
      </w:r>
      <w:r>
        <w:tab/>
        <w:t>Analysis</w:t>
      </w:r>
      <w:bookmarkEnd w:id="723"/>
      <w:r>
        <w:t xml:space="preserve"> of fertilisers</w:t>
      </w:r>
      <w:bookmarkEnd w:id="724"/>
    </w:p>
    <w:p>
      <w:pPr>
        <w:pStyle w:val="nzSubsection"/>
      </w:pPr>
      <w:r>
        <w:tab/>
      </w:r>
      <w:r>
        <w:tab/>
        <w:t xml:space="preserve">The analysis of fertilisers for the purposes of the Act must be conducted — </w:t>
      </w:r>
    </w:p>
    <w:p>
      <w:pPr>
        <w:pStyle w:val="nzIndenta"/>
      </w:pPr>
      <w:r>
        <w:tab/>
        <w:t>(a)</w:t>
      </w:r>
      <w:r>
        <w:tab/>
        <w:t xml:space="preserve">at a laboratory that — </w:t>
      </w:r>
    </w:p>
    <w:p>
      <w:pPr>
        <w:pStyle w:val="nzIndenti"/>
      </w:pPr>
      <w:r>
        <w:tab/>
        <w:t>(i)</w:t>
      </w:r>
      <w:r>
        <w:tab/>
        <w:t xml:space="preserve">is accredited by the National Association of Testing Authorities; and </w:t>
      </w:r>
    </w:p>
    <w:p>
      <w:pPr>
        <w:pStyle w:val="nzIndenti"/>
      </w:pPr>
      <w:r>
        <w:tab/>
        <w:t>(ii)</w:t>
      </w:r>
      <w:r>
        <w:tab/>
        <w:t xml:space="preserve">uses analytical techniques relevant to the fertiliser industry set out in International Standards published by the ISO; </w:t>
      </w:r>
    </w:p>
    <w:p>
      <w:pPr>
        <w:pStyle w:val="nzIndenta"/>
      </w:pPr>
      <w:r>
        <w:tab/>
      </w:r>
      <w:r>
        <w:tab/>
        <w:t>or</w:t>
      </w:r>
    </w:p>
    <w:p>
      <w:pPr>
        <w:pStyle w:val="nzIndenta"/>
      </w:pPr>
      <w:r>
        <w:tab/>
        <w:t>(b)</w:t>
      </w:r>
      <w:r>
        <w:tab/>
        <w:t xml:space="preserve">in accordance with the written instructions of the chief executive officer as defined in the </w:t>
      </w:r>
      <w:r>
        <w:rPr>
          <w:i/>
        </w:rPr>
        <w:t>Chemistry Centre (WA) Act 2007</w:t>
      </w:r>
      <w:r>
        <w:t xml:space="preserve"> section 3(1).</w:t>
      </w:r>
    </w:p>
    <w:p>
      <w:pPr>
        <w:pStyle w:val="nzHeading2"/>
      </w:pPr>
      <w:bookmarkStart w:id="725" w:name="_Toc343176742"/>
      <w:bookmarkStart w:id="726" w:name="_Toc343176828"/>
      <w:bookmarkStart w:id="727" w:name="_Toc343240805"/>
      <w:bookmarkStart w:id="728" w:name="_Toc343246327"/>
      <w:bookmarkStart w:id="729" w:name="_Toc343500638"/>
      <w:bookmarkStart w:id="730" w:name="_Toc343502422"/>
      <w:bookmarkStart w:id="731" w:name="_Toc343503399"/>
      <w:bookmarkStart w:id="732" w:name="_Toc343503485"/>
      <w:bookmarkStart w:id="733" w:name="_Toc343504319"/>
      <w:bookmarkStart w:id="734" w:name="_Toc343504597"/>
      <w:bookmarkStart w:id="735" w:name="_Toc343504994"/>
      <w:bookmarkStart w:id="736" w:name="_Toc343505780"/>
      <w:bookmarkStart w:id="737" w:name="_Toc343506485"/>
      <w:bookmarkStart w:id="738" w:name="_Toc343507559"/>
      <w:bookmarkStart w:id="739" w:name="_Toc343516634"/>
      <w:bookmarkStart w:id="740" w:name="_Toc343516912"/>
      <w:bookmarkStart w:id="741" w:name="_Toc345488392"/>
      <w:bookmarkStart w:id="742" w:name="_Toc345659927"/>
      <w:bookmarkStart w:id="743" w:name="_Toc345661186"/>
      <w:bookmarkStart w:id="744" w:name="_Toc345661381"/>
      <w:r>
        <w:rPr>
          <w:rStyle w:val="CharPartNo"/>
        </w:rPr>
        <w:t>Part 5</w:t>
      </w:r>
      <w:r>
        <w:t> — </w:t>
      </w:r>
      <w:r>
        <w:rPr>
          <w:rStyle w:val="CharPartText"/>
        </w:rPr>
        <w:t>Standards for fruit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nzHeading3"/>
      </w:pPr>
      <w:bookmarkStart w:id="745" w:name="_Toc343176743"/>
      <w:bookmarkStart w:id="746" w:name="_Toc343176829"/>
      <w:bookmarkStart w:id="747" w:name="_Toc343240806"/>
      <w:bookmarkStart w:id="748" w:name="_Toc343246328"/>
      <w:bookmarkStart w:id="749" w:name="_Toc343500639"/>
      <w:bookmarkStart w:id="750" w:name="_Toc343502423"/>
      <w:bookmarkStart w:id="751" w:name="_Toc343503400"/>
      <w:bookmarkStart w:id="752" w:name="_Toc343503486"/>
      <w:bookmarkStart w:id="753" w:name="_Toc343504320"/>
      <w:bookmarkStart w:id="754" w:name="_Toc343504598"/>
      <w:bookmarkStart w:id="755" w:name="_Toc343504995"/>
      <w:bookmarkStart w:id="756" w:name="_Toc343505781"/>
      <w:bookmarkStart w:id="757" w:name="_Toc343506486"/>
      <w:bookmarkStart w:id="758" w:name="_Toc343507560"/>
      <w:bookmarkStart w:id="759" w:name="_Toc343516635"/>
      <w:bookmarkStart w:id="760" w:name="_Toc343516913"/>
      <w:bookmarkStart w:id="761" w:name="_Toc345488393"/>
      <w:bookmarkStart w:id="762" w:name="_Toc345659928"/>
      <w:bookmarkStart w:id="763" w:name="_Toc345661187"/>
      <w:bookmarkStart w:id="764" w:name="_Toc345661382"/>
      <w:r>
        <w:rPr>
          <w:rStyle w:val="CharDivNo"/>
        </w:rPr>
        <w:t>Division 1</w:t>
      </w:r>
      <w:r>
        <w:t> — </w:t>
      </w:r>
      <w:r>
        <w:rPr>
          <w:rStyle w:val="CharDivText"/>
        </w:rPr>
        <w:t>Preliminary</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nzHeading5"/>
      </w:pPr>
      <w:bookmarkStart w:id="765" w:name="_Toc345661383"/>
      <w:r>
        <w:rPr>
          <w:rStyle w:val="CharSectno"/>
        </w:rPr>
        <w:t>42</w:t>
      </w:r>
      <w:r>
        <w:t>.</w:t>
      </w:r>
      <w:r>
        <w:tab/>
        <w:t>Application of Part</w:t>
      </w:r>
      <w:bookmarkEnd w:id="765"/>
    </w:p>
    <w:p>
      <w:pPr>
        <w:pStyle w:val="nzSubsection"/>
      </w:pPr>
      <w:r>
        <w:tab/>
      </w:r>
      <w:r>
        <w:tab/>
        <w:t>This Part does not apply to fruit that is to be exported from the State.</w:t>
      </w:r>
    </w:p>
    <w:p>
      <w:pPr>
        <w:pStyle w:val="nzHeading5"/>
      </w:pPr>
      <w:bookmarkStart w:id="766" w:name="_Toc345661384"/>
      <w:r>
        <w:rPr>
          <w:rStyle w:val="CharSectno"/>
        </w:rPr>
        <w:t>43</w:t>
      </w:r>
      <w:r>
        <w:t>.</w:t>
      </w:r>
      <w:r>
        <w:tab/>
        <w:t>Terms used</w:t>
      </w:r>
      <w:bookmarkEnd w:id="766"/>
    </w:p>
    <w:p>
      <w:pPr>
        <w:pStyle w:val="nzSubsection"/>
      </w:pPr>
      <w:r>
        <w:tab/>
      </w:r>
      <w:r>
        <w:tab/>
        <w:t xml:space="preserve">In this Part — </w:t>
      </w:r>
    </w:p>
    <w:p>
      <w:pPr>
        <w:pStyle w:val="nzDefstart"/>
      </w:pPr>
      <w:r>
        <w:tab/>
      </w:r>
      <w:r>
        <w:rPr>
          <w:rStyle w:val="CharDefText"/>
        </w:rPr>
        <w:t>approved method</w:t>
      </w:r>
      <w:r>
        <w:t>, in relation to fruit, means a method for measuring the maturity of the fruit approved by the Director General;</w:t>
      </w:r>
    </w:p>
    <w:p>
      <w:pPr>
        <w:pStyle w:val="nzDefstart"/>
      </w:pPr>
      <w:r>
        <w:tab/>
      </w:r>
      <w:r>
        <w:rPr>
          <w:rStyle w:val="CharDefText"/>
        </w:rPr>
        <w:t>mature</w:t>
      </w:r>
      <w:r>
        <w:t>, in relation to fruit, means the fruit meets or exceeds the minimum standard of maturity for that fruit, when measured using an approved method;</w:t>
      </w:r>
    </w:p>
    <w:p>
      <w:pPr>
        <w:pStyle w:val="nzDefstart"/>
      </w:pPr>
      <w:r>
        <w:tab/>
      </w:r>
      <w:r>
        <w:rPr>
          <w:rStyle w:val="CharDefText"/>
        </w:rPr>
        <w:t>minimum standard of maturity</w:t>
      </w:r>
      <w:r>
        <w:t>, in relation to fruit, means the minimum standard of maturity approved under this Part for fruit of that variety.</w:t>
      </w:r>
    </w:p>
    <w:p>
      <w:pPr>
        <w:pStyle w:val="nzHeading3"/>
      </w:pPr>
      <w:bookmarkStart w:id="767" w:name="_Toc343176747"/>
      <w:bookmarkStart w:id="768" w:name="_Toc343176833"/>
      <w:bookmarkStart w:id="769" w:name="_Toc343240810"/>
      <w:bookmarkStart w:id="770" w:name="_Toc343246332"/>
      <w:bookmarkStart w:id="771" w:name="_Toc343500643"/>
      <w:bookmarkStart w:id="772" w:name="_Toc343502427"/>
      <w:bookmarkStart w:id="773" w:name="_Toc343503404"/>
      <w:bookmarkStart w:id="774" w:name="_Toc343503490"/>
      <w:bookmarkStart w:id="775" w:name="_Toc343504324"/>
      <w:bookmarkStart w:id="776" w:name="_Toc343504602"/>
      <w:bookmarkStart w:id="777" w:name="_Toc343504999"/>
      <w:bookmarkStart w:id="778" w:name="_Toc343505785"/>
      <w:bookmarkStart w:id="779" w:name="_Toc343506490"/>
      <w:bookmarkStart w:id="780" w:name="_Toc343507564"/>
      <w:bookmarkStart w:id="781" w:name="_Toc343516639"/>
      <w:bookmarkStart w:id="782" w:name="_Toc343516917"/>
      <w:bookmarkStart w:id="783" w:name="_Toc345488397"/>
      <w:bookmarkStart w:id="784" w:name="_Toc345659931"/>
      <w:bookmarkStart w:id="785" w:name="_Toc345661190"/>
      <w:bookmarkStart w:id="786" w:name="_Toc345661385"/>
      <w:r>
        <w:t>Division 2 — Citrus fruit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nzHeading5"/>
      </w:pPr>
      <w:bookmarkStart w:id="787" w:name="_Toc345661386"/>
      <w:r>
        <w:rPr>
          <w:rStyle w:val="CharSectno"/>
        </w:rPr>
        <w:t>44</w:t>
      </w:r>
      <w:r>
        <w:t>.</w:t>
      </w:r>
      <w:r>
        <w:tab/>
        <w:t>Director General to approve maturity standards for citrus fruit</w:t>
      </w:r>
      <w:bookmarkEnd w:id="787"/>
    </w:p>
    <w:p>
      <w:pPr>
        <w:pStyle w:val="nzSubsection"/>
      </w:pPr>
      <w:r>
        <w:tab/>
        <w:t>(1)</w:t>
      </w:r>
      <w:r>
        <w:tab/>
        <w:t xml:space="preserve">In this regulation — </w:t>
      </w:r>
    </w:p>
    <w:p>
      <w:pPr>
        <w:pStyle w:val="nz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nzSubsection"/>
      </w:pPr>
      <w:r>
        <w:tab/>
        <w:t>(2)</w:t>
      </w:r>
      <w:r>
        <w:tab/>
        <w:t xml:space="preserve">On or before 1 April each year the Director General must — </w:t>
      </w:r>
    </w:p>
    <w:p>
      <w:pPr>
        <w:pStyle w:val="nzIndenta"/>
      </w:pPr>
      <w:r>
        <w:tab/>
        <w:t>(a)</w:t>
      </w:r>
      <w:r>
        <w:tab/>
        <w:t>approve the minimum standard of maturity for each variety of citrus fruit for the 12 month period commencing on 1 April of that year; and</w:t>
      </w:r>
    </w:p>
    <w:p>
      <w:pPr>
        <w:pStyle w:val="nzIndenta"/>
      </w:pPr>
      <w:r>
        <w:tab/>
        <w:t>(b)</w:t>
      </w:r>
      <w:r>
        <w:tab/>
        <w:t>notify the grower organisation of those minimum standards.</w:t>
      </w:r>
    </w:p>
    <w:p>
      <w:pPr>
        <w:pStyle w:val="nzHeading5"/>
      </w:pPr>
      <w:bookmarkStart w:id="788" w:name="_Toc345661387"/>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788"/>
      <w:r>
        <w:t xml:space="preserve"> </w:t>
      </w:r>
    </w:p>
    <w:p>
      <w:pPr>
        <w:pStyle w:val="nzSubsection"/>
      </w:pPr>
      <w:r>
        <w:tab/>
      </w:r>
      <w:r>
        <w:tab/>
        <w:t>A person must not sell citrus fruit intended for consumption as fresh fruit unless the citrus fruit is mature.</w:t>
      </w:r>
    </w:p>
    <w:p>
      <w:pPr>
        <w:pStyle w:val="nzPenstart"/>
      </w:pPr>
      <w:r>
        <w:tab/>
        <w:t>Penalty: a fine of $2 000.</w:t>
      </w:r>
    </w:p>
    <w:p>
      <w:pPr>
        <w:pStyle w:val="nzHeading3"/>
      </w:pPr>
      <w:bookmarkStart w:id="789" w:name="_Toc343500646"/>
      <w:bookmarkStart w:id="790" w:name="_Toc343502430"/>
      <w:bookmarkStart w:id="791" w:name="_Toc343503407"/>
      <w:bookmarkStart w:id="792" w:name="_Toc343503493"/>
      <w:bookmarkStart w:id="793" w:name="_Toc343504327"/>
      <w:bookmarkStart w:id="794" w:name="_Toc343504605"/>
      <w:bookmarkStart w:id="795" w:name="_Toc343505002"/>
      <w:bookmarkStart w:id="796" w:name="_Toc343505788"/>
      <w:bookmarkStart w:id="797" w:name="_Toc343506493"/>
      <w:bookmarkStart w:id="798" w:name="_Toc343507567"/>
      <w:bookmarkStart w:id="799" w:name="_Toc343516642"/>
      <w:bookmarkStart w:id="800" w:name="_Toc343516920"/>
      <w:bookmarkStart w:id="801" w:name="_Toc345488400"/>
      <w:bookmarkStart w:id="802" w:name="_Toc345659934"/>
      <w:bookmarkStart w:id="803" w:name="_Toc345661193"/>
      <w:bookmarkStart w:id="804" w:name="_Toc345661388"/>
      <w:r>
        <w:rPr>
          <w:rStyle w:val="CharDivNo"/>
        </w:rPr>
        <w:t>Division 3</w:t>
      </w:r>
      <w:r>
        <w:t> — </w:t>
      </w:r>
      <w:r>
        <w:rPr>
          <w:rStyle w:val="CharDivText"/>
        </w:rPr>
        <w:t>Table grapes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nzHeading5"/>
      </w:pPr>
      <w:bookmarkStart w:id="805" w:name="_Toc345661389"/>
      <w:r>
        <w:rPr>
          <w:rStyle w:val="CharSectno"/>
        </w:rPr>
        <w:t>46</w:t>
      </w:r>
      <w:r>
        <w:t>.</w:t>
      </w:r>
      <w:r>
        <w:tab/>
        <w:t>Director General to notify maturity standard for table grapes</w:t>
      </w:r>
      <w:bookmarkEnd w:id="805"/>
    </w:p>
    <w:p>
      <w:pPr>
        <w:pStyle w:val="nzSubsection"/>
      </w:pPr>
      <w:r>
        <w:tab/>
        <w:t>(1)</w:t>
      </w:r>
      <w:r>
        <w:tab/>
        <w:t xml:space="preserve">In this regulation — </w:t>
      </w:r>
    </w:p>
    <w:p>
      <w:pPr>
        <w:pStyle w:val="nz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nzSubsection"/>
      </w:pPr>
      <w:r>
        <w:tab/>
        <w:t>(2)</w:t>
      </w:r>
      <w:r>
        <w:tab/>
        <w:t xml:space="preserve">On or before 1 September each year the Director General must — </w:t>
      </w:r>
    </w:p>
    <w:p>
      <w:pPr>
        <w:pStyle w:val="nzIndenta"/>
      </w:pPr>
      <w:r>
        <w:tab/>
        <w:t>(a)</w:t>
      </w:r>
      <w:r>
        <w:tab/>
        <w:t>approve the minimum standard of maturity for each variety of table grapes for the 12 month period commencing on 1 September of that year; and</w:t>
      </w:r>
    </w:p>
    <w:p>
      <w:pPr>
        <w:pStyle w:val="nzIndenta"/>
      </w:pPr>
      <w:r>
        <w:tab/>
        <w:t>(b)</w:t>
      </w:r>
      <w:r>
        <w:tab/>
        <w:t>notify the grower organisation of those minimum standards.</w:t>
      </w:r>
    </w:p>
    <w:p>
      <w:pPr>
        <w:pStyle w:val="nzHeading5"/>
      </w:pPr>
      <w:bookmarkStart w:id="806" w:name="_Toc345661390"/>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806"/>
      <w:r>
        <w:t xml:space="preserve"> </w:t>
      </w:r>
    </w:p>
    <w:p>
      <w:pPr>
        <w:pStyle w:val="nzSubsection"/>
      </w:pPr>
      <w:r>
        <w:tab/>
      </w:r>
      <w:r>
        <w:tab/>
        <w:t>A person must not sell table grapes intended for consumption as fresh fruit unless the table grapes are mature.</w:t>
      </w:r>
    </w:p>
    <w:p>
      <w:pPr>
        <w:pStyle w:val="nzPenstart"/>
      </w:pPr>
      <w:r>
        <w:tab/>
        <w:t>Penalty: a fine of $2 000.</w:t>
      </w:r>
    </w:p>
    <w:p>
      <w:pPr>
        <w:pStyle w:val="nzHeading2"/>
      </w:pPr>
      <w:bookmarkStart w:id="807" w:name="_Toc317151194"/>
      <w:bookmarkStart w:id="808" w:name="_Toc324145330"/>
      <w:bookmarkStart w:id="809" w:name="_Toc324150405"/>
      <w:bookmarkStart w:id="810" w:name="_Toc324150656"/>
      <w:bookmarkStart w:id="811" w:name="_Toc324155398"/>
      <w:bookmarkStart w:id="812" w:name="_Toc324155461"/>
      <w:bookmarkStart w:id="813" w:name="_Toc324157340"/>
      <w:bookmarkStart w:id="814" w:name="_Toc324170386"/>
      <w:bookmarkStart w:id="815" w:name="_Toc324170728"/>
      <w:bookmarkStart w:id="816" w:name="_Toc324172499"/>
      <w:bookmarkStart w:id="817" w:name="_Toc327281484"/>
      <w:bookmarkStart w:id="818" w:name="_Toc327281550"/>
      <w:bookmarkStart w:id="819" w:name="_Toc340660270"/>
      <w:bookmarkStart w:id="820" w:name="_Toc340660340"/>
      <w:bookmarkStart w:id="821" w:name="_Toc343176753"/>
      <w:bookmarkStart w:id="822" w:name="_Toc343176839"/>
      <w:bookmarkStart w:id="823" w:name="_Toc343240816"/>
      <w:bookmarkStart w:id="824" w:name="_Toc343246338"/>
      <w:bookmarkStart w:id="825" w:name="_Toc343500649"/>
      <w:bookmarkStart w:id="826" w:name="_Toc343502433"/>
      <w:bookmarkStart w:id="827" w:name="_Toc343503410"/>
      <w:bookmarkStart w:id="828" w:name="_Toc343503496"/>
      <w:bookmarkStart w:id="829" w:name="_Toc343504330"/>
      <w:bookmarkStart w:id="830" w:name="_Toc343504608"/>
      <w:bookmarkStart w:id="831" w:name="_Toc343505005"/>
      <w:bookmarkStart w:id="832" w:name="_Toc343505791"/>
      <w:bookmarkStart w:id="833" w:name="_Toc343506496"/>
      <w:bookmarkStart w:id="834" w:name="_Toc343507570"/>
      <w:bookmarkStart w:id="835" w:name="_Toc343516645"/>
      <w:bookmarkStart w:id="836" w:name="_Toc343516923"/>
      <w:bookmarkStart w:id="837" w:name="_Toc345488403"/>
      <w:bookmarkStart w:id="838" w:name="_Toc345659937"/>
      <w:bookmarkStart w:id="839" w:name="_Toc345661196"/>
      <w:bookmarkStart w:id="840" w:name="_Toc345661391"/>
      <w:r>
        <w:rPr>
          <w:rStyle w:val="CharPartNo"/>
          <w:bCs/>
        </w:rPr>
        <w:t>Part 6</w:t>
      </w:r>
      <w:r>
        <w:rPr>
          <w:rStyle w:val="CharDivNo"/>
          <w:bCs/>
        </w:rPr>
        <w:t> </w:t>
      </w:r>
      <w:r>
        <w:rPr>
          <w:bCs/>
        </w:rPr>
        <w:t>—</w:t>
      </w:r>
      <w:r>
        <w:rPr>
          <w:rStyle w:val="CharDivText"/>
          <w:bCs/>
        </w:rPr>
        <w:t> </w:t>
      </w:r>
      <w:bookmarkStart w:id="841" w:name="_Toc197851941"/>
      <w:bookmarkStart w:id="842" w:name="_Toc197852168"/>
      <w:bookmarkStart w:id="843" w:name="_Toc197855866"/>
      <w:bookmarkStart w:id="844" w:name="_Toc197858371"/>
      <w:bookmarkStart w:id="845" w:name="_Toc197858436"/>
      <w:bookmarkStart w:id="846" w:name="_Toc225063235"/>
      <w:bookmarkStart w:id="847" w:name="_Toc225064715"/>
      <w:bookmarkStart w:id="848" w:name="_Toc225574976"/>
      <w:bookmarkStart w:id="849" w:name="_Toc225931008"/>
      <w:bookmarkStart w:id="850" w:name="_Toc226449316"/>
      <w:bookmarkStart w:id="851" w:name="_Toc226451328"/>
      <w:bookmarkStart w:id="852" w:name="_Toc226797786"/>
      <w:bookmarkStart w:id="853" w:name="_Toc261530565"/>
      <w:bookmarkStart w:id="854" w:name="_Toc278295548"/>
      <w:r>
        <w:rPr>
          <w:rStyle w:val="CharPartText"/>
          <w:bCs/>
        </w:rPr>
        <w:t>Miscellaneous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zHeading5"/>
      </w:pPr>
      <w:bookmarkStart w:id="855" w:name="_Toc345661392"/>
      <w:r>
        <w:rPr>
          <w:rStyle w:val="CharSectno"/>
        </w:rPr>
        <w:t>48</w:t>
      </w:r>
      <w:r>
        <w:t>.</w:t>
      </w:r>
      <w:r>
        <w:tab/>
        <w:t>Requirements for labels: general</w:t>
      </w:r>
      <w:bookmarkEnd w:id="855"/>
    </w:p>
    <w:p>
      <w:pPr>
        <w:pStyle w:val="nzSubsection"/>
      </w:pPr>
      <w:r>
        <w:tab/>
        <w:t>(1)</w:t>
      </w:r>
      <w:r>
        <w:tab/>
        <w:t xml:space="preserve">If, in accordance with these regulations, a container or a delivery docket is labelled with information, the information — </w:t>
      </w:r>
    </w:p>
    <w:p>
      <w:pPr>
        <w:pStyle w:val="nzIndenta"/>
      </w:pPr>
      <w:r>
        <w:tab/>
        <w:t>(a)</w:t>
      </w:r>
      <w:r>
        <w:tab/>
        <w:t>must be legible and conspicuous; and</w:t>
      </w:r>
    </w:p>
    <w:p>
      <w:pPr>
        <w:pStyle w:val="nzIndenta"/>
      </w:pPr>
      <w:r>
        <w:tab/>
        <w:t>(b)</w:t>
      </w:r>
      <w:r>
        <w:tab/>
        <w:t>must be in English; and</w:t>
      </w:r>
    </w:p>
    <w:p>
      <w:pPr>
        <w:pStyle w:val="nzIndenta"/>
      </w:pPr>
      <w:r>
        <w:tab/>
        <w:t>(c)</w:t>
      </w:r>
      <w:r>
        <w:tab/>
        <w:t>may be also in a language other than English.</w:t>
      </w:r>
    </w:p>
    <w:p>
      <w:pPr>
        <w:pStyle w:val="nzSubsection"/>
      </w:pPr>
      <w:r>
        <w:tab/>
        <w:t>(2)</w:t>
      </w:r>
      <w:r>
        <w:tab/>
        <w:t>A label required by this regulation that is attached as a separate item to a container must be at least 120 mm long and at least 45 mm wide.</w:t>
      </w:r>
    </w:p>
    <w:p>
      <w:pPr>
        <w:pStyle w:val="nzHeading5"/>
      </w:pPr>
      <w:bookmarkStart w:id="856" w:name="_Toc317151183"/>
      <w:bookmarkStart w:id="857" w:name="_Toc345661393"/>
      <w:r>
        <w:rPr>
          <w:rStyle w:val="CharSectno"/>
        </w:rPr>
        <w:t>49</w:t>
      </w:r>
      <w:r>
        <w:t>.</w:t>
      </w:r>
      <w:r>
        <w:tab/>
        <w:t>Label not to be removed or statements obscured</w:t>
      </w:r>
      <w:bookmarkEnd w:id="856"/>
      <w:bookmarkEnd w:id="857"/>
    </w:p>
    <w:p>
      <w:pPr>
        <w:pStyle w:val="nzSubsection"/>
      </w:pPr>
      <w:r>
        <w:tab/>
      </w:r>
      <w:r>
        <w:tab/>
        <w:t xml:space="preserve">If, in accordance with these regulations, a container or a delivery docket is labelled with information, a person must not — </w:t>
      </w:r>
    </w:p>
    <w:p>
      <w:pPr>
        <w:pStyle w:val="nzIndenta"/>
      </w:pPr>
      <w:r>
        <w:tab/>
        <w:t>(a)</w:t>
      </w:r>
      <w:r>
        <w:tab/>
        <w:t>remove the information; or</w:t>
      </w:r>
    </w:p>
    <w:p>
      <w:pPr>
        <w:pStyle w:val="nzIndenta"/>
      </w:pPr>
      <w:r>
        <w:tab/>
        <w:t>(b)</w:t>
      </w:r>
      <w:r>
        <w:tab/>
        <w:t>obliterate the information or otherwise make it illegible.</w:t>
      </w:r>
    </w:p>
    <w:p>
      <w:pPr>
        <w:pStyle w:val="nzPenstart"/>
      </w:pPr>
      <w:r>
        <w:tab/>
        <w:t>Penalty: a fine of $2 000 and a daily penalty of $200.</w:t>
      </w:r>
    </w:p>
    <w:p>
      <w:pPr>
        <w:pStyle w:val="nzHeading5"/>
      </w:pPr>
      <w:bookmarkStart w:id="858" w:name="_Toc278295550"/>
      <w:bookmarkStart w:id="859" w:name="_Toc317151195"/>
      <w:bookmarkStart w:id="860" w:name="_Toc345661394"/>
      <w:r>
        <w:rPr>
          <w:rStyle w:val="CharSectno"/>
        </w:rPr>
        <w:t>50</w:t>
      </w:r>
      <w:r>
        <w:t>.</w:t>
      </w:r>
      <w:r>
        <w:tab/>
        <w:t>Prescribed reporting matters: section 185</w:t>
      </w:r>
      <w:bookmarkEnd w:id="858"/>
      <w:bookmarkEnd w:id="859"/>
      <w:bookmarkEnd w:id="860"/>
    </w:p>
    <w:p>
      <w:pPr>
        <w:pStyle w:val="nzSubsection"/>
      </w:pPr>
      <w:r>
        <w:tab/>
      </w:r>
      <w:r>
        <w:tab/>
        <w:t xml:space="preserve">For the purposes of section 185 of the Act, the Director General may publish in the public interest the existence of, and all information relating to any — </w:t>
      </w:r>
    </w:p>
    <w:p>
      <w:pPr>
        <w:pStyle w:val="nzIndenta"/>
      </w:pPr>
      <w:r>
        <w:tab/>
        <w:t>(a)</w:t>
      </w:r>
      <w:r>
        <w:tab/>
        <w:t>residue management notice; or</w:t>
      </w:r>
    </w:p>
    <w:p>
      <w:pPr>
        <w:pStyle w:val="nzIndenta"/>
      </w:pPr>
      <w:r>
        <w:tab/>
        <w:t>(b)</w:t>
      </w:r>
      <w:r>
        <w:tab/>
        <w:t>residue quarantine notice.</w:t>
      </w:r>
    </w:p>
    <w:p>
      <w:pPr>
        <w:pStyle w:val="nzHeading2"/>
      </w:pPr>
      <w:bookmarkStart w:id="861" w:name="_Toc343176757"/>
      <w:bookmarkStart w:id="862" w:name="_Toc343176843"/>
      <w:bookmarkStart w:id="863" w:name="_Toc343240820"/>
      <w:bookmarkStart w:id="864" w:name="_Toc343246342"/>
      <w:bookmarkStart w:id="865" w:name="_Toc343500653"/>
      <w:bookmarkStart w:id="866" w:name="_Toc343502437"/>
      <w:bookmarkStart w:id="867" w:name="_Toc343503414"/>
      <w:bookmarkStart w:id="868" w:name="_Toc343503500"/>
      <w:bookmarkStart w:id="869" w:name="_Toc343504334"/>
      <w:bookmarkStart w:id="870" w:name="_Toc343504612"/>
      <w:bookmarkStart w:id="871" w:name="_Toc343505009"/>
      <w:bookmarkStart w:id="872" w:name="_Toc343505795"/>
      <w:bookmarkStart w:id="873" w:name="_Toc343506500"/>
      <w:bookmarkStart w:id="874" w:name="_Toc343507574"/>
      <w:bookmarkStart w:id="875" w:name="_Toc343516649"/>
      <w:bookmarkStart w:id="876" w:name="_Toc343516927"/>
      <w:bookmarkStart w:id="877" w:name="_Toc345488407"/>
      <w:bookmarkStart w:id="878" w:name="_Toc345659941"/>
      <w:bookmarkStart w:id="879" w:name="_Toc345661200"/>
      <w:bookmarkStart w:id="880" w:name="_Toc345661395"/>
      <w:r>
        <w:rPr>
          <w:rStyle w:val="CharPartNo"/>
        </w:rPr>
        <w:t>Part 7</w:t>
      </w:r>
      <w:r>
        <w:rPr>
          <w:rStyle w:val="CharDivNo"/>
        </w:rPr>
        <w:t> </w:t>
      </w:r>
      <w:r>
        <w:t>—</w:t>
      </w:r>
      <w:r>
        <w:rPr>
          <w:rStyle w:val="CharDivText"/>
        </w:rPr>
        <w:t> </w:t>
      </w:r>
      <w:r>
        <w:rPr>
          <w:rStyle w:val="CharPartText"/>
        </w:rPr>
        <w:t>Repeal of subsidiary legislation and transitional provisions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nzHeading5"/>
      </w:pPr>
      <w:bookmarkStart w:id="881" w:name="_Toc345661396"/>
      <w:r>
        <w:rPr>
          <w:rStyle w:val="CharSectno"/>
        </w:rPr>
        <w:t>51</w:t>
      </w:r>
      <w:r>
        <w:t>.</w:t>
      </w:r>
      <w:r>
        <w:tab/>
        <w:t>Term used: commencement day</w:t>
      </w:r>
      <w:bookmarkEnd w:id="881"/>
    </w:p>
    <w:p>
      <w:pPr>
        <w:pStyle w:val="nzSubsection"/>
      </w:pPr>
      <w:r>
        <w:tab/>
      </w:r>
      <w:r>
        <w:tab/>
        <w:t xml:space="preserve">In this Part — </w:t>
      </w:r>
    </w:p>
    <w:p>
      <w:pPr>
        <w:pStyle w:val="nzDefstart"/>
      </w:pPr>
      <w:r>
        <w:tab/>
      </w:r>
      <w:r>
        <w:rPr>
          <w:rStyle w:val="CharDefText"/>
        </w:rPr>
        <w:t>commencement day</w:t>
      </w:r>
      <w:r>
        <w:t xml:space="preserve"> means the day on which these regulations come into operation.</w:t>
      </w:r>
    </w:p>
    <w:p>
      <w:pPr>
        <w:pStyle w:val="nzHeading5"/>
      </w:pPr>
      <w:bookmarkStart w:id="882" w:name="_Toc345661397"/>
      <w:r>
        <w:rPr>
          <w:rStyle w:val="CharSectno"/>
        </w:rPr>
        <w:t>52</w:t>
      </w:r>
      <w:r>
        <w:t>.</w:t>
      </w:r>
      <w:r>
        <w:tab/>
        <w:t>Repeals</w:t>
      </w:r>
      <w:bookmarkEnd w:id="882"/>
    </w:p>
    <w:p>
      <w:pPr>
        <w:pStyle w:val="nzSubsection"/>
      </w:pPr>
      <w:r>
        <w:tab/>
      </w:r>
      <w:r>
        <w:tab/>
        <w:t>The following subsidiary legislation is repealed:</w:t>
      </w:r>
    </w:p>
    <w:p>
      <w:pPr>
        <w:pStyle w:val="nzIndenta"/>
      </w:pPr>
      <w:r>
        <w:tab/>
        <w:t>(a)</w:t>
      </w:r>
      <w:r>
        <w:tab/>
      </w:r>
      <w:r>
        <w:rPr>
          <w:i/>
        </w:rPr>
        <w:t>Agricultural Produce (Chemical Residues) Regulations 1985</w:t>
      </w:r>
      <w:r>
        <w:t>;</w:t>
      </w:r>
    </w:p>
    <w:p>
      <w:pPr>
        <w:pStyle w:val="nzIndenta"/>
      </w:pPr>
      <w:r>
        <w:tab/>
        <w:t>(b)</w:t>
      </w:r>
      <w:r>
        <w:tab/>
      </w:r>
      <w:r>
        <w:rPr>
          <w:i/>
        </w:rPr>
        <w:t>Agricultural Products (Citrus Fruits) Order 2008</w:t>
      </w:r>
      <w:r>
        <w:t>;</w:t>
      </w:r>
    </w:p>
    <w:p>
      <w:pPr>
        <w:pStyle w:val="nzIndenta"/>
      </w:pPr>
      <w:r>
        <w:tab/>
        <w:t>(c)</w:t>
      </w:r>
      <w:r>
        <w:tab/>
      </w:r>
      <w:r>
        <w:rPr>
          <w:i/>
        </w:rPr>
        <w:t>Agricultural Products (General) Regulations 1983</w:t>
      </w:r>
      <w:r>
        <w:t>;</w:t>
      </w:r>
    </w:p>
    <w:p>
      <w:pPr>
        <w:pStyle w:val="nzIndenta"/>
      </w:pPr>
      <w:r>
        <w:tab/>
        <w:t>(d)</w:t>
      </w:r>
      <w:r>
        <w:tab/>
      </w:r>
      <w:r>
        <w:rPr>
          <w:i/>
        </w:rPr>
        <w:t>Agricultural Products (Table Grapes) Order 2001</w:t>
      </w:r>
      <w:r>
        <w:t xml:space="preserve">; </w:t>
      </w:r>
    </w:p>
    <w:p>
      <w:pPr>
        <w:pStyle w:val="nzIndenta"/>
      </w:pPr>
      <w:r>
        <w:tab/>
        <w:t>(e)</w:t>
      </w:r>
      <w:r>
        <w:tab/>
      </w:r>
      <w:r>
        <w:rPr>
          <w:i/>
        </w:rPr>
        <w:t>Agricultural Products (Table Grapes) Order 2012</w:t>
      </w:r>
      <w:r>
        <w:t xml:space="preserve">; </w:t>
      </w:r>
    </w:p>
    <w:p>
      <w:pPr>
        <w:pStyle w:val="nzIndenta"/>
      </w:pPr>
      <w:r>
        <w:tab/>
        <w:t>(f)</w:t>
      </w:r>
      <w:r>
        <w:tab/>
      </w:r>
      <w:r>
        <w:rPr>
          <w:i/>
        </w:rPr>
        <w:t>Citrus Fruits Grading Code 2008</w:t>
      </w:r>
      <w:r>
        <w:t>;</w:t>
      </w:r>
    </w:p>
    <w:p>
      <w:pPr>
        <w:pStyle w:val="nzIndenta"/>
      </w:pPr>
      <w:r>
        <w:tab/>
        <w:t>(g)</w:t>
      </w:r>
      <w:r>
        <w:tab/>
      </w:r>
      <w:r>
        <w:rPr>
          <w:i/>
        </w:rPr>
        <w:t>Fertilizers Regulations 1978</w:t>
      </w:r>
      <w:r>
        <w:t>;</w:t>
      </w:r>
    </w:p>
    <w:p>
      <w:pPr>
        <w:pStyle w:val="nzIndenta"/>
      </w:pPr>
      <w:r>
        <w:tab/>
        <w:t>(h)</w:t>
      </w:r>
      <w:r>
        <w:tab/>
      </w:r>
      <w:r>
        <w:rPr>
          <w:i/>
        </w:rPr>
        <w:t>Table Grape Grading Code 2001</w:t>
      </w:r>
      <w:r>
        <w:t>.</w:t>
      </w:r>
    </w:p>
    <w:p>
      <w:pPr>
        <w:pStyle w:val="nzHeading5"/>
      </w:pPr>
      <w:bookmarkStart w:id="883" w:name="_Toc345661398"/>
      <w:r>
        <w:rPr>
          <w:rStyle w:val="CharSectno"/>
        </w:rPr>
        <w:t>53</w:t>
      </w:r>
      <w:r>
        <w:t>.</w:t>
      </w:r>
      <w:r>
        <w:tab/>
        <w:t>Fees and expenses</w:t>
      </w:r>
      <w:bookmarkEnd w:id="883"/>
    </w:p>
    <w:p>
      <w:pPr>
        <w:pStyle w:val="nzSubsection"/>
      </w:pPr>
      <w:r>
        <w:tab/>
      </w:r>
      <w:r>
        <w:tab/>
        <w:t xml:space="preserve">On and from the commencement day — </w:t>
      </w:r>
    </w:p>
    <w:p>
      <w:pPr>
        <w:pStyle w:val="nz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nz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nzHeading5"/>
      </w:pPr>
      <w:bookmarkStart w:id="884" w:name="_Toc345661399"/>
      <w:r>
        <w:rPr>
          <w:rStyle w:val="CharSectno"/>
        </w:rPr>
        <w:t>54</w:t>
      </w:r>
      <w:r>
        <w:t>.</w:t>
      </w:r>
      <w:r>
        <w:tab/>
      </w:r>
      <w:r>
        <w:rPr>
          <w:i/>
        </w:rPr>
        <w:t>Citrus Fruits Grading Code 2008</w:t>
      </w:r>
      <w:bookmarkEnd w:id="884"/>
    </w:p>
    <w:p>
      <w:pPr>
        <w:pStyle w:val="nz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nz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nzHeading5"/>
      </w:pPr>
      <w:bookmarkStart w:id="885" w:name="_Toc345661400"/>
      <w:r>
        <w:rPr>
          <w:rStyle w:val="CharSectno"/>
        </w:rPr>
        <w:t>55</w:t>
      </w:r>
      <w:r>
        <w:t>.</w:t>
      </w:r>
      <w:r>
        <w:tab/>
      </w:r>
      <w:r>
        <w:rPr>
          <w:i/>
        </w:rPr>
        <w:t>Table Grape Grading Code 2001</w:t>
      </w:r>
      <w:bookmarkEnd w:id="885"/>
    </w:p>
    <w:p>
      <w:pPr>
        <w:pStyle w:val="nz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nz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nzHeading2"/>
      </w:pPr>
      <w:bookmarkStart w:id="886" w:name="_Toc343176763"/>
      <w:bookmarkStart w:id="887" w:name="_Toc343176849"/>
      <w:bookmarkStart w:id="888" w:name="_Toc343240826"/>
      <w:bookmarkStart w:id="889" w:name="_Toc343246348"/>
      <w:bookmarkStart w:id="890" w:name="_Toc343500659"/>
      <w:bookmarkStart w:id="891" w:name="_Toc343502443"/>
      <w:bookmarkStart w:id="892" w:name="_Toc343503420"/>
      <w:bookmarkStart w:id="893" w:name="_Toc343503506"/>
      <w:bookmarkStart w:id="894" w:name="_Toc343504340"/>
      <w:bookmarkStart w:id="895" w:name="_Toc343504618"/>
      <w:bookmarkStart w:id="896" w:name="_Toc343505015"/>
      <w:bookmarkStart w:id="897" w:name="_Toc343505801"/>
      <w:bookmarkStart w:id="898" w:name="_Toc343506506"/>
      <w:bookmarkStart w:id="899" w:name="_Toc343507580"/>
      <w:bookmarkStart w:id="900" w:name="_Toc343516655"/>
      <w:bookmarkStart w:id="901" w:name="_Toc343516933"/>
      <w:bookmarkStart w:id="902" w:name="_Toc345488413"/>
      <w:bookmarkStart w:id="903" w:name="_Toc345659947"/>
      <w:bookmarkStart w:id="904" w:name="_Toc345661206"/>
      <w:bookmarkStart w:id="905" w:name="_Toc345661401"/>
      <w:r>
        <w:rPr>
          <w:rStyle w:val="CharPartNo"/>
        </w:rPr>
        <w:t>Part 8</w:t>
      </w:r>
      <w:r>
        <w:rPr>
          <w:rStyle w:val="CharDivNo"/>
        </w:rPr>
        <w:t> </w:t>
      </w:r>
      <w:r>
        <w:t>—</w:t>
      </w:r>
      <w:r>
        <w:rPr>
          <w:rStyle w:val="CharDivText"/>
        </w:rPr>
        <w:t> </w:t>
      </w:r>
      <w:r>
        <w:rPr>
          <w:rStyle w:val="CharPartText"/>
        </w:rPr>
        <w:t>Repealed Acts: transitional provisions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nzHeading5"/>
      </w:pPr>
      <w:bookmarkStart w:id="906" w:name="_Toc345661402"/>
      <w:r>
        <w:rPr>
          <w:rStyle w:val="CharSectno"/>
        </w:rPr>
        <w:t>56</w:t>
      </w:r>
      <w:r>
        <w:t>.</w:t>
      </w:r>
      <w:r>
        <w:tab/>
      </w:r>
      <w:r>
        <w:rPr>
          <w:i/>
        </w:rPr>
        <w:t>Agricultural Produce (Chemical Residues) Act 1983</w:t>
      </w:r>
      <w:bookmarkEnd w:id="906"/>
    </w:p>
    <w:p>
      <w:pPr>
        <w:pStyle w:val="nzSubsection"/>
      </w:pPr>
      <w:r>
        <w:tab/>
        <w:t>(1)</w:t>
      </w:r>
      <w:r>
        <w:tab/>
        <w:t xml:space="preserve">In this regulation — </w:t>
      </w:r>
    </w:p>
    <w:p>
      <w:pPr>
        <w:pStyle w:val="nz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nz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nz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nzSubsection"/>
      </w:pPr>
      <w:r>
        <w:tab/>
        <w:t>(2)</w:t>
      </w:r>
      <w:r>
        <w:tab/>
        <w:t xml:space="preserve">On and from the repeal day a quarantine notice (land) is taken to be a residue management notice given under section 52 of the Act — </w:t>
      </w:r>
    </w:p>
    <w:p>
      <w:pPr>
        <w:pStyle w:val="nzIndenta"/>
      </w:pPr>
      <w:r>
        <w:tab/>
        <w:t>(a)</w:t>
      </w:r>
      <w:r>
        <w:tab/>
        <w:t xml:space="preserve">that is subject to — </w:t>
      </w:r>
    </w:p>
    <w:p>
      <w:pPr>
        <w:pStyle w:val="nzIndenti"/>
      </w:pPr>
      <w:r>
        <w:tab/>
        <w:t>(i)</w:t>
      </w:r>
      <w:r>
        <w:tab/>
        <w:t>the conditions on the use of the land that are specified in the notice; and</w:t>
      </w:r>
    </w:p>
    <w:p>
      <w:pPr>
        <w:pStyle w:val="nzIndenti"/>
      </w:pPr>
      <w:r>
        <w:tab/>
        <w:t>(ii)</w:t>
      </w:r>
      <w:r>
        <w:tab/>
        <w:t xml:space="preserve">any approval in writing given under the </w:t>
      </w:r>
      <w:r>
        <w:rPr>
          <w:i/>
        </w:rPr>
        <w:t>Agricultural Produce (Chemical Residues) Act 1983</w:t>
      </w:r>
      <w:r>
        <w:t xml:space="preserve"> section 11;</w:t>
      </w:r>
    </w:p>
    <w:p>
      <w:pPr>
        <w:pStyle w:val="nzIndenta"/>
      </w:pPr>
      <w:r>
        <w:tab/>
      </w:r>
      <w:r>
        <w:tab/>
        <w:t>and</w:t>
      </w:r>
    </w:p>
    <w:p>
      <w:pPr>
        <w:pStyle w:val="nzIndenta"/>
      </w:pPr>
      <w:r>
        <w:tab/>
        <w:t>(b)</w:t>
      </w:r>
      <w:r>
        <w:tab/>
        <w:t>that has effect until the expiry of the time specified in the quarantine notice.</w:t>
      </w:r>
    </w:p>
    <w:p>
      <w:pPr>
        <w:pStyle w:val="nzSubsection"/>
      </w:pPr>
      <w:r>
        <w:tab/>
        <w:t>(3)</w:t>
      </w:r>
      <w:r>
        <w:tab/>
        <w:t xml:space="preserve">On and from the repeal day a quarantine notice (produce) is taken to be a residue quarantine notice given under regulation 10 — </w:t>
      </w:r>
    </w:p>
    <w:p>
      <w:pPr>
        <w:pStyle w:val="nzIndenta"/>
      </w:pPr>
      <w:r>
        <w:tab/>
        <w:t>(a)</w:t>
      </w:r>
      <w:r>
        <w:tab/>
        <w:t xml:space="preserve">that is subject to — </w:t>
      </w:r>
    </w:p>
    <w:p>
      <w:pPr>
        <w:pStyle w:val="nzIndenti"/>
      </w:pPr>
      <w:r>
        <w:tab/>
        <w:t>(i)</w:t>
      </w:r>
      <w:r>
        <w:tab/>
        <w:t>the conditions specified in the notice; and</w:t>
      </w:r>
    </w:p>
    <w:p>
      <w:pPr>
        <w:pStyle w:val="nzIndenti"/>
      </w:pPr>
      <w:r>
        <w:tab/>
        <w:t>(ii)</w:t>
      </w:r>
      <w:r>
        <w:tab/>
        <w:t xml:space="preserve">any approval in writing given under the </w:t>
      </w:r>
      <w:r>
        <w:rPr>
          <w:i/>
        </w:rPr>
        <w:t>Agricultural Produce (Chemical Residues) Act 1983</w:t>
      </w:r>
      <w:r>
        <w:t xml:space="preserve"> section 11;</w:t>
      </w:r>
    </w:p>
    <w:p>
      <w:pPr>
        <w:pStyle w:val="nzIndenta"/>
      </w:pPr>
      <w:r>
        <w:tab/>
      </w:r>
      <w:r>
        <w:tab/>
        <w:t>and</w:t>
      </w:r>
    </w:p>
    <w:p>
      <w:pPr>
        <w:pStyle w:val="nzIndenta"/>
      </w:pPr>
      <w:r>
        <w:tab/>
        <w:t>(b)</w:t>
      </w:r>
      <w:r>
        <w:tab/>
        <w:t>that has effect until the expiry of the time specified in the quarantine notice.</w:t>
      </w:r>
    </w:p>
    <w:p>
      <w:pPr>
        <w:pStyle w:val="nzIndenta"/>
      </w:pPr>
    </w:p>
    <w:p>
      <w:pPr>
        <w:pStyle w:val="nzHeading2"/>
      </w:pPr>
      <w:bookmarkStart w:id="907" w:name="_Toc317151196"/>
      <w:bookmarkStart w:id="908" w:name="_Toc324145334"/>
      <w:bookmarkStart w:id="909" w:name="_Toc324150409"/>
      <w:bookmarkStart w:id="910" w:name="_Toc324150660"/>
      <w:bookmarkStart w:id="911" w:name="_Toc324155402"/>
      <w:bookmarkStart w:id="912" w:name="_Toc324155465"/>
      <w:bookmarkStart w:id="913" w:name="_Toc324157344"/>
      <w:bookmarkStart w:id="914" w:name="_Toc324170390"/>
      <w:bookmarkStart w:id="915" w:name="_Toc324170732"/>
      <w:bookmarkStart w:id="916" w:name="_Toc324172503"/>
      <w:bookmarkStart w:id="917" w:name="_Toc327281488"/>
      <w:bookmarkStart w:id="918" w:name="_Toc327281554"/>
      <w:bookmarkStart w:id="919" w:name="_Toc340660274"/>
      <w:bookmarkStart w:id="920" w:name="_Toc340660344"/>
      <w:bookmarkStart w:id="921" w:name="_Toc343176765"/>
      <w:bookmarkStart w:id="922" w:name="_Toc343176851"/>
      <w:bookmarkStart w:id="923" w:name="_Toc343240828"/>
      <w:bookmarkStart w:id="924" w:name="_Toc343246350"/>
      <w:bookmarkStart w:id="925" w:name="_Toc343500661"/>
      <w:bookmarkStart w:id="926" w:name="_Toc343502445"/>
      <w:bookmarkStart w:id="927" w:name="_Toc343503422"/>
      <w:bookmarkStart w:id="928" w:name="_Toc343503508"/>
      <w:bookmarkStart w:id="929" w:name="_Toc343504342"/>
      <w:bookmarkStart w:id="930" w:name="_Toc343504620"/>
      <w:bookmarkStart w:id="931" w:name="_Toc343505017"/>
      <w:bookmarkStart w:id="932" w:name="_Toc343505803"/>
      <w:bookmarkStart w:id="933" w:name="_Toc343506508"/>
      <w:bookmarkStart w:id="934" w:name="_Toc343507582"/>
      <w:bookmarkStart w:id="935" w:name="_Toc343516657"/>
      <w:bookmarkStart w:id="936" w:name="_Toc343516935"/>
      <w:bookmarkStart w:id="937" w:name="_Toc345488415"/>
      <w:bookmarkStart w:id="938" w:name="_Toc345659949"/>
      <w:bookmarkStart w:id="939" w:name="_Toc345661208"/>
      <w:bookmarkStart w:id="940" w:name="_Toc345661403"/>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SchNo"/>
        </w:rPr>
        <w:t>Schedule 1</w:t>
      </w:r>
      <w:r>
        <w:rPr>
          <w:rStyle w:val="CharSDivNo"/>
        </w:rPr>
        <w:t> </w:t>
      </w:r>
      <w:r>
        <w:t>—</w:t>
      </w:r>
      <w:r>
        <w:rPr>
          <w:rStyle w:val="CharSDivText"/>
        </w:rPr>
        <w:t> </w:t>
      </w:r>
      <w:r>
        <w:rPr>
          <w:rStyle w:val="CharSchText"/>
        </w:rPr>
        <w:t>Substances prohibited in animal feed</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nzMiscellaneousBody"/>
        <w:jc w:val="right"/>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nzHeading2"/>
      </w:pPr>
      <w:bookmarkStart w:id="941" w:name="_Toc317151197"/>
      <w:bookmarkStart w:id="942" w:name="_Toc324145335"/>
      <w:bookmarkStart w:id="943" w:name="_Toc324150410"/>
      <w:bookmarkStart w:id="944" w:name="_Toc324150661"/>
      <w:bookmarkStart w:id="945" w:name="_Toc324155403"/>
      <w:bookmarkStart w:id="946" w:name="_Toc324155466"/>
      <w:bookmarkStart w:id="947" w:name="_Toc324157345"/>
      <w:bookmarkStart w:id="948" w:name="_Toc324170391"/>
      <w:bookmarkStart w:id="949" w:name="_Toc324170733"/>
      <w:bookmarkStart w:id="950" w:name="_Toc324172504"/>
      <w:bookmarkStart w:id="951" w:name="_Toc327281489"/>
      <w:bookmarkStart w:id="952" w:name="_Toc327281555"/>
      <w:bookmarkStart w:id="953" w:name="_Toc340660275"/>
      <w:bookmarkStart w:id="954" w:name="_Toc340660345"/>
      <w:bookmarkStart w:id="955" w:name="_Toc343176766"/>
      <w:bookmarkStart w:id="956" w:name="_Toc343176852"/>
      <w:bookmarkStart w:id="957" w:name="_Toc343240829"/>
      <w:bookmarkStart w:id="958" w:name="_Toc343246351"/>
      <w:bookmarkStart w:id="959" w:name="_Toc343500662"/>
      <w:bookmarkStart w:id="960" w:name="_Toc343502446"/>
      <w:bookmarkStart w:id="961" w:name="_Toc343503423"/>
      <w:bookmarkStart w:id="962" w:name="_Toc343503509"/>
      <w:bookmarkStart w:id="963" w:name="_Toc343504343"/>
      <w:bookmarkStart w:id="964" w:name="_Toc343504621"/>
      <w:bookmarkStart w:id="965" w:name="_Toc343505018"/>
      <w:bookmarkStart w:id="966" w:name="_Toc343505804"/>
      <w:bookmarkStart w:id="967" w:name="_Toc343506509"/>
      <w:bookmarkStart w:id="968" w:name="_Toc343507583"/>
      <w:bookmarkStart w:id="969" w:name="_Toc343516658"/>
      <w:bookmarkStart w:id="970" w:name="_Toc343516936"/>
      <w:bookmarkStart w:id="971" w:name="_Toc345488416"/>
      <w:bookmarkStart w:id="972" w:name="_Toc345659950"/>
      <w:bookmarkStart w:id="973" w:name="_Toc345661209"/>
      <w:bookmarkStart w:id="974" w:name="_Toc345661404"/>
      <w:r>
        <w:rPr>
          <w:rStyle w:val="CharSchNo"/>
        </w:rPr>
        <w:t>Schedule 2</w:t>
      </w:r>
      <w:r>
        <w:rPr>
          <w:rStyle w:val="CharSDivNo"/>
        </w:rPr>
        <w:t> </w:t>
      </w:r>
      <w:r>
        <w:t>—</w:t>
      </w:r>
      <w:r>
        <w:rPr>
          <w:rStyle w:val="CharSDivText"/>
        </w:rPr>
        <w:t> </w:t>
      </w:r>
      <w:r>
        <w:rPr>
          <w:rStyle w:val="CharSchText"/>
        </w:rPr>
        <w:t>Maximum amounts of contaminants</w:t>
      </w:r>
      <w:bookmarkEnd w:id="941"/>
      <w:r>
        <w:rPr>
          <w:rStyle w:val="CharSchText"/>
        </w:rPr>
        <w:t xml:space="preserve"> in animal feed</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nzMiscellaneousBody"/>
        <w:jc w:val="right"/>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nzHeading2"/>
      </w:pPr>
      <w:bookmarkStart w:id="975" w:name="_Toc317151198"/>
      <w:bookmarkStart w:id="976" w:name="_Toc324145336"/>
      <w:bookmarkStart w:id="977" w:name="_Toc324150411"/>
      <w:bookmarkStart w:id="978" w:name="_Toc324150662"/>
      <w:bookmarkStart w:id="979" w:name="_Toc324155404"/>
      <w:bookmarkStart w:id="980" w:name="_Toc324155467"/>
      <w:bookmarkStart w:id="981" w:name="_Toc324157346"/>
      <w:bookmarkStart w:id="982" w:name="_Toc324170392"/>
      <w:bookmarkStart w:id="983" w:name="_Toc324170734"/>
      <w:bookmarkStart w:id="984" w:name="_Toc324172505"/>
      <w:bookmarkStart w:id="985" w:name="_Toc327281490"/>
      <w:bookmarkStart w:id="986" w:name="_Toc327281556"/>
      <w:bookmarkStart w:id="987" w:name="_Toc340660276"/>
      <w:bookmarkStart w:id="988" w:name="_Toc340660346"/>
      <w:bookmarkStart w:id="989" w:name="_Toc343176767"/>
      <w:bookmarkStart w:id="990" w:name="_Toc343176853"/>
      <w:bookmarkStart w:id="991" w:name="_Toc343240830"/>
      <w:bookmarkStart w:id="992" w:name="_Toc343246352"/>
      <w:bookmarkStart w:id="993" w:name="_Toc343500663"/>
      <w:bookmarkStart w:id="994" w:name="_Toc343502447"/>
      <w:bookmarkStart w:id="995" w:name="_Toc343503424"/>
      <w:bookmarkStart w:id="996" w:name="_Toc343503510"/>
      <w:bookmarkStart w:id="997" w:name="_Toc343504344"/>
      <w:bookmarkStart w:id="998" w:name="_Toc343504622"/>
      <w:bookmarkStart w:id="999" w:name="_Toc343505019"/>
      <w:bookmarkStart w:id="1000" w:name="_Toc343505805"/>
      <w:bookmarkStart w:id="1001" w:name="_Toc343506510"/>
      <w:bookmarkStart w:id="1002" w:name="_Toc343507584"/>
      <w:bookmarkStart w:id="1003" w:name="_Toc343516659"/>
      <w:bookmarkStart w:id="1004" w:name="_Toc343516937"/>
      <w:bookmarkStart w:id="1005" w:name="_Toc345488417"/>
      <w:bookmarkStart w:id="1006" w:name="_Toc345659951"/>
      <w:bookmarkStart w:id="1007" w:name="_Toc345661210"/>
      <w:bookmarkStart w:id="1008" w:name="_Toc345661405"/>
      <w:r>
        <w:rPr>
          <w:rStyle w:val="CharSchNo"/>
        </w:rPr>
        <w:t>Schedule 3</w:t>
      </w:r>
      <w:r>
        <w:rPr>
          <w:rStyle w:val="CharSDivNo"/>
        </w:rPr>
        <w:t> </w:t>
      </w:r>
      <w:r>
        <w:t>—</w:t>
      </w:r>
      <w:r>
        <w:rPr>
          <w:rStyle w:val="CharSDivText"/>
        </w:rPr>
        <w:t> </w:t>
      </w:r>
      <w:r>
        <w:rPr>
          <w:rStyle w:val="CharSchText"/>
        </w:rPr>
        <w:t>Maximum amount of certain substances</w:t>
      </w:r>
      <w:bookmarkEnd w:id="975"/>
      <w:r>
        <w:rPr>
          <w:rStyle w:val="CharSchText"/>
        </w:rPr>
        <w:t xml:space="preserve"> in animal feed</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nzMiscellaneousBody"/>
        <w:jc w:val="right"/>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nzHeading2"/>
      </w:pPr>
      <w:bookmarkStart w:id="1009" w:name="_Toc317151199"/>
      <w:bookmarkStart w:id="1010" w:name="_Toc324145337"/>
      <w:bookmarkStart w:id="1011" w:name="_Toc324150412"/>
      <w:bookmarkStart w:id="1012" w:name="_Toc324150663"/>
      <w:bookmarkStart w:id="1013" w:name="_Toc324155405"/>
      <w:bookmarkStart w:id="1014" w:name="_Toc324155468"/>
      <w:bookmarkStart w:id="1015" w:name="_Toc324157347"/>
      <w:bookmarkStart w:id="1016" w:name="_Toc324170393"/>
      <w:bookmarkStart w:id="1017" w:name="_Toc324170735"/>
      <w:bookmarkStart w:id="1018" w:name="_Toc324172506"/>
      <w:bookmarkStart w:id="1019" w:name="_Toc327281491"/>
      <w:bookmarkStart w:id="1020" w:name="_Toc327281557"/>
      <w:bookmarkStart w:id="1021" w:name="_Toc340660277"/>
      <w:bookmarkStart w:id="1022" w:name="_Toc340660347"/>
      <w:bookmarkStart w:id="1023" w:name="_Toc343176768"/>
      <w:bookmarkStart w:id="1024" w:name="_Toc343176854"/>
      <w:bookmarkStart w:id="1025" w:name="_Toc343240831"/>
      <w:bookmarkStart w:id="1026" w:name="_Toc343246353"/>
      <w:bookmarkStart w:id="1027" w:name="_Toc343500664"/>
      <w:bookmarkStart w:id="1028" w:name="_Toc343502448"/>
      <w:bookmarkStart w:id="1029" w:name="_Toc343503425"/>
      <w:bookmarkStart w:id="1030" w:name="_Toc343503511"/>
      <w:bookmarkStart w:id="1031" w:name="_Toc343504345"/>
      <w:bookmarkStart w:id="1032" w:name="_Toc343504623"/>
      <w:bookmarkStart w:id="1033" w:name="_Toc343505020"/>
      <w:bookmarkStart w:id="1034" w:name="_Toc343505806"/>
      <w:bookmarkStart w:id="1035" w:name="_Toc343506511"/>
      <w:bookmarkStart w:id="1036" w:name="_Toc343507585"/>
      <w:bookmarkStart w:id="1037" w:name="_Toc343516660"/>
      <w:bookmarkStart w:id="1038" w:name="_Toc343516938"/>
      <w:bookmarkStart w:id="1039" w:name="_Toc345488418"/>
      <w:bookmarkStart w:id="1040" w:name="_Toc345659952"/>
      <w:bookmarkStart w:id="1041" w:name="_Toc345661211"/>
      <w:bookmarkStart w:id="1042" w:name="_Toc345661406"/>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nzMiscellaneousBody"/>
        <w:jc w:val="right"/>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nzHeading2"/>
      </w:pPr>
      <w:bookmarkStart w:id="1043" w:name="_Toc324145338"/>
      <w:bookmarkStart w:id="1044" w:name="_Toc324150413"/>
      <w:bookmarkStart w:id="1045" w:name="_Toc324150664"/>
      <w:bookmarkStart w:id="1046" w:name="_Toc324155406"/>
      <w:bookmarkStart w:id="1047" w:name="_Toc324155469"/>
      <w:bookmarkStart w:id="1048" w:name="_Toc324157348"/>
      <w:bookmarkStart w:id="1049" w:name="_Toc324170394"/>
      <w:bookmarkStart w:id="1050" w:name="_Toc324170736"/>
      <w:bookmarkStart w:id="1051" w:name="_Toc324172507"/>
      <w:bookmarkStart w:id="1052" w:name="_Toc327281492"/>
      <w:bookmarkStart w:id="1053" w:name="_Toc327281558"/>
      <w:bookmarkStart w:id="1054" w:name="_Toc340660278"/>
      <w:bookmarkStart w:id="1055" w:name="_Toc340660348"/>
      <w:bookmarkStart w:id="1056" w:name="_Toc343176769"/>
      <w:bookmarkStart w:id="1057" w:name="_Toc343176855"/>
      <w:bookmarkStart w:id="1058" w:name="_Toc343240832"/>
      <w:bookmarkStart w:id="1059" w:name="_Toc343246354"/>
      <w:bookmarkStart w:id="1060" w:name="_Toc343500665"/>
      <w:bookmarkStart w:id="1061" w:name="_Toc343502449"/>
      <w:bookmarkStart w:id="1062" w:name="_Toc343503426"/>
      <w:bookmarkStart w:id="1063" w:name="_Toc343503512"/>
      <w:bookmarkStart w:id="1064" w:name="_Toc343504346"/>
      <w:bookmarkStart w:id="1065" w:name="_Toc343504624"/>
      <w:bookmarkStart w:id="1066" w:name="_Toc343505021"/>
      <w:bookmarkStart w:id="1067" w:name="_Toc343505807"/>
      <w:bookmarkStart w:id="1068" w:name="_Toc343506512"/>
      <w:bookmarkStart w:id="1069" w:name="_Toc343507586"/>
      <w:bookmarkStart w:id="1070" w:name="_Toc343516661"/>
      <w:bookmarkStart w:id="1071" w:name="_Toc343516939"/>
      <w:bookmarkStart w:id="1072" w:name="_Toc345488419"/>
      <w:bookmarkStart w:id="1073" w:name="_Toc345659953"/>
      <w:bookmarkStart w:id="1074" w:name="_Toc345661212"/>
      <w:bookmarkStart w:id="1075" w:name="_Toc345661407"/>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nzMiscellaneousBody"/>
        <w:jc w:val="right"/>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nzHeading2"/>
      </w:pPr>
      <w:bookmarkStart w:id="1076" w:name="_Toc324145339"/>
      <w:bookmarkStart w:id="1077" w:name="_Toc324150414"/>
      <w:bookmarkStart w:id="1078" w:name="_Toc324150665"/>
      <w:bookmarkStart w:id="1079" w:name="_Toc324155407"/>
      <w:bookmarkStart w:id="1080" w:name="_Toc324155470"/>
      <w:bookmarkStart w:id="1081" w:name="_Toc324157349"/>
      <w:bookmarkStart w:id="1082" w:name="_Toc324170395"/>
      <w:bookmarkStart w:id="1083" w:name="_Toc324170737"/>
      <w:bookmarkStart w:id="1084" w:name="_Toc324172508"/>
      <w:bookmarkStart w:id="1085" w:name="_Toc327281493"/>
      <w:bookmarkStart w:id="1086" w:name="_Toc327281559"/>
      <w:bookmarkStart w:id="1087" w:name="_Toc340660279"/>
      <w:bookmarkStart w:id="1088" w:name="_Toc340660349"/>
      <w:bookmarkStart w:id="1089" w:name="_Toc343176770"/>
      <w:bookmarkStart w:id="1090" w:name="_Toc343176856"/>
      <w:bookmarkStart w:id="1091" w:name="_Toc343240833"/>
      <w:bookmarkStart w:id="1092" w:name="_Toc343246355"/>
      <w:bookmarkStart w:id="1093" w:name="_Toc343500666"/>
      <w:bookmarkStart w:id="1094" w:name="_Toc343502450"/>
      <w:bookmarkStart w:id="1095" w:name="_Toc343503427"/>
      <w:bookmarkStart w:id="1096" w:name="_Toc343503513"/>
      <w:bookmarkStart w:id="1097" w:name="_Toc343504347"/>
      <w:bookmarkStart w:id="1098" w:name="_Toc343504625"/>
      <w:bookmarkStart w:id="1099" w:name="_Toc343505022"/>
      <w:bookmarkStart w:id="1100" w:name="_Toc343505808"/>
      <w:bookmarkStart w:id="1101" w:name="_Toc343506513"/>
      <w:bookmarkStart w:id="1102" w:name="_Toc343507587"/>
      <w:bookmarkStart w:id="1103" w:name="_Toc343516662"/>
      <w:bookmarkStart w:id="1104" w:name="_Toc343516940"/>
      <w:bookmarkStart w:id="1105" w:name="_Toc345488420"/>
      <w:bookmarkStart w:id="1106" w:name="_Toc345659954"/>
      <w:bookmarkStart w:id="1107" w:name="_Toc345661213"/>
      <w:bookmarkStart w:id="1108" w:name="_Toc345661408"/>
      <w:r>
        <w:rPr>
          <w:rStyle w:val="CharSchNo"/>
        </w:rPr>
        <w:t>Schedule 6</w:t>
      </w:r>
      <w:r>
        <w:rPr>
          <w:rStyle w:val="CharSDivNo"/>
        </w:rPr>
        <w:t> </w:t>
      </w:r>
      <w:r>
        <w:t>—</w:t>
      </w:r>
      <w:r>
        <w:rPr>
          <w:rStyle w:val="CharSDivText"/>
        </w:rPr>
        <w:t> </w:t>
      </w:r>
      <w:r>
        <w:rPr>
          <w:rStyle w:val="CharSchText"/>
        </w:rPr>
        <w:t>Requirements for lime fertilisers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zMiscellaneousBody"/>
        <w:jc w:val="right"/>
      </w:pPr>
      <w:r>
        <w:t>[r. 37(4)]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pStyle w:val="BlankClose"/>
      </w:pPr>
    </w:p>
    <w:p>
      <w:pPr>
        <w:pStyle w:val="BlankClose"/>
      </w:pPr>
    </w:p>
    <w:p>
      <w:pPr>
        <w:tabs>
          <w:tab w:val="left" w:pos="1680"/>
        </w:tabs>
      </w:pPr>
    </w:p>
    <w:p>
      <w:pPr>
        <w:tabs>
          <w:tab w:val="left" w:pos="1680"/>
        </w:tabs>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tabs>
          <w:tab w:val="left" w:pos="1680"/>
        </w:tabs>
      </w:pPr>
    </w:p>
    <w:sectPr>
      <w:headerReference w:type="even" r:id="rId3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(Agriculture Standards) Regulations 2013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(Agriculture Standards)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(Agriculture Standards)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(Agriculture Standards) Regulations 2013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(Agriculture Standards) Regulations 2013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(Agriculture Standards) Regulations 2013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(Agriculture Standards) Regulations 2013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D00614D"/>
    <w:multiLevelType w:val="hybridMultilevel"/>
    <w:tmpl w:val="4A2E5498"/>
    <w:lvl w:ilvl="0" w:tplc="0409000F">
      <w:start w:val="1"/>
      <w:numFmt w:val="decimal"/>
      <w:lvlText w:val="%1."/>
      <w:lvlJc w:val="left"/>
      <w:pPr>
        <w:tabs>
          <w:tab w:val="num" w:pos="1239"/>
        </w:tabs>
        <w:ind w:left="1239" w:hanging="360"/>
      </w:p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25"/>
  </w:num>
  <w:num w:numId="18">
    <w:abstractNumId w:val="31"/>
  </w:num>
  <w:num w:numId="19">
    <w:abstractNumId w:val="14"/>
  </w:num>
  <w:num w:numId="20">
    <w:abstractNumId w:val="33"/>
  </w:num>
  <w:num w:numId="21">
    <w:abstractNumId w:val="23"/>
  </w:num>
  <w:num w:numId="22">
    <w:abstractNumId w:val="26"/>
  </w:num>
  <w:num w:numId="2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9877</Words>
  <Characters>49188</Characters>
  <Application>Microsoft Office Word</Application>
  <DocSecurity>0</DocSecurity>
  <Lines>1756</Lines>
  <Paragraphs>1054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58011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2013 - 00-a0-02</dc:title>
  <dc:subject/>
  <dc:creator/>
  <cp:keywords/>
  <dc:description/>
  <cp:lastModifiedBy>svcMRProcess</cp:lastModifiedBy>
  <cp:revision>4</cp:revision>
  <cp:lastPrinted>2013-01-08T03:57:00Z</cp:lastPrinted>
  <dcterms:created xsi:type="dcterms:W3CDTF">2020-02-20T05:55:00Z</dcterms:created>
  <dcterms:modified xsi:type="dcterms:W3CDTF">2020-02-20T05:55:00Z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CommencementDate">
    <vt:lpwstr>20130205</vt:lpwstr>
  </property>
  <property fmtid="{D5CDD505-2E9C-101B-9397-08002B2CF9AE}" pid="4" name="AsAtDate">
    <vt:lpwstr>05 Feb 2013</vt:lpwstr>
  </property>
  <property fmtid="{D5CDD505-2E9C-101B-9397-08002B2CF9AE}" pid="5" name="Suffix">
    <vt:lpwstr>00-a0-02</vt:lpwstr>
  </property>
  <property fmtid="{D5CDD505-2E9C-101B-9397-08002B2CF9AE}" pid="6" name="DocumentType">
    <vt:lpwstr>Reg</vt:lpwstr>
  </property>
</Properties>
</file>