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Land Administration Act 1997</w:t>
      </w:r>
    </w:p>
    <w:p>
      <w:pPr>
        <w:pStyle w:val="NameofActRegPage1"/>
        <w:spacing w:before="1800" w:after="4200"/>
      </w:pPr>
      <w:r>
        <w:fldChar w:fldCharType="begin"/>
      </w:r>
      <w:r>
        <w:instrText xml:space="preserve"> STYLEREF "Name Of Act/Reg"</w:instrText>
      </w:r>
      <w:r>
        <w:fldChar w:fldCharType="separate"/>
      </w:r>
      <w:r>
        <w:rPr>
          <w:noProof/>
        </w:rPr>
        <w:t>Land Administration (Land Management)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Administration (Land Management)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_Toc378944386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_Toc378944387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_Toc378944388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_Toc378944390 \h </w:instrText>
      </w:r>
      <w:r>
        <w:fldChar w:fldCharType="separate"/>
      </w:r>
      <w:r>
        <w:t>3</w:t>
      </w:r>
      <w:r>
        <w:fldChar w:fldCharType="end"/>
      </w:r>
    </w:p>
    <w:p>
      <w:pPr>
        <w:pStyle w:val="TOC8"/>
        <w:rPr>
          <w:rFonts w:asciiTheme="minorHAnsi" w:eastAsiaTheme="minorEastAsia" w:hAnsiTheme="minorHAnsi" w:cstheme="minorBidi"/>
          <w:szCs w:val="22"/>
        </w:rPr>
      </w:pPr>
      <w:r>
        <w:t>5.</w:t>
      </w:r>
      <w:r>
        <w:tab/>
        <w:t>Obstructing or impersonating an authorised person</w:t>
      </w:r>
      <w:r>
        <w:tab/>
      </w:r>
      <w:r>
        <w:fldChar w:fldCharType="begin"/>
      </w:r>
      <w:r>
        <w:instrText xml:space="preserve"> PAGEREF _Toc378944391 \h </w:instrText>
      </w:r>
      <w:r>
        <w:fldChar w:fldCharType="separate"/>
      </w:r>
      <w:r>
        <w:t>4</w:t>
      </w:r>
      <w:r>
        <w:fldChar w:fldCharType="end"/>
      </w:r>
    </w:p>
    <w:p>
      <w:pPr>
        <w:pStyle w:val="TOC8"/>
        <w:rPr>
          <w:rFonts w:asciiTheme="minorHAnsi" w:eastAsiaTheme="minorEastAsia" w:hAnsiTheme="minorHAnsi" w:cstheme="minorBidi"/>
          <w:szCs w:val="22"/>
        </w:rPr>
      </w:pPr>
      <w:r>
        <w:t>6.</w:t>
      </w:r>
      <w:r>
        <w:tab/>
        <w:t>Permissions</w:t>
      </w:r>
      <w:r>
        <w:tab/>
      </w:r>
      <w:r>
        <w:fldChar w:fldCharType="begin"/>
      </w:r>
      <w:r>
        <w:instrText xml:space="preserve"> PAGEREF _Toc378944392 \h </w:instrText>
      </w:r>
      <w:r>
        <w:fldChar w:fldCharType="separate"/>
      </w:r>
      <w:r>
        <w:t>4</w:t>
      </w:r>
      <w:r>
        <w:fldChar w:fldCharType="end"/>
      </w:r>
    </w:p>
    <w:p>
      <w:pPr>
        <w:pStyle w:val="TOC8"/>
        <w:rPr>
          <w:rFonts w:asciiTheme="minorHAnsi" w:eastAsiaTheme="minorEastAsia" w:hAnsiTheme="minorHAnsi" w:cstheme="minorBidi"/>
          <w:szCs w:val="22"/>
        </w:rPr>
      </w:pPr>
      <w:r>
        <w:t>7.</w:t>
      </w:r>
      <w:r>
        <w:tab/>
        <w:t>Authorisation under another written law</w:t>
      </w:r>
      <w:r>
        <w:tab/>
      </w:r>
      <w:r>
        <w:fldChar w:fldCharType="begin"/>
      </w:r>
      <w:r>
        <w:instrText xml:space="preserve"> PAGEREF _Toc378944393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w:t>
      </w:r>
      <w:r>
        <w:tab/>
      </w:r>
      <w:r>
        <w:fldChar w:fldCharType="begin"/>
      </w:r>
      <w:r>
        <w:instrText xml:space="preserve"> PAGEREF _Toc378944394 \h </w:instrText>
      </w:r>
      <w:r>
        <w:fldChar w:fldCharType="separate"/>
      </w:r>
      <w:r>
        <w:t>5</w:t>
      </w:r>
      <w:r>
        <w:fldChar w:fldCharType="end"/>
      </w:r>
    </w:p>
    <w:p>
      <w:pPr>
        <w:pStyle w:val="TOC8"/>
        <w:rPr>
          <w:rFonts w:asciiTheme="minorHAnsi" w:eastAsiaTheme="minorEastAsia" w:hAnsiTheme="minorHAnsi" w:cstheme="minorBidi"/>
          <w:szCs w:val="22"/>
        </w:rPr>
      </w:pPr>
      <w:r>
        <w:rPr>
          <w:rFonts w:eastAsia="MS Mincho"/>
        </w:rPr>
        <w:t>9.</w:t>
      </w:r>
      <w:r>
        <w:rPr>
          <w:rFonts w:eastAsia="MS Mincho"/>
        </w:rPr>
        <w:tab/>
        <w:t>Signs</w:t>
      </w:r>
      <w:r>
        <w:tab/>
      </w:r>
      <w:r>
        <w:fldChar w:fldCharType="begin"/>
      </w:r>
      <w:r>
        <w:instrText xml:space="preserve"> PAGEREF _Toc378944395 \h </w:instrText>
      </w:r>
      <w:r>
        <w:fldChar w:fldCharType="separate"/>
      </w:r>
      <w:r>
        <w:t>5</w:t>
      </w:r>
      <w:r>
        <w:fldChar w:fldCharType="end"/>
      </w:r>
    </w:p>
    <w:p>
      <w:pPr>
        <w:pStyle w:val="TOC8"/>
        <w:rPr>
          <w:rFonts w:asciiTheme="minorHAnsi" w:eastAsiaTheme="minorEastAsia" w:hAnsiTheme="minorHAnsi" w:cstheme="minorBidi"/>
          <w:szCs w:val="22"/>
        </w:rPr>
      </w:pPr>
      <w:r>
        <w:t>10.</w:t>
      </w:r>
      <w:r>
        <w:tab/>
        <w:t>Vehicles</w:t>
      </w:r>
      <w:r>
        <w:tab/>
      </w:r>
      <w:r>
        <w:fldChar w:fldCharType="begin"/>
      </w:r>
      <w:r>
        <w:instrText xml:space="preserve"> PAGEREF _Toc378944396 \h </w:instrText>
      </w:r>
      <w:r>
        <w:fldChar w:fldCharType="separate"/>
      </w:r>
      <w:r>
        <w:t>6</w:t>
      </w:r>
      <w:r>
        <w:fldChar w:fldCharType="end"/>
      </w:r>
    </w:p>
    <w:p>
      <w:pPr>
        <w:pStyle w:val="TOC8"/>
        <w:rPr>
          <w:rFonts w:asciiTheme="minorHAnsi" w:eastAsiaTheme="minorEastAsia" w:hAnsiTheme="minorHAnsi" w:cstheme="minorBidi"/>
          <w:szCs w:val="22"/>
        </w:rPr>
      </w:pPr>
      <w:r>
        <w:t>11.</w:t>
      </w:r>
      <w:r>
        <w:tab/>
        <w:t>Protection of property</w:t>
      </w:r>
      <w:r>
        <w:tab/>
      </w:r>
      <w:r>
        <w:fldChar w:fldCharType="begin"/>
      </w:r>
      <w:r>
        <w:instrText xml:space="preserve"> PAGEREF _Toc378944397 \h </w:instrText>
      </w:r>
      <w:r>
        <w:fldChar w:fldCharType="separate"/>
      </w:r>
      <w:r>
        <w:t>8</w:t>
      </w:r>
      <w:r>
        <w:fldChar w:fldCharType="end"/>
      </w:r>
    </w:p>
    <w:p>
      <w:pPr>
        <w:pStyle w:val="TOC8"/>
        <w:rPr>
          <w:rFonts w:asciiTheme="minorHAnsi" w:eastAsiaTheme="minorEastAsia" w:hAnsiTheme="minorHAnsi" w:cstheme="minorBidi"/>
          <w:szCs w:val="22"/>
        </w:rPr>
      </w:pPr>
      <w:r>
        <w:t>12.</w:t>
      </w:r>
      <w:r>
        <w:tab/>
        <w:t>Protection of the environment</w:t>
      </w:r>
      <w:r>
        <w:tab/>
      </w:r>
      <w:r>
        <w:fldChar w:fldCharType="begin"/>
      </w:r>
      <w:r>
        <w:instrText xml:space="preserve"> PAGEREF _Toc378944398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Protection of plants and animals</w:t>
      </w:r>
      <w:r>
        <w:tab/>
      </w:r>
      <w:r>
        <w:fldChar w:fldCharType="begin"/>
      </w:r>
      <w:r>
        <w:instrText xml:space="preserve"> PAGEREF _Toc378944399 \h </w:instrText>
      </w:r>
      <w:r>
        <w:fldChar w:fldCharType="separate"/>
      </w:r>
      <w:r>
        <w:t>9</w:t>
      </w:r>
      <w:r>
        <w:fldChar w:fldCharType="end"/>
      </w:r>
    </w:p>
    <w:p>
      <w:pPr>
        <w:pStyle w:val="TOC8"/>
        <w:rPr>
          <w:rFonts w:asciiTheme="minorHAnsi" w:eastAsiaTheme="minorEastAsia" w:hAnsiTheme="minorHAnsi" w:cstheme="minorBidi"/>
          <w:szCs w:val="22"/>
        </w:rPr>
      </w:pPr>
      <w:r>
        <w:t>14.</w:t>
      </w:r>
      <w:r>
        <w:tab/>
        <w:t>Fires</w:t>
      </w:r>
      <w:r>
        <w:tab/>
      </w:r>
      <w:r>
        <w:fldChar w:fldCharType="begin"/>
      </w:r>
      <w:r>
        <w:instrText xml:space="preserve"> PAGEREF _Toc378944400 \h </w:instrText>
      </w:r>
      <w:r>
        <w:fldChar w:fldCharType="separate"/>
      </w:r>
      <w:r>
        <w:t>11</w:t>
      </w:r>
      <w:r>
        <w:fldChar w:fldCharType="end"/>
      </w:r>
    </w:p>
    <w:p>
      <w:pPr>
        <w:pStyle w:val="TOC8"/>
        <w:rPr>
          <w:rFonts w:asciiTheme="minorHAnsi" w:eastAsiaTheme="minorEastAsia" w:hAnsiTheme="minorHAnsi" w:cstheme="minorBidi"/>
          <w:szCs w:val="22"/>
        </w:rPr>
      </w:pPr>
      <w:r>
        <w:t>15.</w:t>
      </w:r>
      <w:r>
        <w:tab/>
        <w:t>Camping</w:t>
      </w:r>
      <w:r>
        <w:tab/>
      </w:r>
      <w:r>
        <w:fldChar w:fldCharType="begin"/>
      </w:r>
      <w:r>
        <w:instrText xml:space="preserve"> PAGEREF _Toc378944401 \h </w:instrText>
      </w:r>
      <w:r>
        <w:fldChar w:fldCharType="separate"/>
      </w:r>
      <w:r>
        <w:t>12</w:t>
      </w:r>
      <w:r>
        <w:fldChar w:fldCharType="end"/>
      </w:r>
    </w:p>
    <w:p>
      <w:pPr>
        <w:pStyle w:val="TOC8"/>
        <w:rPr>
          <w:rFonts w:asciiTheme="minorHAnsi" w:eastAsiaTheme="minorEastAsia" w:hAnsiTheme="minorHAnsi" w:cstheme="minorBidi"/>
          <w:szCs w:val="22"/>
        </w:rPr>
      </w:pPr>
      <w:r>
        <w:t>16.</w:t>
      </w:r>
      <w:r>
        <w:tab/>
        <w:t>Races, meetings etc.</w:t>
      </w:r>
      <w:r>
        <w:tab/>
      </w:r>
      <w:r>
        <w:fldChar w:fldCharType="begin"/>
      </w:r>
      <w:r>
        <w:instrText xml:space="preserve"> PAGEREF _Toc378944402 \h </w:instrText>
      </w:r>
      <w:r>
        <w:fldChar w:fldCharType="separate"/>
      </w:r>
      <w:r>
        <w:t>12</w:t>
      </w:r>
      <w:r>
        <w:fldChar w:fldCharType="end"/>
      </w:r>
    </w:p>
    <w:p>
      <w:pPr>
        <w:pStyle w:val="TOC8"/>
        <w:rPr>
          <w:rFonts w:asciiTheme="minorHAnsi" w:eastAsiaTheme="minorEastAsia" w:hAnsiTheme="minorHAnsi" w:cstheme="minorBidi"/>
          <w:szCs w:val="22"/>
        </w:rPr>
      </w:pPr>
      <w:r>
        <w:t>17.</w:t>
      </w:r>
      <w:r>
        <w:tab/>
        <w:t>Commercial activities, advertising, collecting money etc.</w:t>
      </w:r>
      <w:r>
        <w:tab/>
      </w:r>
      <w:r>
        <w:fldChar w:fldCharType="begin"/>
      </w:r>
      <w:r>
        <w:instrText xml:space="preserve"> PAGEREF _Toc378944403 \h </w:instrText>
      </w:r>
      <w:r>
        <w:fldChar w:fldCharType="separate"/>
      </w:r>
      <w:r>
        <w:t>12</w:t>
      </w:r>
      <w:r>
        <w:fldChar w:fldCharType="end"/>
      </w:r>
    </w:p>
    <w:p>
      <w:pPr>
        <w:pStyle w:val="TOC8"/>
        <w:rPr>
          <w:rFonts w:asciiTheme="minorHAnsi" w:eastAsiaTheme="minorEastAsia" w:hAnsiTheme="minorHAnsi" w:cstheme="minorBidi"/>
          <w:szCs w:val="22"/>
        </w:rPr>
      </w:pPr>
      <w:r>
        <w:rPr>
          <w:rFonts w:eastAsia="MS Mincho"/>
        </w:rPr>
        <w:t>18.</w:t>
      </w:r>
      <w:r>
        <w:rPr>
          <w:rFonts w:eastAsia="MS Mincho"/>
        </w:rPr>
        <w:tab/>
        <w:t>Removing obstructions</w:t>
      </w:r>
      <w:r>
        <w:tab/>
      </w:r>
      <w:r>
        <w:fldChar w:fldCharType="begin"/>
      </w:r>
      <w:r>
        <w:instrText xml:space="preserve"> PAGEREF _Toc378944404 \h </w:instrText>
      </w:r>
      <w:r>
        <w:fldChar w:fldCharType="separate"/>
      </w:r>
      <w:r>
        <w:t>13</w:t>
      </w:r>
      <w:r>
        <w:fldChar w:fldCharType="end"/>
      </w:r>
    </w:p>
    <w:p>
      <w:pPr>
        <w:pStyle w:val="TOC8"/>
        <w:rPr>
          <w:rFonts w:asciiTheme="minorHAnsi" w:eastAsiaTheme="minorEastAsia" w:hAnsiTheme="minorHAnsi" w:cstheme="minorBidi"/>
          <w:szCs w:val="22"/>
        </w:rPr>
      </w:pPr>
      <w:r>
        <w:t>19.</w:t>
      </w:r>
      <w:r>
        <w:tab/>
        <w:t>General behaviour</w:t>
      </w:r>
      <w:r>
        <w:tab/>
      </w:r>
      <w:r>
        <w:fldChar w:fldCharType="begin"/>
      </w:r>
      <w:r>
        <w:instrText xml:space="preserve"> PAGEREF _Toc378944405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Offences relating to Schedule 1 reserves</w:t>
      </w:r>
    </w:p>
    <w:p>
      <w:pPr>
        <w:pStyle w:val="TOC8"/>
        <w:rPr>
          <w:rFonts w:asciiTheme="minorHAnsi" w:eastAsiaTheme="minorEastAsia" w:hAnsiTheme="minorHAnsi" w:cstheme="minorBidi"/>
          <w:szCs w:val="22"/>
        </w:rPr>
      </w:pPr>
      <w:r>
        <w:t>20.</w:t>
      </w:r>
      <w:r>
        <w:tab/>
        <w:t>Entry onto designated Schedule 1 reserves</w:t>
      </w:r>
      <w:r>
        <w:tab/>
      </w:r>
      <w:r>
        <w:fldChar w:fldCharType="begin"/>
      </w:r>
      <w:r>
        <w:instrText xml:space="preserve"> PAGEREF _Toc378944407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21.</w:t>
      </w:r>
      <w:r>
        <w:tab/>
        <w:t>Vessels</w:t>
      </w:r>
      <w:r>
        <w:tab/>
      </w:r>
      <w:r>
        <w:fldChar w:fldCharType="begin"/>
      </w:r>
      <w:r>
        <w:instrText xml:space="preserve"> PAGEREF _Toc378944408 \h </w:instrText>
      </w:r>
      <w:r>
        <w:fldChar w:fldCharType="separate"/>
      </w:r>
      <w:r>
        <w:t>16</w:t>
      </w:r>
      <w:r>
        <w:fldChar w:fldCharType="end"/>
      </w:r>
    </w:p>
    <w:p>
      <w:pPr>
        <w:pStyle w:val="TOC8"/>
        <w:rPr>
          <w:rFonts w:asciiTheme="minorHAnsi" w:eastAsiaTheme="minorEastAsia" w:hAnsiTheme="minorHAnsi" w:cstheme="minorBidi"/>
          <w:szCs w:val="22"/>
        </w:rPr>
      </w:pPr>
      <w:r>
        <w:t>22.</w:t>
      </w:r>
      <w:r>
        <w:tab/>
        <w:t>Aircraft</w:t>
      </w:r>
      <w:r>
        <w:tab/>
      </w:r>
      <w:r>
        <w:fldChar w:fldCharType="begin"/>
      </w:r>
      <w:r>
        <w:instrText xml:space="preserve"> PAGEREF _Toc378944409 \h </w:instrText>
      </w:r>
      <w:r>
        <w:fldChar w:fldCharType="separate"/>
      </w:r>
      <w:r>
        <w:t>17</w:t>
      </w:r>
      <w:r>
        <w:fldChar w:fldCharType="end"/>
      </w:r>
    </w:p>
    <w:p>
      <w:pPr>
        <w:pStyle w:val="TOC8"/>
        <w:rPr>
          <w:rFonts w:asciiTheme="minorHAnsi" w:eastAsiaTheme="minorEastAsia" w:hAnsiTheme="minorHAnsi" w:cstheme="minorBidi"/>
          <w:szCs w:val="22"/>
        </w:rPr>
      </w:pPr>
      <w:r>
        <w:t>23.</w:t>
      </w:r>
      <w:r>
        <w:tab/>
        <w:t>Animals</w:t>
      </w:r>
      <w:r>
        <w:tab/>
      </w:r>
      <w:r>
        <w:fldChar w:fldCharType="begin"/>
      </w:r>
      <w:r>
        <w:instrText xml:space="preserve"> PAGEREF _Toc378944410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Schedule 1 — Managed reserves to which these regulations apply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_Toc378944413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1" w:name="_Toc37894438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8944386"/>
      <w:r>
        <w:rPr>
          <w:rStyle w:val="CharSectno"/>
        </w:rPr>
        <w:t>1</w:t>
      </w:r>
      <w:r>
        <w:t>.</w:t>
      </w:r>
      <w:r>
        <w:tab/>
        <w:t>Citation</w:t>
      </w:r>
      <w:bookmarkEnd w:id="2"/>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3" w:name="_Toc378944387"/>
      <w:r>
        <w:rPr>
          <w:rStyle w:val="CharSectno"/>
        </w:rPr>
        <w:t>2</w:t>
      </w:r>
      <w:r>
        <w:t>.</w:t>
      </w:r>
      <w:r>
        <w:tab/>
        <w:t>Interpretation</w:t>
      </w:r>
      <w:bookmarkEnd w:id="3"/>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same meaning as in the </w:t>
      </w:r>
      <w:r>
        <w:rPr>
          <w:i/>
          <w:iCs/>
        </w:rPr>
        <w:t>Road Traffic Act 1974</w:t>
      </w:r>
      <w:r>
        <w:t>;</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same meaning as in the </w:t>
      </w:r>
      <w:r>
        <w:rPr>
          <w:i/>
          <w:iCs/>
        </w:rPr>
        <w:t>Road Traffic Act 1974</w:t>
      </w:r>
      <w:r>
        <w:t>.</w:t>
      </w:r>
    </w:p>
    <w:p>
      <w:pPr>
        <w:pStyle w:val="Footnotesection"/>
      </w:pPr>
      <w:r>
        <w:tab/>
        <w:t xml:space="preserve">[Regulation 2 amended in Gazette 10 Aug 2007 p. 4075.] </w:t>
      </w:r>
    </w:p>
    <w:p>
      <w:pPr>
        <w:pStyle w:val="Heading5"/>
      </w:pPr>
      <w:bookmarkStart w:id="4" w:name="_Toc378944388"/>
      <w:r>
        <w:rPr>
          <w:rStyle w:val="CharSectno"/>
        </w:rPr>
        <w:t>3</w:t>
      </w:r>
      <w:r>
        <w:t>.</w:t>
      </w:r>
      <w:r>
        <w:tab/>
        <w:t>Application</w:t>
      </w:r>
      <w:bookmarkEnd w:id="4"/>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5" w:name="_Toc378944389"/>
      <w:r>
        <w:rPr>
          <w:rStyle w:val="CharPartNo"/>
        </w:rPr>
        <w:t>Part 2</w:t>
      </w:r>
      <w:r>
        <w:t> — </w:t>
      </w:r>
      <w:r>
        <w:rPr>
          <w:rStyle w:val="CharPartText"/>
        </w:rPr>
        <w:t>General</w:t>
      </w:r>
      <w:bookmarkEnd w:id="5"/>
    </w:p>
    <w:p>
      <w:pPr>
        <w:pStyle w:val="Heading5"/>
      </w:pPr>
      <w:bookmarkStart w:id="6" w:name="_Toc378944390"/>
      <w:r>
        <w:rPr>
          <w:rStyle w:val="CharSectno"/>
        </w:rPr>
        <w:t>4</w:t>
      </w:r>
      <w:r>
        <w:t>.</w:t>
      </w:r>
      <w:r>
        <w:tab/>
        <w:t>Authorised persons</w:t>
      </w:r>
      <w:bookmarkEnd w:id="6"/>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7" w:name="_Toc378944391"/>
      <w:r>
        <w:rPr>
          <w:rStyle w:val="CharSectno"/>
        </w:rPr>
        <w:t>5</w:t>
      </w:r>
      <w:r>
        <w:t>.</w:t>
      </w:r>
      <w:r>
        <w:tab/>
        <w:t>Obstructing or impersonating an authorised person</w:t>
      </w:r>
      <w:bookmarkEnd w:id="7"/>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8" w:name="_Toc378944392"/>
      <w:r>
        <w:rPr>
          <w:rStyle w:val="CharSectno"/>
        </w:rPr>
        <w:t>6</w:t>
      </w:r>
      <w:r>
        <w:t>.</w:t>
      </w:r>
      <w:r>
        <w:tab/>
        <w:t>Permissions</w:t>
      </w:r>
      <w:bookmarkEnd w:id="8"/>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9" w:name="_Toc378944393"/>
      <w:r>
        <w:rPr>
          <w:rStyle w:val="CharSectno"/>
        </w:rPr>
        <w:t>7</w:t>
      </w:r>
      <w:r>
        <w:t>.</w:t>
      </w:r>
      <w:r>
        <w:tab/>
        <w:t>Authorisation under another written law</w:t>
      </w:r>
      <w:bookmarkEnd w:id="9"/>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10" w:name="_Toc378944394"/>
      <w:r>
        <w:rPr>
          <w:rStyle w:val="CharSectno"/>
        </w:rPr>
        <w:t>8</w:t>
      </w:r>
      <w:r>
        <w:t>.</w:t>
      </w:r>
      <w:r>
        <w:tab/>
        <w:t>Directions</w:t>
      </w:r>
      <w:bookmarkEnd w:id="10"/>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11" w:name="_Toc378944395"/>
      <w:r>
        <w:rPr>
          <w:rStyle w:val="CharSectno"/>
          <w:rFonts w:eastAsia="MS Mincho"/>
        </w:rPr>
        <w:t>9</w:t>
      </w:r>
      <w:r>
        <w:rPr>
          <w:rFonts w:eastAsia="MS Mincho"/>
        </w:rPr>
        <w:t>.</w:t>
      </w:r>
      <w:r>
        <w:rPr>
          <w:rFonts w:eastAsia="MS Mincho"/>
        </w:rPr>
        <w:tab/>
        <w:t>Signs</w:t>
      </w:r>
      <w:bookmarkEnd w:id="11"/>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12" w:name="_Toc378944396"/>
      <w:r>
        <w:rPr>
          <w:rStyle w:val="CharSectno"/>
        </w:rPr>
        <w:t>10</w:t>
      </w:r>
      <w:r>
        <w:t>.</w:t>
      </w:r>
      <w:r>
        <w:tab/>
        <w:t>Vehicles</w:t>
      </w:r>
      <w:bookmarkEnd w:id="12"/>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current ACROD sticker (as defined in the </w:t>
      </w:r>
      <w:r>
        <w:rPr>
          <w:i/>
          <w:iCs/>
        </w:rPr>
        <w:t>Local Government (Parking for Disabled Persons) Regulations 1988</w:t>
      </w:r>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w:t>
      </w:r>
    </w:p>
    <w:p>
      <w:pPr>
        <w:pStyle w:val="Heading5"/>
      </w:pPr>
      <w:bookmarkStart w:id="13" w:name="_Toc378944397"/>
      <w:r>
        <w:rPr>
          <w:rStyle w:val="CharSectno"/>
        </w:rPr>
        <w:t>11</w:t>
      </w:r>
      <w:r>
        <w:t>.</w:t>
      </w:r>
      <w:r>
        <w:tab/>
        <w:t>Protection of property</w:t>
      </w:r>
      <w:bookmarkEnd w:id="13"/>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14" w:name="_Toc378944398"/>
      <w:r>
        <w:rPr>
          <w:rStyle w:val="CharSectno"/>
        </w:rPr>
        <w:t>12</w:t>
      </w:r>
      <w:r>
        <w:t>.</w:t>
      </w:r>
      <w:r>
        <w:tab/>
        <w:t>Protection of the environment</w:t>
      </w:r>
      <w:bookmarkEnd w:id="14"/>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15" w:name="_Toc378944399"/>
      <w:r>
        <w:rPr>
          <w:rStyle w:val="CharSectno"/>
        </w:rPr>
        <w:t>13</w:t>
      </w:r>
      <w:r>
        <w:t>.</w:t>
      </w:r>
      <w:r>
        <w:tab/>
        <w:t>Protection of plants and animals</w:t>
      </w:r>
      <w:bookmarkEnd w:id="15"/>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16" w:name="_Toc378944400"/>
      <w:r>
        <w:rPr>
          <w:rStyle w:val="CharSectno"/>
        </w:rPr>
        <w:t>14</w:t>
      </w:r>
      <w:r>
        <w:t>.</w:t>
      </w:r>
      <w:r>
        <w:tab/>
        <w:t>Fires</w:t>
      </w:r>
      <w:bookmarkEnd w:id="16"/>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17" w:name="_Toc378944401"/>
      <w:r>
        <w:rPr>
          <w:rStyle w:val="CharSectno"/>
        </w:rPr>
        <w:t>15</w:t>
      </w:r>
      <w:r>
        <w:t>.</w:t>
      </w:r>
      <w:r>
        <w:tab/>
        <w:t>Camping</w:t>
      </w:r>
      <w:bookmarkEnd w:id="17"/>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18" w:name="_Toc378944402"/>
      <w:r>
        <w:rPr>
          <w:rStyle w:val="CharSectno"/>
        </w:rPr>
        <w:t>16</w:t>
      </w:r>
      <w:r>
        <w:t>.</w:t>
      </w:r>
      <w:r>
        <w:tab/>
        <w:t>Races, meetings etc.</w:t>
      </w:r>
      <w:bookmarkEnd w:id="18"/>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19" w:name="_Toc378944403"/>
      <w:r>
        <w:rPr>
          <w:rStyle w:val="CharSectno"/>
        </w:rPr>
        <w:t>17</w:t>
      </w:r>
      <w:r>
        <w:t>.</w:t>
      </w:r>
      <w:r>
        <w:tab/>
        <w:t>Commercial activities, advertising, collecting money etc.</w:t>
      </w:r>
      <w:bookmarkEnd w:id="19"/>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20" w:name="_Toc378944404"/>
      <w:r>
        <w:rPr>
          <w:rStyle w:val="CharSectno"/>
          <w:rFonts w:eastAsia="MS Mincho"/>
        </w:rPr>
        <w:t>18</w:t>
      </w:r>
      <w:r>
        <w:rPr>
          <w:rFonts w:eastAsia="MS Mincho"/>
        </w:rPr>
        <w:t>.</w:t>
      </w:r>
      <w:r>
        <w:rPr>
          <w:rFonts w:eastAsia="MS Mincho"/>
        </w:rPr>
        <w:tab/>
        <w:t>Removing obstructions</w:t>
      </w:r>
      <w:bookmarkEnd w:id="20"/>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21" w:name="_Toc378944405"/>
      <w:r>
        <w:rPr>
          <w:rStyle w:val="CharSectno"/>
        </w:rPr>
        <w:t>19</w:t>
      </w:r>
      <w:r>
        <w:t>.</w:t>
      </w:r>
      <w:r>
        <w:tab/>
        <w:t>General behaviour</w:t>
      </w:r>
      <w:bookmarkEnd w:id="21"/>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22" w:name="_Toc378944406"/>
      <w:r>
        <w:rPr>
          <w:rStyle w:val="CharPartNo"/>
        </w:rPr>
        <w:t>Part 3</w:t>
      </w:r>
      <w:r>
        <w:rPr>
          <w:rStyle w:val="CharDivNo"/>
        </w:rPr>
        <w:t> </w:t>
      </w:r>
      <w:r>
        <w:t>—</w:t>
      </w:r>
      <w:r>
        <w:rPr>
          <w:rStyle w:val="CharDivText"/>
        </w:rPr>
        <w:t> </w:t>
      </w:r>
      <w:r>
        <w:rPr>
          <w:rStyle w:val="CharPartText"/>
        </w:rPr>
        <w:t>Offences relating to Schedule 1 reserves</w:t>
      </w:r>
      <w:bookmarkEnd w:id="22"/>
    </w:p>
    <w:p>
      <w:pPr>
        <w:pStyle w:val="Heading5"/>
      </w:pPr>
      <w:bookmarkStart w:id="23" w:name="_Toc378944407"/>
      <w:r>
        <w:rPr>
          <w:rStyle w:val="CharSectno"/>
        </w:rPr>
        <w:t>20</w:t>
      </w:r>
      <w:r>
        <w:t>.</w:t>
      </w:r>
      <w:r>
        <w:tab/>
        <w:t>Entry onto designated Schedule 1 reserves</w:t>
      </w:r>
      <w:bookmarkEnd w:id="23"/>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24" w:name="_Toc378944408"/>
      <w:r>
        <w:rPr>
          <w:rStyle w:val="CharSectno"/>
        </w:rPr>
        <w:t>21</w:t>
      </w:r>
      <w:r>
        <w:t>.</w:t>
      </w:r>
      <w:r>
        <w:tab/>
        <w:t>Vessels</w:t>
      </w:r>
      <w:bookmarkEnd w:id="24"/>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25" w:name="_Toc378944409"/>
      <w:r>
        <w:rPr>
          <w:rStyle w:val="CharSectno"/>
        </w:rPr>
        <w:t>22</w:t>
      </w:r>
      <w:r>
        <w:t>.</w:t>
      </w:r>
      <w:r>
        <w:tab/>
        <w:t>Aircraft</w:t>
      </w:r>
      <w:bookmarkEnd w:id="25"/>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26" w:name="_Toc378944410"/>
      <w:r>
        <w:rPr>
          <w:rStyle w:val="CharSectno"/>
        </w:rPr>
        <w:t>23</w:t>
      </w:r>
      <w:r>
        <w:t>.</w:t>
      </w:r>
      <w:r>
        <w:tab/>
        <w:t>Animals</w:t>
      </w:r>
      <w:bookmarkEnd w:id="26"/>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 w:name="_Toc378944411"/>
      <w:r>
        <w:rPr>
          <w:rStyle w:val="CharSchNo"/>
        </w:rPr>
        <w:t>Schedule 1</w:t>
      </w:r>
      <w:r>
        <w:rPr>
          <w:rStyle w:val="CharSDivNo"/>
        </w:rPr>
        <w:t> </w:t>
      </w:r>
      <w:r>
        <w:t>—</w:t>
      </w:r>
      <w:r>
        <w:rPr>
          <w:rStyle w:val="CharSDivText"/>
        </w:rPr>
        <w:t> </w:t>
      </w:r>
      <w:r>
        <w:rPr>
          <w:rStyle w:val="CharSchText"/>
        </w:rPr>
        <w:t>Managed reserves to which these regulations apply</w:t>
      </w:r>
      <w:bookmarkEnd w:id="27"/>
    </w:p>
    <w:p>
      <w:pPr>
        <w:pStyle w:val="yShoulderClause"/>
      </w:pPr>
      <w:r>
        <w:t>[r. 2]</w:t>
      </w:r>
    </w:p>
    <w:p>
      <w:pPr>
        <w:pStyle w:val="Footnoteheading"/>
        <w:spacing w:after="120"/>
      </w:pPr>
      <w:r>
        <w:tab/>
        <w:t>[Heading inserted in Gazette 31 Jul 2012 p. 3696.]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5"/>
        <w:gridCol w:w="2551"/>
      </w:tblGrid>
      <w:tr>
        <w:trPr>
          <w:cantSplit/>
        </w:trPr>
        <w:tc>
          <w:tcPr>
            <w:tcW w:w="4111" w:type="dxa"/>
            <w:gridSpan w:val="2"/>
            <w:tcBorders>
              <w:top w:val="single" w:sz="4" w:space="0" w:color="auto"/>
              <w:left w:val="nil"/>
              <w:bottom w:val="nil"/>
              <w:right w:val="nil"/>
            </w:tcBorders>
            <w:shd w:val="clear" w:color="auto" w:fill="E6E6E6"/>
          </w:tcPr>
          <w:p>
            <w:pPr>
              <w:pStyle w:val="yTableNAm"/>
              <w:tabs>
                <w:tab w:val="clear" w:pos="567"/>
                <w:tab w:val="left" w:pos="808"/>
              </w:tabs>
              <w:ind w:right="1767"/>
              <w:jc w:val="center"/>
            </w:pPr>
            <w:r>
              <w:rPr>
                <w:b/>
                <w:bCs/>
              </w:rPr>
              <w:t>Reserve</w:t>
            </w:r>
          </w:p>
        </w:tc>
        <w:tc>
          <w:tcPr>
            <w:tcW w:w="2551" w:type="dxa"/>
            <w:vMerge w:val="restart"/>
            <w:tcBorders>
              <w:top w:val="single" w:sz="4" w:space="0" w:color="auto"/>
              <w:left w:val="nil"/>
              <w:bottom w:val="nil"/>
              <w:right w:val="nil"/>
            </w:tcBorders>
            <w:shd w:val="clear" w:color="auto" w:fill="E6E6E6"/>
          </w:tcPr>
          <w:p>
            <w:pPr>
              <w:pStyle w:val="yTableNAm"/>
              <w:jc w:val="cente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NAm"/>
            </w:pPr>
            <w:r>
              <w:rPr>
                <w:b/>
                <w:bCs/>
              </w:rPr>
              <w:t>Number</w:t>
            </w:r>
          </w:p>
        </w:tc>
        <w:tc>
          <w:tcPr>
            <w:tcW w:w="2835" w:type="dxa"/>
            <w:tcBorders>
              <w:top w:val="nil"/>
              <w:left w:val="nil"/>
              <w:bottom w:val="single" w:sz="4" w:space="0" w:color="auto"/>
              <w:right w:val="nil"/>
            </w:tcBorders>
            <w:shd w:val="clear" w:color="auto" w:fill="E6E6E6"/>
          </w:tcPr>
          <w:p>
            <w:pPr>
              <w:pStyle w:val="yTableNAm"/>
            </w:pPr>
            <w:r>
              <w:rPr>
                <w:b/>
                <w:bCs/>
              </w:rPr>
              <w:t>Location</w:t>
            </w:r>
          </w:p>
        </w:tc>
        <w:tc>
          <w:tcPr>
            <w:tcW w:w="2551" w:type="dxa"/>
            <w:vMerge/>
            <w:tcBorders>
              <w:top w:val="nil"/>
              <w:left w:val="nil"/>
              <w:bottom w:val="single" w:sz="4" w:space="0" w:color="auto"/>
              <w:right w:val="nil"/>
            </w:tcBorders>
          </w:tcPr>
          <w:p>
            <w:pPr>
              <w:pStyle w:val="yTableNAm"/>
            </w:pPr>
          </w:p>
        </w:tc>
      </w:tr>
      <w:tr>
        <w:trPr>
          <w:cantSplit/>
          <w:trHeight w:val="304"/>
        </w:trPr>
        <w:tc>
          <w:tcPr>
            <w:tcW w:w="1276" w:type="dxa"/>
            <w:tcBorders>
              <w:top w:val="single" w:sz="4" w:space="0" w:color="auto"/>
              <w:left w:val="nil"/>
              <w:bottom w:val="nil"/>
              <w:right w:val="nil"/>
            </w:tcBorders>
          </w:tcPr>
          <w:p>
            <w:pPr>
              <w:pStyle w:val="yTableNAm"/>
            </w:pPr>
            <w:r>
              <w:t>No. 30360</w:t>
            </w:r>
          </w:p>
        </w:tc>
        <w:tc>
          <w:tcPr>
            <w:tcW w:w="2835" w:type="dxa"/>
            <w:tcBorders>
              <w:top w:val="single" w:sz="4" w:space="0" w:color="auto"/>
              <w:left w:val="nil"/>
              <w:bottom w:val="nil"/>
              <w:right w:val="nil"/>
            </w:tcBorders>
          </w:tcPr>
          <w:p>
            <w:pPr>
              <w:pStyle w:val="yTableNAm"/>
            </w:pPr>
            <w:r>
              <w:t xml:space="preserve">Quaranup, </w:t>
            </w:r>
            <w:smartTag w:uri="urn:schemas-microsoft-com:office:smarttags" w:element="place">
              <w:smartTag w:uri="urn:schemas-microsoft-com:office:smarttags" w:element="City">
                <w:r>
                  <w:t>Albany</w:t>
                </w:r>
              </w:smartTag>
            </w:smartTag>
          </w:p>
        </w:tc>
        <w:tc>
          <w:tcPr>
            <w:tcW w:w="2551" w:type="dxa"/>
            <w:vMerge w:val="restart"/>
            <w:tcBorders>
              <w:top w:val="single" w:sz="4" w:space="0" w:color="auto"/>
              <w:left w:val="nil"/>
              <w:right w:val="nil"/>
            </w:tcBorders>
          </w:tcPr>
          <w:p>
            <w:pPr>
              <w:pStyle w:val="yTableNAm"/>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NAm"/>
            </w:pPr>
            <w:r>
              <w:t>No. 27853</w:t>
            </w:r>
          </w:p>
        </w:tc>
        <w:tc>
          <w:tcPr>
            <w:tcW w:w="2835" w:type="dxa"/>
            <w:tcBorders>
              <w:top w:val="nil"/>
              <w:left w:val="nil"/>
              <w:bottom w:val="nil"/>
              <w:right w:val="nil"/>
            </w:tcBorders>
          </w:tcPr>
          <w:p>
            <w:pPr>
              <w:pStyle w:val="yTableNAm"/>
            </w:pPr>
            <w:r>
              <w:t>Point Peron, Rockingham</w:t>
            </w:r>
          </w:p>
        </w:tc>
        <w:tc>
          <w:tcPr>
            <w:tcW w:w="2551" w:type="dxa"/>
            <w:vMerge/>
            <w:tcBorders>
              <w:left w:val="nil"/>
              <w:right w:val="nil"/>
            </w:tcBorders>
          </w:tcPr>
          <w:p>
            <w:pPr>
              <w:pStyle w:val="yTableNAm"/>
            </w:pPr>
          </w:p>
        </w:tc>
      </w:tr>
      <w:tr>
        <w:trPr>
          <w:cantSplit/>
          <w:trHeight w:val="303"/>
        </w:trPr>
        <w:tc>
          <w:tcPr>
            <w:tcW w:w="1276" w:type="dxa"/>
            <w:tcBorders>
              <w:top w:val="nil"/>
              <w:left w:val="nil"/>
              <w:bottom w:val="nil"/>
              <w:right w:val="nil"/>
            </w:tcBorders>
          </w:tcPr>
          <w:p>
            <w:pPr>
              <w:pStyle w:val="yTableNAm"/>
            </w:pPr>
            <w:r>
              <w:t>No. 40184</w:t>
            </w:r>
          </w:p>
        </w:tc>
        <w:tc>
          <w:tcPr>
            <w:tcW w:w="2835" w:type="dxa"/>
            <w:tcBorders>
              <w:top w:val="nil"/>
              <w:left w:val="nil"/>
              <w:bottom w:val="nil"/>
              <w:right w:val="nil"/>
            </w:tcBorders>
          </w:tcPr>
          <w:p>
            <w:pPr>
              <w:pStyle w:val="yTableNAm"/>
            </w:pPr>
            <w:smartTag w:uri="urn:schemas-microsoft-com:office:smarttags" w:element="place">
              <w:smartTag w:uri="urn:schemas-microsoft-com:office:smarttags" w:element="City">
                <w:r>
                  <w:t>Woodman Point</w:t>
                </w:r>
              </w:smartTag>
              <w:r>
                <w:t xml:space="preserve">, </w:t>
              </w:r>
              <w:smartTag w:uri="urn:schemas-microsoft-com:office:smarttags" w:element="State">
                <w:r>
                  <w:t>Munster</w:t>
                </w:r>
              </w:smartTag>
            </w:smartTag>
          </w:p>
        </w:tc>
        <w:tc>
          <w:tcPr>
            <w:tcW w:w="2551" w:type="dxa"/>
            <w:vMerge/>
            <w:tcBorders>
              <w:left w:val="nil"/>
              <w:right w:val="nil"/>
            </w:tcBorders>
          </w:tcPr>
          <w:p>
            <w:pPr>
              <w:pStyle w:val="yTableNAm"/>
            </w:pPr>
          </w:p>
        </w:tc>
      </w:tr>
      <w:tr>
        <w:trPr>
          <w:cantSplit/>
          <w:trHeight w:val="303"/>
        </w:trPr>
        <w:tc>
          <w:tcPr>
            <w:tcW w:w="1276" w:type="dxa"/>
            <w:tcBorders>
              <w:top w:val="nil"/>
              <w:left w:val="nil"/>
              <w:bottom w:val="single" w:sz="4" w:space="0" w:color="auto"/>
              <w:right w:val="nil"/>
            </w:tcBorders>
          </w:tcPr>
          <w:p>
            <w:pPr>
              <w:pStyle w:val="yTableNAm"/>
            </w:pPr>
            <w:r>
              <w:t>No. 23563</w:t>
            </w:r>
          </w:p>
        </w:tc>
        <w:tc>
          <w:tcPr>
            <w:tcW w:w="2835" w:type="dxa"/>
            <w:tcBorders>
              <w:top w:val="nil"/>
              <w:left w:val="nil"/>
              <w:bottom w:val="single" w:sz="4" w:space="0" w:color="auto"/>
              <w:right w:val="nil"/>
            </w:tcBorders>
          </w:tcPr>
          <w:p>
            <w:pPr>
              <w:pStyle w:val="yTableNAm"/>
            </w:pPr>
            <w:r>
              <w:t>Ern Halliday Centre, Hillarys</w:t>
            </w:r>
          </w:p>
        </w:tc>
        <w:tc>
          <w:tcPr>
            <w:tcW w:w="2551" w:type="dxa"/>
            <w:vMerge/>
            <w:tcBorders>
              <w:left w:val="nil"/>
              <w:bottom w:val="single" w:sz="4" w:space="0" w:color="auto"/>
              <w:right w:val="nil"/>
            </w:tcBorders>
          </w:tcPr>
          <w:p>
            <w:pPr>
              <w:pStyle w:val="yTableNAm"/>
            </w:pPr>
          </w:p>
        </w:tc>
      </w:tr>
    </w:tbl>
    <w:p>
      <w:pPr>
        <w:pStyle w:val="Footnotesection"/>
      </w:pPr>
      <w:r>
        <w:tab/>
        <w:t>[Schedule 1 inserted in Gazette 31 Jul 2012 p. 3696.]</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8" w:name="_Toc378944412"/>
      <w:r>
        <w:t>Notes</w:t>
      </w:r>
      <w:bookmarkEnd w:id="28"/>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  </w:t>
      </w:r>
    </w:p>
    <w:p>
      <w:pPr>
        <w:pStyle w:val="nHeading3"/>
      </w:pPr>
      <w:bookmarkStart w:id="29" w:name="_Toc378944413"/>
      <w: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szCs w:val="19"/>
              </w:rPr>
            </w:pPr>
            <w:r>
              <w:rPr>
                <w:i/>
                <w:sz w:val="19"/>
                <w:szCs w:val="19"/>
              </w:rPr>
              <w:t>Land Administration (Land Management) Regulations 2006</w:t>
            </w:r>
          </w:p>
        </w:tc>
        <w:tc>
          <w:tcPr>
            <w:tcW w:w="1276" w:type="dxa"/>
            <w:tcBorders>
              <w:top w:val="single" w:sz="8" w:space="0" w:color="auto"/>
            </w:tcBorders>
          </w:tcPr>
          <w:p>
            <w:pPr>
              <w:pStyle w:val="nTable"/>
              <w:rPr>
                <w:sz w:val="19"/>
                <w:szCs w:val="19"/>
              </w:rPr>
            </w:pPr>
            <w:r>
              <w:rPr>
                <w:sz w:val="19"/>
                <w:szCs w:val="19"/>
              </w:rPr>
              <w:t>14 Jun 2006 p. 2085-106</w:t>
            </w:r>
          </w:p>
        </w:tc>
        <w:tc>
          <w:tcPr>
            <w:tcW w:w="2693" w:type="dxa"/>
            <w:tcBorders>
              <w:top w:val="single" w:sz="8" w:space="0" w:color="auto"/>
            </w:tcBorders>
          </w:tcPr>
          <w:p>
            <w:pPr>
              <w:pStyle w:val="nTable"/>
              <w:rPr>
                <w:sz w:val="19"/>
                <w:szCs w:val="19"/>
              </w:rPr>
            </w:pPr>
            <w:r>
              <w:rPr>
                <w:sz w:val="19"/>
                <w:szCs w:val="19"/>
              </w:rPr>
              <w:t>14 Jun 2006</w:t>
            </w:r>
          </w:p>
        </w:tc>
      </w:tr>
      <w:tr>
        <w:tc>
          <w:tcPr>
            <w:tcW w:w="3118" w:type="dxa"/>
          </w:tcPr>
          <w:p>
            <w:pPr>
              <w:pStyle w:val="nTable"/>
              <w:rPr>
                <w:i/>
                <w:sz w:val="19"/>
                <w:szCs w:val="19"/>
              </w:rPr>
            </w:pPr>
            <w:r>
              <w:rPr>
                <w:i/>
                <w:sz w:val="19"/>
                <w:szCs w:val="19"/>
              </w:rPr>
              <w:t>Land Administration (Land Management) Amendment Regulations 2007</w:t>
            </w:r>
          </w:p>
        </w:tc>
        <w:tc>
          <w:tcPr>
            <w:tcW w:w="1276" w:type="dxa"/>
          </w:tcPr>
          <w:p>
            <w:pPr>
              <w:pStyle w:val="nTable"/>
              <w:rPr>
                <w:sz w:val="19"/>
                <w:szCs w:val="19"/>
              </w:rPr>
            </w:pPr>
            <w:r>
              <w:rPr>
                <w:sz w:val="19"/>
                <w:szCs w:val="19"/>
              </w:rPr>
              <w:t>10 Aug 2007 p. 4075-7</w:t>
            </w:r>
          </w:p>
        </w:tc>
        <w:tc>
          <w:tcPr>
            <w:tcW w:w="2693" w:type="dxa"/>
          </w:tcPr>
          <w:p>
            <w:pPr>
              <w:pStyle w:val="nTable"/>
              <w:rPr>
                <w:sz w:val="19"/>
                <w:szCs w:val="19"/>
              </w:rPr>
            </w:pPr>
            <w:r>
              <w:rPr>
                <w:sz w:val="19"/>
                <w:szCs w:val="19"/>
              </w:rPr>
              <w:t>r. 1 and 2: 10 Aug 2007 (see r. 2(a));</w:t>
            </w:r>
            <w:r>
              <w:rPr>
                <w:sz w:val="19"/>
                <w:szCs w:val="19"/>
              </w:rPr>
              <w:br/>
              <w:t>Regulations other than r. 1 and 2: 11 Aug 2007 (see r. 2(b))</w:t>
            </w:r>
          </w:p>
        </w:tc>
      </w:tr>
      <w:tr>
        <w:tc>
          <w:tcPr>
            <w:tcW w:w="3118" w:type="dxa"/>
          </w:tcPr>
          <w:p>
            <w:pPr>
              <w:pStyle w:val="nTable"/>
              <w:rPr>
                <w:i/>
                <w:sz w:val="19"/>
                <w:szCs w:val="19"/>
              </w:rPr>
            </w:pPr>
            <w:r>
              <w:rPr>
                <w:i/>
                <w:sz w:val="19"/>
                <w:szCs w:val="19"/>
              </w:rPr>
              <w:t>Land Administration (Land Management) Amendment Regulations 2012</w:t>
            </w:r>
          </w:p>
        </w:tc>
        <w:tc>
          <w:tcPr>
            <w:tcW w:w="1276" w:type="dxa"/>
          </w:tcPr>
          <w:p>
            <w:pPr>
              <w:pStyle w:val="nTable"/>
              <w:rPr>
                <w:sz w:val="19"/>
                <w:szCs w:val="19"/>
              </w:rPr>
            </w:pPr>
            <w:r>
              <w:rPr>
                <w:sz w:val="19"/>
                <w:szCs w:val="19"/>
              </w:rPr>
              <w:t>31 Jul 2012 p. 3695</w:t>
            </w:r>
            <w:r>
              <w:rPr>
                <w:sz w:val="19"/>
                <w:szCs w:val="19"/>
              </w:rPr>
              <w:noBreakHyphen/>
              <w:t>6</w:t>
            </w:r>
          </w:p>
        </w:tc>
        <w:tc>
          <w:tcPr>
            <w:tcW w:w="2693" w:type="dxa"/>
          </w:tcPr>
          <w:p>
            <w:pPr>
              <w:pStyle w:val="nTable"/>
              <w:rPr>
                <w:sz w:val="19"/>
                <w:szCs w:val="19"/>
              </w:rPr>
            </w:pPr>
            <w:r>
              <w:rPr>
                <w:sz w:val="19"/>
                <w:szCs w:val="19"/>
              </w:rPr>
              <w:t>r. 1 and 2: 31 Jul 2012 (see r. 2(a));</w:t>
            </w:r>
            <w:r>
              <w:rPr>
                <w:sz w:val="19"/>
                <w:szCs w:val="19"/>
              </w:rPr>
              <w:br/>
              <w:t>Regulations other than r. 1 and 2: 1 Aug 2012 (see r. 2(b))</w:t>
            </w:r>
          </w:p>
        </w:tc>
      </w:tr>
      <w:tr>
        <w:tc>
          <w:tcPr>
            <w:tcW w:w="3118" w:type="dxa"/>
            <w:tcBorders>
              <w:bottom w:val="single" w:sz="4" w:space="0" w:color="auto"/>
            </w:tcBorders>
          </w:tcPr>
          <w:p>
            <w:pPr>
              <w:pStyle w:val="nTable"/>
              <w:rPr>
                <w:i/>
                <w:sz w:val="19"/>
                <w:szCs w:val="19"/>
              </w:rPr>
            </w:pPr>
            <w:r>
              <w:rPr>
                <w:i/>
                <w:sz w:val="19"/>
                <w:szCs w:val="19"/>
              </w:rPr>
              <w:t>Land Administration (Land Management) Amendment Regulations (No. 2) 2012</w:t>
            </w:r>
          </w:p>
        </w:tc>
        <w:tc>
          <w:tcPr>
            <w:tcW w:w="1276" w:type="dxa"/>
            <w:tcBorders>
              <w:bottom w:val="single" w:sz="4" w:space="0" w:color="auto"/>
            </w:tcBorders>
          </w:tcPr>
          <w:p>
            <w:pPr>
              <w:pStyle w:val="nTable"/>
              <w:rPr>
                <w:sz w:val="19"/>
                <w:szCs w:val="19"/>
              </w:rPr>
            </w:pPr>
            <w:r>
              <w:rPr>
                <w:sz w:val="19"/>
                <w:szCs w:val="19"/>
              </w:rPr>
              <w:t>19 Feb 2013 p. 983-4</w:t>
            </w:r>
          </w:p>
        </w:tc>
        <w:tc>
          <w:tcPr>
            <w:tcW w:w="2693" w:type="dxa"/>
            <w:tcBorders>
              <w:bottom w:val="single" w:sz="4" w:space="0" w:color="auto"/>
            </w:tcBorders>
          </w:tcPr>
          <w:p>
            <w:pPr>
              <w:pStyle w:val="nTable"/>
              <w:rPr>
                <w:sz w:val="19"/>
                <w:szCs w:val="19"/>
              </w:rPr>
            </w:pPr>
            <w:r>
              <w:rPr>
                <w:sz w:val="19"/>
                <w:szCs w:val="19"/>
              </w:rPr>
              <w:t>r. 1 and 2: 19 Feb 2013 (see r. 2(a));</w:t>
            </w:r>
            <w:r>
              <w:rPr>
                <w:sz w:val="19"/>
                <w:szCs w:val="19"/>
              </w:rPr>
              <w:br/>
              <w:t>Regulations other than r. 1 and 2: 20 Feb 2013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Feb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Feb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Feb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(Land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(Land Management)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226"/>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1204095226" w:val="RemoveTrackChanges"/>
    <w:docVar w:name="WAFER_20151204095226_GUID" w:val="977f6aca-43bd-4ff7-b872-77334b46ee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4069</Words>
  <Characters>19168</Characters>
  <Application>Microsoft Office Word</Application>
  <DocSecurity>0</DocSecurity>
  <Lines>618</Lines>
  <Paragraphs>455</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2006 - 00-d0-02</dc:title>
  <dc:subject/>
  <dc:creator/>
  <cp:keywords/>
  <dc:description/>
  <cp:lastModifiedBy>svcMRProcess</cp:lastModifiedBy>
  <cp:revision>4</cp:revision>
  <cp:lastPrinted>2006-02-17T04:01:00Z</cp:lastPrinted>
  <dcterms:created xsi:type="dcterms:W3CDTF">2015-12-04T05:43:00Z</dcterms:created>
  <dcterms:modified xsi:type="dcterms:W3CDTF">2015-12-04T05:43:00Z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CommencementDate">
    <vt:lpwstr>20130220</vt:lpwstr>
  </property>
  <property fmtid="{D5CDD505-2E9C-101B-9397-08002B2CF9AE}" pid="4" name="OwlsUID">
    <vt:i4>36879</vt:i4>
  </property>
  <property fmtid="{D5CDD505-2E9C-101B-9397-08002B2CF9AE}" pid="5" name="AsAtDate">
    <vt:lpwstr>20 Feb 2013</vt:lpwstr>
  </property>
  <property fmtid="{D5CDD505-2E9C-101B-9397-08002B2CF9AE}" pid="6" name="Suffix">
    <vt:lpwstr>00-d0-02</vt:lpwstr>
  </property>
  <property fmtid="{D5CDD505-2E9C-101B-9397-08002B2CF9AE}" pid="7" name="DocumentType">
    <vt:lpwstr>Reg</vt:lpwstr>
  </property>
</Properties>
</file>