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Witness Protection (Western Australia)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_Toc377039029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_Toc377039030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and abbreviation used in this Act</w:t>
      </w:r>
      <w:r>
        <w:tab/>
      </w:r>
      <w:r>
        <w:fldChar w:fldCharType="begin"/>
      </w:r>
      <w:r>
        <w:instrText xml:space="preserve"> PAGEREF _Toc377039031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Meaning of “witness”</w:t>
      </w:r>
      <w:r>
        <w:tab/>
      </w:r>
      <w:r>
        <w:fldChar w:fldCharType="begin"/>
      </w:r>
      <w:r>
        <w:instrText xml:space="preserve"> PAGEREF _Toc377039032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State Witness Protection Program</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Commissioner to establish SWPP</w:t>
      </w:r>
      <w:r>
        <w:tab/>
      </w:r>
      <w:r>
        <w:fldChar w:fldCharType="begin"/>
      </w:r>
      <w:r>
        <w:instrText xml:space="preserve"> PAGEREF _Toc377039035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Arrangements with approved authorities</w:t>
      </w:r>
      <w:r>
        <w:tab/>
      </w:r>
      <w:r>
        <w:fldChar w:fldCharType="begin"/>
      </w:r>
      <w:r>
        <w:instrText xml:space="preserve"> PAGEREF _Toc377039036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Authorisation of approved authorities</w:t>
      </w:r>
      <w:r>
        <w:tab/>
      </w:r>
      <w:r>
        <w:fldChar w:fldCharType="begin"/>
      </w:r>
      <w:r>
        <w:instrText xml:space="preserve"> PAGEREF _Toc377039037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Including witnesses in the SWPP</w:t>
      </w:r>
    </w:p>
    <w:p>
      <w:pPr>
        <w:pStyle w:val="TOC8"/>
        <w:rPr>
          <w:rFonts w:asciiTheme="minorHAnsi" w:eastAsiaTheme="minorEastAsia" w:hAnsiTheme="minorHAnsi" w:cstheme="minorBidi"/>
          <w:szCs w:val="22"/>
        </w:rPr>
      </w:pPr>
      <w:r>
        <w:t>8</w:t>
      </w:r>
      <w:r>
        <w:rPr>
          <w:snapToGrid w:val="0"/>
        </w:rPr>
        <w:t>.</w:t>
      </w:r>
      <w:r>
        <w:rPr>
          <w:snapToGrid w:val="0"/>
        </w:rPr>
        <w:tab/>
        <w:t>Commissioner to decide who is included</w:t>
      </w:r>
      <w:r>
        <w:tab/>
      </w:r>
      <w:r>
        <w:fldChar w:fldCharType="begin"/>
      </w:r>
      <w:r>
        <w:instrText xml:space="preserve"> PAGEREF _Toc377039039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Inclusion not to be a reward for giving evidence etc.</w:t>
      </w:r>
      <w:r>
        <w:tab/>
      </w:r>
      <w:r>
        <w:fldChar w:fldCharType="begin"/>
      </w:r>
      <w:r>
        <w:instrText xml:space="preserve"> PAGEREF _Toc377039040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Witness to provide Commissioner with information before inclusion</w:t>
      </w:r>
      <w:r>
        <w:tab/>
      </w:r>
      <w:r>
        <w:fldChar w:fldCharType="begin"/>
      </w:r>
      <w:r>
        <w:instrText xml:space="preserve"> PAGEREF _Toc377039041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Memorandum of understanding</w:t>
      </w:r>
      <w:r>
        <w:tab/>
      </w:r>
      <w:r>
        <w:fldChar w:fldCharType="begin"/>
      </w:r>
      <w:r>
        <w:instrText xml:space="preserve"> PAGEREF _Toc377039042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Amending a memorandum of understanding</w:t>
      </w:r>
      <w:r>
        <w:tab/>
      </w:r>
      <w:r>
        <w:fldChar w:fldCharType="begin"/>
      </w:r>
      <w:r>
        <w:instrText xml:space="preserve"> PAGEREF _Toc377039043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Register of participants</w:t>
      </w:r>
    </w:p>
    <w:p>
      <w:pPr>
        <w:pStyle w:val="TOC8"/>
        <w:rPr>
          <w:rFonts w:asciiTheme="minorHAnsi" w:eastAsiaTheme="minorEastAsia" w:hAnsiTheme="minorHAnsi" w:cstheme="minorBidi"/>
          <w:szCs w:val="22"/>
        </w:rPr>
      </w:pPr>
      <w:r>
        <w:t>13</w:t>
      </w:r>
      <w:r>
        <w:rPr>
          <w:snapToGrid w:val="0"/>
        </w:rPr>
        <w:t>.</w:t>
      </w:r>
      <w:r>
        <w:rPr>
          <w:snapToGrid w:val="0"/>
        </w:rPr>
        <w:tab/>
        <w:t>Commissioner to keep register</w:t>
      </w:r>
      <w:r>
        <w:tab/>
      </w:r>
      <w:r>
        <w:fldChar w:fldCharType="begin"/>
      </w:r>
      <w:r>
        <w:instrText xml:space="preserve"> PAGEREF _Toc377039045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Access to the register</w:t>
      </w:r>
      <w:r>
        <w:tab/>
      </w:r>
      <w:r>
        <w:fldChar w:fldCharType="begin"/>
      </w:r>
      <w:r>
        <w:instrText xml:space="preserve"> PAGEREF _Toc377039046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Protecting and assisting witnesses and participants</w:t>
      </w:r>
    </w:p>
    <w:p>
      <w:pPr>
        <w:pStyle w:val="TOC8"/>
        <w:rPr>
          <w:rFonts w:asciiTheme="minorHAnsi" w:eastAsiaTheme="minorEastAsia" w:hAnsiTheme="minorHAnsi" w:cstheme="minorBidi"/>
          <w:szCs w:val="22"/>
        </w:rPr>
      </w:pPr>
      <w:r>
        <w:t>15</w:t>
      </w:r>
      <w:r>
        <w:rPr>
          <w:snapToGrid w:val="0"/>
        </w:rPr>
        <w:t>.</w:t>
      </w:r>
      <w:r>
        <w:rPr>
          <w:snapToGrid w:val="0"/>
        </w:rPr>
        <w:tab/>
        <w:t>Commissioner must take action to protect etc.</w:t>
      </w:r>
      <w:r>
        <w:tab/>
      </w:r>
      <w:r>
        <w:fldChar w:fldCharType="begin"/>
      </w:r>
      <w:r>
        <w:instrText xml:space="preserve"> PAGEREF _Toc377039048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Action as to obligations etc. of a participant</w:t>
      </w:r>
      <w:r>
        <w:tab/>
      </w:r>
      <w:r>
        <w:fldChar w:fldCharType="begin"/>
      </w:r>
      <w:r>
        <w:instrText xml:space="preserve"> PAGEREF _Toc377039049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Commercial arrangements for benefit of participant</w:t>
      </w:r>
      <w:r>
        <w:tab/>
      </w:r>
      <w:r>
        <w:fldChar w:fldCharType="begin"/>
      </w:r>
      <w:r>
        <w:instrText xml:space="preserve"> PAGEREF _Toc377039050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Identity documents in urgent cases</w:t>
      </w:r>
      <w:r>
        <w:tab/>
      </w:r>
      <w:r>
        <w:fldChar w:fldCharType="begin"/>
      </w:r>
      <w:r>
        <w:instrText xml:space="preserve"> PAGEREF _Toc377039051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New identity orders</w:t>
      </w:r>
    </w:p>
    <w:p>
      <w:pPr>
        <w:pStyle w:val="TOC8"/>
        <w:rPr>
          <w:rFonts w:asciiTheme="minorHAnsi" w:eastAsiaTheme="minorEastAsia" w:hAnsiTheme="minorHAnsi" w:cstheme="minorBidi"/>
          <w:szCs w:val="22"/>
        </w:rPr>
      </w:pPr>
      <w:r>
        <w:t>19</w:t>
      </w:r>
      <w:r>
        <w:rPr>
          <w:snapToGrid w:val="0"/>
        </w:rPr>
        <w:t>.</w:t>
      </w:r>
      <w:r>
        <w:rPr>
          <w:snapToGrid w:val="0"/>
        </w:rPr>
        <w:tab/>
        <w:t>Terms used in this Division</w:t>
      </w:r>
      <w:r>
        <w:tab/>
      </w:r>
      <w:r>
        <w:fldChar w:fldCharType="begin"/>
      </w:r>
      <w:r>
        <w:instrText xml:space="preserve"> PAGEREF _Toc377039053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Supreme Court</w:t>
      </w:r>
      <w:r>
        <w:tab/>
      </w:r>
      <w:r>
        <w:fldChar w:fldCharType="begin"/>
      </w:r>
      <w:r>
        <w:instrText xml:space="preserve"> PAGEREF _Toc377039054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Supreme Court may make order</w:t>
      </w:r>
      <w:r>
        <w:tab/>
      </w:r>
      <w:r>
        <w:fldChar w:fldCharType="begin"/>
      </w:r>
      <w:r>
        <w:instrText xml:space="preserve"> PAGEREF _Toc377039055 \h </w:instrText>
      </w:r>
      <w:r>
        <w:fldChar w:fldCharType="separate"/>
      </w:r>
      <w:r>
        <w:t>19</w:t>
      </w:r>
      <w:r>
        <w:fldChar w:fldCharType="end"/>
      </w:r>
    </w:p>
    <w:p>
      <w:pPr>
        <w:pStyle w:val="TOC8"/>
        <w:rPr>
          <w:rFonts w:asciiTheme="minorHAnsi" w:eastAsiaTheme="minorEastAsia" w:hAnsiTheme="minorHAnsi" w:cstheme="minorBidi"/>
          <w:szCs w:val="22"/>
        </w:rPr>
      </w:pPr>
      <w:r>
        <w:t>22A.</w:t>
      </w:r>
      <w:r>
        <w:tab/>
        <w:t>Effect of new identity order</w:t>
      </w:r>
      <w:r>
        <w:tab/>
      </w:r>
      <w:r>
        <w:fldChar w:fldCharType="begin"/>
      </w:r>
      <w:r>
        <w:instrText xml:space="preserve"> PAGEREF _Toc377039056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Supreme Court may order former identity to be restored</w:t>
      </w:r>
      <w:r>
        <w:tab/>
      </w:r>
      <w:r>
        <w:fldChar w:fldCharType="begin"/>
      </w:r>
      <w:r>
        <w:instrText xml:space="preserve"> PAGEREF _Toc377039057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Proceedings to be in private</w:t>
      </w:r>
      <w:r>
        <w:tab/>
      </w:r>
      <w:r>
        <w:fldChar w:fldCharType="begin"/>
      </w:r>
      <w:r>
        <w:instrText xml:space="preserve"> PAGEREF _Toc377039058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actions done under order</w:t>
      </w:r>
      <w:r>
        <w:tab/>
      </w:r>
      <w:r>
        <w:fldChar w:fldCharType="begin"/>
      </w:r>
      <w:r>
        <w:instrText xml:space="preserve"> PAGEREF _Toc377039059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Terminating protection and assistance</w:t>
      </w:r>
    </w:p>
    <w:p>
      <w:pPr>
        <w:pStyle w:val="TOC8"/>
        <w:rPr>
          <w:rFonts w:asciiTheme="minorHAnsi" w:eastAsiaTheme="minorEastAsia" w:hAnsiTheme="minorHAnsi" w:cstheme="minorBidi"/>
          <w:szCs w:val="22"/>
        </w:rPr>
      </w:pPr>
      <w:r>
        <w:t>25</w:t>
      </w:r>
      <w:r>
        <w:rPr>
          <w:snapToGrid w:val="0"/>
        </w:rPr>
        <w:t>.</w:t>
      </w:r>
      <w:r>
        <w:rPr>
          <w:snapToGrid w:val="0"/>
        </w:rPr>
        <w:tab/>
        <w:t>Commissioner may terminate protection</w:t>
      </w:r>
      <w:r>
        <w:tab/>
      </w:r>
      <w:r>
        <w:fldChar w:fldCharType="begin"/>
      </w:r>
      <w:r>
        <w:instrText xml:space="preserve"> PAGEREF _Toc377039061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Restoring a former identity</w:t>
      </w:r>
      <w:r>
        <w:tab/>
      </w:r>
      <w:r>
        <w:fldChar w:fldCharType="begin"/>
      </w:r>
      <w:r>
        <w:instrText xml:space="preserve"> PAGEREF _Toc377039062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Secrecy and disclosure</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rPr>
          <w:snapToGrid w:val="0"/>
        </w:rPr>
        <w:t>.</w:t>
      </w:r>
      <w:r>
        <w:rPr>
          <w:snapToGrid w:val="0"/>
        </w:rPr>
        <w:tab/>
        <w:t>Duty not to disclose</w:t>
      </w:r>
      <w:r>
        <w:tab/>
      </w:r>
      <w:r>
        <w:fldChar w:fldCharType="begin"/>
      </w:r>
      <w:r>
        <w:instrText xml:space="preserve"> PAGEREF _Toc377039065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Disclosure of information cannot be compelled</w:t>
      </w:r>
      <w:r>
        <w:tab/>
      </w:r>
      <w:r>
        <w:fldChar w:fldCharType="begin"/>
      </w:r>
      <w:r>
        <w:instrText xml:space="preserve"> PAGEREF _Toc377039066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Disclosing information to approved authorities</w:t>
      </w:r>
      <w:r>
        <w:tab/>
      </w:r>
      <w:r>
        <w:fldChar w:fldCharType="begin"/>
      </w:r>
      <w:r>
        <w:instrText xml:space="preserve"> PAGEREF _Toc377039067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disclosures to court to be in private</w:t>
      </w:r>
      <w:r>
        <w:tab/>
      </w:r>
      <w:r>
        <w:fldChar w:fldCharType="begin"/>
      </w:r>
      <w:r>
        <w:instrText xml:space="preserve"> PAGEREF _Toc377039068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Evidence by participants</w:t>
      </w:r>
    </w:p>
    <w:p>
      <w:pPr>
        <w:pStyle w:val="TOC6"/>
        <w:tabs>
          <w:tab w:val="right" w:leader="dot" w:pos="7086"/>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_Toc377039071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Non-disclosure certificates for protected persons</w:t>
      </w:r>
    </w:p>
    <w:p>
      <w:pPr>
        <w:pStyle w:val="TOC8"/>
        <w:rPr>
          <w:rFonts w:asciiTheme="minorHAnsi" w:eastAsiaTheme="minorEastAsia" w:hAnsiTheme="minorHAnsi" w:cstheme="minorBidi"/>
          <w:szCs w:val="22"/>
        </w:rPr>
      </w:pPr>
      <w:r>
        <w:t>34A.</w:t>
      </w:r>
      <w:r>
        <w:tab/>
        <w:t>Non</w:t>
      </w:r>
      <w:r>
        <w:noBreakHyphen/>
        <w:t>disclosure certificates</w:t>
      </w:r>
      <w:r>
        <w:tab/>
      </w:r>
      <w:r>
        <w:fldChar w:fldCharType="begin"/>
      </w:r>
      <w:r>
        <w:instrText xml:space="preserve"> PAGEREF _Toc377039073 \h </w:instrText>
      </w:r>
      <w:r>
        <w:fldChar w:fldCharType="separate"/>
      </w:r>
      <w:r>
        <w:t>29</w:t>
      </w:r>
      <w:r>
        <w:fldChar w:fldCharType="end"/>
      </w:r>
    </w:p>
    <w:p>
      <w:pPr>
        <w:pStyle w:val="TOC8"/>
        <w:rPr>
          <w:rFonts w:asciiTheme="minorHAnsi" w:eastAsiaTheme="minorEastAsia" w:hAnsiTheme="minorHAnsi" w:cstheme="minorBidi"/>
          <w:szCs w:val="22"/>
        </w:rPr>
      </w:pPr>
      <w:r>
        <w:t>34B.</w:t>
      </w:r>
      <w:r>
        <w:tab/>
        <w:t>What non</w:t>
      </w:r>
      <w:r>
        <w:noBreakHyphen/>
        <w:t>disclosure certificate must state</w:t>
      </w:r>
      <w:r>
        <w:tab/>
      </w:r>
      <w:r>
        <w:fldChar w:fldCharType="begin"/>
      </w:r>
      <w:r>
        <w:instrText xml:space="preserve"> PAGEREF _Toc377039074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Provisions applicable to court proceedings</w:t>
      </w:r>
    </w:p>
    <w:p>
      <w:pPr>
        <w:pStyle w:val="TOC8"/>
        <w:rPr>
          <w:rFonts w:asciiTheme="minorHAnsi" w:eastAsiaTheme="minorEastAsia" w:hAnsiTheme="minorHAnsi" w:cstheme="minorBidi"/>
          <w:szCs w:val="22"/>
        </w:rPr>
      </w:pPr>
      <w:r>
        <w:t>34CA.</w:t>
      </w:r>
      <w:r>
        <w:tab/>
        <w:t>Application of Subdivision</w:t>
      </w:r>
      <w:r>
        <w:tab/>
      </w:r>
      <w:r>
        <w:fldChar w:fldCharType="begin"/>
      </w:r>
      <w:r>
        <w:instrText xml:space="preserve"> PAGEREF _Toc377039076 \h </w:instrText>
      </w:r>
      <w:r>
        <w:fldChar w:fldCharType="separate"/>
      </w:r>
      <w:r>
        <w:t>30</w:t>
      </w:r>
      <w:r>
        <w:fldChar w:fldCharType="end"/>
      </w:r>
    </w:p>
    <w:p>
      <w:pPr>
        <w:pStyle w:val="TOC8"/>
        <w:rPr>
          <w:rFonts w:asciiTheme="minorHAnsi" w:eastAsiaTheme="minorEastAsia" w:hAnsiTheme="minorHAnsi" w:cstheme="minorBidi"/>
          <w:szCs w:val="22"/>
        </w:rPr>
      </w:pPr>
      <w:r>
        <w:t>34C.</w:t>
      </w:r>
      <w:r>
        <w:tab/>
        <w:t>Effect of non</w:t>
      </w:r>
      <w:r>
        <w:noBreakHyphen/>
        <w:t>disclosure certificate</w:t>
      </w:r>
      <w:r>
        <w:tab/>
      </w:r>
      <w:r>
        <w:fldChar w:fldCharType="begin"/>
      </w:r>
      <w:r>
        <w:instrText xml:space="preserve"> PAGEREF _Toc377039077 \h </w:instrText>
      </w:r>
      <w:r>
        <w:fldChar w:fldCharType="separate"/>
      </w:r>
      <w:r>
        <w:t>30</w:t>
      </w:r>
      <w:r>
        <w:fldChar w:fldCharType="end"/>
      </w:r>
    </w:p>
    <w:p>
      <w:pPr>
        <w:pStyle w:val="TOC8"/>
        <w:rPr>
          <w:rFonts w:asciiTheme="minorHAnsi" w:eastAsiaTheme="minorEastAsia" w:hAnsiTheme="minorHAnsi" w:cstheme="minorBidi"/>
          <w:szCs w:val="22"/>
        </w:rPr>
      </w:pPr>
      <w:r>
        <w:t>34D.</w:t>
      </w:r>
      <w:r>
        <w:tab/>
        <w:t>Disclosure of protected person’s identity despite certificate</w:t>
      </w:r>
      <w:r>
        <w:tab/>
      </w:r>
      <w:r>
        <w:fldChar w:fldCharType="begin"/>
      </w:r>
      <w:r>
        <w:instrText xml:space="preserve"> PAGEREF _Toc377039078 \h </w:instrText>
      </w:r>
      <w:r>
        <w:fldChar w:fldCharType="separate"/>
      </w:r>
      <w:r>
        <w:t>32</w:t>
      </w:r>
      <w:r>
        <w:fldChar w:fldCharType="end"/>
      </w:r>
    </w:p>
    <w:p>
      <w:pPr>
        <w:pStyle w:val="TOC8"/>
        <w:rPr>
          <w:rFonts w:asciiTheme="minorHAnsi" w:eastAsiaTheme="minorEastAsia" w:hAnsiTheme="minorHAnsi" w:cstheme="minorBidi"/>
          <w:szCs w:val="22"/>
        </w:rPr>
      </w:pPr>
      <w:r>
        <w:t>34E.</w:t>
      </w:r>
      <w:r>
        <w:tab/>
        <w:t>Directions to jury</w:t>
      </w:r>
      <w:r>
        <w:tab/>
      </w:r>
      <w:r>
        <w:fldChar w:fldCharType="begin"/>
      </w:r>
      <w:r>
        <w:instrText xml:space="preserve"> PAGEREF _Toc377039079 \h </w:instrText>
      </w:r>
      <w:r>
        <w:fldChar w:fldCharType="separate"/>
      </w:r>
      <w:r>
        <w:t>34</w:t>
      </w:r>
      <w:r>
        <w:fldChar w:fldCharType="end"/>
      </w:r>
    </w:p>
    <w:p>
      <w:pPr>
        <w:pStyle w:val="TOC8"/>
        <w:rPr>
          <w:rFonts w:asciiTheme="minorHAnsi" w:eastAsiaTheme="minorEastAsia" w:hAnsiTheme="minorHAnsi" w:cstheme="minorBidi"/>
          <w:szCs w:val="22"/>
        </w:rPr>
      </w:pPr>
      <w:r>
        <w:t>34F.</w:t>
      </w:r>
      <w:r>
        <w:tab/>
        <w:t>Adjournment for appeal decision</w:t>
      </w:r>
      <w:r>
        <w:tab/>
      </w:r>
      <w:r>
        <w:fldChar w:fldCharType="begin"/>
      </w:r>
      <w:r>
        <w:instrText xml:space="preserve"> PAGEREF _Toc377039080 \h </w:instrText>
      </w:r>
      <w:r>
        <w:fldChar w:fldCharType="separate"/>
      </w:r>
      <w:r>
        <w:t>34</w:t>
      </w:r>
      <w:r>
        <w:fldChar w:fldCharType="end"/>
      </w:r>
    </w:p>
    <w:p>
      <w:pPr>
        <w:pStyle w:val="TOC8"/>
        <w:rPr>
          <w:rFonts w:asciiTheme="minorHAnsi" w:eastAsiaTheme="minorEastAsia" w:hAnsiTheme="minorHAnsi" w:cstheme="minorBidi"/>
          <w:szCs w:val="22"/>
        </w:rPr>
      </w:pPr>
      <w:r>
        <w:t>34G.</w:t>
      </w:r>
      <w:r>
        <w:tab/>
        <w:t>Jurisdiction to hear and determine appeals</w:t>
      </w:r>
      <w:r>
        <w:tab/>
      </w:r>
      <w:r>
        <w:fldChar w:fldCharType="begin"/>
      </w:r>
      <w:r>
        <w:instrText xml:space="preserve"> PAGEREF _Toc377039081 \h </w:instrText>
      </w:r>
      <w:r>
        <w:fldChar w:fldCharType="separate"/>
      </w:r>
      <w:r>
        <w:t>35</w:t>
      </w:r>
      <w:r>
        <w:fldChar w:fldCharType="end"/>
      </w:r>
    </w:p>
    <w:p>
      <w:pPr>
        <w:pStyle w:val="TOC8"/>
        <w:rPr>
          <w:rFonts w:asciiTheme="minorHAnsi" w:eastAsiaTheme="minorEastAsia" w:hAnsiTheme="minorHAnsi" w:cstheme="minorBidi"/>
          <w:szCs w:val="22"/>
        </w:rPr>
      </w:pPr>
      <w:r>
        <w:t>34H.</w:t>
      </w:r>
      <w:r>
        <w:tab/>
        <w:t>Recognition of non</w:t>
      </w:r>
      <w:r>
        <w:noBreakHyphen/>
        <w:t>disclosure certificates under corresponding laws</w:t>
      </w:r>
      <w:r>
        <w:tab/>
      </w:r>
      <w:r>
        <w:fldChar w:fldCharType="begin"/>
      </w:r>
      <w:r>
        <w:instrText xml:space="preserve"> PAGEREF _Toc377039082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t>Subdivision 4 — Provisions applicable to parliamentary proceedings</w:t>
      </w:r>
    </w:p>
    <w:p>
      <w:pPr>
        <w:pStyle w:val="TOC8"/>
        <w:rPr>
          <w:rFonts w:asciiTheme="minorHAnsi" w:eastAsiaTheme="minorEastAsia" w:hAnsiTheme="minorHAnsi" w:cstheme="minorBidi"/>
          <w:szCs w:val="22"/>
        </w:rPr>
      </w:pPr>
      <w:r>
        <w:t>34I.</w:t>
      </w:r>
      <w:r>
        <w:tab/>
        <w:t>Application of Subdivision</w:t>
      </w:r>
      <w:r>
        <w:tab/>
      </w:r>
      <w:r>
        <w:fldChar w:fldCharType="begin"/>
      </w:r>
      <w:r>
        <w:instrText xml:space="preserve"> PAGEREF _Toc377039084 \h </w:instrText>
      </w:r>
      <w:r>
        <w:fldChar w:fldCharType="separate"/>
      </w:r>
      <w:r>
        <w:t>36</w:t>
      </w:r>
      <w:r>
        <w:fldChar w:fldCharType="end"/>
      </w:r>
    </w:p>
    <w:p>
      <w:pPr>
        <w:pStyle w:val="TOC8"/>
        <w:rPr>
          <w:rFonts w:asciiTheme="minorHAnsi" w:eastAsiaTheme="minorEastAsia" w:hAnsiTheme="minorHAnsi" w:cstheme="minorBidi"/>
          <w:szCs w:val="22"/>
        </w:rPr>
      </w:pPr>
      <w:r>
        <w:t>34J.</w:t>
      </w:r>
      <w:r>
        <w:tab/>
        <w:t>Effect of non-disclosure certificate</w:t>
      </w:r>
      <w:r>
        <w:tab/>
      </w:r>
      <w:r>
        <w:fldChar w:fldCharType="begin"/>
      </w:r>
      <w:r>
        <w:instrText xml:space="preserve"> PAGEREF _Toc377039085 \h </w:instrText>
      </w:r>
      <w:r>
        <w:fldChar w:fldCharType="separate"/>
      </w:r>
      <w:r>
        <w:t>36</w:t>
      </w:r>
      <w:r>
        <w:fldChar w:fldCharType="end"/>
      </w:r>
    </w:p>
    <w:p>
      <w:pPr>
        <w:pStyle w:val="TOC8"/>
        <w:rPr>
          <w:rFonts w:asciiTheme="minorHAnsi" w:eastAsiaTheme="minorEastAsia" w:hAnsiTheme="minorHAnsi" w:cstheme="minorBidi"/>
          <w:szCs w:val="22"/>
        </w:rPr>
      </w:pPr>
      <w:r>
        <w:t>34K.</w:t>
      </w:r>
      <w:r>
        <w:tab/>
        <w:t>Disclosure of protected person’s identity despite certificate</w:t>
      </w:r>
      <w:r>
        <w:tab/>
      </w:r>
      <w:r>
        <w:fldChar w:fldCharType="begin"/>
      </w:r>
      <w:r>
        <w:instrText xml:space="preserve"> PAGEREF _Toc377039086 \h </w:instrText>
      </w:r>
      <w:r>
        <w:fldChar w:fldCharType="separate"/>
      </w:r>
      <w:r>
        <w:t>37</w:t>
      </w:r>
      <w:r>
        <w:fldChar w:fldCharType="end"/>
      </w:r>
    </w:p>
    <w:p>
      <w:pPr>
        <w:pStyle w:val="TOC8"/>
        <w:rPr>
          <w:rFonts w:asciiTheme="minorHAnsi" w:eastAsiaTheme="minorEastAsia" w:hAnsiTheme="minorHAnsi" w:cstheme="minorBidi"/>
          <w:szCs w:val="22"/>
        </w:rPr>
      </w:pPr>
      <w:r>
        <w:t>34L.</w:t>
      </w:r>
      <w:r>
        <w:tab/>
        <w:t>Restrictions on content of reports to Parliament</w:t>
      </w:r>
      <w:r>
        <w:tab/>
      </w:r>
      <w:r>
        <w:fldChar w:fldCharType="begin"/>
      </w:r>
      <w:r>
        <w:instrText xml:space="preserve"> PAGEREF _Toc377039087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34</w:t>
      </w:r>
      <w:r>
        <w:rPr>
          <w:snapToGrid w:val="0"/>
        </w:rPr>
        <w:t>.</w:t>
      </w:r>
      <w:r>
        <w:rPr>
          <w:snapToGrid w:val="0"/>
        </w:rPr>
        <w:tab/>
        <w:t xml:space="preserve">Disclosure by Auditor General, Parliamentary Commissioner or </w:t>
      </w:r>
      <w:r>
        <w:t>Corruption and Crime Commission</w:t>
      </w:r>
      <w:r>
        <w:tab/>
      </w:r>
      <w:r>
        <w:fldChar w:fldCharType="begin"/>
      </w:r>
      <w:r>
        <w:instrText xml:space="preserve"> PAGEREF _Toc377039089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_Toc377039091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Delegation</w:t>
      </w:r>
      <w:r>
        <w:tab/>
      </w:r>
      <w:r>
        <w:fldChar w:fldCharType="begin"/>
      </w:r>
      <w:r>
        <w:instrText xml:space="preserve"> PAGEREF _Toc377039092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Reporting on the SWPP</w:t>
      </w:r>
      <w:r>
        <w:tab/>
      </w:r>
      <w:r>
        <w:fldChar w:fldCharType="begin"/>
      </w:r>
      <w:r>
        <w:instrText xml:space="preserve"> PAGEREF _Toc377039093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from liability for wrongdoing</w:t>
      </w:r>
      <w:r>
        <w:tab/>
      </w:r>
      <w:r>
        <w:fldChar w:fldCharType="begin"/>
      </w:r>
      <w:r>
        <w:instrText xml:space="preserve"> PAGEREF _Toc377039094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_Toc377039095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40</w:t>
      </w:r>
      <w:r>
        <w:rPr>
          <w:snapToGrid w:val="0"/>
        </w:rPr>
        <w:t>.</w:t>
      </w:r>
      <w:r>
        <w:rPr>
          <w:snapToGrid w:val="0"/>
        </w:rPr>
        <w:tab/>
        <w:t>Transitional</w:t>
      </w:r>
      <w:r>
        <w:tab/>
      </w:r>
      <w:r>
        <w:fldChar w:fldCharType="begin"/>
      </w:r>
      <w:r>
        <w:instrText xml:space="preserve"> PAGEREF _Toc377039097 \h </w:instrText>
      </w:r>
      <w:r>
        <w:fldChar w:fldCharType="separate"/>
      </w:r>
      <w:r>
        <w:t>43</w:t>
      </w:r>
      <w:r>
        <w:fldChar w:fldCharType="end"/>
      </w:r>
    </w:p>
    <w:p>
      <w:pPr>
        <w:pStyle w:val="TOC8"/>
        <w:rPr>
          <w:rFonts w:asciiTheme="minorHAnsi" w:eastAsiaTheme="minorEastAsia" w:hAnsiTheme="minorHAnsi" w:cstheme="minorBidi"/>
          <w:szCs w:val="22"/>
        </w:rPr>
      </w:pPr>
      <w:r>
        <w:t>41.</w:t>
      </w:r>
      <w:r>
        <w:tab/>
        <w:t xml:space="preserve">Savings provision relating to </w:t>
      </w:r>
      <w:r>
        <w:rPr>
          <w:i/>
        </w:rPr>
        <w:t>Criminal Investigation (Covert Powers) Act 2012</w:t>
      </w:r>
      <w:r>
        <w:tab/>
      </w:r>
      <w:r>
        <w:fldChar w:fldCharType="begin"/>
      </w:r>
      <w:r>
        <w:instrText xml:space="preserve"> PAGEREF _Toc377039098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_Toc377039100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An Act to establish a program to give protection and assistance to certain witnesses and other persons and for related purposes.</w:t>
      </w:r>
    </w:p>
    <w:p>
      <w:pPr>
        <w:pStyle w:val="Heading2"/>
      </w:pPr>
      <w:bookmarkStart w:id="1" w:name="_Toc377039028"/>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03902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3" w:name="_Toc377039030"/>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4" w:name="_Toc377039031"/>
      <w:r>
        <w:rPr>
          <w:rStyle w:val="CharSectno"/>
        </w:rPr>
        <w:t>3</w:t>
      </w:r>
      <w:r>
        <w:rPr>
          <w:snapToGrid w:val="0"/>
        </w:rPr>
        <w:t>.</w:t>
      </w:r>
      <w:r>
        <w:rPr>
          <w:snapToGrid w:val="0"/>
        </w:rPr>
        <w:tab/>
        <w:t>Terms and abbreviation used in this Act</w:t>
      </w:r>
      <w:bookmarkEnd w:id="4"/>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and Sch. 3</w:t>
      </w:r>
      <w:r>
        <w:rPr>
          <w:vertAlign w:val="superscript"/>
        </w:rPr>
        <w:t> 3</w:t>
      </w:r>
      <w:r>
        <w:t xml:space="preserve"> cl. 11; No. 4 of 2004 s. 58; No. 74 of 2004 s. 75; No. 8 of 2008 s. 22 and 23(9).]</w:t>
      </w:r>
    </w:p>
    <w:p>
      <w:pPr>
        <w:pStyle w:val="Heading5"/>
        <w:rPr>
          <w:snapToGrid w:val="0"/>
        </w:rPr>
      </w:pPr>
      <w:bookmarkStart w:id="5" w:name="_Toc377039032"/>
      <w:r>
        <w:rPr>
          <w:rStyle w:val="CharSectno"/>
        </w:rPr>
        <w:t>4</w:t>
      </w:r>
      <w:r>
        <w:rPr>
          <w:snapToGrid w:val="0"/>
        </w:rPr>
        <w:t>.</w:t>
      </w:r>
      <w:r>
        <w:rPr>
          <w:snapToGrid w:val="0"/>
        </w:rPr>
        <w:tab/>
        <w:t>Meaning of “witness”</w:t>
      </w:r>
      <w:bookmarkEnd w:id="5"/>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6" w:name="_Toc377039033"/>
      <w:r>
        <w:rPr>
          <w:rStyle w:val="CharPartNo"/>
        </w:rPr>
        <w:t>Part 2</w:t>
      </w:r>
      <w:r>
        <w:t> — </w:t>
      </w:r>
      <w:r>
        <w:rPr>
          <w:rStyle w:val="CharPartText"/>
        </w:rPr>
        <w:t>State Witness Protection Program</w:t>
      </w:r>
      <w:bookmarkEnd w:id="6"/>
    </w:p>
    <w:p>
      <w:pPr>
        <w:pStyle w:val="Heading3"/>
      </w:pPr>
      <w:bookmarkStart w:id="7" w:name="_Toc377039034"/>
      <w:r>
        <w:rPr>
          <w:rStyle w:val="CharDivNo"/>
        </w:rPr>
        <w:t>Division 1</w:t>
      </w:r>
      <w:r>
        <w:rPr>
          <w:snapToGrid w:val="0"/>
        </w:rPr>
        <w:t> — </w:t>
      </w:r>
      <w:r>
        <w:rPr>
          <w:rStyle w:val="CharDivText"/>
        </w:rPr>
        <w:t>Establishment</w:t>
      </w:r>
      <w:bookmarkEnd w:id="7"/>
    </w:p>
    <w:p>
      <w:pPr>
        <w:pStyle w:val="Heading5"/>
        <w:rPr>
          <w:snapToGrid w:val="0"/>
        </w:rPr>
      </w:pPr>
      <w:bookmarkStart w:id="8" w:name="_Toc377039035"/>
      <w:r>
        <w:rPr>
          <w:rStyle w:val="CharSectno"/>
        </w:rPr>
        <w:t>5</w:t>
      </w:r>
      <w:r>
        <w:rPr>
          <w:snapToGrid w:val="0"/>
        </w:rPr>
        <w:t>.</w:t>
      </w:r>
      <w:r>
        <w:rPr>
          <w:snapToGrid w:val="0"/>
        </w:rPr>
        <w:tab/>
        <w:t>Commissioner to establish SWPP</w:t>
      </w:r>
      <w:bookmarkEnd w:id="8"/>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9" w:name="_Toc377039036"/>
      <w:r>
        <w:rPr>
          <w:rStyle w:val="CharSectno"/>
        </w:rPr>
        <w:t>6</w:t>
      </w:r>
      <w:r>
        <w:rPr>
          <w:snapToGrid w:val="0"/>
        </w:rPr>
        <w:t>.</w:t>
      </w:r>
      <w:r>
        <w:rPr>
          <w:snapToGrid w:val="0"/>
        </w:rPr>
        <w:tab/>
        <w:t>Arrangements with approved authorities</w:t>
      </w:r>
      <w:bookmarkEnd w:id="9"/>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10" w:name="_Toc377039037"/>
      <w:r>
        <w:rPr>
          <w:rStyle w:val="CharSectno"/>
        </w:rPr>
        <w:t>7</w:t>
      </w:r>
      <w:r>
        <w:rPr>
          <w:snapToGrid w:val="0"/>
        </w:rPr>
        <w:t>.</w:t>
      </w:r>
      <w:r>
        <w:rPr>
          <w:snapToGrid w:val="0"/>
        </w:rPr>
        <w:tab/>
        <w:t>Authorisation of approved authorities</w:t>
      </w:r>
      <w:bookmarkEnd w:id="10"/>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11" w:name="_Toc377039038"/>
      <w:r>
        <w:rPr>
          <w:rStyle w:val="CharDivNo"/>
        </w:rPr>
        <w:t>Division 2</w:t>
      </w:r>
      <w:r>
        <w:rPr>
          <w:snapToGrid w:val="0"/>
        </w:rPr>
        <w:t> — </w:t>
      </w:r>
      <w:r>
        <w:rPr>
          <w:rStyle w:val="CharDivText"/>
        </w:rPr>
        <w:t>Including witnesses in the SWPP</w:t>
      </w:r>
      <w:bookmarkEnd w:id="11"/>
    </w:p>
    <w:p>
      <w:pPr>
        <w:pStyle w:val="Heading5"/>
        <w:rPr>
          <w:snapToGrid w:val="0"/>
        </w:rPr>
      </w:pPr>
      <w:bookmarkStart w:id="12" w:name="_Toc377039039"/>
      <w:r>
        <w:rPr>
          <w:rStyle w:val="CharSectno"/>
        </w:rPr>
        <w:t>8</w:t>
      </w:r>
      <w:r>
        <w:rPr>
          <w:snapToGrid w:val="0"/>
        </w:rPr>
        <w:t>.</w:t>
      </w:r>
      <w:r>
        <w:rPr>
          <w:snapToGrid w:val="0"/>
        </w:rPr>
        <w:tab/>
        <w:t>Commissioner to decide who is included</w:t>
      </w:r>
      <w:bookmarkEnd w:id="12"/>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13" w:name="_Toc377039040"/>
      <w:r>
        <w:rPr>
          <w:rStyle w:val="CharSectno"/>
        </w:rPr>
        <w:t>9</w:t>
      </w:r>
      <w:r>
        <w:rPr>
          <w:snapToGrid w:val="0"/>
        </w:rPr>
        <w:t>.</w:t>
      </w:r>
      <w:r>
        <w:rPr>
          <w:snapToGrid w:val="0"/>
        </w:rPr>
        <w:tab/>
        <w:t>Inclusion not to be a reward for giving evidence etc.</w:t>
      </w:r>
      <w:bookmarkEnd w:id="13"/>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14" w:name="_Toc377039041"/>
      <w:r>
        <w:rPr>
          <w:rStyle w:val="CharSectno"/>
        </w:rPr>
        <w:t>10</w:t>
      </w:r>
      <w:r>
        <w:rPr>
          <w:snapToGrid w:val="0"/>
        </w:rPr>
        <w:t>.</w:t>
      </w:r>
      <w:r>
        <w:rPr>
          <w:snapToGrid w:val="0"/>
        </w:rPr>
        <w:tab/>
        <w:t>Witness to provide Commissioner with information before inclusion</w:t>
      </w:r>
      <w:bookmarkEnd w:id="14"/>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15" w:name="_Toc377039042"/>
      <w:r>
        <w:rPr>
          <w:rStyle w:val="CharSectno"/>
        </w:rPr>
        <w:t>11</w:t>
      </w:r>
      <w:r>
        <w:rPr>
          <w:snapToGrid w:val="0"/>
        </w:rPr>
        <w:t>.</w:t>
      </w:r>
      <w:r>
        <w:rPr>
          <w:snapToGrid w:val="0"/>
        </w:rPr>
        <w:tab/>
        <w:t>Memorandum of understanding</w:t>
      </w:r>
      <w:bookmarkEnd w:id="15"/>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 and Sch. 3</w:t>
      </w:r>
      <w:r>
        <w:rPr>
          <w:vertAlign w:val="superscript"/>
        </w:rPr>
        <w:t> 3</w:t>
      </w:r>
      <w:r>
        <w:t xml:space="preserve"> cl. 11.]</w:t>
      </w:r>
    </w:p>
    <w:p>
      <w:pPr>
        <w:pStyle w:val="Heading5"/>
        <w:rPr>
          <w:snapToGrid w:val="0"/>
        </w:rPr>
      </w:pPr>
      <w:bookmarkStart w:id="16" w:name="_Toc377039043"/>
      <w:r>
        <w:rPr>
          <w:rStyle w:val="CharSectno"/>
        </w:rPr>
        <w:t>12</w:t>
      </w:r>
      <w:r>
        <w:rPr>
          <w:snapToGrid w:val="0"/>
        </w:rPr>
        <w:t>.</w:t>
      </w:r>
      <w:r>
        <w:rPr>
          <w:snapToGrid w:val="0"/>
        </w:rPr>
        <w:tab/>
        <w:t>Amending a memorandum of understanding</w:t>
      </w:r>
      <w:bookmarkEnd w:id="16"/>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17" w:name="_Toc377039044"/>
      <w:r>
        <w:rPr>
          <w:rStyle w:val="CharDivNo"/>
        </w:rPr>
        <w:t>Division 3</w:t>
      </w:r>
      <w:r>
        <w:rPr>
          <w:snapToGrid w:val="0"/>
        </w:rPr>
        <w:t> — </w:t>
      </w:r>
      <w:r>
        <w:rPr>
          <w:rStyle w:val="CharDivText"/>
        </w:rPr>
        <w:t>Register of participants</w:t>
      </w:r>
      <w:bookmarkEnd w:id="17"/>
    </w:p>
    <w:p>
      <w:pPr>
        <w:pStyle w:val="Heading5"/>
        <w:rPr>
          <w:snapToGrid w:val="0"/>
        </w:rPr>
      </w:pPr>
      <w:bookmarkStart w:id="18" w:name="_Toc377039045"/>
      <w:r>
        <w:rPr>
          <w:rStyle w:val="CharSectno"/>
        </w:rPr>
        <w:t>13</w:t>
      </w:r>
      <w:r>
        <w:rPr>
          <w:snapToGrid w:val="0"/>
        </w:rPr>
        <w:t>.</w:t>
      </w:r>
      <w:r>
        <w:rPr>
          <w:snapToGrid w:val="0"/>
        </w:rPr>
        <w:tab/>
        <w:t>Commissioner to keep register</w:t>
      </w:r>
      <w:bookmarkEnd w:id="18"/>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9" w:name="_Toc377039046"/>
      <w:r>
        <w:rPr>
          <w:rStyle w:val="CharSectno"/>
        </w:rPr>
        <w:t>14</w:t>
      </w:r>
      <w:r>
        <w:rPr>
          <w:snapToGrid w:val="0"/>
        </w:rPr>
        <w:t>.</w:t>
      </w:r>
      <w:r>
        <w:rPr>
          <w:snapToGrid w:val="0"/>
        </w:rPr>
        <w:tab/>
        <w:t>Access to the register</w:t>
      </w:r>
      <w:bookmarkEnd w:id="19"/>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by No. 48 of 2003 s. 62 and Sch. 3</w:t>
      </w:r>
      <w:r>
        <w:rPr>
          <w:vertAlign w:val="superscript"/>
        </w:rPr>
        <w:t> 3</w:t>
      </w:r>
      <w:r>
        <w:t xml:space="preserve"> cl. 11; No. 77 of 2006 s. 17.]</w:t>
      </w:r>
    </w:p>
    <w:p>
      <w:pPr>
        <w:pStyle w:val="Heading3"/>
        <w:rPr>
          <w:snapToGrid w:val="0"/>
        </w:rPr>
      </w:pPr>
      <w:bookmarkStart w:id="20" w:name="_Toc377039047"/>
      <w:r>
        <w:rPr>
          <w:rStyle w:val="CharDivNo"/>
        </w:rPr>
        <w:t>Division 4</w:t>
      </w:r>
      <w:r>
        <w:rPr>
          <w:snapToGrid w:val="0"/>
        </w:rPr>
        <w:t> — </w:t>
      </w:r>
      <w:r>
        <w:rPr>
          <w:rStyle w:val="CharDivText"/>
        </w:rPr>
        <w:t>Protecting and assisting witnesses and participants</w:t>
      </w:r>
      <w:bookmarkEnd w:id="20"/>
    </w:p>
    <w:p>
      <w:pPr>
        <w:pStyle w:val="Heading5"/>
        <w:rPr>
          <w:snapToGrid w:val="0"/>
        </w:rPr>
      </w:pPr>
      <w:bookmarkStart w:id="21" w:name="_Toc377039048"/>
      <w:r>
        <w:rPr>
          <w:rStyle w:val="CharSectno"/>
        </w:rPr>
        <w:t>15</w:t>
      </w:r>
      <w:r>
        <w:rPr>
          <w:snapToGrid w:val="0"/>
        </w:rPr>
        <w:t>.</w:t>
      </w:r>
      <w:r>
        <w:rPr>
          <w:snapToGrid w:val="0"/>
        </w:rPr>
        <w:tab/>
        <w:t>Commissioner must take action to protect etc.</w:t>
      </w:r>
      <w:bookmarkEnd w:id="21"/>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22" w:name="_Toc377039049"/>
      <w:r>
        <w:rPr>
          <w:rStyle w:val="CharSectno"/>
        </w:rPr>
        <w:t>16</w:t>
      </w:r>
      <w:r>
        <w:rPr>
          <w:snapToGrid w:val="0"/>
        </w:rPr>
        <w:t>.</w:t>
      </w:r>
      <w:r>
        <w:rPr>
          <w:snapToGrid w:val="0"/>
        </w:rPr>
        <w:tab/>
        <w:t>Action as to obligations etc. of a participant</w:t>
      </w:r>
      <w:bookmarkEnd w:id="22"/>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23" w:name="_Toc377039050"/>
      <w:r>
        <w:rPr>
          <w:rStyle w:val="CharSectno"/>
        </w:rPr>
        <w:t>17</w:t>
      </w:r>
      <w:r>
        <w:rPr>
          <w:snapToGrid w:val="0"/>
        </w:rPr>
        <w:t>.</w:t>
      </w:r>
      <w:r>
        <w:rPr>
          <w:snapToGrid w:val="0"/>
        </w:rPr>
        <w:tab/>
        <w:t>Commercial arrangements for benefit of participant</w:t>
      </w:r>
      <w:bookmarkEnd w:id="23"/>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24" w:name="_Toc377039051"/>
      <w:r>
        <w:rPr>
          <w:rStyle w:val="CharSectno"/>
        </w:rPr>
        <w:t>18</w:t>
      </w:r>
      <w:r>
        <w:rPr>
          <w:snapToGrid w:val="0"/>
        </w:rPr>
        <w:t>.</w:t>
      </w:r>
      <w:r>
        <w:rPr>
          <w:snapToGrid w:val="0"/>
        </w:rPr>
        <w:tab/>
        <w:t>Identity documents in urgent cases</w:t>
      </w:r>
      <w:bookmarkEnd w:id="24"/>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25" w:name="_Toc377039052"/>
      <w:r>
        <w:rPr>
          <w:rStyle w:val="CharDivNo"/>
        </w:rPr>
        <w:t>Division 5</w:t>
      </w:r>
      <w:r>
        <w:rPr>
          <w:snapToGrid w:val="0"/>
        </w:rPr>
        <w:t> — </w:t>
      </w:r>
      <w:r>
        <w:rPr>
          <w:rStyle w:val="CharDivText"/>
        </w:rPr>
        <w:t>New identity orders</w:t>
      </w:r>
      <w:bookmarkEnd w:id="25"/>
    </w:p>
    <w:p>
      <w:pPr>
        <w:pStyle w:val="Heading5"/>
        <w:rPr>
          <w:snapToGrid w:val="0"/>
        </w:rPr>
      </w:pPr>
      <w:bookmarkStart w:id="26" w:name="_Toc377039053"/>
      <w:r>
        <w:rPr>
          <w:rStyle w:val="CharSectno"/>
        </w:rPr>
        <w:t>19</w:t>
      </w:r>
      <w:r>
        <w:rPr>
          <w:snapToGrid w:val="0"/>
        </w:rPr>
        <w:t>.</w:t>
      </w:r>
      <w:r>
        <w:rPr>
          <w:snapToGrid w:val="0"/>
        </w:rPr>
        <w:tab/>
        <w:t>Terms used in this Division</w:t>
      </w:r>
      <w:bookmarkEnd w:id="26"/>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by No. 40 of 1998 s. 18(5).]</w:t>
      </w:r>
    </w:p>
    <w:p>
      <w:pPr>
        <w:pStyle w:val="Heading5"/>
        <w:rPr>
          <w:snapToGrid w:val="0"/>
        </w:rPr>
      </w:pPr>
      <w:bookmarkStart w:id="27" w:name="_Toc377039054"/>
      <w:r>
        <w:rPr>
          <w:rStyle w:val="CharSectno"/>
        </w:rPr>
        <w:t>20</w:t>
      </w:r>
      <w:r>
        <w:rPr>
          <w:snapToGrid w:val="0"/>
        </w:rPr>
        <w:t>.</w:t>
      </w:r>
      <w:r>
        <w:rPr>
          <w:snapToGrid w:val="0"/>
        </w:rPr>
        <w:tab/>
        <w:t>Application to Supreme Court</w:t>
      </w:r>
      <w:bookmarkEnd w:id="27"/>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28" w:name="_Toc377039055"/>
      <w:r>
        <w:rPr>
          <w:rStyle w:val="CharSectno"/>
        </w:rPr>
        <w:t>21</w:t>
      </w:r>
      <w:r>
        <w:rPr>
          <w:snapToGrid w:val="0"/>
        </w:rPr>
        <w:t>.</w:t>
      </w:r>
      <w:r>
        <w:rPr>
          <w:snapToGrid w:val="0"/>
        </w:rPr>
        <w:tab/>
        <w:t>Supreme Court may make order</w:t>
      </w:r>
      <w:bookmarkEnd w:id="28"/>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pPr>
      <w:bookmarkStart w:id="29" w:name="_Toc377039056"/>
      <w:r>
        <w:rPr>
          <w:rStyle w:val="CharSectno"/>
        </w:rPr>
        <w:t>22A</w:t>
      </w:r>
      <w:r>
        <w:t>.</w:t>
      </w:r>
      <w:r>
        <w:tab/>
        <w:t>Effect of new identity order</w:t>
      </w:r>
      <w:bookmarkEnd w:id="29"/>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by No. 55 of 2012 s. 127.]</w:t>
      </w:r>
    </w:p>
    <w:p>
      <w:pPr>
        <w:pStyle w:val="Heading5"/>
        <w:rPr>
          <w:snapToGrid w:val="0"/>
        </w:rPr>
      </w:pPr>
      <w:bookmarkStart w:id="30" w:name="_Toc377039057"/>
      <w:r>
        <w:rPr>
          <w:rStyle w:val="CharSectno"/>
        </w:rPr>
        <w:t>22</w:t>
      </w:r>
      <w:r>
        <w:rPr>
          <w:snapToGrid w:val="0"/>
        </w:rPr>
        <w:t>.</w:t>
      </w:r>
      <w:r>
        <w:rPr>
          <w:snapToGrid w:val="0"/>
        </w:rPr>
        <w:tab/>
        <w:t>Supreme Court may order former identity to be restored</w:t>
      </w:r>
      <w:bookmarkEnd w:id="30"/>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31" w:name="_Toc377039058"/>
      <w:r>
        <w:rPr>
          <w:rStyle w:val="CharSectno"/>
        </w:rPr>
        <w:t>23</w:t>
      </w:r>
      <w:r>
        <w:rPr>
          <w:snapToGrid w:val="0"/>
        </w:rPr>
        <w:t>.</w:t>
      </w:r>
      <w:r>
        <w:rPr>
          <w:snapToGrid w:val="0"/>
        </w:rPr>
        <w:tab/>
        <w:t>Proceedings to be in private</w:t>
      </w:r>
      <w:bookmarkEnd w:id="31"/>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32" w:name="_Toc377039059"/>
      <w:r>
        <w:rPr>
          <w:rStyle w:val="CharSectno"/>
        </w:rPr>
        <w:t>24</w:t>
      </w:r>
      <w:r>
        <w:rPr>
          <w:snapToGrid w:val="0"/>
        </w:rPr>
        <w:t>.</w:t>
      </w:r>
      <w:r>
        <w:rPr>
          <w:snapToGrid w:val="0"/>
        </w:rPr>
        <w:tab/>
        <w:t>Effect of actions done under order</w:t>
      </w:r>
      <w:bookmarkEnd w:id="32"/>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33" w:name="_Toc377039060"/>
      <w:r>
        <w:rPr>
          <w:rStyle w:val="CharDivNo"/>
        </w:rPr>
        <w:t>Division 6</w:t>
      </w:r>
      <w:r>
        <w:rPr>
          <w:snapToGrid w:val="0"/>
        </w:rPr>
        <w:t> — </w:t>
      </w:r>
      <w:r>
        <w:rPr>
          <w:rStyle w:val="CharDivText"/>
        </w:rPr>
        <w:t>Terminating protection and assistance</w:t>
      </w:r>
      <w:bookmarkEnd w:id="33"/>
    </w:p>
    <w:p>
      <w:pPr>
        <w:pStyle w:val="Heading5"/>
        <w:spacing w:before="200"/>
        <w:rPr>
          <w:snapToGrid w:val="0"/>
        </w:rPr>
      </w:pPr>
      <w:bookmarkStart w:id="34" w:name="_Toc377039061"/>
      <w:r>
        <w:rPr>
          <w:rStyle w:val="CharSectno"/>
        </w:rPr>
        <w:t>25</w:t>
      </w:r>
      <w:r>
        <w:rPr>
          <w:snapToGrid w:val="0"/>
        </w:rPr>
        <w:t>.</w:t>
      </w:r>
      <w:r>
        <w:rPr>
          <w:snapToGrid w:val="0"/>
        </w:rPr>
        <w:tab/>
        <w:t>Commissioner may terminate protection</w:t>
      </w:r>
      <w:bookmarkEnd w:id="34"/>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by No. 55 of 2012 s. 128.]</w:t>
      </w:r>
    </w:p>
    <w:p>
      <w:pPr>
        <w:pStyle w:val="Heading5"/>
        <w:spacing w:before="200"/>
        <w:rPr>
          <w:snapToGrid w:val="0"/>
        </w:rPr>
      </w:pPr>
      <w:bookmarkStart w:id="35" w:name="_Toc377039062"/>
      <w:r>
        <w:rPr>
          <w:rStyle w:val="CharSectno"/>
        </w:rPr>
        <w:t>26</w:t>
      </w:r>
      <w:r>
        <w:rPr>
          <w:snapToGrid w:val="0"/>
        </w:rPr>
        <w:t>.</w:t>
      </w:r>
      <w:r>
        <w:rPr>
          <w:snapToGrid w:val="0"/>
        </w:rPr>
        <w:tab/>
        <w:t>Restoring a former identity</w:t>
      </w:r>
      <w:bookmarkEnd w:id="35"/>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36" w:name="_Toc377039063"/>
      <w:r>
        <w:rPr>
          <w:rStyle w:val="CharPartNo"/>
        </w:rPr>
        <w:t>Part 3</w:t>
      </w:r>
      <w:r>
        <w:t> — </w:t>
      </w:r>
      <w:r>
        <w:rPr>
          <w:rStyle w:val="CharPartText"/>
        </w:rPr>
        <w:t>Secrecy and disclosure</w:t>
      </w:r>
      <w:bookmarkEnd w:id="36"/>
    </w:p>
    <w:p>
      <w:pPr>
        <w:pStyle w:val="Heading3"/>
      </w:pPr>
      <w:bookmarkStart w:id="37" w:name="_Toc377039064"/>
      <w:r>
        <w:rPr>
          <w:rStyle w:val="CharDivNo"/>
        </w:rPr>
        <w:t>Division 1</w:t>
      </w:r>
      <w:r>
        <w:t> — </w:t>
      </w:r>
      <w:r>
        <w:rPr>
          <w:rStyle w:val="CharDivText"/>
        </w:rPr>
        <w:t>General</w:t>
      </w:r>
      <w:bookmarkEnd w:id="37"/>
    </w:p>
    <w:p>
      <w:pPr>
        <w:pStyle w:val="Footnoteheading"/>
      </w:pPr>
      <w:r>
        <w:tab/>
        <w:t>[Heading inserted by No. 55 of 2012 s. 129.]</w:t>
      </w:r>
    </w:p>
    <w:p>
      <w:pPr>
        <w:pStyle w:val="Heading5"/>
        <w:rPr>
          <w:snapToGrid w:val="0"/>
        </w:rPr>
      </w:pPr>
      <w:bookmarkStart w:id="38" w:name="_Toc377039065"/>
      <w:r>
        <w:rPr>
          <w:rStyle w:val="CharSectno"/>
        </w:rPr>
        <w:t>27</w:t>
      </w:r>
      <w:r>
        <w:rPr>
          <w:snapToGrid w:val="0"/>
        </w:rPr>
        <w:t>.</w:t>
      </w:r>
      <w:r>
        <w:rPr>
          <w:snapToGrid w:val="0"/>
        </w:rPr>
        <w:tab/>
        <w:t>Duty not to disclose</w:t>
      </w:r>
      <w:bookmarkEnd w:id="38"/>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39" w:name="_Toc377039066"/>
      <w:r>
        <w:rPr>
          <w:rStyle w:val="CharSectno"/>
        </w:rPr>
        <w:t>28</w:t>
      </w:r>
      <w:r>
        <w:rPr>
          <w:snapToGrid w:val="0"/>
        </w:rPr>
        <w:t>.</w:t>
      </w:r>
      <w:r>
        <w:rPr>
          <w:snapToGrid w:val="0"/>
        </w:rPr>
        <w:tab/>
        <w:t>Disclosure of information cannot be compelled</w:t>
      </w:r>
      <w:bookmarkEnd w:id="39"/>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40" w:name="_Toc377039067"/>
      <w:r>
        <w:rPr>
          <w:rStyle w:val="CharSectno"/>
        </w:rPr>
        <w:t>29</w:t>
      </w:r>
      <w:r>
        <w:rPr>
          <w:snapToGrid w:val="0"/>
        </w:rPr>
        <w:t>.</w:t>
      </w:r>
      <w:r>
        <w:rPr>
          <w:snapToGrid w:val="0"/>
        </w:rPr>
        <w:tab/>
        <w:t>Disclosing information to approved authorities</w:t>
      </w:r>
      <w:bookmarkEnd w:id="40"/>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r>
        <w:rPr>
          <w:snapToGrid/>
        </w:rPr>
        <w:t>[</w:t>
      </w:r>
      <w:r>
        <w:rPr>
          <w:b/>
          <w:snapToGrid/>
        </w:rPr>
        <w:t>30, 31</w:t>
      </w:r>
      <w:r>
        <w:rPr>
          <w:b/>
        </w:rPr>
        <w:t>.</w:t>
      </w:r>
      <w:r>
        <w:tab/>
        <w:t>Deleted by No. 55 of 2012 s. 130.]</w:t>
      </w:r>
    </w:p>
    <w:p>
      <w:pPr>
        <w:pStyle w:val="Heading5"/>
        <w:rPr>
          <w:snapToGrid w:val="0"/>
        </w:rPr>
      </w:pPr>
      <w:bookmarkStart w:id="41" w:name="_Toc377039068"/>
      <w:r>
        <w:rPr>
          <w:rStyle w:val="CharSectno"/>
        </w:rPr>
        <w:t>32</w:t>
      </w:r>
      <w:r>
        <w:rPr>
          <w:snapToGrid w:val="0"/>
        </w:rPr>
        <w:t>.</w:t>
      </w:r>
      <w:r>
        <w:rPr>
          <w:snapToGrid w:val="0"/>
        </w:rPr>
        <w:tab/>
        <w:t>Certain disclosures to court to be in private</w:t>
      </w:r>
      <w:bookmarkEnd w:id="41"/>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by No. 55 of 2012 s. 131.]</w:t>
      </w:r>
    </w:p>
    <w:p>
      <w:pPr>
        <w:pStyle w:val="Heading3"/>
      </w:pPr>
      <w:bookmarkStart w:id="42" w:name="_Toc377039069"/>
      <w:r>
        <w:rPr>
          <w:rStyle w:val="CharDivNo"/>
        </w:rPr>
        <w:t>Division 2</w:t>
      </w:r>
      <w:r>
        <w:t> — </w:t>
      </w:r>
      <w:r>
        <w:rPr>
          <w:rStyle w:val="CharDivText"/>
        </w:rPr>
        <w:t>Evidence by participants</w:t>
      </w:r>
      <w:bookmarkEnd w:id="42"/>
    </w:p>
    <w:p>
      <w:pPr>
        <w:pStyle w:val="Footnoteheading"/>
      </w:pPr>
      <w:r>
        <w:tab/>
        <w:t>[Heading inserted by No. 55 of 2012 s. 132.]</w:t>
      </w:r>
    </w:p>
    <w:p>
      <w:pPr>
        <w:pStyle w:val="Heading4"/>
      </w:pPr>
      <w:bookmarkStart w:id="43" w:name="_Toc377039070"/>
      <w:r>
        <w:t>Subdivision 1 — Terms used</w:t>
      </w:r>
      <w:bookmarkEnd w:id="43"/>
    </w:p>
    <w:p>
      <w:pPr>
        <w:pStyle w:val="Footnoteheading"/>
      </w:pPr>
      <w:r>
        <w:tab/>
        <w:t>[Heading inserted by No. 55 of 2012 s. 132.]</w:t>
      </w:r>
    </w:p>
    <w:p>
      <w:pPr>
        <w:pStyle w:val="Heading5"/>
      </w:pPr>
      <w:bookmarkStart w:id="44" w:name="_Toc377039071"/>
      <w:r>
        <w:rPr>
          <w:rStyle w:val="CharSectno"/>
        </w:rPr>
        <w:t>33</w:t>
      </w:r>
      <w:r>
        <w:t>.</w:t>
      </w:r>
      <w:r>
        <w:tab/>
        <w:t>Terms used</w:t>
      </w:r>
      <w:bookmarkEnd w:id="44"/>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by No. 55 of 2012 s. 133.]</w:t>
      </w:r>
    </w:p>
    <w:p>
      <w:pPr>
        <w:pStyle w:val="Heading4"/>
      </w:pPr>
      <w:bookmarkStart w:id="45" w:name="_Toc377039072"/>
      <w:r>
        <w:t>Subdivision 2 — Non-disclosure certificates for protected persons</w:t>
      </w:r>
      <w:bookmarkEnd w:id="45"/>
    </w:p>
    <w:p>
      <w:pPr>
        <w:pStyle w:val="Footnoteheading"/>
      </w:pPr>
      <w:r>
        <w:tab/>
        <w:t>[Heading inserted by No. 55 of 2012 s. 133.]</w:t>
      </w:r>
    </w:p>
    <w:p>
      <w:pPr>
        <w:pStyle w:val="Heading5"/>
      </w:pPr>
      <w:bookmarkStart w:id="46" w:name="_Toc377039073"/>
      <w:r>
        <w:rPr>
          <w:rStyle w:val="CharSectno"/>
        </w:rPr>
        <w:t>34A</w:t>
      </w:r>
      <w:r>
        <w:t>.</w:t>
      </w:r>
      <w:r>
        <w:tab/>
        <w:t>Non</w:t>
      </w:r>
      <w:r>
        <w:noBreakHyphen/>
        <w:t>disclosure certificates</w:t>
      </w:r>
      <w:bookmarkEnd w:id="46"/>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by No. 55 of 2012 s. 133.]</w:t>
      </w:r>
    </w:p>
    <w:p>
      <w:pPr>
        <w:pStyle w:val="Heading5"/>
      </w:pPr>
      <w:bookmarkStart w:id="47" w:name="_Toc377039074"/>
      <w:r>
        <w:rPr>
          <w:rStyle w:val="CharSectno"/>
        </w:rPr>
        <w:t>34B</w:t>
      </w:r>
      <w:r>
        <w:t>.</w:t>
      </w:r>
      <w:r>
        <w:tab/>
        <w:t>What non</w:t>
      </w:r>
      <w:r>
        <w:noBreakHyphen/>
        <w:t>disclosure certificate must state</w:t>
      </w:r>
      <w:bookmarkEnd w:id="47"/>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by No. 55 of 2012 s. 133.]</w:t>
      </w:r>
    </w:p>
    <w:p>
      <w:pPr>
        <w:pStyle w:val="Heading4"/>
      </w:pPr>
      <w:bookmarkStart w:id="48" w:name="_Toc377039075"/>
      <w:r>
        <w:t>Subdivision 3 — Provisions applicable to court proceedings</w:t>
      </w:r>
      <w:bookmarkEnd w:id="48"/>
    </w:p>
    <w:p>
      <w:pPr>
        <w:pStyle w:val="Footnoteheading"/>
      </w:pPr>
      <w:r>
        <w:tab/>
        <w:t>[Heading inserted by No. 55 of 2012 s. 133.]</w:t>
      </w:r>
    </w:p>
    <w:p>
      <w:pPr>
        <w:pStyle w:val="Heading5"/>
      </w:pPr>
      <w:bookmarkStart w:id="49" w:name="_Toc377039076"/>
      <w:r>
        <w:rPr>
          <w:rStyle w:val="CharSectno"/>
        </w:rPr>
        <w:t>34CA</w:t>
      </w:r>
      <w:r>
        <w:t>.</w:t>
      </w:r>
      <w:r>
        <w:tab/>
        <w:t>Application of Subdivision</w:t>
      </w:r>
      <w:bookmarkEnd w:id="49"/>
    </w:p>
    <w:p>
      <w:pPr>
        <w:pStyle w:val="Subsection"/>
      </w:pPr>
      <w:r>
        <w:tab/>
      </w:r>
      <w:r>
        <w:tab/>
        <w:t>This Subdivision applies in relation to court proceedings in which a protected person is, or may be, required to give evidence.</w:t>
      </w:r>
    </w:p>
    <w:p>
      <w:pPr>
        <w:pStyle w:val="Footnotesection"/>
      </w:pPr>
      <w:r>
        <w:tab/>
        <w:t>[Section 34CA inserted by No. 55 of 2012 s. 133.]</w:t>
      </w:r>
    </w:p>
    <w:p>
      <w:pPr>
        <w:pStyle w:val="Heading5"/>
      </w:pPr>
      <w:bookmarkStart w:id="50" w:name="_Toc377039077"/>
      <w:r>
        <w:rPr>
          <w:rStyle w:val="CharSectno"/>
        </w:rPr>
        <w:t>34C</w:t>
      </w:r>
      <w:r>
        <w:t>.</w:t>
      </w:r>
      <w:r>
        <w:tab/>
        <w:t>Effect of non</w:t>
      </w:r>
      <w:r>
        <w:noBreakHyphen/>
        <w:t>disclosure certificate</w:t>
      </w:r>
      <w:bookmarkEnd w:id="50"/>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by No. 55 of 2012 s. 133.]</w:t>
      </w:r>
    </w:p>
    <w:p>
      <w:pPr>
        <w:pStyle w:val="Heading5"/>
      </w:pPr>
      <w:bookmarkStart w:id="51" w:name="_Toc377039078"/>
      <w:r>
        <w:rPr>
          <w:rStyle w:val="CharSectno"/>
        </w:rPr>
        <w:t>34D</w:t>
      </w:r>
      <w:r>
        <w:t>.</w:t>
      </w:r>
      <w:r>
        <w:tab/>
        <w:t>Disclosure of protected person’s identity despite certificate</w:t>
      </w:r>
      <w:bookmarkEnd w:id="51"/>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by No. 55 of 2012 s. 133.]</w:t>
      </w:r>
    </w:p>
    <w:p>
      <w:pPr>
        <w:pStyle w:val="Heading5"/>
      </w:pPr>
      <w:bookmarkStart w:id="52" w:name="_Toc377039079"/>
      <w:r>
        <w:rPr>
          <w:rStyle w:val="CharSectno"/>
        </w:rPr>
        <w:t>34E</w:t>
      </w:r>
      <w:r>
        <w:t>.</w:t>
      </w:r>
      <w:r>
        <w:tab/>
        <w:t>Directions to jury</w:t>
      </w:r>
      <w:bookmarkEnd w:id="52"/>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by No. 55 of 2012 s. 133.]</w:t>
      </w:r>
    </w:p>
    <w:p>
      <w:pPr>
        <w:pStyle w:val="Heading5"/>
      </w:pPr>
      <w:bookmarkStart w:id="53" w:name="_Toc377039080"/>
      <w:r>
        <w:rPr>
          <w:rStyle w:val="CharSectno"/>
        </w:rPr>
        <w:t>34F</w:t>
      </w:r>
      <w:r>
        <w:t>.</w:t>
      </w:r>
      <w:r>
        <w:tab/>
        <w:t>Adjournment for appeal decision</w:t>
      </w:r>
      <w:bookmarkEnd w:id="53"/>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by No. 55 of 2012 s. 133.]</w:t>
      </w:r>
    </w:p>
    <w:p>
      <w:pPr>
        <w:pStyle w:val="Heading5"/>
      </w:pPr>
      <w:bookmarkStart w:id="54" w:name="_Toc377039081"/>
      <w:r>
        <w:rPr>
          <w:rStyle w:val="CharSectno"/>
        </w:rPr>
        <w:t>34G</w:t>
      </w:r>
      <w:r>
        <w:t>.</w:t>
      </w:r>
      <w:r>
        <w:tab/>
        <w:t>Jurisdiction to hear and determine appeals</w:t>
      </w:r>
      <w:bookmarkEnd w:id="54"/>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by No. 55 of 2012 s. 133.]</w:t>
      </w:r>
    </w:p>
    <w:p>
      <w:pPr>
        <w:pStyle w:val="Heading5"/>
      </w:pPr>
      <w:bookmarkStart w:id="55" w:name="_Toc377039082"/>
      <w:r>
        <w:rPr>
          <w:rStyle w:val="CharSectno"/>
        </w:rPr>
        <w:t>34H</w:t>
      </w:r>
      <w:r>
        <w:t>.</w:t>
      </w:r>
      <w:r>
        <w:tab/>
        <w:t>Recognition of non</w:t>
      </w:r>
      <w:r>
        <w:noBreakHyphen/>
        <w:t>disclosure certificates under corresponding laws</w:t>
      </w:r>
      <w:bookmarkEnd w:id="55"/>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by No. 55 of 2012 s. 133.]</w:t>
      </w:r>
    </w:p>
    <w:p>
      <w:pPr>
        <w:pStyle w:val="Heading4"/>
      </w:pPr>
      <w:bookmarkStart w:id="56" w:name="_Toc377039083"/>
      <w:r>
        <w:t>Subdivision 4 — Provisions applicable to parliamentary proceedings</w:t>
      </w:r>
      <w:bookmarkEnd w:id="56"/>
    </w:p>
    <w:p>
      <w:pPr>
        <w:pStyle w:val="Footnoteheading"/>
      </w:pPr>
      <w:r>
        <w:tab/>
        <w:t>[Heading inserted by No. 55 of 2012 s. 133.]</w:t>
      </w:r>
    </w:p>
    <w:p>
      <w:pPr>
        <w:pStyle w:val="Heading5"/>
      </w:pPr>
      <w:bookmarkStart w:id="57" w:name="_Toc377039084"/>
      <w:r>
        <w:t>34I.</w:t>
      </w:r>
      <w:r>
        <w:tab/>
        <w:t>Application of Subdivision</w:t>
      </w:r>
      <w:bookmarkEnd w:id="57"/>
    </w:p>
    <w:p>
      <w:pPr>
        <w:pStyle w:val="Subsection"/>
      </w:pPr>
      <w:r>
        <w:tab/>
      </w:r>
      <w:r>
        <w:tab/>
        <w:t>This Subdivision applies in relation to parliamentary proceedings in which a protected person is, or may be, required to give evidence.</w:t>
      </w:r>
    </w:p>
    <w:p>
      <w:pPr>
        <w:pStyle w:val="Footnotesection"/>
      </w:pPr>
      <w:r>
        <w:tab/>
        <w:t>[Section 34I inserted by No. 55 of 2012 s. 133.]</w:t>
      </w:r>
    </w:p>
    <w:p>
      <w:pPr>
        <w:pStyle w:val="Heading5"/>
      </w:pPr>
      <w:bookmarkStart w:id="58" w:name="_Toc377039085"/>
      <w:r>
        <w:rPr>
          <w:rStyle w:val="CharSectno"/>
        </w:rPr>
        <w:t>34J</w:t>
      </w:r>
      <w:r>
        <w:t>.</w:t>
      </w:r>
      <w:r>
        <w:tab/>
        <w:t>Effect of non-disclosure certificate</w:t>
      </w:r>
      <w:bookmarkEnd w:id="58"/>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by No. 55 of 2012 s. 133.]</w:t>
      </w:r>
    </w:p>
    <w:p>
      <w:pPr>
        <w:pStyle w:val="Heading5"/>
      </w:pPr>
      <w:bookmarkStart w:id="59" w:name="_Toc377039086"/>
      <w:r>
        <w:rPr>
          <w:rStyle w:val="CharSectno"/>
        </w:rPr>
        <w:t>34K</w:t>
      </w:r>
      <w:r>
        <w:t>.</w:t>
      </w:r>
      <w:r>
        <w:tab/>
        <w:t>Disclosure of protected person’s identity despite certificate</w:t>
      </w:r>
      <w:bookmarkEnd w:id="59"/>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by No. 55 of 2012 s. 133.]</w:t>
      </w:r>
    </w:p>
    <w:p>
      <w:pPr>
        <w:pStyle w:val="Heading5"/>
      </w:pPr>
      <w:bookmarkStart w:id="60" w:name="_Toc377039087"/>
      <w:r>
        <w:rPr>
          <w:rStyle w:val="CharSectno"/>
        </w:rPr>
        <w:t>34L</w:t>
      </w:r>
      <w:r>
        <w:t>.</w:t>
      </w:r>
      <w:r>
        <w:tab/>
        <w:t>Restrictions on content of reports to Parliament</w:t>
      </w:r>
      <w:bookmarkEnd w:id="60"/>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 by No. 55 of 2012 s. 133.]</w:t>
      </w:r>
    </w:p>
    <w:p>
      <w:pPr>
        <w:pStyle w:val="Heading3"/>
      </w:pPr>
      <w:bookmarkStart w:id="61" w:name="_Toc377039088"/>
      <w:r>
        <w:rPr>
          <w:rStyle w:val="CharDivNo"/>
        </w:rPr>
        <w:t>Division 3</w:t>
      </w:r>
      <w:r>
        <w:t> — </w:t>
      </w:r>
      <w:r>
        <w:rPr>
          <w:rStyle w:val="CharDivText"/>
        </w:rPr>
        <w:t>Miscellaneous</w:t>
      </w:r>
      <w:bookmarkEnd w:id="61"/>
    </w:p>
    <w:p>
      <w:pPr>
        <w:pStyle w:val="Footnoteheading"/>
      </w:pPr>
      <w:r>
        <w:tab/>
        <w:t>[Heading inserted by No. 55 of 2012 s. 134.]</w:t>
      </w:r>
    </w:p>
    <w:p>
      <w:pPr>
        <w:pStyle w:val="Heading5"/>
        <w:rPr>
          <w:snapToGrid w:val="0"/>
        </w:rPr>
      </w:pPr>
      <w:bookmarkStart w:id="62" w:name="_Toc377039089"/>
      <w:r>
        <w:rPr>
          <w:rStyle w:val="CharSectno"/>
        </w:rPr>
        <w:t>34</w:t>
      </w:r>
      <w:r>
        <w:rPr>
          <w:snapToGrid w:val="0"/>
        </w:rPr>
        <w:t>.</w:t>
      </w:r>
      <w:r>
        <w:rPr>
          <w:snapToGrid w:val="0"/>
        </w:rPr>
        <w:tab/>
        <w:t xml:space="preserve">Disclosure by Auditor General, Parliamentary Commissioner or </w:t>
      </w:r>
      <w:r>
        <w:t>Corruption and Crime Commission</w:t>
      </w:r>
      <w:bookmarkEnd w:id="62"/>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by No. 48 of 2003 s. 62 and Sch. 3</w:t>
      </w:r>
      <w:r>
        <w:rPr>
          <w:vertAlign w:val="superscript"/>
        </w:rPr>
        <w:t> 3</w:t>
      </w:r>
      <w:r>
        <w:t xml:space="preserve"> cl. 11; No. 77 of 2006 s. 17.]</w:t>
      </w:r>
    </w:p>
    <w:p>
      <w:pPr>
        <w:pStyle w:val="Heading2"/>
      </w:pPr>
      <w:bookmarkStart w:id="63" w:name="_Toc377039090"/>
      <w:r>
        <w:rPr>
          <w:rStyle w:val="CharPartNo"/>
        </w:rPr>
        <w:t>Part 4</w:t>
      </w:r>
      <w:r>
        <w:rPr>
          <w:rStyle w:val="CharDivNo"/>
        </w:rPr>
        <w:t> </w:t>
      </w:r>
      <w:r>
        <w:t>—</w:t>
      </w:r>
      <w:r>
        <w:rPr>
          <w:rStyle w:val="CharDivText"/>
        </w:rPr>
        <w:t> </w:t>
      </w:r>
      <w:r>
        <w:rPr>
          <w:rStyle w:val="CharPartText"/>
        </w:rPr>
        <w:t>Miscellaneous</w:t>
      </w:r>
      <w:bookmarkEnd w:id="63"/>
    </w:p>
    <w:p>
      <w:pPr>
        <w:pStyle w:val="Heading5"/>
        <w:spacing w:before="260"/>
        <w:rPr>
          <w:snapToGrid w:val="0"/>
        </w:rPr>
      </w:pPr>
      <w:bookmarkStart w:id="64" w:name="_Toc377039091"/>
      <w:r>
        <w:rPr>
          <w:rStyle w:val="CharSectno"/>
        </w:rPr>
        <w:t>35</w:t>
      </w:r>
      <w:r>
        <w:rPr>
          <w:snapToGrid w:val="0"/>
        </w:rPr>
        <w:t>.</w:t>
      </w:r>
      <w:r>
        <w:rPr>
          <w:snapToGrid w:val="0"/>
        </w:rPr>
        <w:tab/>
        <w:t>Offences</w:t>
      </w:r>
      <w:bookmarkEnd w:id="64"/>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65" w:name="_Toc377039092"/>
      <w:r>
        <w:rPr>
          <w:rStyle w:val="CharSectno"/>
        </w:rPr>
        <w:t>36</w:t>
      </w:r>
      <w:r>
        <w:rPr>
          <w:snapToGrid w:val="0"/>
        </w:rPr>
        <w:t>.</w:t>
      </w:r>
      <w:r>
        <w:rPr>
          <w:snapToGrid w:val="0"/>
        </w:rPr>
        <w:tab/>
        <w:t>Delegation</w:t>
      </w:r>
      <w:bookmarkEnd w:id="65"/>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66" w:name="_Toc377039093"/>
      <w:r>
        <w:rPr>
          <w:rStyle w:val="CharSectno"/>
        </w:rPr>
        <w:t>37</w:t>
      </w:r>
      <w:r>
        <w:rPr>
          <w:snapToGrid w:val="0"/>
        </w:rPr>
        <w:t>.</w:t>
      </w:r>
      <w:r>
        <w:rPr>
          <w:snapToGrid w:val="0"/>
        </w:rPr>
        <w:tab/>
        <w:t>Reporting on the SWPP</w:t>
      </w:r>
      <w:bookmarkEnd w:id="66"/>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rPr>
          <w:snapToGrid w:val="0"/>
        </w:rPr>
      </w:pPr>
      <w:bookmarkStart w:id="67" w:name="_Toc377039094"/>
      <w:r>
        <w:rPr>
          <w:rStyle w:val="CharSectno"/>
        </w:rPr>
        <w:t>38</w:t>
      </w:r>
      <w:r>
        <w:rPr>
          <w:snapToGrid w:val="0"/>
        </w:rPr>
        <w:t>.</w:t>
      </w:r>
      <w:r>
        <w:rPr>
          <w:snapToGrid w:val="0"/>
        </w:rPr>
        <w:tab/>
        <w:t>Protection from liability for wrongdoing</w:t>
      </w:r>
      <w:bookmarkEnd w:id="6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68" w:name="_Toc377039095"/>
      <w:r>
        <w:rPr>
          <w:rStyle w:val="CharSectno"/>
        </w:rPr>
        <w:t>39</w:t>
      </w:r>
      <w:r>
        <w:rPr>
          <w:snapToGrid w:val="0"/>
        </w:rPr>
        <w:t>.</w:t>
      </w:r>
      <w:r>
        <w:rPr>
          <w:snapToGrid w:val="0"/>
        </w:rPr>
        <w:tab/>
        <w:t>Regulations</w:t>
      </w:r>
      <w:bookmarkEnd w:id="6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69" w:name="_Toc377039096"/>
      <w:r>
        <w:rPr>
          <w:rStyle w:val="CharPartNo"/>
        </w:rPr>
        <w:t>Part 5</w:t>
      </w:r>
      <w:r>
        <w:rPr>
          <w:rStyle w:val="CharDivNo"/>
        </w:rPr>
        <w:t> </w:t>
      </w:r>
      <w:r>
        <w:t>—</w:t>
      </w:r>
      <w:r>
        <w:rPr>
          <w:rStyle w:val="CharDivText"/>
        </w:rPr>
        <w:t> </w:t>
      </w:r>
      <w:r>
        <w:rPr>
          <w:rStyle w:val="CharPartText"/>
        </w:rPr>
        <w:t>Transitional and savings provisions</w:t>
      </w:r>
      <w:bookmarkEnd w:id="69"/>
    </w:p>
    <w:p>
      <w:pPr>
        <w:pStyle w:val="Footnoteheading"/>
      </w:pPr>
      <w:r>
        <w:tab/>
        <w:t>[Heading inserted by No. 55 of 2012 s. 135.]</w:t>
      </w:r>
    </w:p>
    <w:p>
      <w:pPr>
        <w:pStyle w:val="Heading5"/>
        <w:spacing w:before="180"/>
        <w:rPr>
          <w:snapToGrid w:val="0"/>
        </w:rPr>
      </w:pPr>
      <w:bookmarkStart w:id="70" w:name="_Toc377039097"/>
      <w:r>
        <w:rPr>
          <w:rStyle w:val="CharSectno"/>
        </w:rPr>
        <w:t>40</w:t>
      </w:r>
      <w:r>
        <w:rPr>
          <w:snapToGrid w:val="0"/>
        </w:rPr>
        <w:t>.</w:t>
      </w:r>
      <w:r>
        <w:rPr>
          <w:snapToGrid w:val="0"/>
        </w:rPr>
        <w:tab/>
        <w:t>Transitional</w:t>
      </w:r>
      <w:bookmarkEnd w:id="70"/>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71" w:name="_Toc377039098"/>
      <w:r>
        <w:rPr>
          <w:rStyle w:val="CharSectno"/>
        </w:rPr>
        <w:t>41</w:t>
      </w:r>
      <w:r>
        <w:t>.</w:t>
      </w:r>
      <w:r>
        <w:tab/>
        <w:t xml:space="preserve">Savings provision relating to </w:t>
      </w:r>
      <w:r>
        <w:rPr>
          <w:i/>
        </w:rPr>
        <w:t>Criminal Investigation (Covert Powers) Act 2012</w:t>
      </w:r>
      <w:bookmarkEnd w:id="7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by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2" w:name="_Toc377039099"/>
      <w:r>
        <w:t>Notes</w:t>
      </w:r>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1996</w:t>
      </w:r>
      <w:r>
        <w:rPr>
          <w:snapToGrid w:val="0"/>
        </w:rPr>
        <w:t xml:space="preserve"> and includes the amendments made by the other written laws referred to in the following table.  The table also contains information about any reprint.</w:t>
      </w:r>
    </w:p>
    <w:p>
      <w:pPr>
        <w:pStyle w:val="nHeading3"/>
      </w:pPr>
      <w:bookmarkStart w:id="73" w:name="_Toc377039100"/>
      <w:r>
        <w:t>Compilation table</w:t>
      </w:r>
      <w:bookmarkEnd w:id="7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s. 1 and 2: 28 Jun 1996;</w:t>
            </w:r>
            <w:r>
              <w:rPr>
                <w:sz w:val="19"/>
              </w:rPr>
              <w:br/>
              <w:t xml:space="preserve">Act other than s. 1 and 2: 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 </w:t>
            </w:r>
            <w:r>
              <w:t>and Sch. 3</w:t>
            </w:r>
            <w:r>
              <w:rPr>
                <w:vertAlign w:val="superscript"/>
              </w:rPr>
              <w:t> 3</w:t>
            </w:r>
            <w:r>
              <w:t xml:space="preserve"> cl. 11</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Act 1996</w:t>
            </w:r>
            <w:r>
              <w:rPr>
                <w:b/>
                <w:sz w:val="19"/>
              </w:rPr>
              <w:t xml:space="preserve"> as at 10 Oct 2003</w:t>
            </w:r>
            <w:r>
              <w:rPr>
                <w:sz w:val="19"/>
              </w:rPr>
              <w:t xml:space="preserve"> (includes amendments listed above except those in the </w:t>
            </w:r>
            <w:r>
              <w:rPr>
                <w:i/>
                <w:sz w:val="19"/>
              </w:rPr>
              <w:t>Corruption and Crime Commission Act 2003</w:t>
            </w:r>
            <w:r>
              <w:rPr>
                <w:sz w:val="19"/>
              </w:rPr>
              <w:t>)</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rPr>
            </w:pPr>
            <w:r>
              <w:rPr>
                <w:i/>
                <w:snapToGrid w:val="0"/>
                <w:sz w:val="19"/>
              </w:rPr>
              <w:t>Australian Crime Commission (</w:t>
            </w:r>
            <w:smartTag w:uri="urn:schemas-microsoft-com:office:smarttags" w:element="State">
              <w:smartTag w:uri="urn:schemas-microsoft-com:office:smarttags" w:element="place">
                <w:r>
                  <w:rPr>
                    <w:i/>
                    <w:snapToGrid w:val="0"/>
                    <w:sz w:val="19"/>
                  </w:rPr>
                  <w:t>Western Australia</w:t>
                </w:r>
              </w:smartTag>
            </w:smartTag>
            <w:r>
              <w:rPr>
                <w:i/>
                <w:snapToGrid w:val="0"/>
                <w:sz w:val="19"/>
              </w:rPr>
              <w:t xml:space="preserve">) Act 2004 </w:t>
            </w:r>
            <w:r>
              <w:rPr>
                <w:snapToGrid w:val="0"/>
                <w:sz w:val="19"/>
              </w:rPr>
              <w:t>s. 75</w:t>
            </w:r>
          </w:p>
        </w:tc>
        <w:tc>
          <w:tcPr>
            <w:tcW w:w="1135" w:type="dxa"/>
            <w:tcBorders>
              <w:top w:val="nil"/>
              <w:bottom w:val="nil"/>
            </w:tcBorders>
          </w:tcPr>
          <w:p>
            <w:pPr>
              <w:pStyle w:val="nTable"/>
              <w:spacing w:after="40"/>
              <w:rPr>
                <w:snapToGrid w:val="0"/>
                <w:sz w:val="19"/>
              </w:rPr>
            </w:pPr>
            <w:r>
              <w:rPr>
                <w:snapToGrid w:val="0"/>
                <w:sz w:val="19"/>
              </w:rPr>
              <w:t>74 of 2004</w:t>
            </w:r>
          </w:p>
        </w:tc>
        <w:tc>
          <w:tcPr>
            <w:tcW w:w="1135" w:type="dxa"/>
            <w:tcBorders>
              <w:top w:val="nil"/>
              <w:bottom w:val="nil"/>
            </w:tcBorders>
          </w:tcPr>
          <w:p>
            <w:pPr>
              <w:pStyle w:val="nTable"/>
              <w:spacing w:after="40"/>
              <w:rPr>
                <w:snapToGrid w:val="0"/>
                <w:sz w:val="19"/>
              </w:rPr>
            </w:pPr>
            <w:r>
              <w:rPr>
                <w:snapToGrid w:val="0"/>
                <w:sz w:val="19"/>
              </w:rPr>
              <w:t>8 Dec 2004</w:t>
            </w:r>
          </w:p>
        </w:tc>
        <w:tc>
          <w:tcPr>
            <w:tcW w:w="2552" w:type="dxa"/>
            <w:tcBorders>
              <w:top w:val="nil"/>
              <w:bottom w:val="nil"/>
            </w:tcBorders>
          </w:tcPr>
          <w:p>
            <w:pPr>
              <w:pStyle w:val="nTable"/>
              <w:spacing w:after="40"/>
              <w:rPr>
                <w:snapToGrid w:val="0"/>
                <w:sz w:val="19"/>
              </w:rPr>
            </w:pPr>
            <w:r>
              <w:rPr>
                <w:snapToGrid w:val="0"/>
                <w:sz w:val="19"/>
              </w:rPr>
              <w:t xml:space="preserve">1 Feb 2005 (see s. 2 and </w:t>
            </w:r>
            <w:r>
              <w:rPr>
                <w:i/>
                <w:snapToGrid w:val="0"/>
                <w:sz w:val="19"/>
              </w:rPr>
              <w:t xml:space="preserve">Gazette </w:t>
            </w:r>
            <w:r>
              <w:rPr>
                <w:snapToGrid w:val="0"/>
                <w:sz w:val="19"/>
              </w:rPr>
              <w:t>31 Dec 2004 p. 7130)</w:t>
            </w:r>
          </w:p>
        </w:tc>
      </w:tr>
      <w:tr>
        <w:tc>
          <w:tcPr>
            <w:tcW w:w="2270" w:type="dxa"/>
            <w:tcBorders>
              <w:top w:val="nil"/>
              <w:bottom w:val="nil"/>
            </w:tcBorders>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5" w:type="dxa"/>
            <w:tcBorders>
              <w:top w:val="nil"/>
              <w:bottom w:val="nil"/>
            </w:tcBorders>
          </w:tcPr>
          <w:p>
            <w:pPr>
              <w:pStyle w:val="nTable"/>
              <w:spacing w:after="40"/>
              <w:rPr>
                <w:snapToGrid w:val="0"/>
                <w:sz w:val="19"/>
              </w:rPr>
            </w:pPr>
            <w:r>
              <w:rPr>
                <w:snapToGrid w:val="0"/>
                <w:sz w:val="19"/>
              </w:rPr>
              <w:t>77 of 2006</w:t>
            </w:r>
          </w:p>
        </w:tc>
        <w:tc>
          <w:tcPr>
            <w:tcW w:w="1135" w:type="dxa"/>
            <w:tcBorders>
              <w:top w:val="nil"/>
              <w:bottom w:val="nil"/>
            </w:tcBorders>
          </w:tcPr>
          <w:p>
            <w:pPr>
              <w:pStyle w:val="nTable"/>
              <w:spacing w:after="40"/>
              <w:rPr>
                <w:snapToGrid w:val="0"/>
                <w:sz w:val="19"/>
              </w:rPr>
            </w:pPr>
            <w:r>
              <w:rPr>
                <w:snapToGrid w:val="0"/>
                <w:sz w:val="19"/>
              </w:rPr>
              <w:t>21 Dec 2006</w:t>
            </w:r>
          </w:p>
        </w:tc>
        <w:tc>
          <w:tcPr>
            <w:tcW w:w="2552" w:type="dxa"/>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70" w:type="dxa"/>
            <w:tcBorders>
              <w:top w:val="nil"/>
              <w:bottom w:val="nil"/>
            </w:tcBorders>
          </w:tcPr>
          <w:p>
            <w:pPr>
              <w:pStyle w:val="nTable"/>
              <w:spacing w:after="40"/>
              <w:rPr>
                <w:i/>
                <w:snapToGrid w:val="0"/>
                <w:sz w:val="19"/>
              </w:rPr>
            </w:pPr>
            <w:r>
              <w:rPr>
                <w:i/>
                <w:sz w:val="19"/>
              </w:rPr>
              <w:t xml:space="preserve">Police Amendment Act 2008 </w:t>
            </w:r>
            <w:r>
              <w:rPr>
                <w:iCs/>
                <w:sz w:val="19"/>
              </w:rPr>
              <w:t>s. 22 and 23(9)</w:t>
            </w:r>
          </w:p>
        </w:tc>
        <w:tc>
          <w:tcPr>
            <w:tcW w:w="1135" w:type="dxa"/>
            <w:tcBorders>
              <w:top w:val="nil"/>
              <w:bottom w:val="nil"/>
            </w:tcBorders>
          </w:tcPr>
          <w:p>
            <w:pPr>
              <w:pStyle w:val="nTable"/>
              <w:spacing w:after="40"/>
              <w:rPr>
                <w:snapToGrid w:val="0"/>
                <w:sz w:val="19"/>
              </w:rPr>
            </w:pPr>
            <w:r>
              <w:rPr>
                <w:sz w:val="19"/>
              </w:rPr>
              <w:t>8 of 2008</w:t>
            </w:r>
          </w:p>
        </w:tc>
        <w:tc>
          <w:tcPr>
            <w:tcW w:w="1135" w:type="dxa"/>
            <w:tcBorders>
              <w:top w:val="nil"/>
              <w:bottom w:val="nil"/>
            </w:tcBorders>
          </w:tcPr>
          <w:p>
            <w:pPr>
              <w:pStyle w:val="nTable"/>
              <w:spacing w:after="40"/>
              <w:rPr>
                <w:snapToGrid w:val="0"/>
                <w:sz w:val="19"/>
              </w:rPr>
            </w:pPr>
            <w:r>
              <w:rPr>
                <w:sz w:val="19"/>
              </w:rPr>
              <w:t>31 Mar 2008</w:t>
            </w:r>
          </w:p>
        </w:tc>
        <w:tc>
          <w:tcPr>
            <w:tcW w:w="2552" w:type="dxa"/>
            <w:tcBorders>
              <w:top w:val="nil"/>
              <w:bottom w:val="nil"/>
            </w:tcBorders>
          </w:tcPr>
          <w:p>
            <w:pPr>
              <w:pStyle w:val="nTable"/>
              <w:spacing w:after="40"/>
              <w:rPr>
                <w:snapToGrid w:val="0"/>
                <w:sz w:val="19"/>
              </w:rPr>
            </w:pPr>
            <w:r>
              <w:rPr>
                <w:sz w:val="19"/>
              </w:rPr>
              <w:t>s. 22: 1 Apr 2008 (see s. 2(1));</w:t>
            </w:r>
            <w:r>
              <w:rPr>
                <w:sz w:val="19"/>
              </w:rPr>
              <w:br/>
              <w:t xml:space="preserve">s. 23(9): 21 Jun 2008 (see s. 2(2) and </w:t>
            </w:r>
            <w:r>
              <w:rPr>
                <w:i/>
                <w:iCs/>
                <w:sz w:val="19"/>
              </w:rPr>
              <w:t>Gazette</w:t>
            </w:r>
            <w:r>
              <w:rPr>
                <w:sz w:val="19"/>
              </w:rPr>
              <w:t xml:space="preserve"> 20 Jun 2008 p. 2706)</w:t>
            </w:r>
          </w:p>
        </w:tc>
      </w:tr>
      <w:tr>
        <w:trPr>
          <w:cantSplit/>
        </w:trPr>
        <w:tc>
          <w:tcPr>
            <w:tcW w:w="7092" w:type="dxa"/>
            <w:gridSpan w:val="4"/>
            <w:tcBorders>
              <w:top w:val="nil"/>
              <w:bottom w:val="nil"/>
            </w:tcBorders>
          </w:tcPr>
          <w:p>
            <w:pPr>
              <w:pStyle w:val="nTable"/>
              <w:keepLines/>
              <w:spacing w:after="40"/>
              <w:rPr>
                <w:sz w:val="19"/>
              </w:rPr>
            </w:pPr>
            <w:r>
              <w:rPr>
                <w:b/>
                <w:sz w:val="19"/>
              </w:rPr>
              <w:t xml:space="preserve">Reprint 2: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Act 1996</w:t>
            </w:r>
            <w:r>
              <w:rPr>
                <w:b/>
                <w:sz w:val="19"/>
              </w:rPr>
              <w:t xml:space="preserve"> as at 8 Aug 2008</w:t>
            </w:r>
            <w:r>
              <w:rPr>
                <w:sz w:val="19"/>
              </w:rPr>
              <w:t xml:space="preserve"> (includes amendments listed above)</w:t>
            </w:r>
          </w:p>
        </w:tc>
      </w:tr>
      <w:tr>
        <w:trPr>
          <w:cantSplit/>
        </w:trPr>
        <w:tc>
          <w:tcPr>
            <w:tcW w:w="2270" w:type="dxa"/>
            <w:tcBorders>
              <w:top w:val="nil"/>
              <w:bottom w:val="single" w:sz="4" w:space="0" w:color="auto"/>
            </w:tcBorders>
          </w:tcPr>
          <w:p>
            <w:pPr>
              <w:pStyle w:val="nTable"/>
              <w:spacing w:after="40"/>
              <w:rPr>
                <w:i/>
                <w:snapToGrid w:val="0"/>
                <w:sz w:val="19"/>
              </w:rPr>
            </w:pPr>
            <w:r>
              <w:rPr>
                <w:i/>
                <w:snapToGrid w:val="0"/>
                <w:sz w:val="19"/>
                <w:szCs w:val="19"/>
              </w:rPr>
              <w:t>Criminal Investigation (Covert Powers) Act 2012</w:t>
            </w:r>
            <w:r>
              <w:rPr>
                <w:snapToGrid w:val="0"/>
                <w:sz w:val="19"/>
                <w:szCs w:val="19"/>
              </w:rPr>
              <w:t xml:space="preserve"> Pt. 11</w:t>
            </w:r>
          </w:p>
        </w:tc>
        <w:tc>
          <w:tcPr>
            <w:tcW w:w="1135" w:type="dxa"/>
            <w:tcBorders>
              <w:top w:val="nil"/>
              <w:bottom w:val="single" w:sz="4" w:space="0" w:color="auto"/>
            </w:tcBorders>
          </w:tcPr>
          <w:p>
            <w:pPr>
              <w:pStyle w:val="nTable"/>
              <w:spacing w:after="40"/>
              <w:rPr>
                <w:snapToGrid w:val="0"/>
                <w:sz w:val="19"/>
              </w:rPr>
            </w:pPr>
            <w:r>
              <w:rPr>
                <w:sz w:val="19"/>
              </w:rPr>
              <w:t>55 of 2012</w:t>
            </w:r>
          </w:p>
        </w:tc>
        <w:tc>
          <w:tcPr>
            <w:tcW w:w="1135" w:type="dxa"/>
            <w:tcBorders>
              <w:top w:val="nil"/>
              <w:bottom w:val="single" w:sz="4" w:space="0" w:color="auto"/>
            </w:tcBorders>
          </w:tcPr>
          <w:p>
            <w:pPr>
              <w:pStyle w:val="nTable"/>
              <w:spacing w:after="40"/>
              <w:rPr>
                <w:snapToGrid w:val="0"/>
                <w:sz w:val="19"/>
              </w:rPr>
            </w:pPr>
            <w:r>
              <w:rPr>
                <w:sz w:val="19"/>
              </w:rPr>
              <w:t>3 Dec 2012</w:t>
            </w:r>
          </w:p>
        </w:tc>
        <w:tc>
          <w:tcPr>
            <w:tcW w:w="2552" w:type="dxa"/>
            <w:tcBorders>
              <w:top w:val="nil"/>
              <w:bottom w:val="single" w:sz="4" w:space="0" w:color="auto"/>
            </w:tcBorders>
          </w:tcPr>
          <w:p>
            <w:pPr>
              <w:pStyle w:val="nTable"/>
              <w:spacing w:after="40"/>
              <w:rPr>
                <w:snapToGrid w:val="0"/>
                <w:sz w:val="19"/>
              </w:rPr>
            </w:pPr>
            <w:r>
              <w:rPr>
                <w:sz w:val="19"/>
              </w:rPr>
              <w:t xml:space="preserve">1 Mar 2013 (see s. 2(b) and </w:t>
            </w:r>
            <w:r>
              <w:rPr>
                <w:i/>
                <w:sz w:val="19"/>
              </w:rPr>
              <w:t>Gazette</w:t>
            </w:r>
            <w:r>
              <w:rPr>
                <w:sz w:val="19"/>
              </w:rPr>
              <w:t xml:space="preserve"> 25 Jan 2013 p. 271)</w:t>
            </w:r>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74" w:name="_Toc377039101"/>
      <w:r>
        <w:rPr>
          <w:sz w:val="28"/>
        </w:rPr>
        <w:t>Defined terms</w:t>
      </w:r>
      <w:bookmarkEnd w:id="7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75" w:name="DefinedTerms"/>
      <w:bookmarkEnd w:id="75"/>
      <w:r>
        <w:rPr>
          <w:snapToGrid w:val="0"/>
        </w:rPr>
        <w:t>annual report</w:t>
      </w:r>
      <w:r>
        <w:rPr>
          <w:snapToGrid w:val="0"/>
        </w:rPr>
        <w:tab/>
        <w:t>37(2)</w:t>
      </w:r>
    </w:p>
    <w:p>
      <w:pPr>
        <w:pStyle w:val="DefinedTerms"/>
        <w:rPr>
          <w:snapToGrid w:val="0"/>
        </w:rPr>
      </w:pPr>
      <w:r>
        <w:rPr>
          <w:snapToGrid w:val="0"/>
        </w:rPr>
        <w:t>another jurisdiction</w:t>
      </w:r>
      <w:r>
        <w:rPr>
          <w:snapToGrid w:val="0"/>
        </w:rPr>
        <w:tab/>
        <w:t>33</w:t>
      </w:r>
    </w:p>
    <w:p>
      <w:pPr>
        <w:pStyle w:val="DefinedTerms"/>
        <w:rPr>
          <w:snapToGrid w:val="0"/>
        </w:rPr>
      </w:pPr>
      <w:r>
        <w:rPr>
          <w:snapToGrid w:val="0"/>
        </w:rPr>
        <w:t>approved authority</w:t>
      </w:r>
      <w:r>
        <w:rPr>
          <w:snapToGrid w:val="0"/>
        </w:rPr>
        <w:tab/>
        <w:t>3(1)</w:t>
      </w:r>
    </w:p>
    <w:p>
      <w:pPr>
        <w:pStyle w:val="DefinedTerms"/>
        <w:rPr>
          <w:snapToGrid w:val="0"/>
        </w:rPr>
      </w:pPr>
      <w:r>
        <w:rPr>
          <w:snapToGrid w:val="0"/>
        </w:rPr>
        <w:t>commencement day</w:t>
      </w:r>
      <w:r>
        <w:rPr>
          <w:snapToGrid w:val="0"/>
        </w:rPr>
        <w:tab/>
        <w:t>41(1)</w:t>
      </w:r>
    </w:p>
    <w:p>
      <w:pPr>
        <w:pStyle w:val="DefinedTerms"/>
        <w:rPr>
          <w:snapToGrid w:val="0"/>
        </w:rPr>
      </w:pPr>
      <w:r>
        <w:rPr>
          <w:snapToGrid w:val="0"/>
        </w:rPr>
        <w:t>Commissioner</w:t>
      </w:r>
      <w:r>
        <w:rPr>
          <w:snapToGrid w:val="0"/>
        </w:rPr>
        <w:tab/>
        <w:t>3(1)</w:t>
      </w:r>
    </w:p>
    <w:p>
      <w:pPr>
        <w:pStyle w:val="DefinedTerms"/>
        <w:rPr>
          <w:snapToGrid w:val="0"/>
        </w:rPr>
      </w:pPr>
      <w:r>
        <w:rPr>
          <w:snapToGrid w:val="0"/>
        </w:rPr>
        <w:t>Commonwealth Act</w:t>
      </w:r>
      <w:r>
        <w:rPr>
          <w:snapToGrid w:val="0"/>
        </w:rPr>
        <w:tab/>
        <w:t>3(1)</w:t>
      </w:r>
    </w:p>
    <w:p>
      <w:pPr>
        <w:pStyle w:val="DefinedTerms"/>
        <w:rPr>
          <w:snapToGrid w:val="0"/>
        </w:rPr>
      </w:pPr>
      <w:r>
        <w:rPr>
          <w:snapToGrid w:val="0"/>
        </w:rPr>
        <w:t>complementary witness protection law</w:t>
      </w:r>
      <w:r>
        <w:rPr>
          <w:snapToGrid w:val="0"/>
        </w:rPr>
        <w:tab/>
        <w:t>3(1)</w:t>
      </w:r>
    </w:p>
    <w:p>
      <w:pPr>
        <w:pStyle w:val="DefinedTerms"/>
        <w:rPr>
          <w:snapToGrid w:val="0"/>
        </w:rPr>
      </w:pPr>
      <w:r>
        <w:rPr>
          <w:snapToGrid w:val="0"/>
        </w:rPr>
        <w:t>corresponding law</w:t>
      </w:r>
      <w:r>
        <w:rPr>
          <w:snapToGrid w:val="0"/>
        </w:rPr>
        <w:tab/>
        <w:t>33</w:t>
      </w:r>
    </w:p>
    <w:p>
      <w:pPr>
        <w:pStyle w:val="DefinedTerms"/>
        <w:rPr>
          <w:snapToGrid w:val="0"/>
        </w:rPr>
      </w:pPr>
      <w:r>
        <w:rPr>
          <w:snapToGrid w:val="0"/>
        </w:rPr>
        <w:t>corresponding non</w:t>
      </w:r>
      <w:r>
        <w:rPr>
          <w:snapToGrid w:val="0"/>
        </w:rPr>
        <w:noBreakHyphen/>
        <w:t>disclosure certificate</w:t>
      </w:r>
      <w:r>
        <w:rPr>
          <w:snapToGrid w:val="0"/>
        </w:rPr>
        <w:tab/>
        <w:t>33</w:t>
      </w:r>
    </w:p>
    <w:p>
      <w:pPr>
        <w:pStyle w:val="DefinedTerms"/>
        <w:rPr>
          <w:snapToGrid w:val="0"/>
        </w:rPr>
      </w:pPr>
      <w:r>
        <w:rPr>
          <w:snapToGrid w:val="0"/>
        </w:rPr>
        <w:t>Corruption and Crime Commission</w:t>
      </w:r>
      <w:r>
        <w:rPr>
          <w:snapToGrid w:val="0"/>
        </w:rPr>
        <w:tab/>
        <w:t>3(1)</w:t>
      </w:r>
    </w:p>
    <w:p>
      <w:pPr>
        <w:pStyle w:val="DefinedTerms"/>
        <w:rPr>
          <w:snapToGrid w:val="0"/>
        </w:rPr>
      </w:pPr>
      <w:r>
        <w:rPr>
          <w:snapToGrid w:val="0"/>
        </w:rPr>
        <w:t>court</w:t>
      </w:r>
      <w:r>
        <w:rPr>
          <w:snapToGrid w:val="0"/>
        </w:rPr>
        <w:tab/>
        <w:t>3(1), 33, 34A(1)</w:t>
      </w:r>
    </w:p>
    <w:p>
      <w:pPr>
        <w:pStyle w:val="DefinedTerms"/>
        <w:rPr>
          <w:snapToGrid w:val="0"/>
        </w:rPr>
      </w:pPr>
      <w:r>
        <w:rPr>
          <w:snapToGrid w:val="0"/>
        </w:rPr>
        <w:t>court proceedings</w:t>
      </w:r>
      <w:r>
        <w:rPr>
          <w:snapToGrid w:val="0"/>
        </w:rPr>
        <w:tab/>
        <w:t>33</w:t>
      </w:r>
    </w:p>
    <w:p>
      <w:pPr>
        <w:pStyle w:val="DefinedTerms"/>
        <w:rPr>
          <w:snapToGrid w:val="0"/>
        </w:rPr>
      </w:pPr>
      <w:r>
        <w:rPr>
          <w:snapToGrid w:val="0"/>
        </w:rPr>
        <w:t>designated position</w:t>
      </w:r>
      <w:r>
        <w:rPr>
          <w:snapToGrid w:val="0"/>
        </w:rPr>
        <w:tab/>
        <w:t>3(1)</w:t>
      </w:r>
    </w:p>
    <w:p>
      <w:pPr>
        <w:pStyle w:val="DefinedTerms"/>
        <w:rPr>
          <w:snapToGrid w:val="0"/>
        </w:rPr>
      </w:pPr>
      <w:r>
        <w:rPr>
          <w:snapToGrid w:val="0"/>
        </w:rPr>
        <w:t>lawyer</w:t>
      </w:r>
      <w:r>
        <w:rPr>
          <w:snapToGrid w:val="0"/>
        </w:rPr>
        <w:tab/>
        <w:t>33</w:t>
      </w:r>
    </w:p>
    <w:p>
      <w:pPr>
        <w:pStyle w:val="DefinedTerms"/>
        <w:rPr>
          <w:snapToGrid w:val="0"/>
        </w:rPr>
      </w:pPr>
      <w:r>
        <w:rPr>
          <w:snapToGrid w:val="0"/>
        </w:rPr>
        <w:t>new identity order</w:t>
      </w:r>
      <w:r>
        <w:rPr>
          <w:snapToGrid w:val="0"/>
        </w:rPr>
        <w:tab/>
        <w:t>19</w:t>
      </w:r>
    </w:p>
    <w:p>
      <w:pPr>
        <w:pStyle w:val="DefinedTerms"/>
        <w:rPr>
          <w:snapToGrid w:val="0"/>
        </w:rPr>
      </w:pPr>
      <w:r>
        <w:rPr>
          <w:snapToGrid w:val="0"/>
        </w:rPr>
        <w:t>non</w:t>
      </w:r>
      <w:r>
        <w:rPr>
          <w:snapToGrid w:val="0"/>
        </w:rPr>
        <w:noBreakHyphen/>
        <w:t>disclosure certificate</w:t>
      </w:r>
      <w:r>
        <w:rPr>
          <w:snapToGrid w:val="0"/>
        </w:rPr>
        <w:tab/>
        <w:t>33</w:t>
      </w:r>
    </w:p>
    <w:p>
      <w:pPr>
        <w:pStyle w:val="DefinedTerms"/>
        <w:rPr>
          <w:snapToGrid w:val="0"/>
        </w:rPr>
      </w:pPr>
      <w:r>
        <w:rPr>
          <w:snapToGrid w:val="0"/>
        </w:rPr>
        <w:t>officer of the Corruption and Crime Commission</w:t>
      </w:r>
      <w:r>
        <w:rPr>
          <w:snapToGrid w:val="0"/>
        </w:rPr>
        <w:tab/>
        <w:t>3(1)</w:t>
      </w:r>
    </w:p>
    <w:p>
      <w:pPr>
        <w:pStyle w:val="DefinedTerms"/>
        <w:rPr>
          <w:snapToGrid w:val="0"/>
        </w:rPr>
      </w:pPr>
      <w:r>
        <w:rPr>
          <w:snapToGrid w:val="0"/>
        </w:rPr>
        <w:t>original court</w:t>
      </w:r>
      <w:r>
        <w:rPr>
          <w:snapToGrid w:val="0"/>
        </w:rPr>
        <w:tab/>
        <w:t>34F(1)</w:t>
      </w:r>
    </w:p>
    <w:p>
      <w:pPr>
        <w:pStyle w:val="DefinedTerms"/>
        <w:rPr>
          <w:snapToGrid w:val="0"/>
        </w:rPr>
      </w:pPr>
      <w:r>
        <w:rPr>
          <w:snapToGrid w:val="0"/>
        </w:rPr>
        <w:t>Parliamentary Commissioner</w:t>
      </w:r>
      <w:r>
        <w:rPr>
          <w:snapToGrid w:val="0"/>
        </w:rPr>
        <w:tab/>
        <w:t>3(1)</w:t>
      </w:r>
    </w:p>
    <w:p>
      <w:pPr>
        <w:pStyle w:val="DefinedTerms"/>
        <w:rPr>
          <w:snapToGrid w:val="0"/>
        </w:rPr>
      </w:pPr>
      <w:r>
        <w:rPr>
          <w:snapToGrid w:val="0"/>
        </w:rPr>
        <w:t>parliamentary committee</w:t>
      </w:r>
      <w:r>
        <w:rPr>
          <w:snapToGrid w:val="0"/>
        </w:rPr>
        <w:tab/>
        <w:t>33</w:t>
      </w:r>
    </w:p>
    <w:p>
      <w:pPr>
        <w:pStyle w:val="DefinedTerms"/>
        <w:rPr>
          <w:snapToGrid w:val="0"/>
        </w:rPr>
      </w:pPr>
      <w:r>
        <w:rPr>
          <w:snapToGrid w:val="0"/>
        </w:rPr>
        <w:t>parliamentary proceedings</w:t>
      </w:r>
      <w:r>
        <w:rPr>
          <w:snapToGrid w:val="0"/>
        </w:rPr>
        <w:tab/>
        <w:t>33</w:t>
      </w:r>
    </w:p>
    <w:p>
      <w:pPr>
        <w:pStyle w:val="DefinedTerms"/>
        <w:rPr>
          <w:snapToGrid w:val="0"/>
        </w:rPr>
      </w:pPr>
      <w:r>
        <w:rPr>
          <w:snapToGrid w:val="0"/>
        </w:rPr>
        <w:t>participant</w:t>
      </w:r>
      <w:r>
        <w:rPr>
          <w:snapToGrid w:val="0"/>
        </w:rPr>
        <w:tab/>
        <w:t>3(1)</w:t>
      </w:r>
    </w:p>
    <w:p>
      <w:pPr>
        <w:pStyle w:val="DefinedTerms"/>
        <w:rPr>
          <w:snapToGrid w:val="0"/>
        </w:rPr>
      </w:pPr>
      <w:r>
        <w:rPr>
          <w:snapToGrid w:val="0"/>
        </w:rPr>
        <w:t>party</w:t>
      </w:r>
      <w:r>
        <w:rPr>
          <w:snapToGrid w:val="0"/>
        </w:rPr>
        <w:tab/>
        <w:t>33</w:t>
      </w:r>
    </w:p>
    <w:p>
      <w:pPr>
        <w:pStyle w:val="DefinedTerms"/>
        <w:rPr>
          <w:snapToGrid w:val="0"/>
        </w:rPr>
      </w:pPr>
      <w:r>
        <w:rPr>
          <w:snapToGrid w:val="0"/>
        </w:rPr>
        <w:t>permission</w:t>
      </w:r>
      <w:r>
        <w:rPr>
          <w:snapToGrid w:val="0"/>
        </w:rPr>
        <w:tab/>
        <w:t>41(1)</w:t>
      </w:r>
    </w:p>
    <w:p>
      <w:pPr>
        <w:pStyle w:val="DefinedTerms"/>
        <w:rPr>
          <w:snapToGrid w:val="0"/>
        </w:rPr>
      </w:pPr>
      <w:r>
        <w:rPr>
          <w:snapToGrid w:val="0"/>
        </w:rPr>
        <w:t>person</w:t>
      </w:r>
      <w:r>
        <w:rPr>
          <w:snapToGrid w:val="0"/>
        </w:rPr>
        <w:tab/>
        <w:t>33(4)</w:t>
      </w:r>
    </w:p>
    <w:p>
      <w:pPr>
        <w:pStyle w:val="DefinedTerms"/>
        <w:rPr>
          <w:snapToGrid w:val="0"/>
        </w:rPr>
      </w:pPr>
      <w:r>
        <w:rPr>
          <w:snapToGrid w:val="0"/>
        </w:rPr>
        <w:t>person involved</w:t>
      </w:r>
      <w:r>
        <w:rPr>
          <w:snapToGrid w:val="0"/>
        </w:rPr>
        <w:tab/>
        <w:t>34C(1)</w:t>
      </w:r>
    </w:p>
    <w:p>
      <w:pPr>
        <w:pStyle w:val="DefinedTerms"/>
        <w:rPr>
          <w:snapToGrid w:val="0"/>
        </w:rPr>
      </w:pPr>
      <w:r>
        <w:rPr>
          <w:snapToGrid w:val="0"/>
        </w:rPr>
        <w:t>person involved,</w:t>
      </w:r>
      <w:r>
        <w:rPr>
          <w:snapToGrid w:val="0"/>
        </w:rPr>
        <w:tab/>
        <w:t>34J(1)</w:t>
      </w:r>
    </w:p>
    <w:p>
      <w:pPr>
        <w:pStyle w:val="DefinedTerms"/>
        <w:rPr>
          <w:snapToGrid w:val="0"/>
        </w:rPr>
      </w:pPr>
      <w:r>
        <w:rPr>
          <w:snapToGrid w:val="0"/>
        </w:rPr>
        <w:t>prescribed authority</w:t>
      </w:r>
      <w:r>
        <w:rPr>
          <w:snapToGrid w:val="0"/>
        </w:rPr>
        <w:tab/>
        <w:t>3(1)</w:t>
      </w:r>
    </w:p>
    <w:p>
      <w:pPr>
        <w:pStyle w:val="DefinedTerms"/>
        <w:rPr>
          <w:snapToGrid w:val="0"/>
        </w:rPr>
      </w:pPr>
      <w:r>
        <w:rPr>
          <w:snapToGrid w:val="0"/>
        </w:rPr>
        <w:t>prescribed register</w:t>
      </w:r>
      <w:r>
        <w:rPr>
          <w:snapToGrid w:val="0"/>
        </w:rPr>
        <w:tab/>
        <w:t>3(1)</w:t>
      </w:r>
    </w:p>
    <w:p>
      <w:pPr>
        <w:pStyle w:val="DefinedTerms"/>
        <w:rPr>
          <w:snapToGrid w:val="0"/>
        </w:rPr>
      </w:pPr>
      <w:r>
        <w:rPr>
          <w:snapToGrid w:val="0"/>
        </w:rPr>
        <w:t>proceedings</w:t>
      </w:r>
      <w:r>
        <w:rPr>
          <w:snapToGrid w:val="0"/>
        </w:rPr>
        <w:tab/>
        <w:t>33</w:t>
      </w:r>
    </w:p>
    <w:p>
      <w:pPr>
        <w:pStyle w:val="DefinedTerms"/>
        <w:rPr>
          <w:snapToGrid w:val="0"/>
        </w:rPr>
      </w:pPr>
      <w:r>
        <w:rPr>
          <w:snapToGrid w:val="0"/>
        </w:rPr>
        <w:t>protected address</w:t>
      </w:r>
      <w:r>
        <w:rPr>
          <w:snapToGrid w:val="0"/>
        </w:rPr>
        <w:tab/>
        <w:t>33</w:t>
      </w:r>
    </w:p>
    <w:p>
      <w:pPr>
        <w:pStyle w:val="DefinedTerms"/>
        <w:rPr>
          <w:snapToGrid w:val="0"/>
        </w:rPr>
      </w:pPr>
      <w:r>
        <w:rPr>
          <w:snapToGrid w:val="0"/>
        </w:rPr>
        <w:t>protected identity</w:t>
      </w:r>
      <w:r>
        <w:rPr>
          <w:snapToGrid w:val="0"/>
        </w:rPr>
        <w:tab/>
        <w:t>33</w:t>
      </w:r>
    </w:p>
    <w:p>
      <w:pPr>
        <w:pStyle w:val="DefinedTerms"/>
        <w:rPr>
          <w:snapToGrid w:val="0"/>
        </w:rPr>
      </w:pPr>
      <w:r>
        <w:rPr>
          <w:snapToGrid w:val="0"/>
        </w:rPr>
        <w:t>protected person</w:t>
      </w:r>
      <w:r>
        <w:rPr>
          <w:snapToGrid w:val="0"/>
        </w:rPr>
        <w:tab/>
        <w:t>33</w:t>
      </w:r>
    </w:p>
    <w:p>
      <w:pPr>
        <w:pStyle w:val="DefinedTerms"/>
        <w:rPr>
          <w:snapToGrid w:val="0"/>
        </w:rPr>
      </w:pPr>
      <w:r>
        <w:rPr>
          <w:snapToGrid w:val="0"/>
        </w:rPr>
        <w:t>relevant House,</w:t>
      </w:r>
      <w:r>
        <w:rPr>
          <w:snapToGrid w:val="0"/>
        </w:rPr>
        <w:tab/>
        <w:t>34K(1)</w:t>
      </w:r>
    </w:p>
    <w:p>
      <w:pPr>
        <w:pStyle w:val="DefinedTerms"/>
        <w:rPr>
          <w:snapToGrid w:val="0"/>
        </w:rPr>
      </w:pPr>
      <w:r>
        <w:rPr>
          <w:snapToGrid w:val="0"/>
        </w:rPr>
        <w:t>sensitive information</w:t>
      </w:r>
      <w:r>
        <w:rPr>
          <w:snapToGrid w:val="0"/>
        </w:rPr>
        <w:tab/>
        <w:t>32(2)</w:t>
      </w:r>
    </w:p>
    <w:p>
      <w:pPr>
        <w:pStyle w:val="DefinedTerms"/>
        <w:rPr>
          <w:snapToGrid w:val="0"/>
        </w:rPr>
      </w:pPr>
      <w:r>
        <w:rPr>
          <w:snapToGrid w:val="0"/>
        </w:rPr>
        <w:t>State Witness Protection Program</w:t>
      </w:r>
      <w:r>
        <w:rPr>
          <w:snapToGrid w:val="0"/>
        </w:rPr>
        <w:tab/>
        <w:t>3(1)</w:t>
      </w:r>
    </w:p>
    <w:p>
      <w:pPr>
        <w:pStyle w:val="DefinedTerms"/>
        <w:rPr>
          <w:snapToGrid w:val="0"/>
        </w:rPr>
      </w:pPr>
      <w:r>
        <w:rPr>
          <w:snapToGrid w:val="0"/>
        </w:rPr>
        <w:t>SWPP</w:t>
      </w:r>
      <w:r>
        <w:rPr>
          <w:snapToGrid w:val="0"/>
        </w:rPr>
        <w:tab/>
        <w:t>3(2)</w:t>
      </w:r>
    </w:p>
    <w:p>
      <w:pPr>
        <w:pStyle w:val="DefinedTerms"/>
        <w:rPr>
          <w:snapToGrid w:val="0"/>
        </w:rPr>
      </w:pPr>
      <w:r>
        <w:rPr>
          <w:snapToGrid w:val="0"/>
        </w:rPr>
        <w:t>witness</w:t>
      </w:r>
      <w:r>
        <w:rPr>
          <w:snapToGrid w:val="0"/>
        </w:rPr>
        <w:tab/>
        <w:t>3(1)</w:t>
      </w:r>
    </w:p>
    <w:p>
      <w:pPr>
        <w:pStyle w:val="DefinedTerms"/>
        <w:rPr>
          <w:snapToGrid w:val="0"/>
        </w:rPr>
      </w:pPr>
      <w:r>
        <w:rPr>
          <w:snapToGrid w:val="0"/>
        </w:rPr>
        <w:t>witness protection program</w:t>
      </w:r>
      <w:r>
        <w:rPr>
          <w:snapToGrid w:val="0"/>
        </w:rPr>
        <w:tab/>
        <w:t>3(1)</w:t>
      </w:r>
    </w:p>
    <w:p>
      <w:pPr>
        <w:rPr>
          <w:snapToGrid w:val="0"/>
        </w:rPr>
      </w:pPr>
    </w:p>
    <w:p>
      <w:pPr>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Witness Protection (Western Australia) Act 1996</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jc w:val="left"/>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Witness Protection (Western Australia) Act 1996</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Witness Protection (Western Australia) Act 1996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Witness Protection (Western Australia)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02"/>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1216143802" w:val="RemoveTrackChanges"/>
    <w:docVar w:name="WAFER_20151216143802_GUID" w:val="78c76c3f-736a-450a-b393-9276681e9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11487</Words>
  <Characters>57550</Characters>
  <Application>Microsoft Office Word</Application>
  <DocSecurity>0</DocSecurity>
  <Lines>1555</Lines>
  <Paragraphs>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1996 - 02-c0-03</dc:title>
  <dc:subject/>
  <dc:creator/>
  <cp:keywords/>
  <dc:description/>
  <cp:lastModifiedBy>svcMRProcess</cp:lastModifiedBy>
  <cp:revision>4</cp:revision>
  <cp:lastPrinted>2008-08-12T06:35:00Z</cp:lastPrinted>
  <dcterms:created xsi:type="dcterms:W3CDTF">2018-09-10T01:04:00Z</dcterms:created>
  <dcterms:modified xsi:type="dcterms:W3CDTF">2018-09-10T01:04:00Z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911</vt:i4>
  </property>
  <property fmtid="{D5CDD505-2E9C-101B-9397-08002B2CF9AE}" pid="6" name="AsAtDate">
    <vt:lpwstr>01 Mar 2013</vt:lpwstr>
  </property>
  <property fmtid="{D5CDD505-2E9C-101B-9397-08002B2CF9AE}" pid="7" name="Suffix">
    <vt:lpwstr>02-c0-03</vt:lpwstr>
  </property>
  <property fmtid="{D5CDD505-2E9C-101B-9397-08002B2CF9AE}" pid="8" name="ReprintNo">
    <vt:lpwstr>2</vt:lpwstr>
  </property>
</Properties>
</file>