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284" w:right="476"/>
      </w:pPr>
      <w:r>
        <w:fldChar w:fldCharType="begin"/>
      </w:r>
      <w:r>
        <w:instrText xml:space="preserve"> STYLEREF "Name Of Act/Reg"</w:instrText>
      </w:r>
      <w:r>
        <w:fldChar w:fldCharType="separate"/>
      </w:r>
      <w:r>
        <w:rPr>
          <w:noProof/>
        </w:rPr>
        <w:t>Combat Sports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476"/>
      </w:pPr>
      <w:r>
        <w:fldChar w:fldCharType="begin"/>
      </w:r>
      <w:r>
        <w:instrText xml:space="preserve"> STYLEREF "Name Of Act/Reg"</w:instrText>
      </w:r>
      <w:r>
        <w:fldChar w:fldCharType="separate"/>
      </w:r>
      <w:r>
        <w:rPr>
          <w:noProof/>
        </w:rPr>
        <w:t>Combat Sports Act 1987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_Toc349831340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_Toc349831341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_Toc349831342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 — Combat Sports Commission</w:t>
      </w:r>
    </w:p>
    <w:p>
      <w:pPr>
        <w:pStyle w:val="TOC8"/>
        <w:rPr>
          <w:rFonts w:asciiTheme="minorHAnsi" w:eastAsiaTheme="minorEastAsia" w:hAnsiTheme="minorHAnsi" w:cstheme="minorBidi"/>
          <w:szCs w:val="22"/>
          <w:lang w:eastAsia="en-AU"/>
        </w:rPr>
      </w:pPr>
      <w:r>
        <w:t>4</w:t>
      </w:r>
      <w:r>
        <w:rPr>
          <w:snapToGrid w:val="0"/>
        </w:rPr>
        <w:t>.</w:t>
      </w:r>
      <w:r>
        <w:rPr>
          <w:snapToGrid w:val="0"/>
        </w:rPr>
        <w:tab/>
      </w:r>
      <w:r>
        <w:t>Combat Sports</w:t>
      </w:r>
      <w:r>
        <w:rPr>
          <w:snapToGrid w:val="0"/>
        </w:rPr>
        <w:t xml:space="preserve"> Commission established</w:t>
      </w:r>
      <w:r>
        <w:tab/>
      </w:r>
      <w:r>
        <w:fldChar w:fldCharType="begin"/>
      </w:r>
      <w:r>
        <w:instrText xml:space="preserve"> PAGEREF _Toc349831344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Vacation of office</w:t>
      </w:r>
      <w:r>
        <w:tab/>
      </w:r>
      <w:r>
        <w:fldChar w:fldCharType="begin"/>
      </w:r>
      <w:r>
        <w:instrText xml:space="preserve"> PAGEREF _Toc349831345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Remuneration and leave of members</w:t>
      </w:r>
      <w:r>
        <w:tab/>
      </w:r>
      <w:r>
        <w:fldChar w:fldCharType="begin"/>
      </w:r>
      <w:r>
        <w:instrText xml:space="preserve"> PAGEREF _Toc349831346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Casual vacancies</w:t>
      </w:r>
      <w:r>
        <w:tab/>
      </w:r>
      <w:r>
        <w:fldChar w:fldCharType="begin"/>
      </w:r>
      <w:r>
        <w:instrText xml:space="preserve"> PAGEREF _Toc349831347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Meetings of the Commission</w:t>
      </w:r>
      <w:r>
        <w:tab/>
      </w:r>
      <w:r>
        <w:fldChar w:fldCharType="begin"/>
      </w:r>
      <w:r>
        <w:instrText xml:space="preserve"> PAGEREF _Toc349831348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Control of the Minister</w:t>
      </w:r>
      <w:r>
        <w:tab/>
      </w:r>
      <w:r>
        <w:fldChar w:fldCharType="begin"/>
      </w:r>
      <w:r>
        <w:instrText xml:space="preserve"> PAGEREF _Toc349831349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Functions of the Commission</w:t>
      </w:r>
      <w:r>
        <w:tab/>
      </w:r>
      <w:r>
        <w:fldChar w:fldCharType="begin"/>
      </w:r>
      <w:r>
        <w:instrText xml:space="preserve"> PAGEREF _Toc349831350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Staff</w:t>
      </w:r>
      <w:r>
        <w:tab/>
      </w:r>
      <w:r>
        <w:fldChar w:fldCharType="begin"/>
      </w:r>
      <w:r>
        <w:instrText xml:space="preserve"> PAGEREF _Toc349831351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Funds of the Commission</w:t>
      </w:r>
      <w:r>
        <w:tab/>
      </w:r>
      <w:r>
        <w:fldChar w:fldCharType="begin"/>
      </w:r>
      <w:r>
        <w:instrText xml:space="preserve"> PAGEREF _Toc349831352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Financial provisions</w:t>
      </w:r>
      <w:r>
        <w:tab/>
      </w:r>
      <w:r>
        <w:fldChar w:fldCharType="begin"/>
      </w:r>
      <w:r>
        <w:instrText xml:space="preserve"> PAGEREF _Toc349831353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III — Registration of contestants</w:t>
      </w:r>
    </w:p>
    <w:p>
      <w:pPr>
        <w:pStyle w:val="TOC8"/>
        <w:rPr>
          <w:rFonts w:asciiTheme="minorHAnsi" w:eastAsiaTheme="minorEastAsia" w:hAnsiTheme="minorHAnsi" w:cstheme="minorBidi"/>
          <w:szCs w:val="22"/>
          <w:lang w:eastAsia="en-AU"/>
        </w:rPr>
      </w:pPr>
      <w:r>
        <w:t>14</w:t>
      </w:r>
      <w:r>
        <w:rPr>
          <w:snapToGrid w:val="0"/>
        </w:rPr>
        <w:t>.</w:t>
      </w:r>
      <w:r>
        <w:rPr>
          <w:snapToGrid w:val="0"/>
        </w:rPr>
        <w:tab/>
        <w:t xml:space="preserve">Prescribed classes of </w:t>
      </w:r>
      <w:r>
        <w:t>contestants</w:t>
      </w:r>
      <w:r>
        <w:tab/>
      </w:r>
      <w:r>
        <w:fldChar w:fldCharType="begin"/>
      </w:r>
      <w:r>
        <w:instrText xml:space="preserve"> PAGEREF _Toc349831355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Register</w:t>
      </w:r>
      <w:r>
        <w:tab/>
      </w:r>
      <w:r>
        <w:fldChar w:fldCharType="begin"/>
      </w:r>
      <w:r>
        <w:instrText xml:space="preserve"> PAGEREF _Toc349831356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Applying for registration</w:t>
      </w:r>
      <w:r>
        <w:tab/>
      </w:r>
      <w:r>
        <w:fldChar w:fldCharType="begin"/>
      </w:r>
      <w:r>
        <w:instrText xml:space="preserve"> PAGEREF _Toc349831357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Registering contestants</w:t>
      </w:r>
      <w:r>
        <w:tab/>
      </w:r>
      <w:r>
        <w:fldChar w:fldCharType="begin"/>
      </w:r>
      <w:r>
        <w:instrText xml:space="preserve"> PAGEREF _Toc349831358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Certificate of registration</w:t>
      </w:r>
      <w:r>
        <w:tab/>
      </w:r>
      <w:r>
        <w:fldChar w:fldCharType="begin"/>
      </w:r>
      <w:r>
        <w:instrText xml:space="preserve"> PAGEREF _Toc349831359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Term of registration and application for renewal</w:t>
      </w:r>
      <w:r>
        <w:tab/>
      </w:r>
      <w:r>
        <w:fldChar w:fldCharType="begin"/>
      </w:r>
      <w:r>
        <w:instrText xml:space="preserve"> PAGEREF _Toc349831360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Renewal of registration</w:t>
      </w:r>
      <w:r>
        <w:tab/>
      </w:r>
      <w:r>
        <w:fldChar w:fldCharType="begin"/>
      </w:r>
      <w:r>
        <w:instrText xml:space="preserve"> PAGEREF _Toc349831361 \h </w:instrText>
      </w:r>
      <w:r>
        <w:fldChar w:fldCharType="separate"/>
      </w:r>
      <w:r>
        <w:t>12</w:t>
      </w:r>
      <w:r>
        <w:fldChar w:fldCharType="end"/>
      </w:r>
    </w:p>
    <w:p>
      <w:pPr>
        <w:pStyle w:val="TOC8"/>
        <w:rPr>
          <w:rFonts w:asciiTheme="minorHAnsi" w:eastAsiaTheme="minorEastAsia" w:hAnsiTheme="minorHAnsi" w:cstheme="minorBidi"/>
          <w:szCs w:val="22"/>
          <w:lang w:eastAsia="en-AU"/>
        </w:rPr>
      </w:pPr>
      <w:r>
        <w:lastRenderedPageBreak/>
        <w:t>21.</w:t>
      </w:r>
      <w:r>
        <w:tab/>
        <w:t>Commission’s powers to ensure health and safety of contestants</w:t>
      </w:r>
      <w:r>
        <w:tab/>
      </w:r>
      <w:r>
        <w:fldChar w:fldCharType="begin"/>
      </w:r>
      <w:r>
        <w:instrText xml:space="preserve"> PAGEREF _Toc349831362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Disciplinary powers against contestants</w:t>
      </w:r>
      <w:r>
        <w:tab/>
      </w:r>
      <w:r>
        <w:fldChar w:fldCharType="begin"/>
      </w:r>
      <w:r>
        <w:instrText xml:space="preserve"> PAGEREF _Toc349831363 \h </w:instrText>
      </w:r>
      <w:r>
        <w:fldChar w:fldCharType="separate"/>
      </w:r>
      <w:r>
        <w:t>14</w:t>
      </w:r>
      <w:r>
        <w:fldChar w:fldCharType="end"/>
      </w:r>
    </w:p>
    <w:p>
      <w:pPr>
        <w:pStyle w:val="TOC8"/>
        <w:rPr>
          <w:rFonts w:asciiTheme="minorHAnsi" w:eastAsiaTheme="minorEastAsia" w:hAnsiTheme="minorHAnsi" w:cstheme="minorBidi"/>
          <w:szCs w:val="22"/>
          <w:lang w:eastAsia="en-AU"/>
        </w:rPr>
      </w:pPr>
      <w:r>
        <w:t>24A.</w:t>
      </w:r>
      <w:r>
        <w:tab/>
        <w:t>Cancelling registration on contestant’s request</w:t>
      </w:r>
      <w:r>
        <w:tab/>
      </w:r>
      <w:r>
        <w:fldChar w:fldCharType="begin"/>
      </w:r>
      <w:r>
        <w:instrText xml:space="preserve"> PAGEREF _Toc349831364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Offence to participate in contests if unregistered etc.</w:t>
      </w:r>
      <w:r>
        <w:tab/>
      </w:r>
      <w:r>
        <w:fldChar w:fldCharType="begin"/>
      </w:r>
      <w:r>
        <w:instrText xml:space="preserve"> PAGEREF _Toc349831365 \h </w:instrText>
      </w:r>
      <w:r>
        <w:fldChar w:fldCharType="separate"/>
      </w:r>
      <w:r>
        <w:t>14</w:t>
      </w:r>
      <w:r>
        <w:fldChar w:fldCharType="end"/>
      </w:r>
    </w:p>
    <w:p>
      <w:pPr>
        <w:pStyle w:val="TOC8"/>
        <w:rPr>
          <w:rFonts w:asciiTheme="minorHAnsi" w:eastAsiaTheme="minorEastAsia" w:hAnsiTheme="minorHAnsi" w:cstheme="minorBidi"/>
          <w:szCs w:val="22"/>
          <w:lang w:eastAsia="en-AU"/>
        </w:rPr>
      </w:pPr>
      <w:r>
        <w:t>25A.</w:t>
      </w:r>
      <w:r>
        <w:tab/>
        <w:t>Commission may vary or cancel conditions and restrictions</w:t>
      </w:r>
      <w:r>
        <w:tab/>
      </w:r>
      <w:r>
        <w:fldChar w:fldCharType="begin"/>
      </w:r>
      <w:r>
        <w:instrText xml:space="preserve"> PAGEREF _Toc349831366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IV — Registration of industry participants</w:t>
      </w:r>
    </w:p>
    <w:p>
      <w:pPr>
        <w:pStyle w:val="TOC8"/>
        <w:rPr>
          <w:rFonts w:asciiTheme="minorHAnsi" w:eastAsiaTheme="minorEastAsia" w:hAnsiTheme="minorHAnsi" w:cstheme="minorBidi"/>
          <w:szCs w:val="22"/>
          <w:lang w:eastAsia="en-AU"/>
        </w:rPr>
      </w:pPr>
      <w:r>
        <w:t>26.</w:t>
      </w:r>
      <w:r>
        <w:tab/>
        <w:t>Register of industry participants</w:t>
      </w:r>
      <w:r>
        <w:tab/>
      </w:r>
      <w:r>
        <w:fldChar w:fldCharType="begin"/>
      </w:r>
      <w:r>
        <w:instrText xml:space="preserve"> PAGEREF _Toc349831368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Applying to be registered</w:t>
      </w:r>
      <w:r>
        <w:tab/>
      </w:r>
      <w:r>
        <w:fldChar w:fldCharType="begin"/>
      </w:r>
      <w:r>
        <w:instrText xml:space="preserve"> PAGEREF _Toc349831369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Registering industry participants</w:t>
      </w:r>
      <w:r>
        <w:tab/>
      </w:r>
      <w:r>
        <w:fldChar w:fldCharType="begin"/>
      </w:r>
      <w:r>
        <w:instrText xml:space="preserve"> PAGEREF _Toc349831370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Certificate of registration</w:t>
      </w:r>
      <w:r>
        <w:tab/>
      </w:r>
      <w:r>
        <w:fldChar w:fldCharType="begin"/>
      </w:r>
      <w:r>
        <w:instrText xml:space="preserve"> PAGEREF _Toc349831371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Term of registration</w:t>
      </w:r>
      <w:r>
        <w:tab/>
      </w:r>
      <w:r>
        <w:fldChar w:fldCharType="begin"/>
      </w:r>
      <w:r>
        <w:instrText xml:space="preserve"> PAGEREF _Toc349831372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Application for renewal of registration</w:t>
      </w:r>
      <w:r>
        <w:tab/>
      </w:r>
      <w:r>
        <w:fldChar w:fldCharType="begin"/>
      </w:r>
      <w:r>
        <w:instrText xml:space="preserve"> PAGEREF _Toc349831373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Renewal of registration</w:t>
      </w:r>
      <w:r>
        <w:tab/>
      </w:r>
      <w:r>
        <w:fldChar w:fldCharType="begin"/>
      </w:r>
      <w:r>
        <w:instrText xml:space="preserve"> PAGEREF _Toc349831374 \h </w:instrText>
      </w:r>
      <w:r>
        <w:fldChar w:fldCharType="separate"/>
      </w:r>
      <w:r>
        <w:t>18</w:t>
      </w:r>
      <w:r>
        <w:fldChar w:fldCharType="end"/>
      </w:r>
    </w:p>
    <w:p>
      <w:pPr>
        <w:pStyle w:val="TOC8"/>
        <w:rPr>
          <w:rFonts w:asciiTheme="minorHAnsi" w:eastAsiaTheme="minorEastAsia" w:hAnsiTheme="minorHAnsi" w:cstheme="minorBidi"/>
          <w:szCs w:val="22"/>
          <w:lang w:eastAsia="en-AU"/>
        </w:rPr>
      </w:pPr>
      <w:r>
        <w:t>33A.</w:t>
      </w:r>
      <w:r>
        <w:tab/>
        <w:t>Disciplinary powers</w:t>
      </w:r>
      <w:r>
        <w:tab/>
      </w:r>
      <w:r>
        <w:fldChar w:fldCharType="begin"/>
      </w:r>
      <w:r>
        <w:instrText xml:space="preserve"> PAGEREF _Toc349831375 \h </w:instrText>
      </w:r>
      <w:r>
        <w:fldChar w:fldCharType="separate"/>
      </w:r>
      <w:r>
        <w:t>18</w:t>
      </w:r>
      <w:r>
        <w:fldChar w:fldCharType="end"/>
      </w:r>
    </w:p>
    <w:p>
      <w:pPr>
        <w:pStyle w:val="TOC8"/>
        <w:rPr>
          <w:rFonts w:asciiTheme="minorHAnsi" w:eastAsiaTheme="minorEastAsia" w:hAnsiTheme="minorHAnsi" w:cstheme="minorBidi"/>
          <w:szCs w:val="22"/>
          <w:lang w:eastAsia="en-AU"/>
        </w:rPr>
      </w:pPr>
      <w:r>
        <w:t>33.</w:t>
      </w:r>
      <w:r>
        <w:tab/>
        <w:t>Offence</w:t>
      </w:r>
      <w:r>
        <w:tab/>
      </w:r>
      <w:r>
        <w:fldChar w:fldCharType="begin"/>
      </w:r>
      <w:r>
        <w:instrText xml:space="preserve"> PAGEREF _Toc349831376 \h </w:instrText>
      </w:r>
      <w:r>
        <w:fldChar w:fldCharType="separate"/>
      </w:r>
      <w:r>
        <w:t>19</w:t>
      </w:r>
      <w:r>
        <w:fldChar w:fldCharType="end"/>
      </w:r>
    </w:p>
    <w:p>
      <w:pPr>
        <w:pStyle w:val="TOC8"/>
        <w:rPr>
          <w:rFonts w:asciiTheme="minorHAnsi" w:eastAsiaTheme="minorEastAsia" w:hAnsiTheme="minorHAnsi" w:cstheme="minorBidi"/>
          <w:szCs w:val="22"/>
          <w:lang w:eastAsia="en-AU"/>
        </w:rPr>
      </w:pPr>
      <w:r>
        <w:t>34A.</w:t>
      </w:r>
      <w:r>
        <w:tab/>
        <w:t>Commission may cancel or vary conditions or restrictions</w:t>
      </w:r>
      <w:r>
        <w:tab/>
      </w:r>
      <w:r>
        <w:fldChar w:fldCharType="begin"/>
      </w:r>
      <w:r>
        <w:instrText xml:space="preserve"> PAGEREF _Toc349831377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 — Contestant record books</w:t>
      </w:r>
    </w:p>
    <w:p>
      <w:pPr>
        <w:pStyle w:val="TOC8"/>
        <w:rPr>
          <w:rFonts w:asciiTheme="minorHAnsi" w:eastAsiaTheme="minorEastAsia" w:hAnsiTheme="minorHAnsi" w:cstheme="minorBidi"/>
          <w:szCs w:val="22"/>
          <w:lang w:eastAsia="en-AU"/>
        </w:rPr>
      </w:pPr>
      <w:r>
        <w:t>35.</w:t>
      </w:r>
      <w:r>
        <w:tab/>
        <w:t>Books to be issued to registered contestants</w:t>
      </w:r>
      <w:r>
        <w:tab/>
      </w:r>
      <w:r>
        <w:fldChar w:fldCharType="begin"/>
      </w:r>
      <w:r>
        <w:instrText xml:space="preserve"> PAGEREF _Toc349831379 \h </w:instrText>
      </w:r>
      <w:r>
        <w:fldChar w:fldCharType="separate"/>
      </w:r>
      <w:r>
        <w:t>21</w:t>
      </w:r>
      <w:r>
        <w:fldChar w:fldCharType="end"/>
      </w:r>
    </w:p>
    <w:p>
      <w:pPr>
        <w:pStyle w:val="TOC8"/>
        <w:rPr>
          <w:rFonts w:asciiTheme="minorHAnsi" w:eastAsiaTheme="minorEastAsia" w:hAnsiTheme="minorHAnsi" w:cstheme="minorBidi"/>
          <w:szCs w:val="22"/>
          <w:lang w:eastAsia="en-AU"/>
        </w:rPr>
      </w:pPr>
      <w:r>
        <w:t>36.</w:t>
      </w:r>
      <w:r>
        <w:tab/>
        <w:t>Altering books</w:t>
      </w:r>
      <w:r>
        <w:tab/>
      </w:r>
      <w:r>
        <w:fldChar w:fldCharType="begin"/>
      </w:r>
      <w:r>
        <w:instrText xml:space="preserve"> PAGEREF _Toc349831380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Damaging books</w:t>
      </w:r>
      <w:r>
        <w:tab/>
      </w:r>
      <w:r>
        <w:fldChar w:fldCharType="begin"/>
      </w:r>
      <w:r>
        <w:instrText xml:space="preserve"> PAGEREF _Toc349831381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Surrender of books</w:t>
      </w:r>
      <w:r>
        <w:tab/>
      </w:r>
      <w:r>
        <w:fldChar w:fldCharType="begin"/>
      </w:r>
      <w:r>
        <w:instrText xml:space="preserve"> PAGEREF _Toc349831382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w:t>
      </w:r>
      <w:r>
        <w:rPr>
          <w:snapToGrid w:val="0"/>
        </w:rPr>
        <w:noBreakHyphen/>
        <w:t>issue of medical record book</w:t>
      </w:r>
      <w:r>
        <w:tab/>
      </w:r>
      <w:r>
        <w:fldChar w:fldCharType="begin"/>
      </w:r>
      <w:r>
        <w:instrText xml:space="preserve"> PAGEREF _Toc349831383 \h </w:instrText>
      </w:r>
      <w:r>
        <w:fldChar w:fldCharType="separate"/>
      </w:r>
      <w:r>
        <w:t>22</w:t>
      </w:r>
      <w:r>
        <w:fldChar w:fldCharType="end"/>
      </w:r>
    </w:p>
    <w:p>
      <w:pPr>
        <w:pStyle w:val="TOC8"/>
        <w:rPr>
          <w:rFonts w:asciiTheme="minorHAnsi" w:eastAsiaTheme="minorEastAsia" w:hAnsiTheme="minorHAnsi" w:cstheme="minorBidi"/>
          <w:szCs w:val="22"/>
          <w:lang w:eastAsia="en-AU"/>
        </w:rPr>
      </w:pPr>
      <w:r>
        <w:t>41.</w:t>
      </w:r>
      <w:r>
        <w:tab/>
        <w:t>Issuing additional books</w:t>
      </w:r>
      <w:r>
        <w:tab/>
      </w:r>
      <w:r>
        <w:fldChar w:fldCharType="begin"/>
      </w:r>
      <w:r>
        <w:instrText xml:space="preserve"> PAGEREF _Toc349831384 \h </w:instrText>
      </w:r>
      <w:r>
        <w:fldChar w:fldCharType="separate"/>
      </w:r>
      <w:r>
        <w:t>23</w:t>
      </w:r>
      <w:r>
        <w:fldChar w:fldCharType="end"/>
      </w:r>
    </w:p>
    <w:p>
      <w:pPr>
        <w:pStyle w:val="TOC8"/>
        <w:rPr>
          <w:rFonts w:asciiTheme="minorHAnsi" w:eastAsiaTheme="minorEastAsia" w:hAnsiTheme="minorHAnsi" w:cstheme="minorBidi"/>
          <w:szCs w:val="22"/>
          <w:lang w:eastAsia="en-AU"/>
        </w:rPr>
      </w:pPr>
      <w:r>
        <w:t>42.</w:t>
      </w:r>
      <w:r>
        <w:tab/>
        <w:t>Replacing books</w:t>
      </w:r>
      <w:r>
        <w:tab/>
      </w:r>
      <w:r>
        <w:fldChar w:fldCharType="begin"/>
      </w:r>
      <w:r>
        <w:instrText xml:space="preserve"> PAGEREF _Toc349831385 \h </w:instrText>
      </w:r>
      <w:r>
        <w:fldChar w:fldCharType="separate"/>
      </w:r>
      <w:r>
        <w:t>23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 — Contests</w:t>
      </w:r>
    </w:p>
    <w:p>
      <w:pPr>
        <w:pStyle w:val="TOC8"/>
        <w:rPr>
          <w:rFonts w:asciiTheme="minorHAnsi" w:eastAsiaTheme="minorEastAsia" w:hAnsiTheme="minorHAnsi" w:cstheme="minorBidi"/>
          <w:szCs w:val="22"/>
          <w:lang w:eastAsia="en-AU"/>
        </w:rPr>
      </w:pPr>
      <w:r>
        <w:t>43</w:t>
      </w:r>
      <w:r>
        <w:rPr>
          <w:snapToGrid w:val="0"/>
        </w:rPr>
        <w:t>.</w:t>
      </w:r>
      <w:r>
        <w:rPr>
          <w:snapToGrid w:val="0"/>
        </w:rPr>
        <w:tab/>
        <w:t>Interpretation</w:t>
      </w:r>
      <w:r>
        <w:tab/>
      </w:r>
      <w:r>
        <w:fldChar w:fldCharType="begin"/>
      </w:r>
      <w:r>
        <w:instrText xml:space="preserve"> PAGEREF _Toc349831387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Applying for permits to conduct contests</w:t>
      </w:r>
      <w:r>
        <w:tab/>
      </w:r>
      <w:r>
        <w:fldChar w:fldCharType="begin"/>
      </w:r>
      <w:r>
        <w:instrText xml:space="preserve"> PAGEREF _Toc349831388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Issuing permits for contests</w:t>
      </w:r>
      <w:r>
        <w:tab/>
      </w:r>
      <w:r>
        <w:fldChar w:fldCharType="begin"/>
      </w:r>
      <w:r>
        <w:instrText xml:space="preserve"> PAGEREF _Toc349831389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Notification of Commissioner of Police</w:t>
      </w:r>
      <w:r>
        <w:tab/>
      </w:r>
      <w:r>
        <w:fldChar w:fldCharType="begin"/>
      </w:r>
      <w:r>
        <w:instrText xml:space="preserve"> PAGEREF _Toc349831390 \h </w:instrText>
      </w:r>
      <w:r>
        <w:fldChar w:fldCharType="separate"/>
      </w:r>
      <w:r>
        <w:t>26</w:t>
      </w:r>
      <w:r>
        <w:fldChar w:fldCharType="end"/>
      </w:r>
    </w:p>
    <w:p>
      <w:pPr>
        <w:pStyle w:val="TOC8"/>
        <w:rPr>
          <w:rFonts w:asciiTheme="minorHAnsi" w:eastAsiaTheme="minorEastAsia" w:hAnsiTheme="minorHAnsi" w:cstheme="minorBidi"/>
          <w:szCs w:val="22"/>
          <w:lang w:eastAsia="en-AU"/>
        </w:rPr>
      </w:pPr>
      <w:r>
        <w:t>47AA.</w:t>
      </w:r>
      <w:r>
        <w:tab/>
        <w:t>Commission may require information</w:t>
      </w:r>
      <w:r>
        <w:tab/>
      </w:r>
      <w:r>
        <w:fldChar w:fldCharType="begin"/>
      </w:r>
      <w:r>
        <w:instrText xml:space="preserve"> PAGEREF _Toc349831391 \h </w:instrText>
      </w:r>
      <w:r>
        <w:fldChar w:fldCharType="separate"/>
      </w:r>
      <w:r>
        <w:t>26</w:t>
      </w:r>
      <w:r>
        <w:fldChar w:fldCharType="end"/>
      </w:r>
    </w:p>
    <w:p>
      <w:pPr>
        <w:pStyle w:val="TOC8"/>
        <w:rPr>
          <w:rFonts w:asciiTheme="minorHAnsi" w:eastAsiaTheme="minorEastAsia" w:hAnsiTheme="minorHAnsi" w:cstheme="minorBidi"/>
          <w:szCs w:val="22"/>
          <w:lang w:eastAsia="en-AU"/>
        </w:rPr>
      </w:pPr>
      <w:r>
        <w:t>47A.</w:t>
      </w:r>
      <w:r>
        <w:tab/>
        <w:t>Suspending or cancelling a permit</w:t>
      </w:r>
      <w:r>
        <w:tab/>
      </w:r>
      <w:r>
        <w:fldChar w:fldCharType="begin"/>
      </w:r>
      <w:r>
        <w:instrText xml:space="preserve"> PAGEREF _Toc349831392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Offences</w:t>
      </w:r>
      <w:r>
        <w:tab/>
      </w:r>
      <w:r>
        <w:fldChar w:fldCharType="begin"/>
      </w:r>
      <w:r>
        <w:instrText xml:space="preserve"> PAGEREF _Toc349831393 \h </w:instrText>
      </w:r>
      <w:r>
        <w:fldChar w:fldCharType="separate"/>
      </w:r>
      <w:r>
        <w:t>27</w:t>
      </w:r>
      <w:r>
        <w:fldChar w:fldCharType="end"/>
      </w:r>
    </w:p>
    <w:p>
      <w:pPr>
        <w:pStyle w:val="TOC8"/>
        <w:rPr>
          <w:rFonts w:asciiTheme="minorHAnsi" w:eastAsiaTheme="minorEastAsia" w:hAnsiTheme="minorHAnsi" w:cstheme="minorBidi"/>
          <w:szCs w:val="22"/>
          <w:lang w:eastAsia="en-AU"/>
        </w:rPr>
      </w:pPr>
      <w:r>
        <w:t>48A.</w:t>
      </w:r>
      <w:r>
        <w:tab/>
        <w:t>Sham contests, inquiries into</w:t>
      </w:r>
      <w:r>
        <w:tab/>
      </w:r>
      <w:r>
        <w:fldChar w:fldCharType="begin"/>
      </w:r>
      <w:r>
        <w:instrText xml:space="preserve"> PAGEREF _Toc349831394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Pre</w:t>
      </w:r>
      <w:r>
        <w:noBreakHyphen/>
        <w:t>contest weigh</w:t>
      </w:r>
      <w:r>
        <w:noBreakHyphen/>
        <w:t>ins</w:t>
      </w:r>
      <w:r>
        <w:tab/>
      </w:r>
      <w:r>
        <w:fldChar w:fldCharType="begin"/>
      </w:r>
      <w:r>
        <w:instrText xml:space="preserve"> PAGEREF _Toc349831395 \h </w:instrText>
      </w:r>
      <w:r>
        <w:fldChar w:fldCharType="separate"/>
      </w:r>
      <w:r>
        <w:t>29</w:t>
      </w:r>
      <w:r>
        <w:fldChar w:fldCharType="end"/>
      </w:r>
    </w:p>
    <w:p>
      <w:pPr>
        <w:pStyle w:val="TOC8"/>
        <w:rPr>
          <w:rFonts w:asciiTheme="minorHAnsi" w:eastAsiaTheme="minorEastAsia" w:hAnsiTheme="minorHAnsi" w:cstheme="minorBidi"/>
          <w:szCs w:val="22"/>
          <w:lang w:eastAsia="en-AU"/>
        </w:rPr>
      </w:pPr>
      <w:r>
        <w:t>49A.</w:t>
      </w:r>
      <w:r>
        <w:tab/>
        <w:t>Pre</w:t>
      </w:r>
      <w:r>
        <w:noBreakHyphen/>
        <w:t>contest medical examinations</w:t>
      </w:r>
      <w:r>
        <w:tab/>
      </w:r>
      <w:r>
        <w:fldChar w:fldCharType="begin"/>
      </w:r>
      <w:r>
        <w:instrText xml:space="preserve"> PAGEREF _Toc349831396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Medical practitioner to notify referee at contest if contestant unfit to participate; and referee to take action</w:t>
      </w:r>
      <w:r>
        <w:tab/>
      </w:r>
      <w:r>
        <w:fldChar w:fldCharType="begin"/>
      </w:r>
      <w:r>
        <w:instrText xml:space="preserve"> PAGEREF _Toc349831397 \h </w:instrText>
      </w:r>
      <w:r>
        <w:fldChar w:fldCharType="separate"/>
      </w:r>
      <w:r>
        <w:t>32</w:t>
      </w:r>
      <w:r>
        <w:fldChar w:fldCharType="end"/>
      </w:r>
    </w:p>
    <w:p>
      <w:pPr>
        <w:pStyle w:val="TOC8"/>
        <w:rPr>
          <w:rFonts w:asciiTheme="minorHAnsi" w:eastAsiaTheme="minorEastAsia" w:hAnsiTheme="minorHAnsi" w:cstheme="minorBidi"/>
          <w:szCs w:val="22"/>
          <w:lang w:eastAsia="en-AU"/>
        </w:rPr>
      </w:pPr>
      <w:r>
        <w:t>50.</w:t>
      </w:r>
      <w:r>
        <w:tab/>
        <w:t>Contestants not to compete without weigh</w:t>
      </w:r>
      <w:r>
        <w:noBreakHyphen/>
        <w:t>in and medical examination</w:t>
      </w:r>
      <w:r>
        <w:tab/>
      </w:r>
      <w:r>
        <w:fldChar w:fldCharType="begin"/>
      </w:r>
      <w:r>
        <w:instrText xml:space="preserve"> PAGEREF _Toc349831398 \h </w:instrText>
      </w:r>
      <w:r>
        <w:fldChar w:fldCharType="separate"/>
      </w:r>
      <w:r>
        <w:t>32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Duties of promoter and medical practitioner</w:t>
      </w:r>
      <w:r>
        <w:tab/>
      </w:r>
      <w:r>
        <w:fldChar w:fldCharType="begin"/>
      </w:r>
      <w:r>
        <w:instrText xml:space="preserve"> PAGEREF _Toc349831399 \h </w:instrText>
      </w:r>
      <w:r>
        <w:fldChar w:fldCharType="separate"/>
      </w:r>
      <w:r>
        <w:t>33</w:t>
      </w:r>
      <w:r>
        <w:fldChar w:fldCharType="end"/>
      </w:r>
    </w:p>
    <w:p>
      <w:pPr>
        <w:pStyle w:val="TOC8"/>
        <w:rPr>
          <w:rFonts w:asciiTheme="minorHAnsi" w:eastAsiaTheme="minorEastAsia" w:hAnsiTheme="minorHAnsi" w:cstheme="minorBidi"/>
          <w:szCs w:val="22"/>
          <w:lang w:eastAsia="en-AU"/>
        </w:rPr>
      </w:pPr>
      <w:r>
        <w:t>52.</w:t>
      </w:r>
      <w:r>
        <w:tab/>
        <w:t>Record of contest</w:t>
      </w:r>
      <w:r>
        <w:tab/>
      </w:r>
      <w:r>
        <w:fldChar w:fldCharType="begin"/>
      </w:r>
      <w:r>
        <w:instrText xml:space="preserve"> PAGEREF _Toc349831400 \h </w:instrText>
      </w:r>
      <w:r>
        <w:fldChar w:fldCharType="separate"/>
      </w:r>
      <w:r>
        <w:t>34</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VIIIA — Review</w:t>
      </w:r>
    </w:p>
    <w:p>
      <w:pPr>
        <w:pStyle w:val="TOC8"/>
        <w:rPr>
          <w:rFonts w:asciiTheme="minorHAnsi" w:eastAsiaTheme="minorEastAsia" w:hAnsiTheme="minorHAnsi" w:cstheme="minorBidi"/>
          <w:szCs w:val="22"/>
          <w:lang w:eastAsia="en-AU"/>
        </w:rPr>
      </w:pPr>
      <w:r>
        <w:t>53A.</w:t>
      </w:r>
      <w:r>
        <w:tab/>
        <w:t>Review by State Administrative Tribunal</w:t>
      </w:r>
      <w:r>
        <w:tab/>
      </w:r>
      <w:r>
        <w:fldChar w:fldCharType="begin"/>
      </w:r>
      <w:r>
        <w:instrText xml:space="preserve"> PAGEREF _Toc349831402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VIII — Miscellaneous</w:t>
      </w:r>
    </w:p>
    <w:p>
      <w:pPr>
        <w:pStyle w:val="TOC8"/>
        <w:rPr>
          <w:rFonts w:asciiTheme="minorHAnsi" w:eastAsiaTheme="minorEastAsia" w:hAnsiTheme="minorHAnsi" w:cstheme="minorBidi"/>
          <w:szCs w:val="22"/>
          <w:lang w:eastAsia="en-AU"/>
        </w:rPr>
      </w:pPr>
      <w:r>
        <w:t>53.</w:t>
      </w:r>
      <w:r>
        <w:tab/>
        <w:t>False or misleading information</w:t>
      </w:r>
      <w:r>
        <w:tab/>
      </w:r>
      <w:r>
        <w:fldChar w:fldCharType="begin"/>
      </w:r>
      <w:r>
        <w:instrText xml:space="preserve"> PAGEREF _Toc349831404 \h </w:instrText>
      </w:r>
      <w:r>
        <w:fldChar w:fldCharType="separate"/>
      </w:r>
      <w:r>
        <w:t>36</w:t>
      </w:r>
      <w:r>
        <w:fldChar w:fldCharType="end"/>
      </w:r>
    </w:p>
    <w:p>
      <w:pPr>
        <w:pStyle w:val="TOC8"/>
        <w:rPr>
          <w:rFonts w:asciiTheme="minorHAnsi" w:eastAsiaTheme="minorEastAsia" w:hAnsiTheme="minorHAnsi" w:cstheme="minorBidi"/>
          <w:szCs w:val="22"/>
          <w:lang w:eastAsia="en-AU"/>
        </w:rPr>
      </w:pPr>
      <w:r>
        <w:t>54A.</w:t>
      </w:r>
      <w:r>
        <w:tab/>
        <w:t>Commission may get information from WA Police</w:t>
      </w:r>
      <w:r>
        <w:tab/>
      </w:r>
      <w:r>
        <w:fldChar w:fldCharType="begin"/>
      </w:r>
      <w:r>
        <w:instrText xml:space="preserve"> PAGEREF _Toc349831405 \h </w:instrText>
      </w:r>
      <w:r>
        <w:fldChar w:fldCharType="separate"/>
      </w:r>
      <w:r>
        <w:t>36</w:t>
      </w:r>
      <w:r>
        <w:fldChar w:fldCharType="end"/>
      </w:r>
    </w:p>
    <w:p>
      <w:pPr>
        <w:pStyle w:val="TOC8"/>
        <w:rPr>
          <w:rFonts w:asciiTheme="minorHAnsi" w:eastAsiaTheme="minorEastAsia" w:hAnsiTheme="minorHAnsi" w:cstheme="minorBidi"/>
          <w:szCs w:val="22"/>
          <w:lang w:eastAsia="en-AU"/>
        </w:rPr>
      </w:pPr>
      <w:r>
        <w:t>54B.</w:t>
      </w:r>
      <w:r>
        <w:tab/>
        <w:t>Confidential police information</w:t>
      </w:r>
      <w:r>
        <w:tab/>
      </w:r>
      <w:r>
        <w:fldChar w:fldCharType="begin"/>
      </w:r>
      <w:r>
        <w:instrText xml:space="preserve"> PAGEREF _Toc349831406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Refusing applications, imposing or varying conditions etc. and suspending or cancelling registrations, procedure for</w:t>
      </w:r>
      <w:r>
        <w:tab/>
      </w:r>
      <w:r>
        <w:fldChar w:fldCharType="begin"/>
      </w:r>
      <w:r>
        <w:instrText xml:space="preserve"> PAGEREF _Toc349831407 \h </w:instrText>
      </w:r>
      <w:r>
        <w:fldChar w:fldCharType="separate"/>
      </w:r>
      <w:r>
        <w:t>38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Recovery of charges, etc.</w:t>
      </w:r>
      <w:r>
        <w:tab/>
      </w:r>
      <w:r>
        <w:fldChar w:fldCharType="begin"/>
      </w:r>
      <w:r>
        <w:instrText xml:space="preserve"> PAGEREF _Toc349831408 \h </w:instrText>
      </w:r>
      <w:r>
        <w:fldChar w:fldCharType="separate"/>
      </w:r>
      <w:r>
        <w:t>39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Statutory declaration</w:t>
      </w:r>
      <w:r>
        <w:tab/>
      </w:r>
      <w:r>
        <w:fldChar w:fldCharType="begin"/>
      </w:r>
      <w:r>
        <w:instrText xml:space="preserve"> PAGEREF _Toc349831409 \h </w:instrText>
      </w:r>
      <w:r>
        <w:fldChar w:fldCharType="separate"/>
      </w:r>
      <w:r>
        <w:t>39</w:t>
      </w:r>
      <w:r>
        <w:fldChar w:fldCharType="end"/>
      </w:r>
    </w:p>
    <w:p>
      <w:pPr>
        <w:pStyle w:val="TOC8"/>
        <w:rPr>
          <w:rFonts w:asciiTheme="minorHAnsi" w:eastAsiaTheme="minorEastAsia" w:hAnsiTheme="minorHAnsi" w:cstheme="minorBidi"/>
          <w:szCs w:val="22"/>
          <w:lang w:eastAsia="en-AU"/>
        </w:rPr>
      </w:pPr>
      <w:r>
        <w:t>58.</w:t>
      </w:r>
      <w:r>
        <w:tab/>
        <w:t>Evidentiary certificates</w:t>
      </w:r>
      <w:r>
        <w:tab/>
      </w:r>
      <w:r>
        <w:fldChar w:fldCharType="begin"/>
      </w:r>
      <w:r>
        <w:instrText xml:space="preserve"> PAGEREF _Toc349831410 \h </w:instrText>
      </w:r>
      <w:r>
        <w:fldChar w:fldCharType="separate"/>
      </w:r>
      <w:r>
        <w:t>39</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Delegation</w:t>
      </w:r>
      <w:r>
        <w:tab/>
      </w:r>
      <w:r>
        <w:fldChar w:fldCharType="begin"/>
      </w:r>
      <w:r>
        <w:instrText xml:space="preserve"> PAGEREF _Toc349831411 \h </w:instrText>
      </w:r>
      <w:r>
        <w:fldChar w:fldCharType="separate"/>
      </w:r>
      <w:r>
        <w:t>40</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Authentication of certain documents</w:t>
      </w:r>
      <w:r>
        <w:tab/>
      </w:r>
      <w:r>
        <w:fldChar w:fldCharType="begin"/>
      </w:r>
      <w:r>
        <w:instrText xml:space="preserve"> PAGEREF _Toc349831412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Protection of Commission and others</w:t>
      </w:r>
      <w:r>
        <w:tab/>
      </w:r>
      <w:r>
        <w:fldChar w:fldCharType="begin"/>
      </w:r>
      <w:r>
        <w:instrText xml:space="preserve"> PAGEREF _Toc349831413 \h </w:instrText>
      </w:r>
      <w:r>
        <w:fldChar w:fldCharType="separate"/>
      </w:r>
      <w:r>
        <w:t>40</w:t>
      </w:r>
      <w:r>
        <w:fldChar w:fldCharType="end"/>
      </w:r>
    </w:p>
    <w:p>
      <w:pPr>
        <w:pStyle w:val="TOC8"/>
        <w:rPr>
          <w:rFonts w:asciiTheme="minorHAnsi" w:eastAsiaTheme="minorEastAsia" w:hAnsiTheme="minorHAnsi" w:cstheme="minorBidi"/>
          <w:szCs w:val="22"/>
          <w:lang w:eastAsia="en-AU"/>
        </w:rPr>
      </w:pPr>
      <w:r>
        <w:t>62A.</w:t>
      </w:r>
      <w:r>
        <w:tab/>
        <w:t>Rules for contests</w:t>
      </w:r>
      <w:r>
        <w:tab/>
      </w:r>
      <w:r>
        <w:fldChar w:fldCharType="begin"/>
      </w:r>
      <w:r>
        <w:instrText xml:space="preserve"> PAGEREF _Toc349831414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Regulations</w:t>
      </w:r>
      <w:r>
        <w:tab/>
      </w:r>
      <w:r>
        <w:fldChar w:fldCharType="begin"/>
      </w:r>
      <w:r>
        <w:instrText xml:space="preserve"> PAGEREF _Toc349831415 \h </w:instrText>
      </w:r>
      <w:r>
        <w:fldChar w:fldCharType="separate"/>
      </w:r>
      <w:r>
        <w:t>42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_Toc349831417 \h </w:instrText>
      </w:r>
      <w:r>
        <w:fldChar w:fldCharType="separate"/>
      </w:r>
      <w:r>
        <w:t>44</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 xml:space="preserve">Combat Sports Act 1987 </w:t>
      </w:r>
    </w:p>
    <w:p>
      <w:pPr>
        <w:pStyle w:val="LongTitle"/>
        <w:spacing w:before="700"/>
        <w:rPr>
          <w:snapToGrid w:val="0"/>
        </w:rPr>
      </w:pPr>
      <w:r>
        <w:rPr>
          <w:snapToGrid w:val="0"/>
        </w:rPr>
        <w:t xml:space="preserve">An Act to control combat sports and for other and incidental purposes. </w:t>
      </w:r>
    </w:p>
    <w:p>
      <w:pPr>
        <w:pStyle w:val="Footnotelongtitle"/>
      </w:pPr>
      <w:r>
        <w:tab/>
        <w:t>[Long title amended by No. 16 of 2003 s. 4; No. 44 of 2011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bookmarkStart w:id="24" w:name="_Toc278982976"/>
      <w:bookmarkStart w:id="25" w:name="_Toc306285977"/>
      <w:bookmarkStart w:id="26" w:name="_Toc349560663"/>
      <w:bookmarkStart w:id="27" w:name="_Toc349561017"/>
      <w:bookmarkStart w:id="28" w:name="_Toc349561464"/>
      <w:bookmarkStart w:id="29" w:name="_Toc3498313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8861091"/>
      <w:bookmarkStart w:id="31" w:name="_Toc97708569"/>
      <w:bookmarkStart w:id="32" w:name="_Toc139270446"/>
      <w:bookmarkStart w:id="33" w:name="_Toc349831340"/>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 by No. 16 of 2003 s. 5; No. 44 of 2011 s. 5.]</w:t>
      </w:r>
    </w:p>
    <w:p>
      <w:pPr>
        <w:pStyle w:val="Heading5"/>
        <w:rPr>
          <w:snapToGrid w:val="0"/>
        </w:rPr>
      </w:pPr>
      <w:bookmarkStart w:id="34" w:name="_Toc38861092"/>
      <w:bookmarkStart w:id="35" w:name="_Toc97708570"/>
      <w:bookmarkStart w:id="36" w:name="_Toc139270447"/>
      <w:bookmarkStart w:id="37" w:name="_Toc349831341"/>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8" w:name="_Toc38861093"/>
      <w:bookmarkStart w:id="39" w:name="_Toc97708571"/>
      <w:bookmarkStart w:id="40" w:name="_Toc139270448"/>
      <w:bookmarkStart w:id="41" w:name="_Toc349831342"/>
      <w:r>
        <w:rPr>
          <w:rStyle w:val="CharSectno"/>
        </w:rPr>
        <w:t>3</w:t>
      </w:r>
      <w:r>
        <w:rPr>
          <w:snapToGrid w:val="0"/>
        </w:rPr>
        <w:t>.</w:t>
      </w:r>
      <w:r>
        <w:rPr>
          <w:snapToGrid w:val="0"/>
        </w:rPr>
        <w:tab/>
        <w:t>Interpretation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bookmarkStart w:id="42" w:name="_Toc72570392"/>
      <w:bookmarkStart w:id="43" w:name="_Toc89168508"/>
      <w:bookmarkStart w:id="44" w:name="_Toc90865973"/>
      <w:bookmarkStart w:id="45" w:name="_Toc90866049"/>
      <w:bookmarkStart w:id="46" w:name="_Toc92442963"/>
      <w:r>
        <w:tab/>
      </w:r>
      <w:r>
        <w:rPr>
          <w:rStyle w:val="CharDefText"/>
        </w:rPr>
        <w:t>prescribed</w:t>
      </w:r>
      <w:r>
        <w:t xml:space="preserve"> means prescribed by the regulations;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 by No. 16 of 2003 s. 6; No. 44 of 2011 s. 6.]</w:t>
      </w:r>
    </w:p>
    <w:p>
      <w:pPr>
        <w:pStyle w:val="Heading2"/>
      </w:pPr>
      <w:bookmarkStart w:id="47" w:name="_Toc349560667"/>
      <w:bookmarkStart w:id="48" w:name="_Toc349561021"/>
      <w:bookmarkStart w:id="49" w:name="_Toc349561468"/>
      <w:bookmarkStart w:id="50" w:name="_Toc349831343"/>
      <w:bookmarkStart w:id="51" w:name="_Toc93301739"/>
      <w:bookmarkStart w:id="52" w:name="_Toc93315649"/>
      <w:bookmarkStart w:id="53" w:name="_Toc95278454"/>
      <w:bookmarkStart w:id="54" w:name="_Toc97539598"/>
      <w:bookmarkStart w:id="55" w:name="_Toc97539671"/>
      <w:bookmarkStart w:id="56" w:name="_Toc97708572"/>
      <w:bookmarkStart w:id="57" w:name="_Toc104620168"/>
      <w:bookmarkStart w:id="58" w:name="_Toc104692816"/>
      <w:bookmarkStart w:id="59" w:name="_Toc139270449"/>
      <w:bookmarkStart w:id="60" w:name="_Toc139270522"/>
      <w:bookmarkStart w:id="61" w:name="_Toc139446340"/>
      <w:bookmarkStart w:id="62" w:name="_Toc157996708"/>
      <w:bookmarkStart w:id="63" w:name="_Toc196799863"/>
      <w:bookmarkStart w:id="64" w:name="_Toc231099572"/>
      <w:bookmarkStart w:id="65" w:name="_Toc241056501"/>
      <w:bookmarkStart w:id="66" w:name="_Toc241056573"/>
      <w:bookmarkStart w:id="67" w:name="_Toc241056645"/>
      <w:bookmarkStart w:id="68" w:name="_Toc274304746"/>
      <w:bookmarkStart w:id="69" w:name="_Toc278982980"/>
      <w:bookmarkStart w:id="70" w:name="_Toc306285981"/>
      <w:bookmarkStart w:id="71" w:name="_Toc38861094"/>
      <w:bookmarkEnd w:id="42"/>
      <w:bookmarkEnd w:id="43"/>
      <w:bookmarkEnd w:id="44"/>
      <w:bookmarkEnd w:id="45"/>
      <w:bookmarkEnd w:id="46"/>
      <w:r>
        <w:rPr>
          <w:rStyle w:val="CharPartNo"/>
        </w:rPr>
        <w:t>Part II</w:t>
      </w:r>
      <w:r>
        <w:rPr>
          <w:rStyle w:val="CharDivNo"/>
        </w:rPr>
        <w:t> </w:t>
      </w:r>
      <w:r>
        <w:t>—</w:t>
      </w:r>
      <w:r>
        <w:rPr>
          <w:rStyle w:val="CharDivText"/>
        </w:rPr>
        <w:t> </w:t>
      </w:r>
      <w:r>
        <w:rPr>
          <w:rStyle w:val="CharPartText"/>
        </w:rPr>
        <w:t>Combat Sports Commission</w:t>
      </w:r>
      <w:bookmarkEnd w:id="47"/>
      <w:bookmarkEnd w:id="48"/>
      <w:bookmarkEnd w:id="49"/>
      <w:bookmarkEnd w:id="50"/>
    </w:p>
    <w:p>
      <w:pPr>
        <w:pStyle w:val="Footnoteheading"/>
        <w:tabs>
          <w:tab w:val="left" w:pos="851"/>
        </w:tabs>
      </w:pPr>
      <w:bookmarkStart w:id="72" w:name="_Toc97708573"/>
      <w:bookmarkStart w:id="73" w:name="_Toc1392704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ab/>
        <w:t>[Heading inserted by No. 44 of 2011 s. 7.]</w:t>
      </w:r>
    </w:p>
    <w:p>
      <w:pPr>
        <w:pStyle w:val="Heading5"/>
        <w:rPr>
          <w:snapToGrid w:val="0"/>
        </w:rPr>
      </w:pPr>
      <w:bookmarkStart w:id="74" w:name="_Toc349831344"/>
      <w:r>
        <w:rPr>
          <w:rStyle w:val="CharSectno"/>
        </w:rPr>
        <w:t>4</w:t>
      </w:r>
      <w:r>
        <w:rPr>
          <w:snapToGrid w:val="0"/>
        </w:rPr>
        <w:t>.</w:t>
      </w:r>
      <w:r>
        <w:rPr>
          <w:snapToGrid w:val="0"/>
        </w:rPr>
        <w:tab/>
      </w:r>
      <w:r>
        <w:t>Combat Sports</w:t>
      </w:r>
      <w:r>
        <w:rPr>
          <w:snapToGrid w:val="0"/>
        </w:rPr>
        <w:t xml:space="preserve"> Commission established</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 </w:t>
      </w:r>
    </w:p>
    <w:p>
      <w:pPr>
        <w:pStyle w:val="Indenta"/>
        <w:rPr>
          <w:snapToGrid w:val="0"/>
        </w:rPr>
      </w:pPr>
      <w:r>
        <w:rPr>
          <w:snapToGrid w:val="0"/>
        </w:rPr>
        <w:tab/>
        <w:t>(a)</w:t>
      </w:r>
      <w:r>
        <w:rPr>
          <w:snapToGrid w:val="0"/>
        </w:rPr>
        <w:tab/>
      </w:r>
      <w:r>
        <w:t>8 persons</w:t>
      </w:r>
      <w:r>
        <w:rPr>
          <w:snapToGrid w:val="0"/>
        </w:rPr>
        <w:t xml:space="preserve">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No. 44 of 2011 s. 8.] </w:t>
      </w:r>
    </w:p>
    <w:p>
      <w:pPr>
        <w:pStyle w:val="Heading5"/>
        <w:rPr>
          <w:snapToGrid w:val="0"/>
        </w:rPr>
      </w:pPr>
      <w:bookmarkStart w:id="75" w:name="_Toc38861095"/>
      <w:bookmarkStart w:id="76" w:name="_Toc97708574"/>
      <w:bookmarkStart w:id="77" w:name="_Toc139270451"/>
      <w:bookmarkStart w:id="78" w:name="_Toc349831345"/>
      <w:r>
        <w:rPr>
          <w:rStyle w:val="CharSectno"/>
        </w:rPr>
        <w:t>5</w:t>
      </w:r>
      <w:r>
        <w:rPr>
          <w:snapToGrid w:val="0"/>
        </w:rPr>
        <w:t>.</w:t>
      </w:r>
      <w:r>
        <w:rPr>
          <w:snapToGrid w:val="0"/>
        </w:rPr>
        <w:tab/>
        <w:t>Vacation of office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 No. 44 of 2011 s. 9.]</w:t>
      </w:r>
    </w:p>
    <w:p>
      <w:pPr>
        <w:pStyle w:val="Heading5"/>
        <w:rPr>
          <w:snapToGrid w:val="0"/>
        </w:rPr>
      </w:pPr>
      <w:bookmarkStart w:id="79" w:name="_Toc38861096"/>
      <w:bookmarkStart w:id="80" w:name="_Toc97708575"/>
      <w:bookmarkStart w:id="81" w:name="_Toc139270452"/>
      <w:bookmarkStart w:id="82" w:name="_Toc349831346"/>
      <w:r>
        <w:rPr>
          <w:rStyle w:val="CharSectno"/>
        </w:rPr>
        <w:t>6</w:t>
      </w:r>
      <w:r>
        <w:rPr>
          <w:snapToGrid w:val="0"/>
        </w:rPr>
        <w:t>.</w:t>
      </w:r>
      <w:r>
        <w:rPr>
          <w:snapToGrid w:val="0"/>
        </w:rPr>
        <w:tab/>
        <w:t>Remuneration and leave of members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83" w:name="_Toc38861097"/>
      <w:bookmarkStart w:id="84" w:name="_Toc97708576"/>
      <w:bookmarkStart w:id="85" w:name="_Toc139270453"/>
      <w:bookmarkStart w:id="86" w:name="_Toc349831347"/>
      <w:r>
        <w:rPr>
          <w:rStyle w:val="CharSectno"/>
        </w:rPr>
        <w:t>7</w:t>
      </w:r>
      <w:r>
        <w:rPr>
          <w:snapToGrid w:val="0"/>
        </w:rPr>
        <w:t>.</w:t>
      </w:r>
      <w:r>
        <w:rPr>
          <w:snapToGrid w:val="0"/>
        </w:rPr>
        <w:tab/>
        <w:t>Casual vacancies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87" w:name="_Toc38861098"/>
      <w:bookmarkStart w:id="88" w:name="_Toc97708577"/>
      <w:bookmarkStart w:id="89" w:name="_Toc139270454"/>
      <w:bookmarkStart w:id="90" w:name="_Toc349831348"/>
      <w:r>
        <w:rPr>
          <w:rStyle w:val="CharSectno"/>
        </w:rPr>
        <w:t>8</w:t>
      </w:r>
      <w:r>
        <w:rPr>
          <w:snapToGrid w:val="0"/>
        </w:rPr>
        <w:t>.</w:t>
      </w:r>
      <w:r>
        <w:rPr>
          <w:snapToGrid w:val="0"/>
        </w:rPr>
        <w:tab/>
        <w:t>Meetings of the Commission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bookmarkStart w:id="91" w:name="_Toc38861099"/>
      <w:bookmarkStart w:id="92" w:name="_Toc97708578"/>
      <w:bookmarkStart w:id="93" w:name="_Toc139270455"/>
      <w:r>
        <w:tab/>
        <w:t>[Section 8 amended by No. 44 of 2011 s. 10.]</w:t>
      </w:r>
    </w:p>
    <w:p>
      <w:pPr>
        <w:pStyle w:val="Heading5"/>
        <w:rPr>
          <w:snapToGrid w:val="0"/>
        </w:rPr>
      </w:pPr>
      <w:bookmarkStart w:id="94" w:name="_Toc349831349"/>
      <w:r>
        <w:rPr>
          <w:rStyle w:val="CharSectno"/>
        </w:rPr>
        <w:t>9</w:t>
      </w:r>
      <w:r>
        <w:rPr>
          <w:snapToGrid w:val="0"/>
        </w:rPr>
        <w:t>.</w:t>
      </w:r>
      <w:r>
        <w:rPr>
          <w:snapToGrid w:val="0"/>
        </w:rPr>
        <w:tab/>
        <w:t>Control of the Minister</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95" w:name="_Toc38861100"/>
      <w:bookmarkStart w:id="96" w:name="_Toc97708579"/>
      <w:bookmarkStart w:id="97" w:name="_Toc139270456"/>
      <w:bookmarkStart w:id="98" w:name="_Toc349831350"/>
      <w:r>
        <w:rPr>
          <w:rStyle w:val="CharSectno"/>
        </w:rPr>
        <w:t>10</w:t>
      </w:r>
      <w:r>
        <w:rPr>
          <w:snapToGrid w:val="0"/>
        </w:rPr>
        <w:t>.</w:t>
      </w:r>
      <w:r>
        <w:rPr>
          <w:snapToGrid w:val="0"/>
        </w:rPr>
        <w:tab/>
        <w:t>Functions of the Commission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 by No. 16 of 2003 s. 9; No. 44 of 2011 s. 11.]</w:t>
      </w:r>
    </w:p>
    <w:p>
      <w:pPr>
        <w:pStyle w:val="Heading5"/>
        <w:rPr>
          <w:snapToGrid w:val="0"/>
        </w:rPr>
      </w:pPr>
      <w:bookmarkStart w:id="99" w:name="_Toc38861101"/>
      <w:bookmarkStart w:id="100" w:name="_Toc97708580"/>
      <w:bookmarkStart w:id="101" w:name="_Toc139270457"/>
      <w:bookmarkStart w:id="102" w:name="_Toc349831351"/>
      <w:r>
        <w:rPr>
          <w:rStyle w:val="CharSectno"/>
        </w:rPr>
        <w:t>11</w:t>
      </w:r>
      <w:r>
        <w:rPr>
          <w:snapToGrid w:val="0"/>
        </w:rPr>
        <w:t>.</w:t>
      </w:r>
      <w:r>
        <w:rPr>
          <w:snapToGrid w:val="0"/>
        </w:rPr>
        <w:tab/>
        <w:t>Staff</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103" w:name="_Toc38861102"/>
      <w:bookmarkStart w:id="104" w:name="_Toc97708581"/>
      <w:bookmarkStart w:id="105" w:name="_Toc139270458"/>
      <w:bookmarkStart w:id="106" w:name="_Toc349831352"/>
      <w:r>
        <w:rPr>
          <w:rStyle w:val="CharSectno"/>
        </w:rPr>
        <w:t>12</w:t>
      </w:r>
      <w:r>
        <w:rPr>
          <w:snapToGrid w:val="0"/>
        </w:rPr>
        <w:t>.</w:t>
      </w:r>
      <w:r>
        <w:rPr>
          <w:snapToGrid w:val="0"/>
        </w:rPr>
        <w:tab/>
        <w:t>Funds of the Commission</w:t>
      </w:r>
      <w:bookmarkEnd w:id="103"/>
      <w:bookmarkEnd w:id="104"/>
      <w:bookmarkEnd w:id="105"/>
      <w:bookmarkEnd w:id="106"/>
      <w:r>
        <w:rPr>
          <w:snapToGrid w:val="0"/>
        </w:rPr>
        <w:t xml:space="preserve"> </w:t>
      </w:r>
    </w:p>
    <w:p>
      <w:pPr>
        <w:pStyle w:val="Subsection"/>
      </w:pPr>
      <w:r>
        <w:tab/>
        <w:t>(1)</w:t>
      </w:r>
      <w:r>
        <w:tab/>
        <w:t xml:space="preserve">An account called the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No. 44 of 2011 s. 12.] </w:t>
      </w:r>
    </w:p>
    <w:p>
      <w:pPr>
        <w:pStyle w:val="Heading5"/>
        <w:rPr>
          <w:snapToGrid w:val="0"/>
        </w:rPr>
      </w:pPr>
      <w:bookmarkStart w:id="107" w:name="_Toc38861103"/>
      <w:bookmarkStart w:id="108" w:name="_Toc97708582"/>
      <w:bookmarkStart w:id="109" w:name="_Toc139270459"/>
      <w:bookmarkStart w:id="110" w:name="_Toc349831353"/>
      <w:r>
        <w:rPr>
          <w:rStyle w:val="CharSectno"/>
        </w:rPr>
        <w:t>13</w:t>
      </w:r>
      <w:r>
        <w:rPr>
          <w:snapToGrid w:val="0"/>
        </w:rPr>
        <w:t>.</w:t>
      </w:r>
      <w:r>
        <w:rPr>
          <w:snapToGrid w:val="0"/>
        </w:rPr>
        <w:tab/>
        <w:t>Financial provisions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11" w:name="_Toc93301751"/>
      <w:bookmarkStart w:id="112" w:name="_Toc93315660"/>
      <w:bookmarkStart w:id="113" w:name="_Toc95278465"/>
      <w:bookmarkStart w:id="114" w:name="_Toc97539609"/>
      <w:bookmarkStart w:id="115" w:name="_Toc97539682"/>
      <w:bookmarkStart w:id="116" w:name="_Toc97708583"/>
      <w:bookmarkStart w:id="117" w:name="_Toc104620179"/>
      <w:bookmarkStart w:id="118" w:name="_Toc104692827"/>
      <w:bookmarkStart w:id="119" w:name="_Toc139270460"/>
      <w:bookmarkStart w:id="120" w:name="_Toc139270533"/>
      <w:bookmarkStart w:id="121" w:name="_Toc139446351"/>
      <w:bookmarkStart w:id="122" w:name="_Toc157996719"/>
      <w:bookmarkStart w:id="123" w:name="_Toc196799874"/>
      <w:bookmarkStart w:id="124" w:name="_Toc231099583"/>
      <w:bookmarkStart w:id="125" w:name="_Toc241056512"/>
      <w:bookmarkStart w:id="126" w:name="_Toc241056584"/>
      <w:bookmarkStart w:id="127" w:name="_Toc241056656"/>
      <w:bookmarkStart w:id="128" w:name="_Toc274304757"/>
      <w:bookmarkStart w:id="129" w:name="_Toc278982991"/>
      <w:bookmarkStart w:id="130" w:name="_Toc306285992"/>
      <w:bookmarkStart w:id="131" w:name="_Toc349560678"/>
      <w:bookmarkStart w:id="132" w:name="_Toc349561032"/>
      <w:bookmarkStart w:id="133" w:name="_Toc349561479"/>
      <w:bookmarkStart w:id="134" w:name="_Toc349831354"/>
      <w:r>
        <w:rPr>
          <w:rStyle w:val="CharPartNo"/>
        </w:rPr>
        <w:t>Part III</w:t>
      </w:r>
      <w:r>
        <w:t xml:space="preserve"> — </w:t>
      </w:r>
      <w:r>
        <w:rPr>
          <w:rStyle w:val="CharPartText"/>
        </w:rPr>
        <w:t>Registration of contestants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left" w:pos="851"/>
        </w:tabs>
      </w:pPr>
      <w:bookmarkStart w:id="135" w:name="_Toc38861104"/>
      <w:r>
        <w:tab/>
        <w:t>[Heading inserted by No. 16 of 2003 s. 11.]</w:t>
      </w:r>
    </w:p>
    <w:p>
      <w:pPr>
        <w:pStyle w:val="Heading5"/>
        <w:rPr>
          <w:snapToGrid w:val="0"/>
        </w:rPr>
      </w:pPr>
      <w:bookmarkStart w:id="136" w:name="_Toc97708584"/>
      <w:bookmarkStart w:id="137" w:name="_Toc139270461"/>
      <w:bookmarkStart w:id="138" w:name="_Toc349831355"/>
      <w:r>
        <w:rPr>
          <w:rStyle w:val="CharSectno"/>
        </w:rPr>
        <w:t>14</w:t>
      </w:r>
      <w:r>
        <w:rPr>
          <w:snapToGrid w:val="0"/>
        </w:rPr>
        <w:t>.</w:t>
      </w:r>
      <w:r>
        <w:rPr>
          <w:snapToGrid w:val="0"/>
        </w:rPr>
        <w:tab/>
        <w:t xml:space="preserve">Prescribed classes of </w:t>
      </w:r>
      <w:bookmarkEnd w:id="135"/>
      <w:r>
        <w:t>contestants</w:t>
      </w:r>
      <w:bookmarkEnd w:id="136"/>
      <w:bookmarkEnd w:id="137"/>
      <w:bookmarkEnd w:id="138"/>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39" w:name="_Toc38861105"/>
      <w:bookmarkStart w:id="140" w:name="_Toc97708585"/>
      <w:bookmarkStart w:id="141" w:name="_Toc139270462"/>
      <w:bookmarkStart w:id="142" w:name="_Toc349831356"/>
      <w:r>
        <w:rPr>
          <w:rStyle w:val="CharSectno"/>
        </w:rPr>
        <w:t>15</w:t>
      </w:r>
      <w:r>
        <w:rPr>
          <w:snapToGrid w:val="0"/>
        </w:rPr>
        <w:t>.</w:t>
      </w:r>
      <w:r>
        <w:rPr>
          <w:snapToGrid w:val="0"/>
        </w:rPr>
        <w:tab/>
        <w:t>Register</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43" w:name="_Toc38861106"/>
      <w:r>
        <w:tab/>
        <w:t>[Section 15 amended by No. 16 of 2003 s. 28(1) and (3).]</w:t>
      </w:r>
    </w:p>
    <w:p>
      <w:pPr>
        <w:pStyle w:val="Heading5"/>
      </w:pPr>
      <w:bookmarkStart w:id="144" w:name="_Toc349831357"/>
      <w:bookmarkStart w:id="145" w:name="_Toc97708586"/>
      <w:bookmarkStart w:id="146" w:name="_Toc139270463"/>
      <w:r>
        <w:rPr>
          <w:rStyle w:val="CharSectno"/>
        </w:rPr>
        <w:t>16</w:t>
      </w:r>
      <w:r>
        <w:t>.</w:t>
      </w:r>
      <w:r>
        <w:tab/>
        <w:t>Applying for registration</w:t>
      </w:r>
      <w:bookmarkEnd w:id="144"/>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 by No. 44 of 2011 s. 13.]</w:t>
      </w:r>
    </w:p>
    <w:p>
      <w:pPr>
        <w:pStyle w:val="Heading5"/>
      </w:pPr>
      <w:bookmarkStart w:id="147" w:name="_Toc349831358"/>
      <w:bookmarkStart w:id="148" w:name="_Toc38861107"/>
      <w:bookmarkStart w:id="149" w:name="_Toc97708587"/>
      <w:bookmarkStart w:id="150" w:name="_Toc139270464"/>
      <w:bookmarkEnd w:id="143"/>
      <w:bookmarkEnd w:id="145"/>
      <w:bookmarkEnd w:id="146"/>
      <w:r>
        <w:rPr>
          <w:rStyle w:val="CharSectno"/>
        </w:rPr>
        <w:t>17</w:t>
      </w:r>
      <w:r>
        <w:t>.</w:t>
      </w:r>
      <w:r>
        <w:tab/>
        <w:t>Registering contestants</w:t>
      </w:r>
      <w:bookmarkEnd w:id="147"/>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 by No. 44 of 2011 s. 14.]</w:t>
      </w:r>
    </w:p>
    <w:p>
      <w:pPr>
        <w:pStyle w:val="Heading5"/>
      </w:pPr>
      <w:bookmarkStart w:id="151" w:name="_Toc349831359"/>
      <w:bookmarkStart w:id="152" w:name="_Toc38861108"/>
      <w:bookmarkStart w:id="153" w:name="_Toc97708588"/>
      <w:bookmarkStart w:id="154" w:name="_Toc139270465"/>
      <w:bookmarkEnd w:id="148"/>
      <w:bookmarkEnd w:id="149"/>
      <w:bookmarkEnd w:id="150"/>
      <w:r>
        <w:rPr>
          <w:rStyle w:val="CharSectno"/>
        </w:rPr>
        <w:t>18</w:t>
      </w:r>
      <w:r>
        <w:t>.</w:t>
      </w:r>
      <w:r>
        <w:tab/>
        <w:t>Certificate of registration</w:t>
      </w:r>
      <w:bookmarkEnd w:id="151"/>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 by No. 44 of 2011 s. 15.]</w:t>
      </w:r>
    </w:p>
    <w:p>
      <w:pPr>
        <w:pStyle w:val="Heading5"/>
      </w:pPr>
      <w:bookmarkStart w:id="155" w:name="_Toc349831360"/>
      <w:bookmarkStart w:id="156" w:name="_Toc38861109"/>
      <w:bookmarkStart w:id="157" w:name="_Toc97708589"/>
      <w:bookmarkStart w:id="158" w:name="_Toc139270466"/>
      <w:bookmarkEnd w:id="152"/>
      <w:bookmarkEnd w:id="153"/>
      <w:bookmarkEnd w:id="154"/>
      <w:r>
        <w:rPr>
          <w:rStyle w:val="CharSectno"/>
        </w:rPr>
        <w:t>19</w:t>
      </w:r>
      <w:r>
        <w:t>.</w:t>
      </w:r>
      <w:r>
        <w:tab/>
        <w:t>Term of registration and application for renewal</w:t>
      </w:r>
      <w:bookmarkEnd w:id="155"/>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 by No. 44 of 2011 s. 16.]</w:t>
      </w:r>
    </w:p>
    <w:p>
      <w:pPr>
        <w:pStyle w:val="Heading5"/>
      </w:pPr>
      <w:bookmarkStart w:id="159" w:name="_Toc349831361"/>
      <w:bookmarkStart w:id="160" w:name="_Toc38861110"/>
      <w:bookmarkStart w:id="161" w:name="_Toc97708590"/>
      <w:bookmarkStart w:id="162" w:name="_Toc139270467"/>
      <w:bookmarkEnd w:id="156"/>
      <w:bookmarkEnd w:id="157"/>
      <w:bookmarkEnd w:id="158"/>
      <w:r>
        <w:rPr>
          <w:rStyle w:val="CharSectno"/>
        </w:rPr>
        <w:t>20</w:t>
      </w:r>
      <w:r>
        <w:t>.</w:t>
      </w:r>
      <w:r>
        <w:tab/>
        <w:t>Renewal of registration</w:t>
      </w:r>
      <w:bookmarkEnd w:id="159"/>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 by No. 44 of 2011 s. 17.]</w:t>
      </w:r>
    </w:p>
    <w:p>
      <w:pPr>
        <w:pStyle w:val="Heading5"/>
      </w:pPr>
      <w:bookmarkStart w:id="163" w:name="_Toc349831362"/>
      <w:bookmarkStart w:id="164" w:name="_Toc38861111"/>
      <w:bookmarkStart w:id="165" w:name="_Toc97708591"/>
      <w:bookmarkStart w:id="166" w:name="_Toc139270468"/>
      <w:bookmarkEnd w:id="160"/>
      <w:bookmarkEnd w:id="161"/>
      <w:bookmarkEnd w:id="162"/>
      <w:r>
        <w:rPr>
          <w:rStyle w:val="CharSectno"/>
        </w:rPr>
        <w:t>21</w:t>
      </w:r>
      <w:r>
        <w:t>.</w:t>
      </w:r>
      <w:r>
        <w:tab/>
        <w:t>Commission’s powers to ensure health and safety of contestants</w:t>
      </w:r>
      <w:bookmarkEnd w:id="163"/>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 by No. 44 of 2011 s. 18.]</w:t>
      </w:r>
    </w:p>
    <w:p>
      <w:pPr>
        <w:pStyle w:val="Ednotesection"/>
      </w:pPr>
      <w:bookmarkStart w:id="167" w:name="_Toc38861112"/>
      <w:bookmarkStart w:id="168" w:name="_Toc97708592"/>
      <w:bookmarkStart w:id="169" w:name="_Toc139270469"/>
      <w:bookmarkEnd w:id="164"/>
      <w:bookmarkEnd w:id="165"/>
      <w:bookmarkEnd w:id="166"/>
      <w:r>
        <w:t>[</w:t>
      </w:r>
      <w:r>
        <w:rPr>
          <w:b/>
          <w:bCs/>
        </w:rPr>
        <w:t>22.</w:t>
      </w:r>
      <w:r>
        <w:tab/>
        <w:t>Deleted by No. 44 of 2011 s. 19.]</w:t>
      </w:r>
    </w:p>
    <w:p>
      <w:pPr>
        <w:pStyle w:val="Heading5"/>
      </w:pPr>
      <w:bookmarkStart w:id="170" w:name="_Toc349831363"/>
      <w:bookmarkStart w:id="171" w:name="_Toc38861113"/>
      <w:bookmarkStart w:id="172" w:name="_Toc97708593"/>
      <w:bookmarkStart w:id="173" w:name="_Toc139270470"/>
      <w:bookmarkEnd w:id="167"/>
      <w:bookmarkEnd w:id="168"/>
      <w:bookmarkEnd w:id="169"/>
      <w:r>
        <w:rPr>
          <w:rStyle w:val="CharSectno"/>
        </w:rPr>
        <w:t>23</w:t>
      </w:r>
      <w:r>
        <w:t>.</w:t>
      </w:r>
      <w:r>
        <w:tab/>
        <w:t>Disciplinary powers against contestants</w:t>
      </w:r>
      <w:bookmarkEnd w:id="170"/>
    </w:p>
    <w:p>
      <w:pPr>
        <w:pStyle w:val="Subsection"/>
      </w:pPr>
      <w:r>
        <w:tab/>
      </w:r>
      <w:r>
        <w:tab/>
        <w:t xml:space="preserve">If the Commission — </w:t>
      </w:r>
    </w:p>
    <w:p>
      <w:pPr>
        <w:pStyle w:val="Indenta"/>
      </w:pPr>
      <w:r>
        <w:tab/>
        <w:t>(a)</w:t>
      </w:r>
      <w:r>
        <w:tab/>
        <w:t xml:space="preserve">is of the opinion a registered contestant —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 by No. 44 of 2011 s. 20.]</w:t>
      </w:r>
    </w:p>
    <w:p>
      <w:pPr>
        <w:pStyle w:val="Heading5"/>
      </w:pPr>
      <w:bookmarkStart w:id="174" w:name="_Toc349831364"/>
      <w:bookmarkStart w:id="175" w:name="_Toc97708594"/>
      <w:bookmarkStart w:id="176" w:name="_Toc139270471"/>
      <w:bookmarkStart w:id="177" w:name="_Toc72570415"/>
      <w:bookmarkStart w:id="178" w:name="_Toc89168531"/>
      <w:bookmarkStart w:id="179" w:name="_Toc90865996"/>
      <w:bookmarkStart w:id="180" w:name="_Toc90866072"/>
      <w:bookmarkStart w:id="181" w:name="_Toc92442986"/>
      <w:bookmarkEnd w:id="171"/>
      <w:bookmarkEnd w:id="172"/>
      <w:bookmarkEnd w:id="173"/>
      <w:r>
        <w:rPr>
          <w:rStyle w:val="CharSectno"/>
        </w:rPr>
        <w:t>24A</w:t>
      </w:r>
      <w:r>
        <w:t>.</w:t>
      </w:r>
      <w:r>
        <w:tab/>
        <w:t>Cancelling registration on contestant’s request</w:t>
      </w:r>
      <w:bookmarkEnd w:id="174"/>
    </w:p>
    <w:p>
      <w:pPr>
        <w:pStyle w:val="Subsection"/>
      </w:pPr>
      <w:r>
        <w:tab/>
      </w:r>
      <w:r>
        <w:tab/>
        <w:t>The Commission must cancel the registration of a contestant if the contestant asks the Commission to do so.</w:t>
      </w:r>
    </w:p>
    <w:p>
      <w:pPr>
        <w:pStyle w:val="Footnotesection"/>
      </w:pPr>
      <w:r>
        <w:tab/>
        <w:t>[Section 24A inserted by No. 44 of 2011 s. 21.]</w:t>
      </w:r>
    </w:p>
    <w:p>
      <w:pPr>
        <w:pStyle w:val="Heading5"/>
      </w:pPr>
      <w:bookmarkStart w:id="182" w:name="_Toc349831365"/>
      <w:r>
        <w:rPr>
          <w:rStyle w:val="CharSectno"/>
        </w:rPr>
        <w:t>24</w:t>
      </w:r>
      <w:r>
        <w:t>.</w:t>
      </w:r>
      <w:r>
        <w:tab/>
        <w:t>Offence to participate in contests if unregistered etc.</w:t>
      </w:r>
      <w:bookmarkEnd w:id="175"/>
      <w:bookmarkEnd w:id="176"/>
      <w:bookmarkEnd w:id="182"/>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 by No. 16 of 2003 s. 14; amended by No. 44 of 2011 s. 22.]</w:t>
      </w:r>
    </w:p>
    <w:p>
      <w:pPr>
        <w:pStyle w:val="Heading5"/>
      </w:pPr>
      <w:bookmarkStart w:id="183" w:name="_Toc349831366"/>
      <w:bookmarkStart w:id="184" w:name="_Toc93301764"/>
      <w:bookmarkStart w:id="185" w:name="_Toc93315672"/>
      <w:bookmarkStart w:id="186" w:name="_Toc95278477"/>
      <w:bookmarkStart w:id="187" w:name="_Toc97539621"/>
      <w:bookmarkStart w:id="188" w:name="_Toc97539694"/>
      <w:bookmarkStart w:id="189" w:name="_Toc97708595"/>
      <w:bookmarkStart w:id="190" w:name="_Toc104620191"/>
      <w:bookmarkStart w:id="191" w:name="_Toc104692839"/>
      <w:bookmarkStart w:id="192" w:name="_Toc139270472"/>
      <w:bookmarkStart w:id="193" w:name="_Toc139270545"/>
      <w:bookmarkStart w:id="194" w:name="_Toc139446363"/>
      <w:bookmarkStart w:id="195" w:name="_Toc157996731"/>
      <w:bookmarkStart w:id="196" w:name="_Toc196799886"/>
      <w:bookmarkStart w:id="197" w:name="_Toc231099595"/>
      <w:bookmarkStart w:id="198" w:name="_Toc241056524"/>
      <w:bookmarkStart w:id="199" w:name="_Toc241056596"/>
      <w:bookmarkStart w:id="200" w:name="_Toc241056668"/>
      <w:bookmarkStart w:id="201" w:name="_Toc274304769"/>
      <w:bookmarkStart w:id="202" w:name="_Toc278983003"/>
      <w:bookmarkStart w:id="203" w:name="_Toc306286004"/>
      <w:r>
        <w:rPr>
          <w:rStyle w:val="CharSectno"/>
        </w:rPr>
        <w:t>25A</w:t>
      </w:r>
      <w:r>
        <w:t>.</w:t>
      </w:r>
      <w:r>
        <w:tab/>
        <w:t>Commission may vary or cancel conditions and restrictions</w:t>
      </w:r>
      <w:bookmarkEnd w:id="183"/>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 by No. 44 of 2011 s. 23.]</w:t>
      </w:r>
    </w:p>
    <w:p>
      <w:pPr>
        <w:pStyle w:val="Heading2"/>
      </w:pPr>
      <w:bookmarkStart w:id="204" w:name="_Toc349560691"/>
      <w:bookmarkStart w:id="205" w:name="_Toc349561045"/>
      <w:bookmarkStart w:id="206" w:name="_Toc349561492"/>
      <w:bookmarkStart w:id="207" w:name="_Toc349831367"/>
      <w:r>
        <w:rPr>
          <w:rStyle w:val="CharPartNo"/>
        </w:rPr>
        <w:t>Part IV</w:t>
      </w:r>
      <w:r>
        <w:rPr>
          <w:rStyle w:val="CharDivNo"/>
        </w:rPr>
        <w:t> </w:t>
      </w:r>
      <w:r>
        <w:t>—</w:t>
      </w:r>
      <w:r>
        <w:rPr>
          <w:rStyle w:val="CharDivText"/>
        </w:rPr>
        <w:t> </w:t>
      </w:r>
      <w:r>
        <w:rPr>
          <w:rStyle w:val="CharPartText"/>
        </w:rPr>
        <w:t>Registration of industry participants</w:t>
      </w:r>
      <w:bookmarkEnd w:id="177"/>
      <w:bookmarkEnd w:id="178"/>
      <w:bookmarkEnd w:id="179"/>
      <w:bookmarkEnd w:id="180"/>
      <w:bookmarkEnd w:id="18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Ednotesection"/>
      </w:pPr>
      <w:bookmarkStart w:id="208" w:name="_Toc38861115"/>
      <w:bookmarkStart w:id="209" w:name="_Toc97708596"/>
      <w:bookmarkStart w:id="210" w:name="_Toc139270473"/>
      <w:r>
        <w:t>[</w:t>
      </w:r>
      <w:r>
        <w:rPr>
          <w:b/>
          <w:bCs/>
        </w:rPr>
        <w:t>25.</w:t>
      </w:r>
      <w:r>
        <w:tab/>
        <w:t>Deleted by No. 44 of 2011 s. 24.]</w:t>
      </w:r>
    </w:p>
    <w:p>
      <w:pPr>
        <w:pStyle w:val="Heading5"/>
      </w:pPr>
      <w:bookmarkStart w:id="211" w:name="_Toc349831368"/>
      <w:bookmarkStart w:id="212" w:name="_Toc38861116"/>
      <w:bookmarkStart w:id="213" w:name="_Toc97708597"/>
      <w:bookmarkStart w:id="214" w:name="_Toc139270474"/>
      <w:bookmarkEnd w:id="208"/>
      <w:bookmarkEnd w:id="209"/>
      <w:bookmarkEnd w:id="210"/>
      <w:r>
        <w:rPr>
          <w:rStyle w:val="CharSectno"/>
        </w:rPr>
        <w:t>26</w:t>
      </w:r>
      <w:r>
        <w:t>.</w:t>
      </w:r>
      <w:r>
        <w:tab/>
        <w:t>Register of industry participants</w:t>
      </w:r>
      <w:bookmarkEnd w:id="211"/>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 by No. 44 of 2011 s. 25.]</w:t>
      </w:r>
    </w:p>
    <w:p>
      <w:pPr>
        <w:pStyle w:val="Heading5"/>
      </w:pPr>
      <w:bookmarkStart w:id="215" w:name="_Toc349831369"/>
      <w:bookmarkStart w:id="216" w:name="_Toc38861117"/>
      <w:bookmarkStart w:id="217" w:name="_Toc97708598"/>
      <w:bookmarkStart w:id="218" w:name="_Toc139270475"/>
      <w:bookmarkEnd w:id="212"/>
      <w:bookmarkEnd w:id="213"/>
      <w:bookmarkEnd w:id="214"/>
      <w:r>
        <w:rPr>
          <w:rStyle w:val="CharSectno"/>
        </w:rPr>
        <w:t>27</w:t>
      </w:r>
      <w:r>
        <w:t>.</w:t>
      </w:r>
      <w:r>
        <w:tab/>
        <w:t>Applying to be registered</w:t>
      </w:r>
      <w:bookmarkEnd w:id="215"/>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 by No. 44 of 2011 s. 26.]</w:t>
      </w:r>
    </w:p>
    <w:p>
      <w:pPr>
        <w:pStyle w:val="Heading5"/>
      </w:pPr>
      <w:bookmarkStart w:id="219" w:name="_Toc349831370"/>
      <w:r>
        <w:rPr>
          <w:rStyle w:val="CharSectno"/>
        </w:rPr>
        <w:t>28</w:t>
      </w:r>
      <w:r>
        <w:t>.</w:t>
      </w:r>
      <w:r>
        <w:tab/>
        <w:t>Registering industry participants</w:t>
      </w:r>
      <w:bookmarkEnd w:id="219"/>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 by No. 44 of 2011 s. 26.]</w:t>
      </w:r>
    </w:p>
    <w:p>
      <w:pPr>
        <w:pStyle w:val="Heading5"/>
      </w:pPr>
      <w:bookmarkStart w:id="220" w:name="_Toc349831371"/>
      <w:bookmarkStart w:id="221" w:name="_Toc38861119"/>
      <w:bookmarkStart w:id="222" w:name="_Toc97708600"/>
      <w:bookmarkStart w:id="223" w:name="_Toc139270477"/>
      <w:bookmarkEnd w:id="216"/>
      <w:bookmarkEnd w:id="217"/>
      <w:bookmarkEnd w:id="218"/>
      <w:r>
        <w:rPr>
          <w:rStyle w:val="CharSectno"/>
        </w:rPr>
        <w:t>29</w:t>
      </w:r>
      <w:r>
        <w:t>.</w:t>
      </w:r>
      <w:r>
        <w:tab/>
        <w:t>Certificate of registration</w:t>
      </w:r>
      <w:bookmarkEnd w:id="220"/>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 by No. 44 of 2011 s. 27.]</w:t>
      </w:r>
    </w:p>
    <w:p>
      <w:pPr>
        <w:pStyle w:val="Heading5"/>
      </w:pPr>
      <w:bookmarkStart w:id="224" w:name="_Toc349831372"/>
      <w:bookmarkStart w:id="225" w:name="_Toc38861120"/>
      <w:bookmarkStart w:id="226" w:name="_Toc97708601"/>
      <w:bookmarkStart w:id="227" w:name="_Toc139270478"/>
      <w:bookmarkEnd w:id="221"/>
      <w:bookmarkEnd w:id="222"/>
      <w:bookmarkEnd w:id="223"/>
      <w:r>
        <w:rPr>
          <w:rStyle w:val="CharSectno"/>
        </w:rPr>
        <w:t>30</w:t>
      </w:r>
      <w:r>
        <w:t>.</w:t>
      </w:r>
      <w:r>
        <w:tab/>
        <w:t>Term of registration</w:t>
      </w:r>
      <w:bookmarkEnd w:id="224"/>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 by No. 44 of 2011 s. 28.]</w:t>
      </w:r>
    </w:p>
    <w:p>
      <w:pPr>
        <w:pStyle w:val="Heading5"/>
        <w:rPr>
          <w:snapToGrid w:val="0"/>
        </w:rPr>
      </w:pPr>
      <w:bookmarkStart w:id="228" w:name="_Toc38861121"/>
      <w:bookmarkStart w:id="229" w:name="_Toc97708602"/>
      <w:bookmarkStart w:id="230" w:name="_Toc139270479"/>
      <w:bookmarkStart w:id="231" w:name="_Toc349831373"/>
      <w:bookmarkEnd w:id="225"/>
      <w:bookmarkEnd w:id="226"/>
      <w:bookmarkEnd w:id="227"/>
      <w:r>
        <w:rPr>
          <w:rStyle w:val="CharSectno"/>
        </w:rPr>
        <w:t>31</w:t>
      </w:r>
      <w:r>
        <w:rPr>
          <w:snapToGrid w:val="0"/>
        </w:rPr>
        <w:t>.</w:t>
      </w:r>
      <w:r>
        <w:rPr>
          <w:snapToGrid w:val="0"/>
        </w:rPr>
        <w:tab/>
        <w:t>Application for renewal of registration</w:t>
      </w:r>
      <w:bookmarkEnd w:id="228"/>
      <w:bookmarkEnd w:id="229"/>
      <w:bookmarkEnd w:id="230"/>
      <w:bookmarkEnd w:id="231"/>
      <w:r>
        <w:rPr>
          <w:snapToGrid w:val="0"/>
        </w:rPr>
        <w:t xml:space="preserve"> </w:t>
      </w:r>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pPr>
      <w:bookmarkStart w:id="232" w:name="_Toc38861122"/>
      <w:bookmarkStart w:id="233" w:name="_Toc97708603"/>
      <w:bookmarkStart w:id="234" w:name="_Toc139270480"/>
      <w:r>
        <w:tab/>
        <w:t>[Section 31 amended by No. 44 of 2011 s. 29.]</w:t>
      </w:r>
    </w:p>
    <w:p>
      <w:pPr>
        <w:pStyle w:val="Heading5"/>
        <w:rPr>
          <w:snapToGrid w:val="0"/>
        </w:rPr>
      </w:pPr>
      <w:bookmarkStart w:id="235" w:name="_Toc349831374"/>
      <w:r>
        <w:rPr>
          <w:rStyle w:val="CharSectno"/>
        </w:rPr>
        <w:t>32</w:t>
      </w:r>
      <w:r>
        <w:rPr>
          <w:snapToGrid w:val="0"/>
        </w:rPr>
        <w:t>.</w:t>
      </w:r>
      <w:r>
        <w:rPr>
          <w:snapToGrid w:val="0"/>
        </w:rPr>
        <w:tab/>
        <w:t>Renewal of registration</w:t>
      </w:r>
      <w:bookmarkEnd w:id="232"/>
      <w:bookmarkEnd w:id="233"/>
      <w:bookmarkEnd w:id="234"/>
      <w:bookmarkEnd w:id="235"/>
      <w:r>
        <w:rPr>
          <w:snapToGrid w:val="0"/>
        </w:rPr>
        <w:t xml:space="preserve"> </w:t>
      </w:r>
    </w:p>
    <w:p>
      <w:pPr>
        <w:pStyle w:val="Subsection"/>
      </w:pPr>
      <w:r>
        <w:tab/>
        <w:t>(1)</w:t>
      </w:r>
      <w:r>
        <w:tab/>
        <w:t>If on an application made under section 31 the Commission is satisfied the applicant —</w:t>
      </w:r>
    </w:p>
    <w:p>
      <w:pPr>
        <w:pStyle w:val="Indenta"/>
      </w:pPr>
      <w:r>
        <w:tab/>
        <w:t>(a)</w:t>
      </w:r>
      <w:r>
        <w:tab/>
        <w:t>is a fit and proper person; and</w:t>
      </w:r>
    </w:p>
    <w:p>
      <w:pPr>
        <w:pStyle w:val="Indenta"/>
      </w:pPr>
      <w:r>
        <w:tab/>
        <w:t>(b)</w:t>
      </w:r>
      <w:r>
        <w:tab/>
        <w:t>has complied with the conditions and restrictions imposed on the applicant under this Part; and</w:t>
      </w:r>
    </w:p>
    <w:p>
      <w:pPr>
        <w:pStyle w:val="Indenta"/>
      </w:pPr>
      <w:r>
        <w:tab/>
        <w:t>(c)</w:t>
      </w:r>
      <w:r>
        <w:tab/>
        <w:t>understands the duties that this Act will impose on the applicant if the application is granted,</w:t>
      </w:r>
    </w:p>
    <w:p>
      <w:pPr>
        <w:pStyle w:val="Subsection"/>
      </w:pPr>
      <w:r>
        <w:tab/>
      </w:r>
      <w:r>
        <w:tab/>
        <w:t>the Commission must renew the applicant’s registration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36" w:name="_Toc38861123"/>
      <w:r>
        <w:tab/>
        <w:t>[Section 32 amended by No. 16 of 2003 s. 15; No. 44 of 2011 s. 30.]</w:t>
      </w:r>
    </w:p>
    <w:p>
      <w:pPr>
        <w:pStyle w:val="Heading5"/>
      </w:pPr>
      <w:bookmarkStart w:id="237" w:name="_Toc349831375"/>
      <w:bookmarkStart w:id="238" w:name="_Toc97708604"/>
      <w:bookmarkStart w:id="239" w:name="_Toc139270481"/>
      <w:r>
        <w:rPr>
          <w:rStyle w:val="CharSectno"/>
        </w:rPr>
        <w:t>33A</w:t>
      </w:r>
      <w:r>
        <w:t>.</w:t>
      </w:r>
      <w:r>
        <w:tab/>
        <w:t>Disciplinary powers</w:t>
      </w:r>
      <w:bookmarkEnd w:id="237"/>
    </w:p>
    <w:p>
      <w:pPr>
        <w:pStyle w:val="Subsection"/>
      </w:pPr>
      <w:r>
        <w:tab/>
      </w:r>
      <w:r>
        <w:tab/>
        <w:t xml:space="preserve">If the Commission — </w:t>
      </w:r>
    </w:p>
    <w:p>
      <w:pPr>
        <w:pStyle w:val="Indenta"/>
      </w:pPr>
      <w:r>
        <w:tab/>
        <w:t>(a)</w:t>
      </w:r>
      <w:r>
        <w:tab/>
        <w:t>is of the opinion a registered industry participant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the person under this Part;</w:t>
      </w:r>
    </w:p>
    <w:p>
      <w:pPr>
        <w:pStyle w:val="Indenta"/>
      </w:pPr>
      <w:r>
        <w:tab/>
      </w:r>
      <w:r>
        <w:tab/>
        <w:t>or</w:t>
      </w:r>
    </w:p>
    <w:p>
      <w:pPr>
        <w:pStyle w:val="Indenta"/>
      </w:pPr>
      <w:r>
        <w:tab/>
        <w:t>(b)</w:t>
      </w:r>
      <w:r>
        <w:tab/>
        <w:t>after conducting an inquiry under section 48A, is of the opinion a registered industry participant has participated in a sham contest,</w:t>
      </w:r>
    </w:p>
    <w:p>
      <w:pPr>
        <w:pStyle w:val="Subsection"/>
      </w:pPr>
      <w:r>
        <w:tab/>
      </w:r>
      <w:r>
        <w:tab/>
        <w:t>the Commission may do any of the following —</w:t>
      </w:r>
    </w:p>
    <w:p>
      <w:pPr>
        <w:pStyle w:val="Indenta"/>
      </w:pPr>
      <w:r>
        <w:tab/>
        <w:t>(c)</w:t>
      </w:r>
      <w:r>
        <w:tab/>
        <w:t>vary or cancel any condition or restriction imposed on the participant under this Part;</w:t>
      </w:r>
    </w:p>
    <w:p>
      <w:pPr>
        <w:pStyle w:val="Indenta"/>
      </w:pPr>
      <w:r>
        <w:tab/>
        <w:t>(d)</w:t>
      </w:r>
      <w:r>
        <w:tab/>
        <w:t>impose any conditions or restrictions on the participant it thinks fit;</w:t>
      </w:r>
    </w:p>
    <w:p>
      <w:pPr>
        <w:pStyle w:val="Indenta"/>
      </w:pPr>
      <w:r>
        <w:tab/>
        <w:t>(e)</w:t>
      </w:r>
      <w:r>
        <w:tab/>
        <w:t>cancel or suspend the registration of that person as an industry participant.</w:t>
      </w:r>
    </w:p>
    <w:p>
      <w:pPr>
        <w:pStyle w:val="Footnotesection"/>
      </w:pPr>
      <w:r>
        <w:tab/>
        <w:t>[Section 33A inserted by No. 44 of 2011 s. 31.]</w:t>
      </w:r>
    </w:p>
    <w:p>
      <w:pPr>
        <w:pStyle w:val="Heading5"/>
      </w:pPr>
      <w:bookmarkStart w:id="240" w:name="_Toc349831376"/>
      <w:r>
        <w:rPr>
          <w:rStyle w:val="CharSectno"/>
        </w:rPr>
        <w:t>33</w:t>
      </w:r>
      <w:r>
        <w:t>.</w:t>
      </w:r>
      <w:r>
        <w:tab/>
        <w:t>Offence</w:t>
      </w:r>
      <w:bookmarkEnd w:id="240"/>
    </w:p>
    <w:p>
      <w:pPr>
        <w:pStyle w:val="Subsection"/>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pPr>
      <w:r>
        <w:tab/>
        <w:t>Penalty:</w:t>
      </w:r>
    </w:p>
    <w:p>
      <w:pPr>
        <w:pStyle w:val="Penpara"/>
      </w:pPr>
      <w:r>
        <w:tab/>
        <w:t>(a)</w:t>
      </w:r>
      <w:r>
        <w:tab/>
        <w:t>for a first offence, a fine of $2 000;</w:t>
      </w:r>
    </w:p>
    <w:p>
      <w:pPr>
        <w:pStyle w:val="Penpara"/>
      </w:pPr>
      <w:r>
        <w:tab/>
        <w:t>(b)</w:t>
      </w:r>
      <w:r>
        <w:tab/>
        <w:t>for a subsequent offence, a fine of $10 000.</w:t>
      </w:r>
    </w:p>
    <w:p>
      <w:pPr>
        <w:pStyle w:val="Footnotesection"/>
      </w:pPr>
      <w:r>
        <w:tab/>
        <w:t>[Section 33 inserted by No. 44 of 2011 s. 32.]</w:t>
      </w:r>
    </w:p>
    <w:p>
      <w:pPr>
        <w:pStyle w:val="Heading5"/>
      </w:pPr>
      <w:bookmarkStart w:id="241" w:name="_Toc349831377"/>
      <w:bookmarkStart w:id="242" w:name="_Toc92442996"/>
      <w:bookmarkStart w:id="243" w:name="_Toc93301774"/>
      <w:bookmarkStart w:id="244" w:name="_Toc93315682"/>
      <w:bookmarkStart w:id="245" w:name="_Toc95278487"/>
      <w:bookmarkStart w:id="246" w:name="_Toc97539631"/>
      <w:bookmarkStart w:id="247" w:name="_Toc97539704"/>
      <w:bookmarkStart w:id="248" w:name="_Toc97708605"/>
      <w:bookmarkStart w:id="249" w:name="_Toc104620201"/>
      <w:bookmarkStart w:id="250" w:name="_Toc104692849"/>
      <w:bookmarkStart w:id="251" w:name="_Toc139270482"/>
      <w:bookmarkStart w:id="252" w:name="_Toc139270555"/>
      <w:bookmarkStart w:id="253" w:name="_Toc139446373"/>
      <w:bookmarkStart w:id="254" w:name="_Toc157996741"/>
      <w:bookmarkStart w:id="255" w:name="_Toc196799896"/>
      <w:bookmarkStart w:id="256" w:name="_Toc231099605"/>
      <w:bookmarkStart w:id="257" w:name="_Toc241056534"/>
      <w:bookmarkStart w:id="258" w:name="_Toc241056606"/>
      <w:bookmarkStart w:id="259" w:name="_Toc241056678"/>
      <w:bookmarkStart w:id="260" w:name="_Toc274304779"/>
      <w:bookmarkStart w:id="261" w:name="_Toc278983013"/>
      <w:bookmarkStart w:id="262" w:name="_Toc306286014"/>
      <w:bookmarkStart w:id="263" w:name="_Toc38861124"/>
      <w:bookmarkEnd w:id="236"/>
      <w:bookmarkEnd w:id="238"/>
      <w:bookmarkEnd w:id="239"/>
      <w:r>
        <w:rPr>
          <w:rStyle w:val="CharSectno"/>
        </w:rPr>
        <w:t>34A</w:t>
      </w:r>
      <w:r>
        <w:t>.</w:t>
      </w:r>
      <w:r>
        <w:tab/>
        <w:t>Commission may cancel or vary conditions or restrictions</w:t>
      </w:r>
      <w:bookmarkEnd w:id="241"/>
    </w:p>
    <w:p>
      <w:pPr>
        <w:pStyle w:val="Subsection"/>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pPr>
      <w:r>
        <w:tab/>
        <w:t>[Section 34A inserted by No. 44 of 2011 s. 33.]</w:t>
      </w:r>
    </w:p>
    <w:p>
      <w:pPr>
        <w:pStyle w:val="Ednotepart"/>
      </w:pPr>
      <w:r>
        <w:t>[Part V (s. 34) deleted by No. 44 of 2011 s. 34.]</w:t>
      </w:r>
    </w:p>
    <w:p>
      <w:pPr>
        <w:pStyle w:val="Heading2"/>
      </w:pPr>
      <w:bookmarkStart w:id="264" w:name="_Toc349560702"/>
      <w:bookmarkStart w:id="265" w:name="_Toc349561056"/>
      <w:bookmarkStart w:id="266" w:name="_Toc349561503"/>
      <w:bookmarkStart w:id="267" w:name="_Toc349831378"/>
      <w:bookmarkStart w:id="268" w:name="_Toc72570427"/>
      <w:bookmarkStart w:id="269" w:name="_Toc89168543"/>
      <w:bookmarkStart w:id="270" w:name="_Toc90866008"/>
      <w:bookmarkStart w:id="271" w:name="_Toc90866084"/>
      <w:bookmarkStart w:id="272" w:name="_Toc92442998"/>
      <w:bookmarkStart w:id="273" w:name="_Toc93301776"/>
      <w:bookmarkStart w:id="274" w:name="_Toc93315684"/>
      <w:bookmarkStart w:id="275" w:name="_Toc95278489"/>
      <w:bookmarkStart w:id="276" w:name="_Toc97539633"/>
      <w:bookmarkStart w:id="277" w:name="_Toc97539706"/>
      <w:bookmarkStart w:id="278" w:name="_Toc97708607"/>
      <w:bookmarkStart w:id="279" w:name="_Toc104620203"/>
      <w:bookmarkStart w:id="280" w:name="_Toc104692851"/>
      <w:bookmarkStart w:id="281" w:name="_Toc139270484"/>
      <w:bookmarkStart w:id="282" w:name="_Toc139270557"/>
      <w:bookmarkStart w:id="283" w:name="_Toc139446375"/>
      <w:bookmarkStart w:id="284" w:name="_Toc157996743"/>
      <w:bookmarkStart w:id="285" w:name="_Toc196799898"/>
      <w:bookmarkStart w:id="286" w:name="_Toc231099607"/>
      <w:bookmarkStart w:id="287" w:name="_Toc241056536"/>
      <w:bookmarkStart w:id="288" w:name="_Toc241056608"/>
      <w:bookmarkStart w:id="289" w:name="_Toc241056680"/>
      <w:bookmarkStart w:id="290" w:name="_Toc274304781"/>
      <w:bookmarkStart w:id="291" w:name="_Toc278983015"/>
      <w:bookmarkStart w:id="292" w:name="_Toc30628601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No"/>
        </w:rPr>
        <w:t>Part VI</w:t>
      </w:r>
      <w:r>
        <w:rPr>
          <w:rStyle w:val="CharDivNo"/>
        </w:rPr>
        <w:t> </w:t>
      </w:r>
      <w:r>
        <w:t>—</w:t>
      </w:r>
      <w:r>
        <w:rPr>
          <w:rStyle w:val="CharDivText"/>
        </w:rPr>
        <w:t> </w:t>
      </w:r>
      <w:r>
        <w:rPr>
          <w:rStyle w:val="CharPartText"/>
        </w:rPr>
        <w:t>Contestant record books</w:t>
      </w:r>
      <w:bookmarkEnd w:id="264"/>
      <w:bookmarkEnd w:id="265"/>
      <w:bookmarkEnd w:id="266"/>
      <w:bookmarkEnd w:id="267"/>
    </w:p>
    <w:p>
      <w:pPr>
        <w:pStyle w:val="Footnoteheading"/>
      </w:pPr>
      <w:r>
        <w:tab/>
        <w:t>[Heading inserted by No. 44 of 2011 s. 35.]</w:t>
      </w:r>
    </w:p>
    <w:p>
      <w:pPr>
        <w:pStyle w:val="Heading5"/>
      </w:pPr>
      <w:bookmarkStart w:id="293" w:name="_Toc349831379"/>
      <w:bookmarkStart w:id="294" w:name="_Toc38861125"/>
      <w:bookmarkStart w:id="295" w:name="_Toc97708608"/>
      <w:bookmarkStart w:id="296" w:name="_Toc13927048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Sectno"/>
        </w:rPr>
        <w:t>35</w:t>
      </w:r>
      <w:r>
        <w:t>.</w:t>
      </w:r>
      <w:r>
        <w:tab/>
        <w:t>Books to be issued to registered contestants</w:t>
      </w:r>
      <w:bookmarkEnd w:id="293"/>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 by No. 44 of 2011 s. 36.]</w:t>
      </w:r>
    </w:p>
    <w:p>
      <w:pPr>
        <w:pStyle w:val="Heading5"/>
      </w:pPr>
      <w:bookmarkStart w:id="297" w:name="_Toc349831380"/>
      <w:bookmarkStart w:id="298" w:name="_Toc38861126"/>
      <w:bookmarkStart w:id="299" w:name="_Toc97708609"/>
      <w:bookmarkStart w:id="300" w:name="_Toc139270486"/>
      <w:bookmarkEnd w:id="294"/>
      <w:bookmarkEnd w:id="295"/>
      <w:bookmarkEnd w:id="296"/>
      <w:r>
        <w:rPr>
          <w:rStyle w:val="CharSectno"/>
        </w:rPr>
        <w:t>36</w:t>
      </w:r>
      <w:r>
        <w:t>.</w:t>
      </w:r>
      <w:r>
        <w:tab/>
        <w:t>Altering books</w:t>
      </w:r>
      <w:bookmarkEnd w:id="297"/>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 by No. 44 of 2011 s. 37.]</w:t>
      </w:r>
    </w:p>
    <w:p>
      <w:pPr>
        <w:pStyle w:val="Ednotesection"/>
      </w:pPr>
      <w:bookmarkStart w:id="301" w:name="_Toc38861127"/>
      <w:bookmarkStart w:id="302" w:name="_Toc97708610"/>
      <w:bookmarkStart w:id="303" w:name="_Toc139270487"/>
      <w:bookmarkEnd w:id="298"/>
      <w:bookmarkEnd w:id="299"/>
      <w:bookmarkEnd w:id="300"/>
      <w:r>
        <w:t>[</w:t>
      </w:r>
      <w:r>
        <w:rPr>
          <w:b/>
          <w:bCs/>
        </w:rPr>
        <w:t>37.</w:t>
      </w:r>
      <w:r>
        <w:tab/>
        <w:t>Deleted by No. 44 of 2011 s. 38.]</w:t>
      </w:r>
    </w:p>
    <w:p>
      <w:pPr>
        <w:pStyle w:val="Heading5"/>
      </w:pPr>
      <w:bookmarkStart w:id="304" w:name="_Toc349831381"/>
      <w:bookmarkStart w:id="305" w:name="_Toc38861128"/>
      <w:bookmarkStart w:id="306" w:name="_Toc97708611"/>
      <w:bookmarkStart w:id="307" w:name="_Toc139270488"/>
      <w:bookmarkEnd w:id="301"/>
      <w:bookmarkEnd w:id="302"/>
      <w:bookmarkEnd w:id="303"/>
      <w:r>
        <w:rPr>
          <w:rStyle w:val="CharSectno"/>
        </w:rPr>
        <w:t>38</w:t>
      </w:r>
      <w:r>
        <w:t>.</w:t>
      </w:r>
      <w:r>
        <w:tab/>
        <w:t>Damaging books</w:t>
      </w:r>
      <w:bookmarkEnd w:id="304"/>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 by No. 44 of 2011 s. 39.]</w:t>
      </w:r>
    </w:p>
    <w:p>
      <w:pPr>
        <w:pStyle w:val="Heading5"/>
      </w:pPr>
      <w:bookmarkStart w:id="308" w:name="_Toc349831382"/>
      <w:bookmarkStart w:id="309" w:name="_Toc38861129"/>
      <w:bookmarkStart w:id="310" w:name="_Toc97708612"/>
      <w:bookmarkStart w:id="311" w:name="_Toc139270489"/>
      <w:bookmarkEnd w:id="305"/>
      <w:bookmarkEnd w:id="306"/>
      <w:bookmarkEnd w:id="307"/>
      <w:r>
        <w:rPr>
          <w:rStyle w:val="CharSectno"/>
        </w:rPr>
        <w:t>39</w:t>
      </w:r>
      <w:r>
        <w:t>.</w:t>
      </w:r>
      <w:r>
        <w:tab/>
        <w:t>Surrender of books</w:t>
      </w:r>
      <w:bookmarkEnd w:id="308"/>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 by No. 44 of 2011 s. 40.]</w:t>
      </w:r>
    </w:p>
    <w:p>
      <w:pPr>
        <w:pStyle w:val="Heading5"/>
        <w:rPr>
          <w:snapToGrid w:val="0"/>
        </w:rPr>
      </w:pPr>
      <w:bookmarkStart w:id="312" w:name="_Toc38861130"/>
      <w:bookmarkStart w:id="313" w:name="_Toc97708613"/>
      <w:bookmarkStart w:id="314" w:name="_Toc139270490"/>
      <w:bookmarkStart w:id="315" w:name="_Toc349831383"/>
      <w:bookmarkEnd w:id="309"/>
      <w:bookmarkEnd w:id="310"/>
      <w:bookmarkEnd w:id="311"/>
      <w:r>
        <w:rPr>
          <w:rStyle w:val="CharSectno"/>
        </w:rPr>
        <w:t>40</w:t>
      </w:r>
      <w:r>
        <w:rPr>
          <w:snapToGrid w:val="0"/>
        </w:rPr>
        <w:t>.</w:t>
      </w:r>
      <w:r>
        <w:rPr>
          <w:snapToGrid w:val="0"/>
        </w:rPr>
        <w:tab/>
        <w:t>Re</w:t>
      </w:r>
      <w:r>
        <w:rPr>
          <w:snapToGrid w:val="0"/>
        </w:rPr>
        <w:noBreakHyphen/>
        <w:t>issue of medical record book</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 </w:t>
      </w:r>
    </w:p>
    <w:p>
      <w:pPr>
        <w:pStyle w:val="Indenta"/>
        <w:rPr>
          <w:snapToGrid w:val="0"/>
        </w:rPr>
      </w:pPr>
      <w:bookmarkStart w:id="316"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 No. 44 of 2011 s. 41.]</w:t>
      </w:r>
    </w:p>
    <w:p>
      <w:pPr>
        <w:pStyle w:val="Heading5"/>
      </w:pPr>
      <w:bookmarkStart w:id="317" w:name="_Toc349831384"/>
      <w:bookmarkStart w:id="318" w:name="_Toc97708614"/>
      <w:bookmarkStart w:id="319" w:name="_Toc139270491"/>
      <w:r>
        <w:rPr>
          <w:rStyle w:val="CharSectno"/>
        </w:rPr>
        <w:t>41</w:t>
      </w:r>
      <w:r>
        <w:t>.</w:t>
      </w:r>
      <w:r>
        <w:tab/>
        <w:t>Issuing additional books</w:t>
      </w:r>
      <w:bookmarkEnd w:id="317"/>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 by No. 44 of 2011 s. 42.]</w:t>
      </w:r>
    </w:p>
    <w:p>
      <w:pPr>
        <w:pStyle w:val="Heading5"/>
      </w:pPr>
      <w:bookmarkStart w:id="320" w:name="_Toc349831385"/>
      <w:bookmarkStart w:id="321" w:name="_Toc38861132"/>
      <w:bookmarkStart w:id="322" w:name="_Toc97708615"/>
      <w:bookmarkStart w:id="323" w:name="_Toc139270492"/>
      <w:bookmarkEnd w:id="316"/>
      <w:bookmarkEnd w:id="318"/>
      <w:bookmarkEnd w:id="319"/>
      <w:r>
        <w:rPr>
          <w:rStyle w:val="CharSectno"/>
        </w:rPr>
        <w:t>42</w:t>
      </w:r>
      <w:r>
        <w:t>.</w:t>
      </w:r>
      <w:r>
        <w:tab/>
        <w:t>Replacing books</w:t>
      </w:r>
      <w:bookmarkEnd w:id="320"/>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 by No. 44 of 2011 s. 43.]</w:t>
      </w:r>
    </w:p>
    <w:p>
      <w:pPr>
        <w:pStyle w:val="Heading2"/>
      </w:pPr>
      <w:bookmarkStart w:id="324" w:name="_Toc93301786"/>
      <w:bookmarkStart w:id="325" w:name="_Toc93315693"/>
      <w:bookmarkStart w:id="326" w:name="_Toc95278498"/>
      <w:bookmarkStart w:id="327" w:name="_Toc97539642"/>
      <w:bookmarkStart w:id="328" w:name="_Toc97539715"/>
      <w:bookmarkStart w:id="329" w:name="_Toc97708616"/>
      <w:bookmarkStart w:id="330" w:name="_Toc104620212"/>
      <w:bookmarkStart w:id="331" w:name="_Toc104692860"/>
      <w:bookmarkStart w:id="332" w:name="_Toc139270493"/>
      <w:bookmarkStart w:id="333" w:name="_Toc139270566"/>
      <w:bookmarkStart w:id="334" w:name="_Toc139446384"/>
      <w:bookmarkStart w:id="335" w:name="_Toc157996752"/>
      <w:bookmarkStart w:id="336" w:name="_Toc196799907"/>
      <w:bookmarkStart w:id="337" w:name="_Toc231099616"/>
      <w:bookmarkStart w:id="338" w:name="_Toc241056545"/>
      <w:bookmarkStart w:id="339" w:name="_Toc241056617"/>
      <w:bookmarkStart w:id="340" w:name="_Toc241056689"/>
      <w:bookmarkStart w:id="341" w:name="_Toc274304790"/>
      <w:bookmarkStart w:id="342" w:name="_Toc278983024"/>
      <w:bookmarkStart w:id="343" w:name="_Toc306286025"/>
      <w:bookmarkStart w:id="344" w:name="_Toc349560710"/>
      <w:bookmarkStart w:id="345" w:name="_Toc349561064"/>
      <w:bookmarkStart w:id="346" w:name="_Toc349561511"/>
      <w:bookmarkStart w:id="347" w:name="_Toc349831386"/>
      <w:bookmarkEnd w:id="321"/>
      <w:bookmarkEnd w:id="322"/>
      <w:bookmarkEnd w:id="323"/>
      <w:r>
        <w:rPr>
          <w:rStyle w:val="CharPartNo"/>
        </w:rPr>
        <w:t>Part VII</w:t>
      </w:r>
      <w:r>
        <w:t xml:space="preserve"> — </w:t>
      </w:r>
      <w:r>
        <w:rPr>
          <w:rStyle w:val="CharPartText"/>
        </w:rPr>
        <w:t>Contests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tabs>
          <w:tab w:val="left" w:pos="851"/>
        </w:tabs>
      </w:pPr>
      <w:bookmarkStart w:id="348" w:name="_Toc38861133"/>
      <w:r>
        <w:tab/>
        <w:t>[Heading inserted by No. 16 of 2003 s. 16.]</w:t>
      </w:r>
    </w:p>
    <w:p>
      <w:pPr>
        <w:pStyle w:val="Heading5"/>
        <w:rPr>
          <w:snapToGrid w:val="0"/>
        </w:rPr>
      </w:pPr>
      <w:bookmarkStart w:id="349" w:name="_Toc97708617"/>
      <w:bookmarkStart w:id="350" w:name="_Toc139270494"/>
      <w:bookmarkStart w:id="351" w:name="_Toc349831387"/>
      <w:r>
        <w:rPr>
          <w:rStyle w:val="CharSectno"/>
        </w:rPr>
        <w:t>43</w:t>
      </w:r>
      <w:r>
        <w:rPr>
          <w:snapToGrid w:val="0"/>
        </w:rPr>
        <w:t>.</w:t>
      </w:r>
      <w:r>
        <w:rPr>
          <w:snapToGrid w:val="0"/>
        </w:rPr>
        <w:tab/>
        <w:t>Interpretation</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pPr>
      <w:bookmarkStart w:id="352" w:name="_Toc349831388"/>
      <w:bookmarkStart w:id="353" w:name="_Toc38861134"/>
      <w:bookmarkStart w:id="354" w:name="_Toc97708618"/>
      <w:bookmarkStart w:id="355" w:name="_Toc139270495"/>
      <w:r>
        <w:rPr>
          <w:rStyle w:val="CharSectno"/>
        </w:rPr>
        <w:t>44</w:t>
      </w:r>
      <w:r>
        <w:t>.</w:t>
      </w:r>
      <w:r>
        <w:tab/>
        <w:t>Applying for permits to conduct contests</w:t>
      </w:r>
      <w:bookmarkEnd w:id="352"/>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 by No. 44 of 2011 s. 44.]</w:t>
      </w:r>
    </w:p>
    <w:p>
      <w:pPr>
        <w:pStyle w:val="Heading5"/>
      </w:pPr>
      <w:bookmarkStart w:id="356" w:name="_Toc349831389"/>
      <w:bookmarkStart w:id="357" w:name="_Toc38861135"/>
      <w:bookmarkStart w:id="358" w:name="_Toc97708619"/>
      <w:bookmarkStart w:id="359" w:name="_Toc139270496"/>
      <w:bookmarkEnd w:id="353"/>
      <w:bookmarkEnd w:id="354"/>
      <w:bookmarkEnd w:id="355"/>
      <w:r>
        <w:rPr>
          <w:rStyle w:val="CharSectno"/>
        </w:rPr>
        <w:t>45</w:t>
      </w:r>
      <w:r>
        <w:t>.</w:t>
      </w:r>
      <w:r>
        <w:tab/>
        <w:t>Issuing permits for contests</w:t>
      </w:r>
      <w:bookmarkEnd w:id="356"/>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 by No. 44 of 2011 s. 45.]</w:t>
      </w:r>
    </w:p>
    <w:p>
      <w:pPr>
        <w:pStyle w:val="Heading5"/>
        <w:rPr>
          <w:snapToGrid w:val="0"/>
        </w:rPr>
      </w:pPr>
      <w:bookmarkStart w:id="360" w:name="_Toc38861136"/>
      <w:bookmarkStart w:id="361" w:name="_Toc97708620"/>
      <w:bookmarkStart w:id="362" w:name="_Toc139270497"/>
      <w:bookmarkStart w:id="363" w:name="_Toc349831390"/>
      <w:bookmarkEnd w:id="357"/>
      <w:bookmarkEnd w:id="358"/>
      <w:bookmarkEnd w:id="359"/>
      <w:r>
        <w:rPr>
          <w:rStyle w:val="CharSectno"/>
        </w:rPr>
        <w:t>46</w:t>
      </w:r>
      <w:r>
        <w:rPr>
          <w:snapToGrid w:val="0"/>
        </w:rPr>
        <w:t>.</w:t>
      </w:r>
      <w:r>
        <w:rPr>
          <w:snapToGrid w:val="0"/>
        </w:rPr>
        <w:tab/>
        <w:t>Notification of Commissioner of Police</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pPr>
      <w:bookmarkStart w:id="364" w:name="_Toc349831391"/>
      <w:bookmarkStart w:id="365" w:name="_Toc38861137"/>
      <w:bookmarkStart w:id="366" w:name="_Toc97708621"/>
      <w:bookmarkStart w:id="367" w:name="_Toc139270498"/>
      <w:r>
        <w:rPr>
          <w:rStyle w:val="CharSectno"/>
        </w:rPr>
        <w:t>47AA</w:t>
      </w:r>
      <w:r>
        <w:t>.</w:t>
      </w:r>
      <w:r>
        <w:tab/>
        <w:t>Commission may require information</w:t>
      </w:r>
      <w:bookmarkEnd w:id="364"/>
    </w:p>
    <w:p>
      <w:pPr>
        <w:pStyle w:val="Subsection"/>
      </w:pPr>
      <w:r>
        <w:tab/>
        <w:t>(1)</w:t>
      </w:r>
      <w:r>
        <w:tab/>
        <w:t xml:space="preserve">At any time after it issues a permit under section 45 for a contest and before the contest has taken place, the Commission, by giving the person a written notice, may require any or all of these persons —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 by No. 44 of 2011 s. 46.]</w:t>
      </w:r>
    </w:p>
    <w:p>
      <w:pPr>
        <w:pStyle w:val="Heading5"/>
      </w:pPr>
      <w:bookmarkStart w:id="368" w:name="_Toc349831392"/>
      <w:r>
        <w:rPr>
          <w:rStyle w:val="CharSectno"/>
        </w:rPr>
        <w:t>47A</w:t>
      </w:r>
      <w:r>
        <w:t>.</w:t>
      </w:r>
      <w:r>
        <w:tab/>
        <w:t>Suspending or cancelling a permit</w:t>
      </w:r>
      <w:bookmarkEnd w:id="368"/>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pPr>
      <w:r>
        <w:tab/>
        <w:t>(b)</w:t>
      </w:r>
      <w:r>
        <w:tab/>
        <w:t>that it is in the interests of the health or safety of any contestant in the contest to do so; or</w:t>
      </w:r>
    </w:p>
    <w:p>
      <w:pPr>
        <w:pStyle w:val="Indenta"/>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pPr>
      <w:r>
        <w:tab/>
        <w:t>(a)</w:t>
      </w:r>
      <w:r>
        <w:tab/>
        <w:t>that the Commission has suspended or cancelled the permit, as the case requires; and</w:t>
      </w:r>
    </w:p>
    <w:p>
      <w:pPr>
        <w:pStyle w:val="Indenta"/>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pPr>
      <w:r>
        <w:tab/>
        <w:t>[Section 47A inserted by No. 44 of 2011 s. 46.]</w:t>
      </w:r>
    </w:p>
    <w:p>
      <w:pPr>
        <w:pStyle w:val="Heading5"/>
        <w:rPr>
          <w:snapToGrid w:val="0"/>
        </w:rPr>
      </w:pPr>
      <w:bookmarkStart w:id="369" w:name="_Toc349831393"/>
      <w:r>
        <w:rPr>
          <w:rStyle w:val="CharSectno"/>
        </w:rPr>
        <w:t>47</w:t>
      </w:r>
      <w:r>
        <w:rPr>
          <w:snapToGrid w:val="0"/>
        </w:rPr>
        <w:t>.</w:t>
      </w:r>
      <w:r>
        <w:rPr>
          <w:snapToGrid w:val="0"/>
        </w:rPr>
        <w:tab/>
        <w:t>Offences</w:t>
      </w:r>
      <w:bookmarkEnd w:id="365"/>
      <w:bookmarkEnd w:id="366"/>
      <w:bookmarkEnd w:id="367"/>
      <w:bookmarkEnd w:id="369"/>
      <w:r>
        <w:rPr>
          <w:snapToGrid w:val="0"/>
        </w:rPr>
        <w:t xml:space="preserve"> </w:t>
      </w:r>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Ednotesubsection"/>
      </w:pPr>
      <w:r>
        <w:tab/>
        <w:t>[(6)</w:t>
      </w:r>
      <w:r>
        <w:tab/>
        <w:t>deleted]</w:t>
      </w:r>
    </w:p>
    <w:p>
      <w:pPr>
        <w:pStyle w:val="Footnotesection"/>
      </w:pPr>
      <w:r>
        <w:tab/>
        <w:t>[Section 47 amended by No. 16 of 2003 s. 18, 28(3) and 29(1); No. 44 of 2011 s. 47.]</w:t>
      </w:r>
    </w:p>
    <w:p>
      <w:pPr>
        <w:pStyle w:val="Heading5"/>
      </w:pPr>
      <w:bookmarkStart w:id="370" w:name="_Toc349831394"/>
      <w:bookmarkStart w:id="371" w:name="_Toc38861138"/>
      <w:bookmarkStart w:id="372" w:name="_Toc97708622"/>
      <w:bookmarkStart w:id="373" w:name="_Toc139270499"/>
      <w:r>
        <w:rPr>
          <w:rStyle w:val="CharSectno"/>
        </w:rPr>
        <w:t>48A</w:t>
      </w:r>
      <w:r>
        <w:t>.</w:t>
      </w:r>
      <w:r>
        <w:tab/>
        <w:t>Sham contests, inquiries into</w:t>
      </w:r>
      <w:bookmarkEnd w:id="370"/>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 xml:space="preserve">If after its inquiry the Commission is satisfied on the balance of probabilities that a contest is a sham contest, it — </w:t>
      </w:r>
    </w:p>
    <w:p>
      <w:pPr>
        <w:pStyle w:val="Indenta"/>
      </w:pPr>
      <w:r>
        <w:tab/>
        <w:t>(a)</w:t>
      </w:r>
      <w:r>
        <w:tab/>
        <w:t>may order any person who is legally required to pay money or money’s worth to a contestant for participating in the contest not to pay the contestant without the written consent of the Commission; and</w:t>
      </w:r>
    </w:p>
    <w:p>
      <w:pPr>
        <w:pStyle w:val="Indenta"/>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pPr>
      <w:r>
        <w:tab/>
        <w:t>[Section 48A inserted by No. 44 of 2011 s. 48.]</w:t>
      </w:r>
    </w:p>
    <w:p>
      <w:pPr>
        <w:pStyle w:val="Heading5"/>
      </w:pPr>
      <w:bookmarkStart w:id="374" w:name="_Toc349831395"/>
      <w:r>
        <w:rPr>
          <w:rStyle w:val="CharSectno"/>
        </w:rPr>
        <w:t>48</w:t>
      </w:r>
      <w:r>
        <w:t>.</w:t>
      </w:r>
      <w:r>
        <w:tab/>
        <w:t>Pre</w:t>
      </w:r>
      <w:r>
        <w:noBreakHyphen/>
        <w:t>contest weigh</w:t>
      </w:r>
      <w:r>
        <w:noBreakHyphen/>
        <w:t>ins</w:t>
      </w:r>
      <w:bookmarkEnd w:id="374"/>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 by No. 44 of 2011 s. 49.]</w:t>
      </w:r>
    </w:p>
    <w:p>
      <w:pPr>
        <w:pStyle w:val="Heading5"/>
      </w:pPr>
      <w:bookmarkStart w:id="375" w:name="_Toc349831396"/>
      <w:r>
        <w:rPr>
          <w:rStyle w:val="CharSectno"/>
        </w:rPr>
        <w:t>49A</w:t>
      </w:r>
      <w:r>
        <w:t>.</w:t>
      </w:r>
      <w:r>
        <w:tab/>
        <w:t>Pre</w:t>
      </w:r>
      <w:r>
        <w:noBreakHyphen/>
        <w:t>contest medical examinations</w:t>
      </w:r>
      <w:bookmarkEnd w:id="375"/>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 xml:space="preserve">If a form given by a medical practitioner to the Commission’s appointee under subsection (2) states a person should not participate in a proposed contest because of the person’s medical condition, the Commission’s appointee —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 by No. 44 of 2011 s. 49.]</w:t>
      </w:r>
    </w:p>
    <w:p>
      <w:pPr>
        <w:pStyle w:val="Heading5"/>
      </w:pPr>
      <w:bookmarkStart w:id="376" w:name="_Toc97708623"/>
      <w:bookmarkStart w:id="377" w:name="_Toc139270500"/>
      <w:bookmarkStart w:id="378" w:name="_Toc349831397"/>
      <w:bookmarkStart w:id="379" w:name="_Toc38861140"/>
      <w:bookmarkEnd w:id="371"/>
      <w:bookmarkEnd w:id="372"/>
      <w:bookmarkEnd w:id="373"/>
      <w:r>
        <w:rPr>
          <w:rStyle w:val="CharSectno"/>
        </w:rPr>
        <w:t>49</w:t>
      </w:r>
      <w:r>
        <w:t>.</w:t>
      </w:r>
      <w:r>
        <w:tab/>
        <w:t>Medical practitioner to notify referee at contest if contestant unfit to participate; and referee to take action</w:t>
      </w:r>
      <w:bookmarkEnd w:id="376"/>
      <w:bookmarkEnd w:id="377"/>
      <w:bookmarkEnd w:id="378"/>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 by No. 16 of 2003 s. 20; amended by No. 44 of 2011 s. 50.]</w:t>
      </w:r>
    </w:p>
    <w:p>
      <w:pPr>
        <w:pStyle w:val="Heading5"/>
      </w:pPr>
      <w:bookmarkStart w:id="380" w:name="_Toc349831398"/>
      <w:bookmarkStart w:id="381" w:name="_Toc97708624"/>
      <w:bookmarkStart w:id="382" w:name="_Toc139270501"/>
      <w:bookmarkStart w:id="383" w:name="_Toc38861141"/>
      <w:bookmarkEnd w:id="379"/>
      <w:r>
        <w:rPr>
          <w:rStyle w:val="CharSectno"/>
        </w:rPr>
        <w:t>50</w:t>
      </w:r>
      <w:r>
        <w:t>.</w:t>
      </w:r>
      <w:r>
        <w:tab/>
        <w:t>Contestants not to compete without weigh</w:t>
      </w:r>
      <w:r>
        <w:noBreakHyphen/>
        <w:t>in and medical examination</w:t>
      </w:r>
      <w:bookmarkEnd w:id="380"/>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 by No. 44 of 2011 s. 51.]</w:t>
      </w:r>
    </w:p>
    <w:p>
      <w:pPr>
        <w:pStyle w:val="Heading5"/>
        <w:rPr>
          <w:snapToGrid w:val="0"/>
        </w:rPr>
      </w:pPr>
      <w:bookmarkStart w:id="384" w:name="_Toc97708625"/>
      <w:bookmarkStart w:id="385" w:name="_Toc139270502"/>
      <w:bookmarkStart w:id="386" w:name="_Toc349831399"/>
      <w:bookmarkEnd w:id="381"/>
      <w:bookmarkEnd w:id="382"/>
      <w:r>
        <w:rPr>
          <w:rStyle w:val="CharSectno"/>
        </w:rPr>
        <w:t>51</w:t>
      </w:r>
      <w:r>
        <w:rPr>
          <w:snapToGrid w:val="0"/>
        </w:rPr>
        <w:t>.</w:t>
      </w:r>
      <w:r>
        <w:rPr>
          <w:snapToGrid w:val="0"/>
        </w:rPr>
        <w:tab/>
        <w:t>Duties of promoter and medical practitioner</w:t>
      </w:r>
      <w:bookmarkEnd w:id="383"/>
      <w:bookmarkEnd w:id="384"/>
      <w:bookmarkEnd w:id="385"/>
      <w:bookmarkEnd w:id="386"/>
      <w:r>
        <w:rPr>
          <w:snapToGrid w:val="0"/>
        </w:rPr>
        <w:t xml:space="preserve"> </w:t>
      </w:r>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87"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 No. 44 of 2011 s. 52.]</w:t>
      </w:r>
    </w:p>
    <w:p>
      <w:pPr>
        <w:pStyle w:val="Heading5"/>
      </w:pPr>
      <w:bookmarkStart w:id="388" w:name="_Toc349831400"/>
      <w:bookmarkStart w:id="389" w:name="_Toc97708626"/>
      <w:bookmarkStart w:id="390" w:name="_Toc139270503"/>
      <w:r>
        <w:rPr>
          <w:rStyle w:val="CharSectno"/>
        </w:rPr>
        <w:t>52</w:t>
      </w:r>
      <w:r>
        <w:t>.</w:t>
      </w:r>
      <w:r>
        <w:tab/>
        <w:t>Record of contest</w:t>
      </w:r>
      <w:bookmarkEnd w:id="388"/>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 by No. 44 of 2011 s. 53.]</w:t>
      </w:r>
    </w:p>
    <w:p>
      <w:pPr>
        <w:pStyle w:val="Heading2"/>
      </w:pPr>
      <w:bookmarkStart w:id="391" w:name="_Toc349560725"/>
      <w:bookmarkStart w:id="392" w:name="_Toc349561079"/>
      <w:bookmarkStart w:id="393" w:name="_Toc349561526"/>
      <w:bookmarkStart w:id="394" w:name="_Toc349831401"/>
      <w:bookmarkStart w:id="395" w:name="_Toc72570447"/>
      <w:bookmarkStart w:id="396" w:name="_Toc89168563"/>
      <w:bookmarkStart w:id="397" w:name="_Toc90866028"/>
      <w:bookmarkStart w:id="398" w:name="_Toc90866104"/>
      <w:bookmarkStart w:id="399" w:name="_Toc92443018"/>
      <w:bookmarkStart w:id="400" w:name="_Toc93301799"/>
      <w:bookmarkStart w:id="401" w:name="_Toc93315704"/>
      <w:bookmarkStart w:id="402" w:name="_Toc95278509"/>
      <w:bookmarkStart w:id="403" w:name="_Toc97539653"/>
      <w:bookmarkStart w:id="404" w:name="_Toc97539726"/>
      <w:bookmarkStart w:id="405" w:name="_Toc97708627"/>
      <w:bookmarkStart w:id="406" w:name="_Toc104620223"/>
      <w:bookmarkStart w:id="407" w:name="_Toc104692871"/>
      <w:bookmarkStart w:id="408" w:name="_Toc139270504"/>
      <w:bookmarkStart w:id="409" w:name="_Toc139270577"/>
      <w:bookmarkStart w:id="410" w:name="_Toc139446395"/>
      <w:bookmarkStart w:id="411" w:name="_Toc157996763"/>
      <w:bookmarkStart w:id="412" w:name="_Toc196799918"/>
      <w:bookmarkStart w:id="413" w:name="_Toc231099627"/>
      <w:bookmarkStart w:id="414" w:name="_Toc241056556"/>
      <w:bookmarkStart w:id="415" w:name="_Toc241056628"/>
      <w:bookmarkStart w:id="416" w:name="_Toc241056700"/>
      <w:bookmarkStart w:id="417" w:name="_Toc274304801"/>
      <w:bookmarkStart w:id="418" w:name="_Toc278983035"/>
      <w:bookmarkStart w:id="419" w:name="_Toc306286036"/>
      <w:bookmarkEnd w:id="387"/>
      <w:bookmarkEnd w:id="389"/>
      <w:bookmarkEnd w:id="390"/>
      <w:r>
        <w:rPr>
          <w:rStyle w:val="CharPartNo"/>
        </w:rPr>
        <w:t>Part VIIIA</w:t>
      </w:r>
      <w:r>
        <w:rPr>
          <w:rStyle w:val="CharDivNo"/>
        </w:rPr>
        <w:t> </w:t>
      </w:r>
      <w:r>
        <w:t>—</w:t>
      </w:r>
      <w:r>
        <w:rPr>
          <w:rStyle w:val="CharDivText"/>
        </w:rPr>
        <w:t> </w:t>
      </w:r>
      <w:r>
        <w:rPr>
          <w:rStyle w:val="CharPartText"/>
        </w:rPr>
        <w:t>Review</w:t>
      </w:r>
      <w:bookmarkEnd w:id="391"/>
      <w:bookmarkEnd w:id="392"/>
      <w:bookmarkEnd w:id="393"/>
      <w:bookmarkEnd w:id="394"/>
    </w:p>
    <w:p>
      <w:pPr>
        <w:pStyle w:val="Footnoteheading"/>
      </w:pPr>
      <w:r>
        <w:tab/>
        <w:t>[Heading inserted by No. 44 of 2011 s. 54.]</w:t>
      </w:r>
    </w:p>
    <w:p>
      <w:pPr>
        <w:pStyle w:val="Heading5"/>
      </w:pPr>
      <w:bookmarkStart w:id="420" w:name="_Toc349831402"/>
      <w:r>
        <w:rPr>
          <w:rStyle w:val="CharSectno"/>
        </w:rPr>
        <w:t>53A</w:t>
      </w:r>
      <w:r>
        <w:t>.</w:t>
      </w:r>
      <w:r>
        <w:tab/>
        <w:t>Review by State Administrative Tribunal</w:t>
      </w:r>
      <w:bookmarkEnd w:id="420"/>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 by No. 44 of 2011 s. 54.]</w:t>
      </w:r>
    </w:p>
    <w:p>
      <w:pPr>
        <w:pStyle w:val="Heading2"/>
      </w:pPr>
      <w:bookmarkStart w:id="421" w:name="_Toc349560727"/>
      <w:bookmarkStart w:id="422" w:name="_Toc349561081"/>
      <w:bookmarkStart w:id="423" w:name="_Toc349561528"/>
      <w:bookmarkStart w:id="424" w:name="_Toc349831403"/>
      <w:r>
        <w:rPr>
          <w:rStyle w:val="CharPartNo"/>
        </w:rPr>
        <w:t>Part VIII</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1"/>
      <w:bookmarkEnd w:id="422"/>
      <w:bookmarkEnd w:id="423"/>
      <w:bookmarkEnd w:id="424"/>
      <w:r>
        <w:rPr>
          <w:rStyle w:val="CharPartText"/>
        </w:rPr>
        <w:t xml:space="preserve"> </w:t>
      </w:r>
    </w:p>
    <w:p>
      <w:pPr>
        <w:pStyle w:val="Heading5"/>
      </w:pPr>
      <w:bookmarkStart w:id="425" w:name="_Toc349831404"/>
      <w:bookmarkStart w:id="426" w:name="_Toc97708628"/>
      <w:bookmarkStart w:id="427" w:name="_Toc139270505"/>
      <w:bookmarkStart w:id="428" w:name="_Toc38861144"/>
      <w:r>
        <w:rPr>
          <w:rStyle w:val="CharSectno"/>
        </w:rPr>
        <w:t>53</w:t>
      </w:r>
      <w:r>
        <w:t>.</w:t>
      </w:r>
      <w:r>
        <w:tab/>
        <w:t>False or misleading information</w:t>
      </w:r>
      <w:bookmarkEnd w:id="425"/>
    </w:p>
    <w:p>
      <w:pPr>
        <w:pStyle w:val="Subsection"/>
      </w:pPr>
      <w:r>
        <w:tab/>
      </w:r>
      <w:r>
        <w:tab/>
        <w:t>A person must not include any information that is false or misleading in a material particular in —</w:t>
      </w:r>
    </w:p>
    <w:p>
      <w:pPr>
        <w:pStyle w:val="Indenta"/>
      </w:pPr>
      <w:r>
        <w:tab/>
        <w:t>(a)</w:t>
      </w:r>
      <w:r>
        <w:tab/>
        <w:t>an application made under this Act; or</w:t>
      </w:r>
    </w:p>
    <w:p>
      <w:pPr>
        <w:pStyle w:val="Indenta"/>
      </w:pPr>
      <w:r>
        <w:tab/>
        <w:t>(b)</w:t>
      </w:r>
      <w:r>
        <w:tab/>
        <w:t>any information given to the Commission under this Act other than in a statutory declaration; or</w:t>
      </w:r>
    </w:p>
    <w:p>
      <w:pPr>
        <w:pStyle w:val="Indenta"/>
      </w:pPr>
      <w:r>
        <w:tab/>
        <w:t>(c)</w:t>
      </w:r>
      <w:r>
        <w:tab/>
        <w:t>a contestant record book issued under Part VI.</w:t>
      </w:r>
    </w:p>
    <w:p>
      <w:pPr>
        <w:pStyle w:val="Penstart"/>
      </w:pPr>
      <w:r>
        <w:tab/>
        <w:t>Penalty: a fine of $12 000.</w:t>
      </w:r>
    </w:p>
    <w:p>
      <w:pPr>
        <w:pStyle w:val="Footnotesection"/>
      </w:pPr>
      <w:r>
        <w:tab/>
        <w:t>[Section 53 inserted by No. 44 of 2011 s. 55.]</w:t>
      </w:r>
    </w:p>
    <w:p>
      <w:pPr>
        <w:pStyle w:val="Heading5"/>
      </w:pPr>
      <w:bookmarkStart w:id="429" w:name="_Toc349831405"/>
      <w:bookmarkStart w:id="430" w:name="_Toc97708629"/>
      <w:bookmarkStart w:id="431" w:name="_Toc139270506"/>
      <w:bookmarkEnd w:id="426"/>
      <w:bookmarkEnd w:id="427"/>
      <w:r>
        <w:rPr>
          <w:rStyle w:val="CharSectno"/>
        </w:rPr>
        <w:t>54A</w:t>
      </w:r>
      <w:r>
        <w:t>.</w:t>
      </w:r>
      <w:r>
        <w:tab/>
        <w:t>Commission may get information from WA Police</w:t>
      </w:r>
      <w:bookmarkEnd w:id="429"/>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 by No. 44 of 2011 s. 56.]</w:t>
      </w:r>
    </w:p>
    <w:p>
      <w:pPr>
        <w:pStyle w:val="Heading5"/>
      </w:pPr>
      <w:bookmarkStart w:id="432" w:name="_Toc349831406"/>
      <w:r>
        <w:rPr>
          <w:rStyle w:val="CharSectno"/>
        </w:rPr>
        <w:t>54B</w:t>
      </w:r>
      <w:r>
        <w:t>.</w:t>
      </w:r>
      <w:r>
        <w:tab/>
        <w:t>Confidential police information</w:t>
      </w:r>
      <w:bookmarkEnd w:id="432"/>
    </w:p>
    <w:p>
      <w:pPr>
        <w:pStyle w:val="Subsection"/>
      </w:pPr>
      <w:r>
        <w:tab/>
        <w:t>(1)</w:t>
      </w:r>
      <w:r>
        <w:tab/>
        <w:t>In this section —</w:t>
      </w:r>
    </w:p>
    <w:p>
      <w:pPr>
        <w:pStyle w:val="Defstart"/>
      </w:pPr>
      <w:r>
        <w:tab/>
      </w:r>
      <w:r>
        <w:rPr>
          <w:rStyle w:val="CharDefText"/>
        </w:rPr>
        <w:t>confidential police information</w:t>
      </w:r>
      <w:r>
        <w:t xml:space="preserve"> means information the Commissioner of Police has certified is confidential police information under subsection (2);</w:t>
      </w:r>
    </w:p>
    <w:p>
      <w:pPr>
        <w:pStyle w:val="Defstart"/>
      </w:pPr>
      <w:r>
        <w:tab/>
      </w:r>
      <w:r>
        <w:rPr>
          <w:rStyle w:val="CharDefText"/>
        </w:rPr>
        <w:t>court</w:t>
      </w:r>
      <w:r>
        <w:t xml:space="preserve"> includes the State Administrative Tribunal;</w:t>
      </w:r>
    </w:p>
    <w:p>
      <w:pPr>
        <w:pStyle w:val="Defstart"/>
      </w:pPr>
      <w:r>
        <w:tab/>
      </w:r>
      <w:r>
        <w:rPr>
          <w:rStyle w:val="CharDefText"/>
        </w:rPr>
        <w:t>sensitive police information</w:t>
      </w:r>
      <w:r>
        <w:t xml:space="preserve"> means information in the possession of the Commissioner of Police the disclosure of which could reasonably be expected —</w:t>
      </w:r>
    </w:p>
    <w:p>
      <w:pPr>
        <w:pStyle w:val="Defpara"/>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pPr>
      <w:r>
        <w:tab/>
        <w:t>(a)</w:t>
      </w:r>
      <w:r>
        <w:tab/>
        <w:t>a court;</w:t>
      </w:r>
    </w:p>
    <w:p>
      <w:pPr>
        <w:pStyle w:val="Indenta"/>
      </w:pPr>
      <w:r>
        <w:tab/>
        <w:t>(b)</w:t>
      </w:r>
      <w:r>
        <w:tab/>
        <w:t>the Minister;</w:t>
      </w:r>
    </w:p>
    <w:p>
      <w:pPr>
        <w:pStyle w:val="Indenta"/>
      </w:pPr>
      <w:r>
        <w:tab/>
        <w:t>(c)</w:t>
      </w:r>
      <w:r>
        <w:tab/>
        <w:t xml:space="preserve">the Parliamentary Commissioner for Administrative Investigations appointed under the </w:t>
      </w:r>
      <w:r>
        <w:rPr>
          <w:i/>
          <w:iCs/>
        </w:rPr>
        <w:t>Parliamentary Commissioner Act 1971</w:t>
      </w:r>
      <w:r>
        <w:t>;</w:t>
      </w:r>
    </w:p>
    <w:p>
      <w:pPr>
        <w:pStyle w:val="Indenta"/>
      </w:pPr>
      <w:r>
        <w:tab/>
        <w:t>(d)</w:t>
      </w:r>
      <w:r>
        <w:tab/>
        <w:t xml:space="preserve">the Corruption and Crime Commission established under the </w:t>
      </w:r>
      <w:r>
        <w:rPr>
          <w:i/>
          <w:iCs/>
        </w:rPr>
        <w:t>Corruption and Crime Commission Act 2003</w:t>
      </w:r>
      <w:r>
        <w:t>;</w:t>
      </w:r>
    </w:p>
    <w:p>
      <w:pPr>
        <w:pStyle w:val="Indenta"/>
      </w:pPr>
      <w:r>
        <w:tab/>
        <w:t>(e)</w:t>
      </w:r>
      <w:r>
        <w:tab/>
        <w:t xml:space="preserve">the Parliamentary Inspector of the Corruption and Crime Commission appointed under the </w:t>
      </w:r>
      <w:r>
        <w:rPr>
          <w:i/>
          <w:iCs/>
        </w:rPr>
        <w:t>Corruption and Crime Commission Act 2003</w:t>
      </w:r>
      <w:r>
        <w:t>;</w:t>
      </w:r>
    </w:p>
    <w:p>
      <w:pPr>
        <w:pStyle w:val="Indenta"/>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 by No. 44 of 2011 s. 56.]</w:t>
      </w:r>
    </w:p>
    <w:p>
      <w:pPr>
        <w:pStyle w:val="Heading5"/>
      </w:pPr>
      <w:bookmarkStart w:id="433" w:name="_Toc349831407"/>
      <w:r>
        <w:rPr>
          <w:rStyle w:val="CharSectno"/>
        </w:rPr>
        <w:t>54</w:t>
      </w:r>
      <w:r>
        <w:t>.</w:t>
      </w:r>
      <w:r>
        <w:tab/>
        <w:t>Refusing applications, imposing or varying conditions etc. and suspending or cancelling registrations, procedure for</w:t>
      </w:r>
      <w:bookmarkEnd w:id="433"/>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 by No. 44 of 2011 s. 57.]</w:t>
      </w:r>
    </w:p>
    <w:p>
      <w:pPr>
        <w:pStyle w:val="Heading5"/>
        <w:rPr>
          <w:snapToGrid w:val="0"/>
        </w:rPr>
      </w:pPr>
      <w:bookmarkStart w:id="434" w:name="_Toc38861145"/>
      <w:bookmarkStart w:id="435" w:name="_Toc97708630"/>
      <w:bookmarkStart w:id="436" w:name="_Toc139270507"/>
      <w:bookmarkStart w:id="437" w:name="_Toc349831408"/>
      <w:bookmarkEnd w:id="428"/>
      <w:bookmarkEnd w:id="430"/>
      <w:bookmarkEnd w:id="431"/>
      <w:r>
        <w:rPr>
          <w:rStyle w:val="CharSectno"/>
        </w:rPr>
        <w:t>55</w:t>
      </w:r>
      <w:r>
        <w:rPr>
          <w:snapToGrid w:val="0"/>
        </w:rPr>
        <w:t>.</w:t>
      </w:r>
      <w:r>
        <w:rPr>
          <w:snapToGrid w:val="0"/>
        </w:rPr>
        <w:tab/>
        <w:t>Recovery of charges, etc.</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bookmarkStart w:id="438" w:name="_Toc38861146"/>
      <w:bookmarkStart w:id="439" w:name="_Toc97708631"/>
      <w:bookmarkStart w:id="440" w:name="_Toc139270508"/>
      <w:r>
        <w:t>[</w:t>
      </w:r>
      <w:r>
        <w:rPr>
          <w:b/>
          <w:bCs/>
        </w:rPr>
        <w:t>56.</w:t>
      </w:r>
      <w:r>
        <w:tab/>
        <w:t>Deleted by No. 44 of 2011 s. 58.]</w:t>
      </w:r>
    </w:p>
    <w:p>
      <w:pPr>
        <w:pStyle w:val="Heading5"/>
        <w:rPr>
          <w:snapToGrid w:val="0"/>
        </w:rPr>
      </w:pPr>
      <w:bookmarkStart w:id="441" w:name="_Toc38861147"/>
      <w:bookmarkStart w:id="442" w:name="_Toc97708632"/>
      <w:bookmarkStart w:id="443" w:name="_Toc139270509"/>
      <w:bookmarkStart w:id="444" w:name="_Toc349831409"/>
      <w:bookmarkEnd w:id="438"/>
      <w:bookmarkEnd w:id="439"/>
      <w:bookmarkEnd w:id="440"/>
      <w:r>
        <w:rPr>
          <w:rStyle w:val="CharSectno"/>
        </w:rPr>
        <w:t>57</w:t>
      </w:r>
      <w:r>
        <w:rPr>
          <w:snapToGrid w:val="0"/>
        </w:rPr>
        <w:t>.</w:t>
      </w:r>
      <w:r>
        <w:rPr>
          <w:snapToGrid w:val="0"/>
        </w:rPr>
        <w:tab/>
        <w:t>Statutory declaration</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445" w:name="_Toc349831410"/>
      <w:bookmarkStart w:id="446" w:name="_Toc38861148"/>
      <w:bookmarkStart w:id="447" w:name="_Toc97708633"/>
      <w:bookmarkStart w:id="448" w:name="_Toc139270510"/>
      <w:r>
        <w:rPr>
          <w:rStyle w:val="CharSectno"/>
        </w:rPr>
        <w:t>58</w:t>
      </w:r>
      <w:r>
        <w:t>.</w:t>
      </w:r>
      <w:r>
        <w:tab/>
        <w:t>Evidentiary certificates</w:t>
      </w:r>
      <w:bookmarkEnd w:id="445"/>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 by No. 44 of 2011 s. 59.]</w:t>
      </w:r>
    </w:p>
    <w:p>
      <w:pPr>
        <w:pStyle w:val="Heading5"/>
        <w:rPr>
          <w:snapToGrid w:val="0"/>
        </w:rPr>
      </w:pPr>
      <w:bookmarkStart w:id="449" w:name="_Toc38861149"/>
      <w:bookmarkStart w:id="450" w:name="_Toc97708634"/>
      <w:bookmarkStart w:id="451" w:name="_Toc139270511"/>
      <w:bookmarkStart w:id="452" w:name="_Toc349831411"/>
      <w:bookmarkEnd w:id="446"/>
      <w:bookmarkEnd w:id="447"/>
      <w:bookmarkEnd w:id="448"/>
      <w:r>
        <w:rPr>
          <w:rStyle w:val="CharSectno"/>
        </w:rPr>
        <w:t>59</w:t>
      </w:r>
      <w:r>
        <w:rPr>
          <w:snapToGrid w:val="0"/>
        </w:rPr>
        <w:t>.</w:t>
      </w:r>
      <w:r>
        <w:rPr>
          <w:snapToGrid w:val="0"/>
        </w:rPr>
        <w:tab/>
        <w:t>Delegation</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53" w:name="_Toc38861150"/>
      <w:bookmarkStart w:id="454" w:name="_Toc97708635"/>
      <w:bookmarkStart w:id="455" w:name="_Toc139270512"/>
      <w:bookmarkStart w:id="456" w:name="_Toc349831412"/>
      <w:r>
        <w:rPr>
          <w:rStyle w:val="CharSectno"/>
        </w:rPr>
        <w:t>60</w:t>
      </w:r>
      <w:r>
        <w:rPr>
          <w:snapToGrid w:val="0"/>
        </w:rPr>
        <w:t>.</w:t>
      </w:r>
      <w:r>
        <w:rPr>
          <w:snapToGrid w:val="0"/>
        </w:rPr>
        <w:tab/>
        <w:t>Authentication of certain documents</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57" w:name="_Toc38861151"/>
      <w:bookmarkStart w:id="458" w:name="_Toc97708636"/>
      <w:bookmarkStart w:id="459" w:name="_Toc139270513"/>
      <w:bookmarkStart w:id="460" w:name="_Toc349831413"/>
      <w:r>
        <w:rPr>
          <w:rStyle w:val="CharSectno"/>
        </w:rPr>
        <w:t>61</w:t>
      </w:r>
      <w:r>
        <w:rPr>
          <w:snapToGrid w:val="0"/>
        </w:rPr>
        <w:t>.</w:t>
      </w:r>
      <w:r>
        <w:rPr>
          <w:snapToGrid w:val="0"/>
        </w:rPr>
        <w:tab/>
        <w:t>Protection of Commission and others</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461" w:name="_Toc349831414"/>
      <w:bookmarkStart w:id="462" w:name="_Toc38861152"/>
      <w:bookmarkStart w:id="463" w:name="_Toc97708637"/>
      <w:bookmarkStart w:id="464" w:name="_Toc139270514"/>
      <w:r>
        <w:rPr>
          <w:rStyle w:val="CharSectno"/>
        </w:rPr>
        <w:t>62A</w:t>
      </w:r>
      <w:r>
        <w:t>.</w:t>
      </w:r>
      <w:r>
        <w:tab/>
        <w:t>Rules for contests</w:t>
      </w:r>
      <w:bookmarkEnd w:id="461"/>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 by No. 44 of 2011 s. 60.]</w:t>
      </w:r>
    </w:p>
    <w:p>
      <w:pPr>
        <w:pStyle w:val="Heading5"/>
        <w:rPr>
          <w:snapToGrid w:val="0"/>
        </w:rPr>
      </w:pPr>
      <w:bookmarkStart w:id="465" w:name="_Toc349831415"/>
      <w:r>
        <w:rPr>
          <w:rStyle w:val="CharSectno"/>
        </w:rPr>
        <w:t>62</w:t>
      </w:r>
      <w:r>
        <w:rPr>
          <w:snapToGrid w:val="0"/>
        </w:rPr>
        <w:t>.</w:t>
      </w:r>
      <w:r>
        <w:rPr>
          <w:snapToGrid w:val="0"/>
        </w:rPr>
        <w:tab/>
        <w:t>Regulations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66" w:name="_Toc38861153"/>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 by No. 16 of 2003 s. 24; No. 44 of 2011 s. 61.]</w:t>
      </w:r>
    </w:p>
    <w:bookmarkEnd w:id="466"/>
    <w:p>
      <w:pPr>
        <w:pStyle w:val="Ednotesection"/>
      </w:pPr>
      <w:r>
        <w:t>[</w:t>
      </w:r>
      <w:r>
        <w:rPr>
          <w:b/>
          <w:bCs/>
        </w:rPr>
        <w:t>63.</w:t>
      </w:r>
      <w:r>
        <w:tab/>
        <w:t>Deleted by No. 16 of 2003 s. 25.]</w:t>
      </w:r>
    </w:p>
    <w:p>
      <w:pPr>
        <w:pStyle w:val="Ednotesection"/>
      </w:pPr>
      <w:bookmarkStart w:id="467" w:name="_Toc38861155"/>
      <w:r>
        <w:t>[</w:t>
      </w:r>
      <w:r>
        <w:rPr>
          <w:b/>
          <w:bCs/>
        </w:rPr>
        <w:t>64.</w:t>
      </w:r>
      <w:r>
        <w:tab/>
        <w:t>Deleted by No. 16 of 2003 s. 26.]</w:t>
      </w:r>
    </w:p>
    <w:bookmarkEnd w:id="467"/>
    <w:p>
      <w:pPr>
        <w:pStyle w:val="Ednotesection"/>
      </w:pPr>
      <w:r>
        <w:t>[</w:t>
      </w:r>
      <w:r>
        <w:rPr>
          <w:b/>
          <w:bCs/>
        </w:rPr>
        <w:t>65.</w:t>
      </w:r>
      <w:r>
        <w:tab/>
        <w:t>Deleted by No. 16 of 2003 s. 27.]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468" w:name="_Toc72570461"/>
      <w:bookmarkStart w:id="469" w:name="_Toc89168577"/>
      <w:bookmarkStart w:id="470" w:name="_Toc90866042"/>
      <w:bookmarkStart w:id="471" w:name="_Toc90866118"/>
      <w:bookmarkStart w:id="472" w:name="_Toc92443032"/>
      <w:bookmarkStart w:id="473" w:name="_Toc93301814"/>
      <w:bookmarkStart w:id="474" w:name="_Toc93315715"/>
      <w:bookmarkStart w:id="475" w:name="_Toc95278520"/>
      <w:bookmarkStart w:id="476" w:name="_Toc97539664"/>
      <w:bookmarkStart w:id="477" w:name="_Toc97539737"/>
      <w:bookmarkStart w:id="478" w:name="_Toc97708638"/>
      <w:bookmarkStart w:id="479" w:name="_Toc104620234"/>
      <w:bookmarkStart w:id="480" w:name="_Toc104692882"/>
      <w:bookmarkStart w:id="481" w:name="_Toc139270515"/>
      <w:bookmarkStart w:id="482" w:name="_Toc139270588"/>
      <w:bookmarkStart w:id="483" w:name="_Toc139446406"/>
      <w:bookmarkStart w:id="484" w:name="_Toc157996774"/>
      <w:bookmarkStart w:id="485" w:name="_Toc196799929"/>
      <w:bookmarkStart w:id="486" w:name="_Toc231099638"/>
      <w:bookmarkStart w:id="487" w:name="_Toc241056567"/>
      <w:bookmarkStart w:id="488" w:name="_Toc241056639"/>
      <w:bookmarkStart w:id="489" w:name="_Toc241056711"/>
      <w:bookmarkStart w:id="490" w:name="_Toc274304812"/>
      <w:bookmarkStart w:id="491" w:name="_Toc278983046"/>
      <w:bookmarkStart w:id="492" w:name="_Toc306286047"/>
      <w:bookmarkStart w:id="493" w:name="_Toc349560740"/>
      <w:bookmarkStart w:id="494" w:name="_Toc349561094"/>
      <w:bookmarkStart w:id="495" w:name="_Toc349561541"/>
      <w:bookmarkStart w:id="496" w:name="_Toc349831416"/>
      <w:r>
        <w:t>Notes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Act 1987</w:t>
      </w:r>
      <w:r>
        <w:rPr>
          <w:snapToGrid w:val="0"/>
        </w:rPr>
        <w:t xml:space="preserve"> and includes the amendments made by the other written laws referred to in the following table</w:t>
      </w:r>
      <w:r>
        <w:rPr>
          <w:snapToGrid w:val="0"/>
          <w:vertAlign w:val="superscript"/>
        </w:rPr>
        <w:t> 9</w:t>
      </w:r>
      <w:r>
        <w:rPr>
          <w:snapToGrid w:val="0"/>
        </w:rPr>
        <w:t>.  The table also contains information about any reprint.</w:t>
      </w:r>
    </w:p>
    <w:p>
      <w:pPr>
        <w:pStyle w:val="nHeading3"/>
        <w:rPr>
          <w:snapToGrid w:val="0"/>
        </w:rPr>
      </w:pPr>
      <w:bookmarkStart w:id="497" w:name="_Toc97708639"/>
      <w:bookmarkStart w:id="498" w:name="_Toc139270516"/>
      <w:bookmarkStart w:id="499" w:name="_Toc349831417"/>
      <w:r>
        <w:rPr>
          <w:snapToGrid w:val="0"/>
        </w:rPr>
        <w:t>Compilation table</w:t>
      </w:r>
      <w:bookmarkEnd w:id="497"/>
      <w:bookmarkEnd w:id="498"/>
      <w:bookmarkEnd w:id="499"/>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65" w:type="dxa"/>
          </w:tcPr>
          <w:p>
            <w:pPr>
              <w:pStyle w:val="nTable"/>
              <w:spacing w:after="40"/>
              <w:rPr>
                <w:sz w:val="19"/>
              </w:rPr>
            </w:pPr>
            <w:r>
              <w:rPr>
                <w:sz w:val="19"/>
              </w:rPr>
              <w:t>17 Sep 2009 (see s. 2(b))</w:t>
            </w:r>
          </w:p>
        </w:tc>
      </w:tr>
      <w:tr>
        <w:trPr>
          <w:cantSplit/>
        </w:trPr>
        <w:tc>
          <w:tcPr>
            <w:tcW w:w="25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47" w:type="dxa"/>
            <w:gridSpan w:val="2"/>
          </w:tcPr>
          <w:p>
            <w:pPr>
              <w:pStyle w:val="nTable"/>
              <w:spacing w:after="40"/>
              <w:rPr>
                <w:sz w:val="19"/>
              </w:rPr>
            </w:pPr>
            <w:r>
              <w:rPr>
                <w:snapToGrid w:val="0"/>
                <w:sz w:val="19"/>
                <w:lang w:val="en-US"/>
              </w:rPr>
              <w:t>39 of 2010</w:t>
            </w:r>
          </w:p>
        </w:tc>
        <w:tc>
          <w:tcPr>
            <w:tcW w:w="1135" w:type="dxa"/>
          </w:tcPr>
          <w:p>
            <w:pPr>
              <w:pStyle w:val="nTable"/>
              <w:spacing w:after="40"/>
              <w:rPr>
                <w:sz w:val="19"/>
              </w:rPr>
            </w:pPr>
            <w:r>
              <w:rPr>
                <w:sz w:val="19"/>
              </w:rPr>
              <w:t>1 Oct 2010</w:t>
            </w:r>
          </w:p>
        </w:tc>
        <w:tc>
          <w:tcPr>
            <w:tcW w:w="2565"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573" w:type="dxa"/>
            <w:tcBorders>
              <w:bottom w:val="single" w:sz="4" w:space="0" w:color="auto"/>
            </w:tcBorders>
          </w:tcPr>
          <w:p>
            <w:pPr>
              <w:pStyle w:val="nTable"/>
              <w:spacing w:after="40"/>
              <w:rPr>
                <w:i/>
                <w:iCs/>
                <w:snapToGrid w:val="0"/>
                <w:sz w:val="19"/>
                <w:lang w:val="en-US"/>
              </w:rPr>
            </w:pPr>
            <w:r>
              <w:rPr>
                <w:i/>
                <w:iCs/>
                <w:snapToGrid w:val="0"/>
                <w:sz w:val="19"/>
                <w:lang w:val="en-US"/>
              </w:rPr>
              <w:t>Professional Combat Sports Amendment Act 2011</w:t>
            </w:r>
          </w:p>
        </w:tc>
        <w:tc>
          <w:tcPr>
            <w:tcW w:w="1147" w:type="dxa"/>
            <w:gridSpan w:val="2"/>
            <w:tcBorders>
              <w:bottom w:val="single" w:sz="4" w:space="0" w:color="auto"/>
            </w:tcBorders>
          </w:tcPr>
          <w:p>
            <w:pPr>
              <w:pStyle w:val="nTable"/>
              <w:spacing w:after="40"/>
              <w:rPr>
                <w:snapToGrid w:val="0"/>
                <w:sz w:val="19"/>
                <w:lang w:val="en-US"/>
              </w:rPr>
            </w:pPr>
            <w:r>
              <w:rPr>
                <w:snapToGrid w:val="0"/>
                <w:sz w:val="19"/>
                <w:lang w:val="en-US"/>
              </w:rPr>
              <w:t>44 of 2011</w:t>
            </w:r>
          </w:p>
        </w:tc>
        <w:tc>
          <w:tcPr>
            <w:tcW w:w="1135" w:type="dxa"/>
            <w:tcBorders>
              <w:bottom w:val="single" w:sz="4" w:space="0" w:color="auto"/>
            </w:tcBorders>
          </w:tcPr>
          <w:p>
            <w:pPr>
              <w:pStyle w:val="nTable"/>
              <w:spacing w:after="40"/>
              <w:rPr>
                <w:sz w:val="19"/>
              </w:rPr>
            </w:pPr>
            <w:r>
              <w:rPr>
                <w:sz w:val="19"/>
              </w:rPr>
              <w:t>12 Oct 2011</w:t>
            </w:r>
          </w:p>
        </w:tc>
        <w:tc>
          <w:tcPr>
            <w:tcW w:w="2565" w:type="dxa"/>
            <w:tcBorders>
              <w:bottom w:val="single" w:sz="4" w:space="0" w:color="auto"/>
            </w:tcBorders>
          </w:tcPr>
          <w:p>
            <w:pPr>
              <w:pStyle w:val="nTable"/>
              <w:spacing w:after="40"/>
              <w:rPr>
                <w:snapToGrid w:val="0"/>
                <w:sz w:val="19"/>
                <w:lang w:val="en-US"/>
              </w:rPr>
            </w:pPr>
            <w:r>
              <w:rPr>
                <w:snapToGrid w:val="0"/>
                <w:sz w:val="19"/>
                <w:lang w:val="en-US"/>
              </w:rPr>
              <w:t>s. 1 and 2: 12 Oct 2011 (see s. 2(a));</w:t>
            </w:r>
            <w:r>
              <w:rPr>
                <w:snapToGrid w:val="0"/>
                <w:sz w:val="19"/>
                <w:lang w:val="en-US"/>
              </w:rPr>
              <w:br/>
              <w:t xml:space="preserve">Act other than s. 1 and 2: 1 Mar 2013 (see s. 2(b) and </w:t>
            </w:r>
            <w:r>
              <w:rPr>
                <w:i/>
                <w:snapToGrid w:val="0"/>
                <w:sz w:val="19"/>
                <w:lang w:val="en-US"/>
              </w:rPr>
              <w:t>Gazette</w:t>
            </w:r>
            <w:r>
              <w:rPr>
                <w:snapToGrid w:val="0"/>
                <w:sz w:val="19"/>
                <w:lang w:val="en-US"/>
              </w:rPr>
              <w:t xml:space="preserve"> 1 Mar 2013 p. 1091)</w:t>
            </w:r>
          </w:p>
        </w:tc>
      </w:tr>
    </w:tbl>
    <w:p>
      <w:pPr>
        <w:pStyle w:val="nSubsection"/>
        <w:rPr>
          <w:snapToGrid w:val="0"/>
        </w:rPr>
      </w:pPr>
      <w:r>
        <w:rPr>
          <w:snapToGrid w:val="0"/>
          <w:vertAlign w:val="superscript"/>
        </w:rPr>
        <w:t>2</w:t>
      </w:r>
      <w:r>
        <w:rPr>
          <w:snapToGrid w:val="0"/>
        </w:rPr>
        <w:tab/>
        <w:t>Footnote no longer applicable.</w:t>
      </w:r>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7"/>
          <w:headerReference w:type="default" r:id="rId28"/>
          <w:footerReference w:type="even" r:id="rId29"/>
          <w:footerReference w:type="default" r:id="rId30"/>
          <w:headerReference w:type="first" r:id="rId31"/>
          <w:pgSz w:w="11906" w:h="16838" w:code="9"/>
          <w:pgMar w:top="2376" w:right="2405" w:bottom="3542" w:left="2405" w:header="706" w:footer="3528" w:gutter="0"/>
          <w:cols w:space="720"/>
          <w:noEndnote/>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0" w:name="DefinedTerms"/>
      <w:bookmarkEnd w:id="500"/>
      <w:r>
        <w:t>boxing</w:t>
      </w:r>
      <w:r>
        <w:tab/>
        <w:t>3</w:t>
      </w:r>
    </w:p>
    <w:p>
      <w:pPr>
        <w:pStyle w:val="DefinedTerms"/>
      </w:pPr>
      <w:r>
        <w:t>capacity</w:t>
      </w:r>
      <w:r>
        <w:tab/>
        <w:t>3</w:t>
      </w:r>
    </w:p>
    <w:p>
      <w:pPr>
        <w:pStyle w:val="DefinedTerms"/>
      </w:pPr>
      <w:r>
        <w:t>combat sport</w:t>
      </w:r>
      <w:r>
        <w:tab/>
        <w:t>3</w:t>
      </w:r>
    </w:p>
    <w:p>
      <w:pPr>
        <w:pStyle w:val="DefinedTerms"/>
      </w:pPr>
      <w:r>
        <w:t>Commission</w:t>
      </w:r>
      <w:r>
        <w:tab/>
        <w:t>3</w:t>
      </w:r>
    </w:p>
    <w:p>
      <w:pPr>
        <w:pStyle w:val="DefinedTerms"/>
      </w:pPr>
      <w:r>
        <w:t>Commission’s appointee</w:t>
      </w:r>
      <w:r>
        <w:tab/>
        <w:t>48(2)</w:t>
      </w:r>
    </w:p>
    <w:p>
      <w:pPr>
        <w:pStyle w:val="DefinedTerms"/>
      </w:pPr>
      <w:r>
        <w:t>confidential police information</w:t>
      </w:r>
      <w:r>
        <w:tab/>
        <w:t>54B(1)</w:t>
      </w:r>
    </w:p>
    <w:p>
      <w:pPr>
        <w:pStyle w:val="DefinedTerms"/>
      </w:pPr>
      <w:r>
        <w:t>contest</w:t>
      </w:r>
      <w:r>
        <w:tab/>
        <w:t>3</w:t>
      </w:r>
    </w:p>
    <w:p>
      <w:pPr>
        <w:pStyle w:val="DefinedTerms"/>
      </w:pPr>
      <w:r>
        <w:t>contestant</w:t>
      </w:r>
      <w:r>
        <w:tab/>
        <w:t>3</w:t>
      </w:r>
    </w:p>
    <w:p>
      <w:pPr>
        <w:pStyle w:val="DefinedTerms"/>
      </w:pPr>
      <w:r>
        <w:t>court</w:t>
      </w:r>
      <w:r>
        <w:tab/>
        <w:t>54B(1)</w:t>
      </w:r>
    </w:p>
    <w:p>
      <w:pPr>
        <w:pStyle w:val="DefinedTerms"/>
      </w:pPr>
      <w:r>
        <w:t>Department</w:t>
      </w:r>
      <w:r>
        <w:tab/>
        <w:t>3</w:t>
      </w:r>
    </w:p>
    <w:p>
      <w:pPr>
        <w:pStyle w:val="DefinedTerms"/>
      </w:pPr>
      <w:r>
        <w:t>industry participant</w:t>
      </w:r>
      <w:r>
        <w:tab/>
        <w:t>3</w:t>
      </w:r>
    </w:p>
    <w:p>
      <w:pPr>
        <w:pStyle w:val="DefinedTerms"/>
      </w:pPr>
      <w:r>
        <w:t>medical practitioner</w:t>
      </w:r>
      <w:r>
        <w:tab/>
        <w:t>3</w:t>
      </w:r>
    </w:p>
    <w:p>
      <w:pPr>
        <w:pStyle w:val="DefinedTerms"/>
      </w:pPr>
      <w:r>
        <w:t>member</w:t>
      </w:r>
      <w:r>
        <w:tab/>
        <w:t>3</w:t>
      </w:r>
    </w:p>
    <w:p>
      <w:pPr>
        <w:pStyle w:val="DefinedTerms"/>
      </w:pPr>
      <w:r>
        <w:t>prescribed</w:t>
      </w:r>
      <w:r>
        <w:tab/>
        <w:t>3</w:t>
      </w:r>
    </w:p>
    <w:p>
      <w:pPr>
        <w:pStyle w:val="DefinedTerms"/>
      </w:pPr>
      <w:r>
        <w:t>registered</w:t>
      </w:r>
      <w:r>
        <w:tab/>
        <w:t>3</w:t>
      </w:r>
    </w:p>
    <w:p>
      <w:pPr>
        <w:pStyle w:val="DefinedTerms"/>
      </w:pPr>
      <w:r>
        <w:t>sensitive police information</w:t>
      </w:r>
      <w:r>
        <w:tab/>
        <w:t>54B(1)</w:t>
      </w:r>
    </w:p>
    <w:p>
      <w:pPr>
        <w:pStyle w:val="DefinedTerms"/>
      </w:pPr>
      <w:r>
        <w:t>sham contest</w:t>
      </w:r>
      <w:r>
        <w:tab/>
        <w:t>3</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528" w:gutter="0"/>
          <w:cols w:space="720"/>
          <w:noEndnote/>
        </w:sectPr>
      </w:pPr>
    </w:p>
    <w:p/>
    <w:sectPr>
      <w:headerReference w:type="even" r:id="rId38"/>
      <w:headerReference w:type="default" r:id="rId39"/>
      <w:pgSz w:w="11906" w:h="16838" w:code="9"/>
      <w:pgMar w:top="2376" w:right="2405" w:bottom="3542" w:left="2405" w:header="706" w:footer="35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45</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47</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21"/>
    <w:docVar w:name="WAFER_20151208095621" w:val="RemoveTrackChanges"/>
    <w:docVar w:name="WAFER_20151208095621_GUID" w:val="a478177c-4c26-4324-b4c4-554737f70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D999-7579-4C94-821B-B001F3F6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10842</Words>
  <Characters>51828</Characters>
  <Application>Microsoft Office Word</Application>
  <DocSecurity>0</DocSecurity>
  <Lines>1480</Lines>
  <Paragraphs>979</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61691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1987 - 01-l0-02</dc:title>
  <dc:subject/>
  <dc:creator/>
  <cp:keywords/>
  <dc:description/>
  <cp:lastModifiedBy>svcMRProcess</cp:lastModifiedBy>
  <cp:revision>4</cp:revision>
  <cp:lastPrinted>2009-05-26T03:10:00Z</cp:lastPrinted>
  <dcterms:created xsi:type="dcterms:W3CDTF">2015-12-09T10:24:00Z</dcterms:created>
  <dcterms:modified xsi:type="dcterms:W3CDTF">2015-12-09T10:24:00Z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78</vt:i4>
  </property>
  <property fmtid="{D5CDD505-2E9C-101B-9397-08002B2CF9AE}" pid="6" name="AsAtDate">
    <vt:lpwstr>01 Mar 2013</vt:lpwstr>
  </property>
  <property fmtid="{D5CDD505-2E9C-101B-9397-08002B2CF9AE}" pid="7" name="Suffix">
    <vt:lpwstr>01-l0-02</vt:lpwstr>
  </property>
</Properties>
</file>