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2013</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_Toc380162495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_Toc380162496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_Toc380162497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_Toc380162498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_Toc380162499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_Toc380162500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_Toc380162501 \h </w:instrText>
      </w:r>
      <w:r>
        <w:fldChar w:fldCharType="separate"/>
      </w:r>
      <w:r>
        <w:t>6</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_Toc380162502 \h </w:instrText>
      </w:r>
      <w:r>
        <w:fldChar w:fldCharType="separate"/>
      </w:r>
      <w:r>
        <w:t>7</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_Toc380162503 \h </w:instrText>
      </w:r>
      <w:r>
        <w:fldChar w:fldCharType="separate"/>
      </w:r>
      <w:r>
        <w:t>8</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_Toc380162504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_Toc380162508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February 2013</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8016249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2" w:name="_Toc380162496"/>
      <w:r>
        <w:rPr>
          <w:rStyle w:val="CharSectno"/>
        </w:rPr>
        <w:t>1A</w:t>
      </w:r>
      <w:r>
        <w:t>.</w:t>
      </w:r>
      <w:r>
        <w:tab/>
        <w:t>Terms used</w:t>
      </w:r>
      <w:bookmarkEnd w:id="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3" w:name="_Toc380162497"/>
      <w:r>
        <w:rPr>
          <w:rStyle w:val="CharSectno"/>
        </w:rPr>
        <w:t>2</w:t>
      </w:r>
      <w:r>
        <w:rPr>
          <w:snapToGrid w:val="0"/>
        </w:rPr>
        <w:t>.</w:t>
      </w:r>
      <w:r>
        <w:rPr>
          <w:snapToGrid w:val="0"/>
        </w:rPr>
        <w:tab/>
        <w:t>Time prescribed (Act s. 17(4))</w:t>
      </w:r>
      <w:bookmarkEnd w:id="3"/>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4" w:name="_Toc380162498"/>
      <w:r>
        <w:rPr>
          <w:rStyle w:val="CharSectno"/>
        </w:rPr>
        <w:t>3</w:t>
      </w:r>
      <w:r>
        <w:rPr>
          <w:snapToGrid w:val="0"/>
        </w:rPr>
        <w:t>.</w:t>
      </w:r>
      <w:r>
        <w:rPr>
          <w:snapToGrid w:val="0"/>
        </w:rPr>
        <w:tab/>
        <w:t>Fees and rates prescribed</w:t>
      </w:r>
      <w:bookmarkEnd w:id="4"/>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$4.00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$47.00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$47.00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$47.00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$47.00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$94.00.</w:t>
      </w:r>
    </w:p>
    <w:p>
      <w:pPr>
        <w:pStyle w:val="Subsection"/>
        <w:rPr>
          <w:snapToGrid w:val="0"/>
        </w:rPr>
      </w:pPr>
      <w:r>
        <w:rPr>
          <w:snapToGrid w:val="0"/>
        </w:rPr>
        <w:tab/>
        <w:t>(7)</w:t>
      </w:r>
      <w:r>
        <w:rPr>
          <w:snapToGrid w:val="0"/>
        </w:rPr>
        <w:tab/>
        <w:t>For the purposes of section 137A of the Act, the prescribed rate is a rate of</w:t>
      </w:r>
      <w:r>
        <w:t xml:space="preserve"> $11 270.00.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$15 080.00.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w:t>
      </w:r>
    </w:p>
    <w:p>
      <w:pPr>
        <w:pStyle w:val="Ednotesection"/>
      </w:pPr>
      <w:r>
        <w:t>[</w:t>
      </w:r>
      <w:r>
        <w:rPr>
          <w:b/>
          <w:bCs/>
        </w:rPr>
        <w:t>3A.</w:t>
      </w:r>
      <w:r>
        <w:tab/>
        <w:t>Deleted in Gazette 23 Jun 2009 p. 2472.]</w:t>
      </w:r>
    </w:p>
    <w:p>
      <w:pPr>
        <w:pStyle w:val="Heading5"/>
        <w:rPr>
          <w:snapToGrid w:val="0"/>
        </w:rPr>
      </w:pPr>
      <w:bookmarkStart w:id="5" w:name="_Toc380162499"/>
      <w:r>
        <w:rPr>
          <w:rStyle w:val="CharSectno"/>
        </w:rPr>
        <w:t>4</w:t>
      </w:r>
      <w:r>
        <w:rPr>
          <w:snapToGrid w:val="0"/>
        </w:rPr>
        <w:t>.</w:t>
      </w:r>
      <w:r>
        <w:rPr>
          <w:snapToGrid w:val="0"/>
        </w:rPr>
        <w:tab/>
        <w:t>Form of instrument of transfer prescribed (Act s. 72(3)(a))</w:t>
      </w:r>
      <w:bookmarkEnd w:id="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6" w:name="_Toc380162500"/>
      <w:r>
        <w:rPr>
          <w:rStyle w:val="CharSectno"/>
        </w:rPr>
        <w:t>5</w:t>
      </w:r>
      <w:r>
        <w:rPr>
          <w:snapToGrid w:val="0"/>
        </w:rPr>
        <w:t>.</w:t>
      </w:r>
      <w:r>
        <w:rPr>
          <w:snapToGrid w:val="0"/>
        </w:rPr>
        <w:tab/>
        <w:t>Particulars prescribed (Act s. 75(4)(b))</w:t>
      </w:r>
      <w:bookmarkEnd w:id="6"/>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7" w:name="_Toc38016250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7"/>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8" w:name="_Toc380162502"/>
      <w:r>
        <w:rPr>
          <w:rStyle w:val="CharSectno"/>
        </w:rPr>
        <w:t>9</w:t>
      </w:r>
      <w:r>
        <w:t>.</w:t>
      </w:r>
      <w:r>
        <w:tab/>
        <w:t>Australian datum prescribed etc. (Act s. 8(1))</w:t>
      </w:r>
      <w:bookmarkEnd w:id="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9" w:name="_Toc380162503"/>
      <w:r>
        <w:rPr>
          <w:rStyle w:val="CharSectno"/>
        </w:rPr>
        <w:t>10</w:t>
      </w:r>
      <w:r>
        <w:t>.</w:t>
      </w:r>
      <w:r>
        <w:tab/>
        <w:t>Position on Earth, reference to in instruments operating on or after 16 Dec 2000</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10" w:name="_Toc380162504"/>
      <w:r>
        <w:rPr>
          <w:rStyle w:val="CharSectno"/>
        </w:rPr>
        <w:t>11</w:t>
      </w:r>
      <w:r>
        <w:t>.</w:t>
      </w:r>
      <w:r>
        <w:tab/>
        <w:t>Datum prescribed (Act s. 27(4))</w:t>
      </w:r>
      <w:bookmarkEnd w:id="1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78239443"/>
      <w:bookmarkStart w:id="12" w:name="_Toc380162505"/>
      <w:r>
        <w:rPr>
          <w:rStyle w:val="CharSchNo"/>
        </w:rPr>
        <w:t>Schedule 1</w:t>
      </w:r>
      <w:r>
        <w:rPr>
          <w:rStyle w:val="CharSDivNo"/>
        </w:rPr>
        <w:t> </w:t>
      </w:r>
      <w:r>
        <w:t>—</w:t>
      </w:r>
      <w:r>
        <w:rPr>
          <w:rStyle w:val="CharSDivText"/>
        </w:rPr>
        <w:t> </w:t>
      </w:r>
      <w:r>
        <w:rPr>
          <w:rStyle w:val="CharSchText"/>
        </w:rPr>
        <w:t>Prescribed fees</w:t>
      </w:r>
      <w:bookmarkEnd w:id="11"/>
      <w:bookmarkEnd w:id="12"/>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r>
              <w:rPr>
                <w:szCs w:val="22"/>
              </w:rPr>
              <w:t>112.00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r>
              <w:rPr>
                <w:szCs w:val="22"/>
              </w:rPr>
              <w:t>112.00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r>
              <w:rPr>
                <w:szCs w:val="22"/>
              </w:rPr>
              <w:t>23.00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r>
              <w:rPr>
                <w:szCs w:val="22"/>
              </w:rPr>
              <w:t>56.00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w:t>
      </w:r>
    </w:p>
    <w:p>
      <w:pPr>
        <w:pStyle w:val="yScheduleHeading"/>
      </w:pPr>
      <w:bookmarkStart w:id="13" w:name="_Toc378239444"/>
      <w:bookmarkStart w:id="14" w:name="_Toc380162506"/>
      <w:r>
        <w:rPr>
          <w:rStyle w:val="CharSchNo"/>
        </w:rPr>
        <w:t>Schedule 2</w:t>
      </w:r>
      <w:bookmarkEnd w:id="13"/>
      <w:bookmarkEnd w:id="1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 w:name="_Toc378239445"/>
      <w:bookmarkStart w:id="16" w:name="_Toc380162507"/>
      <w:r>
        <w:t>Notes</w:t>
      </w:r>
      <w:bookmarkEnd w:id="15"/>
      <w:bookmarkEnd w:id="16"/>
    </w:p>
    <w:p>
      <w:pPr>
        <w:pStyle w:val="nSubsection"/>
        <w:rPr>
          <w:snapToGrid w:val="0"/>
        </w:rPr>
      </w:pPr>
      <w:r>
        <w:rPr>
          <w:snapToGrid w:val="0"/>
          <w:vertAlign w:val="superscript"/>
        </w:rPr>
        <w:t>1</w:t>
      </w:r>
      <w:r>
        <w:rPr>
          <w:snapToGrid w:val="0"/>
        </w:rPr>
        <w:tab/>
        <w:t xml:space="preserve">This reprint is a compilation as at 1 February 2013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80162508"/>
      <w:r>
        <w:rPr>
          <w:snapToGrid w:val="0"/>
        </w:rPr>
        <w:t>Compilation table</w:t>
      </w:r>
      <w:bookmarkEnd w:id="1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rPr>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3118" w:type="dxa"/>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and Geothermal Energy Resources Amendment Regulations (No. 2) 2011</w:t>
            </w:r>
          </w:p>
        </w:tc>
        <w:tc>
          <w:tcPr>
            <w:tcW w:w="1276" w:type="dxa"/>
          </w:tcPr>
          <w:p>
            <w:pPr>
              <w:pStyle w:val="nTable"/>
              <w:spacing w:after="40"/>
              <w:ind w:left="57"/>
              <w:rPr>
                <w:sz w:val="19"/>
              </w:rPr>
            </w:pPr>
            <w:r>
              <w:rPr>
                <w:sz w:val="19"/>
              </w:rPr>
              <w:t>1 Jul 2011 p. 2734</w:t>
            </w:r>
            <w:r>
              <w:rPr>
                <w:sz w:val="19"/>
              </w:rPr>
              <w:noBreakHyphen/>
              <w:t>6</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and Geothermal Energy Resources Amendment Regulations 2012</w:t>
            </w:r>
          </w:p>
        </w:tc>
        <w:tc>
          <w:tcPr>
            <w:tcW w:w="1276" w:type="dxa"/>
            <w:shd w:val="clear" w:color="auto" w:fill="auto"/>
          </w:tcPr>
          <w:p>
            <w:pPr>
              <w:pStyle w:val="nTable"/>
              <w:spacing w:after="40"/>
              <w:ind w:left="57"/>
              <w:rPr>
                <w:sz w:val="19"/>
              </w:rPr>
            </w:pPr>
            <w:r>
              <w:rPr>
                <w:sz w:val="19"/>
              </w:rPr>
              <w:t>12 Jun 2012 p. 2463</w:t>
            </w:r>
            <w:r>
              <w:rPr>
                <w:sz w:val="19"/>
              </w:rPr>
              <w:noBreakHyphen/>
              <w:t>4</w:t>
            </w:r>
          </w:p>
        </w:tc>
        <w:tc>
          <w:tcPr>
            <w:tcW w:w="2693" w:type="dxa"/>
            <w:shd w:val="clear" w:color="auto" w:fill="auto"/>
          </w:tcPr>
          <w:p>
            <w:pPr>
              <w:pStyle w:val="nTable"/>
              <w:spacing w:after="40"/>
              <w:rPr>
                <w:snapToGrid w:val="0"/>
                <w:sz w:val="19"/>
              </w:rPr>
            </w:pPr>
            <w:r>
              <w:rPr>
                <w:snapToGrid w:val="0"/>
                <w:sz w:val="19"/>
              </w:rPr>
              <w:t>r. 1 and 2: 12 Jun 2012 (see r. 2(a));</w:t>
            </w:r>
            <w:r>
              <w:rPr>
                <w:snapToGrid w:val="0"/>
                <w:sz w:val="19"/>
              </w:rPr>
              <w:br/>
              <w:t>Regulations other than r. 1 and 2: 1 Jul 2012 (see r. 2(b))</w:t>
            </w:r>
          </w:p>
        </w:tc>
      </w:tr>
      <w:tr>
        <w:trPr>
          <w:cantSplit/>
        </w:trPr>
        <w:tc>
          <w:tcPr>
            <w:tcW w:w="7087" w:type="dxa"/>
            <w:gridSpan w:val="3"/>
            <w:tcBorders>
              <w:bottom w:val="single" w:sz="8" w:space="0" w:color="auto"/>
            </w:tcBorders>
            <w:shd w:val="clear" w:color="auto" w:fill="auto"/>
          </w:tcPr>
          <w:p>
            <w:pPr>
              <w:pStyle w:val="nTable"/>
              <w:spacing w:after="40"/>
              <w:rPr>
                <w:snapToGrid w:val="0"/>
                <w:sz w:val="19"/>
              </w:rPr>
            </w:pPr>
            <w:r>
              <w:rPr>
                <w:b/>
                <w:sz w:val="19"/>
              </w:rPr>
              <w:t xml:space="preserve">Reprint 3: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1 Feb 2013 </w:t>
            </w:r>
            <w:r>
              <w:rPr>
                <w:sz w:val="19"/>
              </w:rPr>
              <w:t>(includes amendments listed above)</w:t>
            </w:r>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18" w:name="_Toc378239447"/>
      <w:bookmarkStart w:id="19" w:name="_Toc380162509"/>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AGD</w:t>
      </w:r>
      <w:r>
        <w:tab/>
        <w:t>1A</w:t>
      </w:r>
    </w:p>
    <w:p>
      <w:pPr>
        <w:pStyle w:val="DefinedTerms"/>
      </w:pPr>
      <w:r>
        <w:t>commencement day</w:t>
      </w:r>
      <w:r>
        <w:tab/>
        <w:t>10(4)</w:t>
      </w:r>
    </w:p>
    <w:p>
      <w:pPr>
        <w:pStyle w:val="DefinedTerms"/>
      </w:pPr>
      <w:r>
        <w:t>dealing</w:t>
      </w:r>
      <w:r>
        <w:tab/>
        <w:t>5(1)(a)</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p>
    <w:p/>
    <w:p/>
    <w:p/>
    <w:p/>
    <w:p>
      <w:pPr>
        <w:spacing w:before="3720"/>
      </w:pPr>
    </w:p>
    <w:p/>
    <w:p/>
    <w:p/>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63719"/>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3656</Words>
  <Characters>17847</Characters>
  <Application>Microsoft Office Word</Application>
  <DocSecurity>0</DocSecurity>
  <Lines>661</Lines>
  <Paragraphs>421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1987 - 03-a0-02</dc:title>
  <dc:subject/>
  <dc:creator/>
  <cp:keywords/>
  <dc:description/>
  <cp:lastModifiedBy>svcMRProcess</cp:lastModifiedBy>
  <cp:revision>4</cp:revision>
  <cp:lastPrinted>2013-01-31T01:18:00Z</cp:lastPrinted>
  <dcterms:created xsi:type="dcterms:W3CDTF">2020-02-27T13:39:00Z</dcterms:created>
  <dcterms:modified xsi:type="dcterms:W3CDTF">2020-02-27T13:39:00Z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20130201</vt:lpwstr>
  </property>
  <property fmtid="{D5CDD505-2E9C-101B-9397-08002B2CF9AE}" pid="4" name="DocumentType">
    <vt:lpwstr>Reg</vt:lpwstr>
  </property>
  <property fmtid="{D5CDD505-2E9C-101B-9397-08002B2CF9AE}" pid="5" name="AsAtDate">
    <vt:lpwstr>01 Feb 2013</vt:lpwstr>
  </property>
  <property fmtid="{D5CDD505-2E9C-101B-9397-08002B2CF9AE}" pid="6" name="Suffix">
    <vt:lpwstr>03-a0-02</vt:lpwstr>
  </property>
  <property fmtid="{D5CDD505-2E9C-101B-9397-08002B2CF9AE}" pid="7" name="OwlsUID">
    <vt:i4>4690</vt:i4>
  </property>
  <property fmtid="{D5CDD505-2E9C-101B-9397-08002B2CF9AE}" pid="8" name="ReprintNo">
    <vt:lpwstr>3</vt:lpwstr>
  </property>
  <property fmtid="{D5CDD505-2E9C-101B-9397-08002B2CF9AE}" pid="9" name="ReprintedAsAt">
    <vt:filetime>2013-01-31T16:00:00Z</vt:filetime>
  </property>
</Properties>
</file>