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7" name="Picture 4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(Authorisation to Drive) Regulations 2008</w:t>
      </w:r>
      <w:r>
        <w:rPr>
          <w:sz w:val="48"/>
        </w:rPr>
        <w:fldChar w:fldCharType="end"/>
      </w:r>
    </w:p>
    <w:p>
      <w:pPr>
        <w:pStyle w:val="NoteHeading"/>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_Toc377111926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_Toc377111927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_Toc377111928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 meaning of</w:t>
      </w:r>
      <w:r>
        <w:tab/>
      </w:r>
      <w:r>
        <w:fldChar w:fldCharType="begin"/>
      </w:r>
      <w:r>
        <w:instrText xml:space="preserve"> PAGEREF _Toc377111929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 (Sch. 1)</w:t>
      </w:r>
      <w:r>
        <w:tab/>
      </w:r>
      <w:r>
        <w:fldChar w:fldCharType="begin"/>
      </w:r>
      <w:r>
        <w:instrText xml:space="preserve"> PAGEREF _Toc377111930 \h </w:instrText>
      </w:r>
      <w:r>
        <w:fldChar w:fldCharType="separate"/>
      </w:r>
      <w:r>
        <w:t>5</w:t>
      </w:r>
      <w:r>
        <w:fldChar w:fldCharType="end"/>
      </w:r>
    </w:p>
    <w:p>
      <w:pPr>
        <w:pStyle w:val="TOC8"/>
        <w:rPr>
          <w:rFonts w:asciiTheme="minorHAnsi" w:eastAsiaTheme="minorEastAsia" w:hAnsiTheme="minorHAnsi" w:cstheme="minorBidi"/>
          <w:szCs w:val="22"/>
        </w:rPr>
      </w:pPr>
      <w:r>
        <w:t>6A.</w:t>
      </w:r>
      <w:r>
        <w:tab/>
        <w:t>Learner approved motor cycles</w:t>
      </w:r>
      <w:r>
        <w:tab/>
      </w:r>
      <w:r>
        <w:fldChar w:fldCharType="begin"/>
      </w:r>
      <w:r>
        <w:instrText xml:space="preserve"> PAGEREF _Toc377111931 \h </w:instrText>
      </w:r>
      <w:r>
        <w:fldChar w:fldCharType="separate"/>
      </w:r>
      <w:r>
        <w:t>5</w:t>
      </w:r>
      <w:r>
        <w:fldChar w:fldCharType="end"/>
      </w:r>
    </w:p>
    <w:p>
      <w:pPr>
        <w:pStyle w:val="TOC8"/>
        <w:rPr>
          <w:rFonts w:asciiTheme="minorHAnsi" w:eastAsiaTheme="minorEastAsia" w:hAnsiTheme="minorHAnsi" w:cstheme="minorBidi"/>
          <w:szCs w:val="22"/>
        </w:rPr>
      </w:pPr>
      <w:r>
        <w:t>6.</w:t>
      </w:r>
      <w:r>
        <w:tab/>
        <w:t>Offences prescribed (Act s. 102)  for traffic infringement notices</w:t>
      </w:r>
      <w:r>
        <w:tab/>
      </w:r>
      <w:r>
        <w:fldChar w:fldCharType="begin"/>
      </w:r>
      <w:r>
        <w:instrText xml:space="preserve"> PAGEREF _Toc377111932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Driver licensing</w:t>
      </w:r>
    </w:p>
    <w:p>
      <w:pPr>
        <w:pStyle w:val="TOC4"/>
        <w:tabs>
          <w:tab w:val="right" w:leader="dot" w:pos="7086"/>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Driver’s licence, grant etc. of</w:t>
      </w:r>
      <w:r>
        <w:tab/>
      </w:r>
      <w:r>
        <w:fldChar w:fldCharType="begin"/>
      </w:r>
      <w:r>
        <w:instrText xml:space="preserve"> PAGEREF _Toc377111935 \h </w:instrText>
      </w:r>
      <w:r>
        <w:fldChar w:fldCharType="separate"/>
      </w:r>
      <w:r>
        <w:t>7</w:t>
      </w:r>
      <w:r>
        <w:fldChar w:fldCharType="end"/>
      </w:r>
    </w:p>
    <w:p>
      <w:pPr>
        <w:pStyle w:val="TOC8"/>
        <w:rPr>
          <w:rFonts w:asciiTheme="minorHAnsi" w:eastAsiaTheme="minorEastAsia" w:hAnsiTheme="minorHAnsi" w:cstheme="minorBidi"/>
          <w:szCs w:val="22"/>
        </w:rPr>
      </w:pPr>
      <w:r>
        <w:t>8.</w:t>
      </w:r>
      <w:r>
        <w:tab/>
        <w:t>Driver’s licence, what it authorises (Sch. 2)</w:t>
      </w:r>
      <w:r>
        <w:tab/>
      </w:r>
      <w:r>
        <w:fldChar w:fldCharType="begin"/>
      </w:r>
      <w:r>
        <w:instrText xml:space="preserve"> PAGEREF _Toc377111936 \h </w:instrText>
      </w:r>
      <w:r>
        <w:fldChar w:fldCharType="separate"/>
      </w:r>
      <w:r>
        <w:t>7</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_Toc377111937 \h </w:instrText>
      </w:r>
      <w:r>
        <w:fldChar w:fldCharType="separate"/>
      </w:r>
      <w:r>
        <w:t>7</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 for</w:t>
      </w:r>
      <w:r>
        <w:tab/>
      </w:r>
      <w:r>
        <w:fldChar w:fldCharType="begin"/>
      </w:r>
      <w:r>
        <w:instrText xml:space="preserve"> PAGEREF _Toc377111938 \h </w:instrText>
      </w:r>
      <w:r>
        <w:fldChar w:fldCharType="separate"/>
      </w:r>
      <w:r>
        <w:t>8</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_Toc377111939 \h </w:instrText>
      </w:r>
      <w:r>
        <w:fldChar w:fldCharType="separate"/>
      </w:r>
      <w:r>
        <w:t>9</w:t>
      </w:r>
      <w:r>
        <w:fldChar w:fldCharType="end"/>
      </w:r>
    </w:p>
    <w:p>
      <w:pPr>
        <w:pStyle w:val="TOC8"/>
        <w:rPr>
          <w:rFonts w:asciiTheme="minorHAnsi" w:eastAsiaTheme="minorEastAsia" w:hAnsiTheme="minorHAnsi" w:cstheme="minorBidi"/>
          <w:szCs w:val="22"/>
        </w:rPr>
      </w:pPr>
      <w:r>
        <w:t>12.</w:t>
      </w:r>
      <w:r>
        <w:tab/>
        <w:t>Carrying passengers for reward, authorisation for</w:t>
      </w:r>
      <w:r>
        <w:tab/>
      </w:r>
      <w:r>
        <w:fldChar w:fldCharType="begin"/>
      </w:r>
      <w:r>
        <w:instrText xml:space="preserve"> PAGEREF _Toc377111940 \h </w:instrText>
      </w:r>
      <w:r>
        <w:fldChar w:fldCharType="separate"/>
      </w:r>
      <w:r>
        <w:t>10</w:t>
      </w:r>
      <w:r>
        <w:fldChar w:fldCharType="end"/>
      </w:r>
    </w:p>
    <w:p>
      <w:pPr>
        <w:pStyle w:val="TOC8"/>
        <w:rPr>
          <w:rFonts w:asciiTheme="minorHAnsi" w:eastAsiaTheme="minorEastAsia" w:hAnsiTheme="minorHAnsi" w:cstheme="minorBidi"/>
          <w:szCs w:val="22"/>
        </w:rPr>
      </w:pPr>
      <w:r>
        <w:t>13.</w:t>
      </w:r>
      <w:r>
        <w:tab/>
        <w:t>Trailer towing limits (Sch. 4)</w:t>
      </w:r>
      <w:r>
        <w:tab/>
      </w:r>
      <w:r>
        <w:fldChar w:fldCharType="begin"/>
      </w:r>
      <w:r>
        <w:instrText xml:space="preserve"> PAGEREF _Toc377111941 \h </w:instrText>
      </w:r>
      <w:r>
        <w:fldChar w:fldCharType="separate"/>
      </w:r>
      <w:r>
        <w:t>12</w:t>
      </w:r>
      <w:r>
        <w:fldChar w:fldCharType="end"/>
      </w:r>
    </w:p>
    <w:p>
      <w:pPr>
        <w:pStyle w:val="TOC8"/>
        <w:rPr>
          <w:rFonts w:asciiTheme="minorHAnsi" w:eastAsiaTheme="minorEastAsia" w:hAnsiTheme="minorHAnsi" w:cstheme="minorBidi"/>
          <w:szCs w:val="22"/>
        </w:rPr>
      </w:pPr>
      <w:r>
        <w:t>14.</w:t>
      </w:r>
      <w:r>
        <w:tab/>
        <w:t>Disqualifications etc. in another jurisdiction, recognition and effect of</w:t>
      </w:r>
      <w:r>
        <w:tab/>
      </w:r>
      <w:r>
        <w:fldChar w:fldCharType="begin"/>
      </w:r>
      <w:r>
        <w:instrText xml:space="preserve"> PAGEREF _Toc377111942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_Toc377111944 \h </w:instrText>
      </w:r>
      <w:r>
        <w:fldChar w:fldCharType="separate"/>
      </w:r>
      <w:r>
        <w:t>13</w:t>
      </w:r>
      <w:r>
        <w:fldChar w:fldCharType="end"/>
      </w:r>
    </w:p>
    <w:p>
      <w:pPr>
        <w:pStyle w:val="TOC8"/>
        <w:rPr>
          <w:rFonts w:asciiTheme="minorHAnsi" w:eastAsiaTheme="minorEastAsia" w:hAnsiTheme="minorHAnsi" w:cstheme="minorBidi"/>
          <w:szCs w:val="22"/>
        </w:rPr>
      </w:pPr>
      <w:r>
        <w:t>16.</w:t>
      </w:r>
      <w:r>
        <w:tab/>
        <w:t>Ability to safely drive, demonstrating</w:t>
      </w:r>
      <w:r>
        <w:tab/>
      </w:r>
      <w:r>
        <w:fldChar w:fldCharType="begin"/>
      </w:r>
      <w:r>
        <w:instrText xml:space="preserve"> PAGEREF _Toc377111945 \h </w:instrText>
      </w:r>
      <w:r>
        <w:fldChar w:fldCharType="separate"/>
      </w:r>
      <w:r>
        <w:t>14</w:t>
      </w:r>
      <w:r>
        <w:fldChar w:fldCharType="end"/>
      </w:r>
    </w:p>
    <w:p>
      <w:pPr>
        <w:pStyle w:val="TOC8"/>
        <w:rPr>
          <w:rFonts w:asciiTheme="minorHAnsi" w:eastAsiaTheme="minorEastAsia" w:hAnsiTheme="minorHAnsi" w:cstheme="minorBidi"/>
          <w:szCs w:val="22"/>
        </w:rPr>
      </w:pPr>
      <w:r>
        <w:t>17.</w:t>
      </w:r>
      <w:r>
        <w:tab/>
        <w:t>Ability to control motor vehicle, how can be shown (Sch. 5)</w:t>
      </w:r>
      <w:r>
        <w:tab/>
      </w:r>
      <w:r>
        <w:fldChar w:fldCharType="begin"/>
      </w:r>
      <w:r>
        <w:instrText xml:space="preserve"> PAGEREF _Toc377111946 \h </w:instrText>
      </w:r>
      <w:r>
        <w:fldChar w:fldCharType="separate"/>
      </w:r>
      <w:r>
        <w:t>16</w:t>
      </w:r>
      <w:r>
        <w:fldChar w:fldCharType="end"/>
      </w:r>
    </w:p>
    <w:p>
      <w:pPr>
        <w:pStyle w:val="TOC8"/>
        <w:rPr>
          <w:rFonts w:asciiTheme="minorHAnsi" w:eastAsiaTheme="minorEastAsia" w:hAnsiTheme="minorHAnsi" w:cstheme="minorBidi"/>
          <w:szCs w:val="22"/>
        </w:rPr>
      </w:pPr>
      <w:r>
        <w:t>18.</w:t>
      </w:r>
      <w:r>
        <w:tab/>
        <w:t>Ability to safely drive, acceptable evidence of</w:t>
      </w:r>
      <w:r>
        <w:tab/>
      </w:r>
      <w:r>
        <w:fldChar w:fldCharType="begin"/>
      </w:r>
      <w:r>
        <w:instrText xml:space="preserve"> PAGEREF _Toc377111947 \h </w:instrText>
      </w:r>
      <w:r>
        <w:fldChar w:fldCharType="separate"/>
      </w:r>
      <w:r>
        <w:t>16</w:t>
      </w:r>
      <w:r>
        <w:fldChar w:fldCharType="end"/>
      </w:r>
    </w:p>
    <w:p>
      <w:pPr>
        <w:pStyle w:val="TOC8"/>
        <w:rPr>
          <w:rFonts w:asciiTheme="minorHAnsi" w:eastAsiaTheme="minorEastAsia" w:hAnsiTheme="minorHAnsi" w:cstheme="minorBidi"/>
          <w:szCs w:val="22"/>
        </w:rPr>
      </w:pPr>
      <w:r>
        <w:t>19.</w:t>
      </w:r>
      <w:r>
        <w:tab/>
        <w:t>Drivers who are 80 or older, evidence as to ability of to safely drive</w:t>
      </w:r>
      <w:r>
        <w:tab/>
      </w:r>
      <w:r>
        <w:fldChar w:fldCharType="begin"/>
      </w:r>
      <w:r>
        <w:instrText xml:space="preserve"> PAGEREF _Toc377111948 \h </w:instrText>
      </w:r>
      <w:r>
        <w:fldChar w:fldCharType="separate"/>
      </w:r>
      <w:r>
        <w:t>17</w:t>
      </w:r>
      <w:r>
        <w:fldChar w:fldCharType="end"/>
      </w:r>
    </w:p>
    <w:p>
      <w:pPr>
        <w:pStyle w:val="TOC8"/>
        <w:rPr>
          <w:rFonts w:asciiTheme="minorHAnsi" w:eastAsiaTheme="minorEastAsia" w:hAnsiTheme="minorHAnsi" w:cstheme="minorBidi"/>
          <w:szCs w:val="22"/>
        </w:rPr>
      </w:pPr>
      <w:r>
        <w:t>20.</w:t>
      </w:r>
      <w:r>
        <w:tab/>
        <w:t>Knowledge of traffic laws and safe driving techniques, demonstrating</w:t>
      </w:r>
      <w:r>
        <w:tab/>
      </w:r>
      <w:r>
        <w:fldChar w:fldCharType="begin"/>
      </w:r>
      <w:r>
        <w:instrText xml:space="preserve"> PAGEREF _Toc377111949 \h </w:instrText>
      </w:r>
      <w:r>
        <w:fldChar w:fldCharType="separate"/>
      </w:r>
      <w:r>
        <w:t>17</w:t>
      </w:r>
      <w:r>
        <w:fldChar w:fldCharType="end"/>
      </w:r>
    </w:p>
    <w:p>
      <w:pPr>
        <w:pStyle w:val="TOC8"/>
        <w:rPr>
          <w:rFonts w:asciiTheme="minorHAnsi" w:eastAsiaTheme="minorEastAsia" w:hAnsiTheme="minorHAnsi" w:cstheme="minorBidi"/>
          <w:szCs w:val="22"/>
        </w:rPr>
      </w:pPr>
      <w:r>
        <w:t>21.</w:t>
      </w:r>
      <w:r>
        <w:tab/>
        <w:t>Driver’s licence required as prerequisite for other driver’s licence (Sch. 6)</w:t>
      </w:r>
      <w:r>
        <w:tab/>
      </w:r>
      <w:r>
        <w:fldChar w:fldCharType="begin"/>
      </w:r>
      <w:r>
        <w:instrText xml:space="preserve"> PAGEREF _Toc377111950 \h </w:instrText>
      </w:r>
      <w:r>
        <w:fldChar w:fldCharType="separate"/>
      </w:r>
      <w:r>
        <w:t>17</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_Toc377111951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Driver’s licence, applying for</w:t>
      </w:r>
      <w:r>
        <w:tab/>
      </w:r>
      <w:r>
        <w:fldChar w:fldCharType="begin"/>
      </w:r>
      <w:r>
        <w:instrText xml:space="preserve"> PAGEREF _Toc377111953 \h </w:instrText>
      </w:r>
      <w:r>
        <w:fldChar w:fldCharType="separate"/>
      </w:r>
      <w:r>
        <w:t>19</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_Toc377111954 \h </w:instrText>
      </w:r>
      <w:r>
        <w:fldChar w:fldCharType="separate"/>
      </w:r>
      <w:r>
        <w:t>19</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_Toc377111955 \h </w:instrText>
      </w:r>
      <w:r>
        <w:fldChar w:fldCharType="separate"/>
      </w:r>
      <w:r>
        <w:t>20</w:t>
      </w:r>
      <w:r>
        <w:fldChar w:fldCharType="end"/>
      </w:r>
    </w:p>
    <w:p>
      <w:pPr>
        <w:pStyle w:val="TOC8"/>
        <w:rPr>
          <w:rFonts w:asciiTheme="minorHAnsi" w:eastAsiaTheme="minorEastAsia" w:hAnsiTheme="minorHAnsi" w:cstheme="minorBidi"/>
          <w:szCs w:val="22"/>
        </w:rPr>
      </w:pPr>
      <w:r>
        <w:t>26.</w:t>
      </w:r>
      <w:r>
        <w:tab/>
        <w:t>Applicant with cancelled licence, requirement for</w:t>
      </w:r>
      <w:r>
        <w:tab/>
      </w:r>
      <w:r>
        <w:fldChar w:fldCharType="begin"/>
      </w:r>
      <w:r>
        <w:instrText xml:space="preserve"> PAGEREF _Toc377111956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 time of etc.</w:t>
      </w:r>
      <w:r>
        <w:tab/>
      </w:r>
      <w:r>
        <w:fldChar w:fldCharType="begin"/>
      </w:r>
      <w:r>
        <w:instrText xml:space="preserve"> PAGEREF _Toc377111957 \h </w:instrText>
      </w:r>
      <w:r>
        <w:fldChar w:fldCharType="separate"/>
      </w:r>
      <w:r>
        <w:t>21</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_Toc377111958 \h </w:instrText>
      </w:r>
      <w:r>
        <w:fldChar w:fldCharType="separate"/>
      </w:r>
      <w:r>
        <w:t>22</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_Toc377111959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Driver’s licence, issue and form of</w:t>
      </w:r>
      <w:r>
        <w:tab/>
      </w:r>
      <w:r>
        <w:fldChar w:fldCharType="begin"/>
      </w:r>
      <w:r>
        <w:instrText xml:space="preserve"> PAGEREF _Toc377111961 \h </w:instrText>
      </w:r>
      <w:r>
        <w:fldChar w:fldCharType="separate"/>
      </w:r>
      <w:r>
        <w:t>23</w:t>
      </w:r>
      <w:r>
        <w:fldChar w:fldCharType="end"/>
      </w:r>
    </w:p>
    <w:p>
      <w:pPr>
        <w:pStyle w:val="TOC8"/>
        <w:rPr>
          <w:rFonts w:asciiTheme="minorHAnsi" w:eastAsiaTheme="minorEastAsia" w:hAnsiTheme="minorHAnsi" w:cstheme="minorBidi"/>
          <w:szCs w:val="22"/>
        </w:rPr>
      </w:pPr>
      <w:r>
        <w:t>31.</w:t>
      </w:r>
      <w:r>
        <w:tab/>
        <w:t>Lost etc. driver’s licence, replacing</w:t>
      </w:r>
      <w:r>
        <w:tab/>
      </w:r>
      <w:r>
        <w:fldChar w:fldCharType="begin"/>
      </w:r>
      <w:r>
        <w:instrText xml:space="preserve"> PAGEREF _Toc377111962 \h </w:instrText>
      </w:r>
      <w:r>
        <w:fldChar w:fldCharType="separate"/>
      </w:r>
      <w:r>
        <w:t>24</w:t>
      </w:r>
      <w:r>
        <w:fldChar w:fldCharType="end"/>
      </w:r>
    </w:p>
    <w:p>
      <w:pPr>
        <w:pStyle w:val="TOC8"/>
        <w:rPr>
          <w:rFonts w:asciiTheme="minorHAnsi" w:eastAsiaTheme="minorEastAsia" w:hAnsiTheme="minorHAnsi" w:cstheme="minorBidi"/>
          <w:szCs w:val="22"/>
        </w:rPr>
      </w:pPr>
      <w:r>
        <w:t>32.</w:t>
      </w:r>
      <w:r>
        <w:tab/>
        <w:t>Driver’s licence to be returned to Director General in some cases</w:t>
      </w:r>
      <w:r>
        <w:tab/>
      </w:r>
      <w:r>
        <w:fldChar w:fldCharType="begin"/>
      </w:r>
      <w:r>
        <w:instrText xml:space="preserve"> PAGEREF _Toc377111963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 imposing etc.</w:t>
      </w:r>
      <w:r>
        <w:tab/>
      </w:r>
      <w:r>
        <w:fldChar w:fldCharType="begin"/>
      </w:r>
      <w:r>
        <w:instrText xml:space="preserve"> PAGEREF _Toc377111965 \h </w:instrText>
      </w:r>
      <w:r>
        <w:fldChar w:fldCharType="separate"/>
      </w:r>
      <w:r>
        <w:t>25</w:t>
      </w:r>
      <w:r>
        <w:fldChar w:fldCharType="end"/>
      </w:r>
    </w:p>
    <w:p>
      <w:pPr>
        <w:pStyle w:val="TOC8"/>
        <w:rPr>
          <w:rFonts w:asciiTheme="minorHAnsi" w:eastAsiaTheme="minorEastAsia" w:hAnsiTheme="minorHAnsi" w:cstheme="minorBidi"/>
          <w:szCs w:val="22"/>
        </w:rPr>
      </w:pPr>
      <w:r>
        <w:t>34.</w:t>
      </w:r>
      <w:r>
        <w:tab/>
        <w:t>Procedures for imposing etc. conditions</w:t>
      </w:r>
      <w:r>
        <w:tab/>
      </w:r>
      <w:r>
        <w:fldChar w:fldCharType="begin"/>
      </w:r>
      <w:r>
        <w:instrText xml:space="preserve"> PAGEREF _Toc377111966 \h </w:instrText>
      </w:r>
      <w:r>
        <w:fldChar w:fldCharType="separate"/>
      </w:r>
      <w:r>
        <w:t>26</w:t>
      </w:r>
      <w:r>
        <w:fldChar w:fldCharType="end"/>
      </w:r>
    </w:p>
    <w:p>
      <w:pPr>
        <w:pStyle w:val="TOC8"/>
        <w:rPr>
          <w:rFonts w:asciiTheme="minorHAnsi" w:eastAsiaTheme="minorEastAsia" w:hAnsiTheme="minorHAnsi" w:cstheme="minorBidi"/>
          <w:szCs w:val="22"/>
        </w:rPr>
      </w:pPr>
      <w:r>
        <w:t>35.</w:t>
      </w:r>
      <w:r>
        <w:tab/>
        <w:t>Breach of condition, consequence of (Sch. 7)</w:t>
      </w:r>
      <w:r>
        <w:tab/>
      </w:r>
      <w:r>
        <w:fldChar w:fldCharType="begin"/>
      </w:r>
      <w:r>
        <w:instrText xml:space="preserve"> PAGEREF _Toc377111967 \h </w:instrText>
      </w:r>
      <w:r>
        <w:fldChar w:fldCharType="separate"/>
      </w:r>
      <w:r>
        <w:t>27</w:t>
      </w:r>
      <w:r>
        <w:fldChar w:fldCharType="end"/>
      </w:r>
    </w:p>
    <w:p>
      <w:pPr>
        <w:pStyle w:val="TOC8"/>
        <w:rPr>
          <w:rFonts w:asciiTheme="minorHAnsi" w:eastAsiaTheme="minorEastAsia" w:hAnsiTheme="minorHAnsi" w:cstheme="minorBidi"/>
          <w:szCs w:val="22"/>
        </w:rPr>
      </w:pPr>
      <w:r>
        <w:t>36.</w:t>
      </w:r>
      <w:r>
        <w:tab/>
        <w:t>P plates, form and display of</w:t>
      </w:r>
      <w:r>
        <w:tab/>
      </w:r>
      <w:r>
        <w:fldChar w:fldCharType="begin"/>
      </w:r>
      <w:r>
        <w:instrText xml:space="preserve"> PAGEREF _Toc377111968 \h </w:instrText>
      </w:r>
      <w:r>
        <w:fldChar w:fldCharType="separate"/>
      </w:r>
      <w:r>
        <w:t>27</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_Toc377111969 \h </w:instrText>
      </w:r>
      <w:r>
        <w:fldChar w:fldCharType="separate"/>
      </w:r>
      <w:r>
        <w:t>29</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_Toc377111970 \h </w:instrText>
      </w:r>
      <w:r>
        <w:fldChar w:fldCharType="separate"/>
      </w:r>
      <w:r>
        <w:t>30</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_Toc377111971 \h </w:instrText>
      </w:r>
      <w:r>
        <w:fldChar w:fldCharType="separate"/>
      </w:r>
      <w:r>
        <w:t>30</w:t>
      </w:r>
      <w:r>
        <w:fldChar w:fldCharType="end"/>
      </w:r>
    </w:p>
    <w:p>
      <w:pPr>
        <w:pStyle w:val="TOC8"/>
        <w:rPr>
          <w:rFonts w:asciiTheme="minorHAnsi" w:eastAsiaTheme="minorEastAsia" w:hAnsiTheme="minorHAnsi" w:cstheme="minorBidi"/>
          <w:szCs w:val="22"/>
        </w:rPr>
      </w:pPr>
      <w:r>
        <w:t>40.</w:t>
      </w:r>
      <w:r>
        <w:tab/>
        <w:t>Change of licence holder’s address</w:t>
      </w:r>
      <w:r>
        <w:tab/>
      </w:r>
      <w:r>
        <w:fldChar w:fldCharType="begin"/>
      </w:r>
      <w:r>
        <w:instrText xml:space="preserve"> PAGEREF _Toc377111972 \h </w:instrText>
      </w:r>
      <w:r>
        <w:fldChar w:fldCharType="separate"/>
      </w:r>
      <w:r>
        <w:t>31</w:t>
      </w:r>
      <w:r>
        <w:fldChar w:fldCharType="end"/>
      </w:r>
    </w:p>
    <w:p>
      <w:pPr>
        <w:pStyle w:val="TOC8"/>
        <w:rPr>
          <w:rFonts w:asciiTheme="minorHAnsi" w:eastAsiaTheme="minorEastAsia" w:hAnsiTheme="minorHAnsi" w:cstheme="minorBidi"/>
          <w:szCs w:val="22"/>
        </w:rPr>
      </w:pPr>
      <w:r>
        <w:t>41.</w:t>
      </w:r>
      <w:r>
        <w:tab/>
        <w:t>Suspending or cancelling driver’s licence, Director General’s powers for</w:t>
      </w:r>
      <w:r>
        <w:tab/>
      </w:r>
      <w:r>
        <w:fldChar w:fldCharType="begin"/>
      </w:r>
      <w:r>
        <w:instrText xml:space="preserve"> PAGEREF _Toc377111973 \h </w:instrText>
      </w:r>
      <w:r>
        <w:fldChar w:fldCharType="separate"/>
      </w:r>
      <w:r>
        <w:t>31</w:t>
      </w:r>
      <w:r>
        <w:fldChar w:fldCharType="end"/>
      </w:r>
    </w:p>
    <w:p>
      <w:pPr>
        <w:pStyle w:val="TOC8"/>
        <w:rPr>
          <w:rFonts w:asciiTheme="minorHAnsi" w:eastAsiaTheme="minorEastAsia" w:hAnsiTheme="minorHAnsi" w:cstheme="minorBidi"/>
          <w:szCs w:val="22"/>
        </w:rPr>
      </w:pPr>
      <w:r>
        <w:t>42.</w:t>
      </w:r>
      <w:r>
        <w:tab/>
        <w:t>Decisions by Director General, form of, reconsidering and SAT review of</w:t>
      </w:r>
      <w:r>
        <w:tab/>
      </w:r>
      <w:r>
        <w:fldChar w:fldCharType="begin"/>
      </w:r>
      <w:r>
        <w:instrText xml:space="preserve"> PAGEREF _Toc377111974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44.</w:t>
      </w:r>
      <w:r>
        <w:tab/>
        <w:t>Learner’s permit, what it authorises</w:t>
      </w:r>
      <w:r>
        <w:tab/>
      </w:r>
      <w:r>
        <w:fldChar w:fldCharType="begin"/>
      </w:r>
      <w:r>
        <w:instrText xml:space="preserve"> PAGEREF _Toc377111976 \h </w:instrText>
      </w:r>
      <w:r>
        <w:fldChar w:fldCharType="separate"/>
      </w:r>
      <w:r>
        <w:t>35</w:t>
      </w:r>
      <w:r>
        <w:fldChar w:fldCharType="end"/>
      </w:r>
    </w:p>
    <w:p>
      <w:pPr>
        <w:pStyle w:val="TOC8"/>
        <w:rPr>
          <w:rFonts w:asciiTheme="minorHAnsi" w:eastAsiaTheme="minorEastAsia" w:hAnsiTheme="minorHAnsi" w:cstheme="minorBidi"/>
          <w:szCs w:val="22"/>
        </w:rPr>
      </w:pPr>
      <w:r>
        <w:t>45.</w:t>
      </w:r>
      <w:r>
        <w:tab/>
        <w:t>Driving instruction, who may give</w:t>
      </w:r>
      <w:r>
        <w:tab/>
      </w:r>
      <w:r>
        <w:fldChar w:fldCharType="begin"/>
      </w:r>
      <w:r>
        <w:instrText xml:space="preserve"> PAGEREF _Toc377111977 \h </w:instrText>
      </w:r>
      <w:r>
        <w:fldChar w:fldCharType="separate"/>
      </w:r>
      <w:r>
        <w:t>35</w:t>
      </w:r>
      <w:r>
        <w:fldChar w:fldCharType="end"/>
      </w:r>
    </w:p>
    <w:p>
      <w:pPr>
        <w:pStyle w:val="TOC8"/>
        <w:rPr>
          <w:rFonts w:asciiTheme="minorHAnsi" w:eastAsiaTheme="minorEastAsia" w:hAnsiTheme="minorHAnsi" w:cstheme="minorBidi"/>
          <w:szCs w:val="22"/>
        </w:rPr>
      </w:pPr>
      <w:r>
        <w:t>46.</w:t>
      </w:r>
      <w:r>
        <w:tab/>
        <w:t>Minimum age for learner’s permit</w:t>
      </w:r>
      <w:r>
        <w:tab/>
      </w:r>
      <w:r>
        <w:fldChar w:fldCharType="begin"/>
      </w:r>
      <w:r>
        <w:instrText xml:space="preserve"> PAGEREF _Toc377111978 \h </w:instrText>
      </w:r>
      <w:r>
        <w:fldChar w:fldCharType="separate"/>
      </w:r>
      <w:r>
        <w:t>36</w:t>
      </w:r>
      <w:r>
        <w:fldChar w:fldCharType="end"/>
      </w:r>
    </w:p>
    <w:p>
      <w:pPr>
        <w:pStyle w:val="TOC8"/>
        <w:rPr>
          <w:rFonts w:asciiTheme="minorHAnsi" w:eastAsiaTheme="minorEastAsia" w:hAnsiTheme="minorHAnsi" w:cstheme="minorBidi"/>
          <w:szCs w:val="22"/>
        </w:rPr>
      </w:pPr>
      <w:r>
        <w:t>47.</w:t>
      </w:r>
      <w:r>
        <w:tab/>
        <w:t>Knowledge of traffic laws and safe driving techniques, requirements as to</w:t>
      </w:r>
      <w:r>
        <w:tab/>
      </w:r>
      <w:r>
        <w:fldChar w:fldCharType="begin"/>
      </w:r>
      <w:r>
        <w:instrText xml:space="preserve"> PAGEREF _Toc377111979 \h </w:instrText>
      </w:r>
      <w:r>
        <w:fldChar w:fldCharType="separate"/>
      </w:r>
      <w:r>
        <w:t>36</w:t>
      </w:r>
      <w:r>
        <w:fldChar w:fldCharType="end"/>
      </w:r>
    </w:p>
    <w:p>
      <w:pPr>
        <w:pStyle w:val="TOC8"/>
        <w:rPr>
          <w:rFonts w:asciiTheme="minorHAnsi" w:eastAsiaTheme="minorEastAsia" w:hAnsiTheme="minorHAnsi" w:cstheme="minorBidi"/>
          <w:szCs w:val="22"/>
        </w:rPr>
      </w:pPr>
      <w:r>
        <w:t>48.</w:t>
      </w:r>
      <w:r>
        <w:tab/>
        <w:t>Driver’s licence required as prerequisite for learner’s permit (Sch. 8)</w:t>
      </w:r>
      <w:r>
        <w:tab/>
      </w:r>
      <w:r>
        <w:fldChar w:fldCharType="begin"/>
      </w:r>
      <w:r>
        <w:instrText xml:space="preserve"> PAGEREF _Toc377111980 \h </w:instrText>
      </w:r>
      <w:r>
        <w:fldChar w:fldCharType="separate"/>
      </w:r>
      <w:r>
        <w:t>37</w:t>
      </w:r>
      <w:r>
        <w:fldChar w:fldCharType="end"/>
      </w:r>
    </w:p>
    <w:p>
      <w:pPr>
        <w:pStyle w:val="TOC8"/>
        <w:rPr>
          <w:rFonts w:asciiTheme="minorHAnsi" w:eastAsiaTheme="minorEastAsia" w:hAnsiTheme="minorHAnsi" w:cstheme="minorBidi"/>
          <w:szCs w:val="22"/>
        </w:rPr>
      </w:pPr>
      <w:r>
        <w:t>49.</w:t>
      </w:r>
      <w:r>
        <w:tab/>
        <w:t>Conditions on learner’s permit</w:t>
      </w:r>
      <w:r>
        <w:tab/>
      </w:r>
      <w:r>
        <w:fldChar w:fldCharType="begin"/>
      </w:r>
      <w:r>
        <w:instrText xml:space="preserve"> PAGEREF _Toc377111981 \h </w:instrText>
      </w:r>
      <w:r>
        <w:fldChar w:fldCharType="separate"/>
      </w:r>
      <w:r>
        <w:t>38</w:t>
      </w:r>
      <w:r>
        <w:fldChar w:fldCharType="end"/>
      </w:r>
    </w:p>
    <w:p>
      <w:pPr>
        <w:pStyle w:val="TOC8"/>
        <w:rPr>
          <w:rFonts w:asciiTheme="minorHAnsi" w:eastAsiaTheme="minorEastAsia" w:hAnsiTheme="minorHAnsi" w:cstheme="minorBidi"/>
          <w:szCs w:val="22"/>
        </w:rPr>
      </w:pPr>
      <w:r>
        <w:t>50.</w:t>
      </w:r>
      <w:r>
        <w:tab/>
        <w:t>Breach of condition, consequence of</w:t>
      </w:r>
      <w:r>
        <w:tab/>
      </w:r>
      <w:r>
        <w:fldChar w:fldCharType="begin"/>
      </w:r>
      <w:r>
        <w:instrText xml:space="preserve"> PAGEREF _Toc377111982 \h </w:instrText>
      </w:r>
      <w:r>
        <w:fldChar w:fldCharType="separate"/>
      </w:r>
      <w:r>
        <w:t>38</w:t>
      </w:r>
      <w:r>
        <w:fldChar w:fldCharType="end"/>
      </w:r>
    </w:p>
    <w:p>
      <w:pPr>
        <w:pStyle w:val="TOC8"/>
        <w:rPr>
          <w:rFonts w:asciiTheme="minorHAnsi" w:eastAsiaTheme="minorEastAsia" w:hAnsiTheme="minorHAnsi" w:cstheme="minorBidi"/>
          <w:szCs w:val="22"/>
        </w:rPr>
      </w:pPr>
      <w:r>
        <w:t>51.</w:t>
      </w:r>
      <w:r>
        <w:tab/>
        <w:t>L plates, form and display of</w:t>
      </w:r>
      <w:r>
        <w:tab/>
      </w:r>
      <w:r>
        <w:fldChar w:fldCharType="begin"/>
      </w:r>
      <w:r>
        <w:instrText xml:space="preserve"> PAGEREF _Toc377111983 \h </w:instrText>
      </w:r>
      <w:r>
        <w:fldChar w:fldCharType="separate"/>
      </w:r>
      <w:r>
        <w:t>38</w:t>
      </w:r>
      <w:r>
        <w:fldChar w:fldCharType="end"/>
      </w:r>
    </w:p>
    <w:p>
      <w:pPr>
        <w:pStyle w:val="TOC8"/>
        <w:rPr>
          <w:rFonts w:asciiTheme="minorHAnsi" w:eastAsiaTheme="minorEastAsia" w:hAnsiTheme="minorHAnsi" w:cstheme="minorBidi"/>
          <w:szCs w:val="22"/>
        </w:rPr>
      </w:pPr>
      <w:r>
        <w:t>52.</w:t>
      </w:r>
      <w:r>
        <w:tab/>
        <w:t>Learner’s permit, applying for</w:t>
      </w:r>
      <w:r>
        <w:tab/>
      </w:r>
      <w:r>
        <w:fldChar w:fldCharType="begin"/>
      </w:r>
      <w:r>
        <w:instrText xml:space="preserve"> PAGEREF _Toc377111984 \h </w:instrText>
      </w:r>
      <w:r>
        <w:fldChar w:fldCharType="separate"/>
      </w:r>
      <w:r>
        <w:t>39</w:t>
      </w:r>
      <w:r>
        <w:fldChar w:fldCharType="end"/>
      </w:r>
    </w:p>
    <w:p>
      <w:pPr>
        <w:pStyle w:val="TOC8"/>
        <w:rPr>
          <w:rFonts w:asciiTheme="minorHAnsi" w:eastAsiaTheme="minorEastAsia" w:hAnsiTheme="minorHAnsi" w:cstheme="minorBidi"/>
          <w:szCs w:val="22"/>
        </w:rPr>
      </w:pPr>
      <w:r>
        <w:t>53.</w:t>
      </w:r>
      <w:r>
        <w:tab/>
        <w:t>Learner’s permit document, issue and form of</w:t>
      </w:r>
      <w:r>
        <w:tab/>
      </w:r>
      <w:r>
        <w:fldChar w:fldCharType="begin"/>
      </w:r>
      <w:r>
        <w:instrText xml:space="preserve"> PAGEREF _Toc377111985 \h </w:instrText>
      </w:r>
      <w:r>
        <w:fldChar w:fldCharType="separate"/>
      </w:r>
      <w:r>
        <w:t>40</w:t>
      </w:r>
      <w:r>
        <w:fldChar w:fldCharType="end"/>
      </w:r>
    </w:p>
    <w:p>
      <w:pPr>
        <w:pStyle w:val="TOC8"/>
        <w:rPr>
          <w:rFonts w:asciiTheme="minorHAnsi" w:eastAsiaTheme="minorEastAsia" w:hAnsiTheme="minorHAnsi" w:cstheme="minorBidi"/>
          <w:szCs w:val="22"/>
        </w:rPr>
      </w:pPr>
      <w:r>
        <w:t>54.</w:t>
      </w:r>
      <w:r>
        <w:tab/>
        <w:t>Lost etc. learner’s permit, replacing</w:t>
      </w:r>
      <w:r>
        <w:tab/>
      </w:r>
      <w:r>
        <w:fldChar w:fldCharType="begin"/>
      </w:r>
      <w:r>
        <w:instrText xml:space="preserve"> PAGEREF _Toc377111986 \h </w:instrText>
      </w:r>
      <w:r>
        <w:fldChar w:fldCharType="separate"/>
      </w:r>
      <w:r>
        <w:t>40</w:t>
      </w:r>
      <w:r>
        <w:fldChar w:fldCharType="end"/>
      </w:r>
    </w:p>
    <w:p>
      <w:pPr>
        <w:pStyle w:val="TOC8"/>
        <w:rPr>
          <w:rFonts w:asciiTheme="minorHAnsi" w:eastAsiaTheme="minorEastAsia" w:hAnsiTheme="minorHAnsi" w:cstheme="minorBidi"/>
          <w:szCs w:val="22"/>
        </w:rPr>
      </w:pPr>
      <w:r>
        <w:t>55.</w:t>
      </w:r>
      <w:r>
        <w:tab/>
        <w:t>Suspending or cancelling learner’s permit, Director General’s powers for</w:t>
      </w:r>
      <w:r>
        <w:tab/>
      </w:r>
      <w:r>
        <w:fldChar w:fldCharType="begin"/>
      </w:r>
      <w:r>
        <w:instrText xml:space="preserve"> PAGEREF _Toc377111987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56.</w:t>
      </w:r>
      <w:r>
        <w:tab/>
        <w:t>Certain motor vehicles may be driven without licence</w:t>
      </w:r>
      <w:r>
        <w:tab/>
      </w:r>
      <w:r>
        <w:fldChar w:fldCharType="begin"/>
      </w:r>
      <w:r>
        <w:instrText xml:space="preserve"> PAGEREF _Toc377111989 \h </w:instrText>
      </w:r>
      <w:r>
        <w:fldChar w:fldCharType="separate"/>
      </w:r>
      <w:r>
        <w:t>41</w:t>
      </w:r>
      <w:r>
        <w:fldChar w:fldCharType="end"/>
      </w:r>
    </w:p>
    <w:p>
      <w:pPr>
        <w:pStyle w:val="TOC8"/>
        <w:rPr>
          <w:rFonts w:asciiTheme="minorHAnsi" w:eastAsiaTheme="minorEastAsia" w:hAnsiTheme="minorHAnsi" w:cstheme="minorBidi"/>
          <w:szCs w:val="22"/>
        </w:rPr>
      </w:pPr>
      <w:r>
        <w:t>57.</w:t>
      </w:r>
      <w:r>
        <w:tab/>
        <w:t>Australian driver licence may authorise learning to drive</w:t>
      </w:r>
      <w:r>
        <w:tab/>
      </w:r>
      <w:r>
        <w:fldChar w:fldCharType="begin"/>
      </w:r>
      <w:r>
        <w:instrText xml:space="preserve"> PAGEREF _Toc377111990 \h </w:instrText>
      </w:r>
      <w:r>
        <w:fldChar w:fldCharType="separate"/>
      </w:r>
      <w:r>
        <w:t>42</w:t>
      </w:r>
      <w:r>
        <w:fldChar w:fldCharType="end"/>
      </w:r>
    </w:p>
    <w:p>
      <w:pPr>
        <w:pStyle w:val="TOC8"/>
        <w:rPr>
          <w:rFonts w:asciiTheme="minorHAnsi" w:eastAsiaTheme="minorEastAsia" w:hAnsiTheme="minorHAnsi" w:cstheme="minorBidi"/>
          <w:szCs w:val="22"/>
        </w:rPr>
      </w:pPr>
      <w:r>
        <w:t>58.</w:t>
      </w:r>
      <w:r>
        <w:tab/>
        <w:t>Director General may permit certain driving without licence</w:t>
      </w:r>
      <w:r>
        <w:tab/>
      </w:r>
      <w:r>
        <w:fldChar w:fldCharType="begin"/>
      </w:r>
      <w:r>
        <w:instrText xml:space="preserve"> PAGEREF _Toc377111991 \h </w:instrText>
      </w:r>
      <w:r>
        <w:fldChar w:fldCharType="separate"/>
      </w:r>
      <w:r>
        <w:t>42</w:t>
      </w:r>
      <w:r>
        <w:fldChar w:fldCharType="end"/>
      </w:r>
    </w:p>
    <w:p>
      <w:pPr>
        <w:pStyle w:val="TOC8"/>
        <w:rPr>
          <w:rFonts w:asciiTheme="minorHAnsi" w:eastAsiaTheme="minorEastAsia" w:hAnsiTheme="minorHAnsi" w:cstheme="minorBidi"/>
          <w:szCs w:val="22"/>
        </w:rPr>
      </w:pPr>
      <w:r>
        <w:t>59.</w:t>
      </w:r>
      <w:r>
        <w:tab/>
        <w:t>Foreign driving authorisation may not prevent grant of driver’s licence</w:t>
      </w:r>
      <w:r>
        <w:tab/>
      </w:r>
      <w:r>
        <w:fldChar w:fldCharType="begin"/>
      </w:r>
      <w:r>
        <w:instrText xml:space="preserve"> PAGEREF _Toc377111992 \h </w:instrText>
      </w:r>
      <w:r>
        <w:fldChar w:fldCharType="separate"/>
      </w:r>
      <w:r>
        <w:t>43</w:t>
      </w:r>
      <w:r>
        <w:fldChar w:fldCharType="end"/>
      </w:r>
    </w:p>
    <w:p>
      <w:pPr>
        <w:pStyle w:val="TOC8"/>
        <w:rPr>
          <w:rFonts w:asciiTheme="minorHAnsi" w:eastAsiaTheme="minorEastAsia" w:hAnsiTheme="minorHAnsi" w:cstheme="minorBidi"/>
          <w:szCs w:val="22"/>
        </w:rPr>
      </w:pPr>
      <w:r>
        <w:t>60.</w:t>
      </w:r>
      <w:r>
        <w:tab/>
        <w:t>Other Australian jurisdiction’s driving authorisations, recognising</w:t>
      </w:r>
      <w:r>
        <w:tab/>
      </w:r>
      <w:r>
        <w:fldChar w:fldCharType="begin"/>
      </w:r>
      <w:r>
        <w:instrText xml:space="preserve"> PAGEREF _Toc377111993 \h </w:instrText>
      </w:r>
      <w:r>
        <w:fldChar w:fldCharType="separate"/>
      </w:r>
      <w:r>
        <w:t>43</w:t>
      </w:r>
      <w:r>
        <w:fldChar w:fldCharType="end"/>
      </w:r>
    </w:p>
    <w:p>
      <w:pPr>
        <w:pStyle w:val="TOC8"/>
        <w:rPr>
          <w:rFonts w:asciiTheme="minorHAnsi" w:eastAsiaTheme="minorEastAsia" w:hAnsiTheme="minorHAnsi" w:cstheme="minorBidi"/>
          <w:szCs w:val="22"/>
        </w:rPr>
      </w:pPr>
      <w:r>
        <w:t>61.</w:t>
      </w:r>
      <w:r>
        <w:tab/>
        <w:t>Foreign driving authorisation, recognising</w:t>
      </w:r>
      <w:r>
        <w:tab/>
      </w:r>
      <w:r>
        <w:fldChar w:fldCharType="begin"/>
      </w:r>
      <w:r>
        <w:instrText xml:space="preserve"> PAGEREF _Toc377111994 \h </w:instrText>
      </w:r>
      <w:r>
        <w:fldChar w:fldCharType="separate"/>
      </w:r>
      <w:r>
        <w:t>43</w:t>
      </w:r>
      <w:r>
        <w:fldChar w:fldCharType="end"/>
      </w:r>
    </w:p>
    <w:p>
      <w:pPr>
        <w:pStyle w:val="TOC8"/>
        <w:rPr>
          <w:rFonts w:asciiTheme="minorHAnsi" w:eastAsiaTheme="minorEastAsia" w:hAnsiTheme="minorHAnsi" w:cstheme="minorBidi"/>
          <w:szCs w:val="22"/>
        </w:rPr>
      </w:pPr>
      <w:r>
        <w:t>62.</w:t>
      </w:r>
      <w:r>
        <w:tab/>
        <w:t>Recognition under r. 60 or 61, effect of</w:t>
      </w:r>
      <w:r>
        <w:tab/>
      </w:r>
      <w:r>
        <w:fldChar w:fldCharType="begin"/>
      </w:r>
      <w:r>
        <w:instrText xml:space="preserve"> PAGEREF _Toc377111995 \h </w:instrText>
      </w:r>
      <w:r>
        <w:fldChar w:fldCharType="separate"/>
      </w:r>
      <w:r>
        <w:t>44</w:t>
      </w:r>
      <w:r>
        <w:fldChar w:fldCharType="end"/>
      </w:r>
    </w:p>
    <w:p>
      <w:pPr>
        <w:pStyle w:val="TOC8"/>
        <w:rPr>
          <w:rFonts w:asciiTheme="minorHAnsi" w:eastAsiaTheme="minorEastAsia" w:hAnsiTheme="minorHAnsi" w:cstheme="minorBidi"/>
          <w:szCs w:val="22"/>
        </w:rPr>
      </w:pPr>
      <w:r>
        <w:t>63.</w:t>
      </w:r>
      <w:r>
        <w:tab/>
        <w:t>Excluding person from being authorised by r. 62</w:t>
      </w:r>
      <w:r>
        <w:tab/>
      </w:r>
      <w:r>
        <w:fldChar w:fldCharType="begin"/>
      </w:r>
      <w:r>
        <w:instrText xml:space="preserve"> PAGEREF _Toc377111996 \h </w:instrText>
      </w:r>
      <w:r>
        <w:fldChar w:fldCharType="separate"/>
      </w:r>
      <w:r>
        <w:t>45</w:t>
      </w:r>
      <w:r>
        <w:fldChar w:fldCharType="end"/>
      </w:r>
    </w:p>
    <w:p>
      <w:pPr>
        <w:pStyle w:val="TOC8"/>
        <w:rPr>
          <w:rFonts w:asciiTheme="minorHAnsi" w:eastAsiaTheme="minorEastAsia" w:hAnsiTheme="minorHAnsi" w:cstheme="minorBidi"/>
          <w:szCs w:val="22"/>
        </w:rPr>
      </w:pPr>
      <w:r>
        <w:t>64.</w:t>
      </w:r>
      <w:r>
        <w:tab/>
        <w:t>Other jurisdiction’s driving authorisation document to be carried</w:t>
      </w:r>
      <w:r>
        <w:tab/>
      </w:r>
      <w:r>
        <w:fldChar w:fldCharType="begin"/>
      </w:r>
      <w:r>
        <w:instrText xml:space="preserve"> PAGEREF _Toc377111997 \h </w:instrText>
      </w:r>
      <w:r>
        <w:fldChar w:fldCharType="separate"/>
      </w:r>
      <w:r>
        <w:t>46</w:t>
      </w:r>
      <w:r>
        <w:fldChar w:fldCharType="end"/>
      </w:r>
    </w:p>
    <w:p>
      <w:pPr>
        <w:pStyle w:val="TOC8"/>
        <w:rPr>
          <w:rFonts w:asciiTheme="minorHAnsi" w:eastAsiaTheme="minorEastAsia" w:hAnsiTheme="minorHAnsi" w:cstheme="minorBidi"/>
          <w:szCs w:val="22"/>
        </w:rPr>
      </w:pPr>
      <w:r>
        <w:t>65.</w:t>
      </w:r>
      <w:r>
        <w:tab/>
        <w:t>Duty to reveal things that might impair ability to drive</w:t>
      </w:r>
      <w:r>
        <w:tab/>
      </w:r>
      <w:r>
        <w:fldChar w:fldCharType="begin"/>
      </w:r>
      <w:r>
        <w:instrText xml:space="preserve"> PAGEREF _Toc377111998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5 — Repeal and transitional provisions</w:t>
      </w:r>
    </w:p>
    <w:p>
      <w:pPr>
        <w:pStyle w:val="TOC8"/>
        <w:rPr>
          <w:rFonts w:asciiTheme="minorHAnsi" w:eastAsiaTheme="minorEastAsia" w:hAnsiTheme="minorHAnsi" w:cstheme="minorBidi"/>
          <w:szCs w:val="22"/>
        </w:rPr>
      </w:pPr>
      <w:r>
        <w:t>67.</w:t>
      </w:r>
      <w:r>
        <w:tab/>
        <w:t>Transitional provisions relating to</w:t>
      </w:r>
      <w:r>
        <w:rPr>
          <w:i/>
        </w:rPr>
        <w:t xml:space="preserve"> Road Traffic Amendment Act 2006</w:t>
      </w:r>
      <w:r>
        <w:tab/>
      </w:r>
      <w:r>
        <w:fldChar w:fldCharType="begin"/>
      </w:r>
      <w:r>
        <w:instrText xml:space="preserve"> PAGEREF _Toc377112000 \h </w:instrText>
      </w:r>
      <w:r>
        <w:fldChar w:fldCharType="separate"/>
      </w:r>
      <w:r>
        <w:t>48</w:t>
      </w:r>
      <w:r>
        <w:fldChar w:fldCharType="end"/>
      </w:r>
    </w:p>
    <w:p>
      <w:pPr>
        <w:pStyle w:val="TOC8"/>
        <w:rPr>
          <w:rFonts w:asciiTheme="minorHAnsi" w:eastAsiaTheme="minorEastAsia" w:hAnsiTheme="minorHAnsi" w:cstheme="minorBidi"/>
          <w:szCs w:val="22"/>
        </w:rPr>
      </w:pPr>
      <w:r>
        <w:t>68.</w:t>
      </w:r>
      <w:r>
        <w:tab/>
        <w:t xml:space="preserve">Transitional provision relating to </w:t>
      </w:r>
      <w:r>
        <w:rPr>
          <w:i/>
        </w:rPr>
        <w:t>Road Traffic (Authorisation to Drive) Amendment Regulations (No. 3) 2012</w:t>
      </w:r>
      <w:r>
        <w:tab/>
      </w:r>
      <w:r>
        <w:fldChar w:fldCharType="begin"/>
      </w:r>
      <w:r>
        <w:instrText xml:space="preserve"> PAGEREF _Toc377112001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Schedule 1 — Classes of motor vehicles</w:t>
      </w:r>
    </w:p>
    <w:p>
      <w:pPr>
        <w:pStyle w:val="TOC2"/>
        <w:tabs>
          <w:tab w:val="right" w:leader="dot" w:pos="7086"/>
        </w:tabs>
        <w:rPr>
          <w:rFonts w:asciiTheme="minorHAnsi" w:eastAsiaTheme="minorEastAsia" w:hAnsiTheme="minorHAnsi" w:cstheme="minorBidi"/>
          <w:b w:val="0"/>
          <w:sz w:val="22"/>
          <w:szCs w:val="22"/>
        </w:rPr>
      </w:pPr>
      <w:r>
        <w:t>Schedule 2 — Classes of authorisation to drive</w:t>
      </w:r>
    </w:p>
    <w:p>
      <w:pPr>
        <w:pStyle w:val="TOC2"/>
        <w:tabs>
          <w:tab w:val="right" w:leader="dot" w:pos="7086"/>
        </w:tabs>
        <w:rPr>
          <w:rFonts w:asciiTheme="minorHAnsi" w:eastAsiaTheme="minorEastAsia" w:hAnsiTheme="minorHAnsi" w:cstheme="minorBidi"/>
          <w:b w:val="0"/>
          <w:sz w:val="22"/>
          <w:szCs w:val="22"/>
        </w:rPr>
      </w:pPr>
      <w:r>
        <w:t>Schedule 3 — Vehicle running costs</w:t>
      </w:r>
    </w:p>
    <w:p>
      <w:pPr>
        <w:pStyle w:val="TOC2"/>
        <w:tabs>
          <w:tab w:val="right" w:leader="dot" w:pos="7086"/>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Motor vehicle of class C or LR, limits for</w:t>
      </w:r>
      <w:r>
        <w:tab/>
      </w:r>
      <w:r>
        <w:fldChar w:fldCharType="begin"/>
      </w:r>
      <w:r>
        <w:instrText xml:space="preserve"> PAGEREF _Toc377112006 \h </w:instrText>
      </w:r>
      <w:r>
        <w:fldChar w:fldCharType="separate"/>
      </w:r>
      <w:r>
        <w:t>53</w:t>
      </w:r>
      <w:r>
        <w:fldChar w:fldCharType="end"/>
      </w:r>
    </w:p>
    <w:p>
      <w:pPr>
        <w:pStyle w:val="TOC8"/>
        <w:rPr>
          <w:rFonts w:asciiTheme="minorHAnsi" w:eastAsiaTheme="minorEastAsia" w:hAnsiTheme="minorHAnsi" w:cstheme="minorBidi"/>
          <w:szCs w:val="22"/>
        </w:rPr>
      </w:pPr>
      <w:r>
        <w:t>2.</w:t>
      </w:r>
      <w:r>
        <w:tab/>
        <w:t>Motor vehicle of class MR, limits for</w:t>
      </w:r>
      <w:r>
        <w:tab/>
      </w:r>
      <w:r>
        <w:fldChar w:fldCharType="begin"/>
      </w:r>
      <w:r>
        <w:instrText xml:space="preserve"> PAGEREF _Toc377112007 \h </w:instrText>
      </w:r>
      <w:r>
        <w:fldChar w:fldCharType="separate"/>
      </w:r>
      <w:r>
        <w:t>53</w:t>
      </w:r>
      <w:r>
        <w:fldChar w:fldCharType="end"/>
      </w:r>
    </w:p>
    <w:p>
      <w:pPr>
        <w:pStyle w:val="TOC8"/>
        <w:rPr>
          <w:rFonts w:asciiTheme="minorHAnsi" w:eastAsiaTheme="minorEastAsia" w:hAnsiTheme="minorHAnsi" w:cstheme="minorBidi"/>
          <w:szCs w:val="22"/>
        </w:rPr>
      </w:pPr>
      <w:r>
        <w:t>3.</w:t>
      </w:r>
      <w:r>
        <w:tab/>
        <w:t>Motor vehicle of class HR, limits for</w:t>
      </w:r>
      <w:r>
        <w:tab/>
      </w:r>
      <w:r>
        <w:fldChar w:fldCharType="begin"/>
      </w:r>
      <w:r>
        <w:instrText xml:space="preserve"> PAGEREF _Toc377112008 \h </w:instrText>
      </w:r>
      <w:r>
        <w:fldChar w:fldCharType="separate"/>
      </w:r>
      <w:r>
        <w:t>53</w:t>
      </w:r>
      <w:r>
        <w:fldChar w:fldCharType="end"/>
      </w:r>
    </w:p>
    <w:p>
      <w:pPr>
        <w:pStyle w:val="TOC8"/>
        <w:rPr>
          <w:rFonts w:asciiTheme="minorHAnsi" w:eastAsiaTheme="minorEastAsia" w:hAnsiTheme="minorHAnsi" w:cstheme="minorBidi"/>
          <w:szCs w:val="22"/>
        </w:rPr>
      </w:pPr>
      <w:r>
        <w:t>4.</w:t>
      </w:r>
      <w:r>
        <w:tab/>
        <w:t>Motor vehicle of class HC, limits for</w:t>
      </w:r>
      <w:r>
        <w:tab/>
      </w:r>
      <w:r>
        <w:fldChar w:fldCharType="begin"/>
      </w:r>
      <w:r>
        <w:instrText xml:space="preserve"> PAGEREF _Toc377112009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86"/>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86"/>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86"/>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_Toc377112015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spacing w:after="720"/>
      </w:pPr>
      <w:r>
        <w:t>Road Traffic (Authorisation to Drive) Regulations 2008</w:t>
      </w:r>
    </w:p>
    <w:p>
      <w:pPr>
        <w:pStyle w:val="Heading2"/>
        <w:keepNext w:val="0"/>
        <w:pageBreakBefore w:val="0"/>
        <w:spacing w:before="240"/>
      </w:pPr>
      <w:bookmarkStart w:id="1" w:name="_Toc377111925"/>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377111926"/>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Road Traffic (Authorisation to Drive) Regulations 2008 </w:t>
      </w:r>
      <w:r>
        <w:rPr>
          <w:vertAlign w:val="superscript"/>
        </w:rPr>
        <w:t>1</w:t>
      </w:r>
      <w:r>
        <w:t>.</w:t>
      </w:r>
    </w:p>
    <w:p>
      <w:pPr>
        <w:pStyle w:val="Heading5"/>
        <w:rPr>
          <w:spacing w:val="-2"/>
        </w:rPr>
      </w:pPr>
      <w:bookmarkStart w:id="4" w:name="_Toc377111927"/>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rPr>
          <w:i/>
        </w:rPr>
        <w:t> </w:t>
      </w:r>
      <w:r>
        <w:rPr>
          <w:vertAlign w:val="superscript"/>
        </w:rPr>
        <w:t>2</w:t>
      </w:r>
      <w:r>
        <w:t>.</w:t>
      </w:r>
    </w:p>
    <w:p>
      <w:pPr>
        <w:pStyle w:val="Heading5"/>
      </w:pPr>
      <w:bookmarkStart w:id="5" w:name="_Toc377111928"/>
      <w:r>
        <w:rPr>
          <w:rStyle w:val="CharSectno"/>
        </w:rPr>
        <w:t>3</w:t>
      </w:r>
      <w:r>
        <w:t>.</w:t>
      </w:r>
      <w:r>
        <w:tab/>
        <w:t>Terms used</w:t>
      </w:r>
      <w:bookmarkEnd w:id="5"/>
    </w:p>
    <w:p>
      <w:pPr>
        <w:pStyle w:val="Subsection"/>
        <w:keepNext/>
        <w:keepLines/>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rStyle w:val="CharDefText"/>
        </w:rPr>
        <w:t>Department</w:t>
      </w:r>
      <w:r>
        <w:t xml:space="preserve"> means the department of the Public Service principally assisting in the administration of the licensing provisions of the Act;</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rStyle w:val="CharDefText"/>
        </w:rPr>
        <w:t>learner approved motor cycle</w:t>
      </w:r>
      <w:r>
        <w:t xml:space="preserve"> means a motor cycle in relation to which an approval by the Director General under regulation 6A(1)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 30 Nov 2012 p. 5806; 12 Apr 2013 p. 1541.]</w:t>
      </w:r>
    </w:p>
    <w:p>
      <w:pPr>
        <w:pStyle w:val="Heading5"/>
      </w:pPr>
      <w:bookmarkStart w:id="6" w:name="_Toc377111929"/>
      <w:r>
        <w:rPr>
          <w:rStyle w:val="CharSectno"/>
        </w:rPr>
        <w:t>4</w:t>
      </w:r>
      <w:r>
        <w:t>.</w:t>
      </w:r>
      <w:r>
        <w:tab/>
        <w:t>Novice driver (type 1A), meaning of</w:t>
      </w:r>
      <w:bookmarkEnd w:id="6"/>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7" w:name="_Toc377111930"/>
      <w:r>
        <w:rPr>
          <w:rStyle w:val="CharSectno"/>
        </w:rPr>
        <w:t>5</w:t>
      </w:r>
      <w:r>
        <w:t>.</w:t>
      </w:r>
      <w:r>
        <w:tab/>
        <w:t>Classes of motor vehicles defined (Sch. 1)</w:t>
      </w:r>
      <w:bookmarkEnd w:id="7"/>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8" w:name="_Toc377111931"/>
      <w:r>
        <w:rPr>
          <w:rStyle w:val="CharSectno"/>
        </w:rPr>
        <w:t>6A</w:t>
      </w:r>
      <w:r>
        <w:t>.</w:t>
      </w:r>
      <w:r>
        <w:tab/>
        <w:t>Learner approved motor cycles</w:t>
      </w:r>
      <w:bookmarkEnd w:id="8"/>
    </w:p>
    <w:p>
      <w:pPr>
        <w:pStyle w:val="Subsection"/>
      </w:pPr>
      <w:r>
        <w:tab/>
        <w:t>(1)</w:t>
      </w:r>
      <w:r>
        <w:tab/>
        <w:t xml:space="preserve">The Director General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Director General, suitable to be driven by a person who holds a driver’s licence that authorises the person to drive a motor vehicle of class R and is endorsed with condition E.</w:t>
      </w:r>
    </w:p>
    <w:p>
      <w:pPr>
        <w:pStyle w:val="Subsection"/>
      </w:pPr>
      <w:r>
        <w:tab/>
        <w:t>(2)</w:t>
      </w:r>
      <w:r>
        <w:tab/>
        <w:t>The Director General may revoke or amend the approval of a motor cycle under subregulation (1).</w:t>
      </w:r>
    </w:p>
    <w:p>
      <w:pPr>
        <w:pStyle w:val="Subsection"/>
      </w:pPr>
      <w:r>
        <w:tab/>
        <w:t>(3)</w:t>
      </w:r>
      <w:r>
        <w:tab/>
        <w:t>The Director General must ensure that a list of each motor cycle in relation to which an approval under subregulation (1) is in force is published on a website maintained by the Department.</w:t>
      </w:r>
    </w:p>
    <w:p>
      <w:pPr>
        <w:pStyle w:val="Footnotesection"/>
      </w:pPr>
      <w:r>
        <w:tab/>
        <w:t>[Regulation 6A inserted in Gazette 30 Nov 2012 p. 5806</w:t>
      </w:r>
      <w:r>
        <w:noBreakHyphen/>
        <w:t>7.]</w:t>
      </w:r>
    </w:p>
    <w:p>
      <w:pPr>
        <w:pStyle w:val="Heading5"/>
      </w:pPr>
      <w:bookmarkStart w:id="9" w:name="_Toc377111932"/>
      <w:r>
        <w:rPr>
          <w:rStyle w:val="CharSectno"/>
        </w:rPr>
        <w:t>6</w:t>
      </w:r>
      <w:r>
        <w:t>.</w:t>
      </w:r>
      <w:r>
        <w:tab/>
        <w:t>Offences prescribed (Act s. 102)  for traffic infringement notices</w:t>
      </w:r>
      <w:bookmarkEnd w:id="9"/>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0" w:name="_Toc377111933"/>
      <w:r>
        <w:rPr>
          <w:rStyle w:val="CharPartNo"/>
        </w:rPr>
        <w:t>Part 2</w:t>
      </w:r>
      <w:r>
        <w:t> — </w:t>
      </w:r>
      <w:r>
        <w:rPr>
          <w:rStyle w:val="CharPartText"/>
        </w:rPr>
        <w:t>Driver licensing</w:t>
      </w:r>
      <w:bookmarkEnd w:id="10"/>
    </w:p>
    <w:p>
      <w:pPr>
        <w:pStyle w:val="Heading3"/>
      </w:pPr>
      <w:bookmarkStart w:id="11" w:name="_Toc377111934"/>
      <w:r>
        <w:rPr>
          <w:rStyle w:val="CharDivNo"/>
        </w:rPr>
        <w:t>Division 1</w:t>
      </w:r>
      <w:r>
        <w:t> — </w:t>
      </w:r>
      <w:r>
        <w:rPr>
          <w:rStyle w:val="CharDivText"/>
        </w:rPr>
        <w:t>Drivers’ licences generally</w:t>
      </w:r>
      <w:bookmarkEnd w:id="11"/>
    </w:p>
    <w:p>
      <w:pPr>
        <w:pStyle w:val="Heading5"/>
      </w:pPr>
      <w:bookmarkStart w:id="12" w:name="_Toc377111935"/>
      <w:r>
        <w:rPr>
          <w:rStyle w:val="CharSectno"/>
        </w:rPr>
        <w:t>7</w:t>
      </w:r>
      <w:r>
        <w:t>.</w:t>
      </w:r>
      <w:r>
        <w:tab/>
        <w:t>Driver’s licence, grant etc. of</w:t>
      </w:r>
      <w:bookmarkEnd w:id="12"/>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13" w:name="_Toc377111936"/>
      <w:r>
        <w:rPr>
          <w:rStyle w:val="CharSectno"/>
        </w:rPr>
        <w:t>8</w:t>
      </w:r>
      <w:r>
        <w:t>.</w:t>
      </w:r>
      <w:r>
        <w:tab/>
        <w:t>Driver’s licence, what it authorises (Sch. 2)</w:t>
      </w:r>
      <w:bookmarkEnd w:id="1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14" w:name="_Toc377111937"/>
      <w:r>
        <w:rPr>
          <w:rStyle w:val="CharSectno"/>
        </w:rPr>
        <w:t>9</w:t>
      </w:r>
      <w:r>
        <w:t>.</w:t>
      </w:r>
      <w:r>
        <w:tab/>
        <w:t>Driver’s licence to be provisional in some cases</w:t>
      </w:r>
      <w:bookmarkEnd w:id="14"/>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15" w:name="_Toc377111938"/>
      <w:r>
        <w:rPr>
          <w:rStyle w:val="CharSectno"/>
        </w:rPr>
        <w:t>10</w:t>
      </w:r>
      <w:r>
        <w:t>.</w:t>
      </w:r>
      <w:r>
        <w:tab/>
        <w:t>Novice driver (type 1A), night</w:t>
      </w:r>
      <w:r>
        <w:noBreakHyphen/>
        <w:t>time driving restriction for</w:t>
      </w:r>
      <w:bookmarkEnd w:id="15"/>
      <w:r>
        <w:t xml:space="preserve"> </w:t>
      </w:r>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keepLines w:val="0"/>
      </w:pPr>
      <w:bookmarkStart w:id="16" w:name="_Toc377111939"/>
      <w:r>
        <w:rPr>
          <w:rStyle w:val="CharSectno"/>
        </w:rPr>
        <w:t>11</w:t>
      </w:r>
      <w:r>
        <w:t>.</w:t>
      </w:r>
      <w:r>
        <w:tab/>
        <w:t>Carrying passengers for reward not generally authorised</w:t>
      </w:r>
      <w:bookmarkEnd w:id="16"/>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spacing w:before="120"/>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spacing w:before="180"/>
      </w:pPr>
      <w:bookmarkStart w:id="17" w:name="_Toc377111940"/>
      <w:r>
        <w:rPr>
          <w:rStyle w:val="CharSectno"/>
        </w:rPr>
        <w:t>12</w:t>
      </w:r>
      <w:r>
        <w:t>.</w:t>
      </w:r>
      <w:r>
        <w:tab/>
        <w:t>Carrying passengers for reward, authorisation for</w:t>
      </w:r>
      <w:bookmarkEnd w:id="17"/>
    </w:p>
    <w:p>
      <w:pPr>
        <w:pStyle w:val="Subsection"/>
        <w:spacing w:before="140"/>
      </w:pPr>
      <w:r>
        <w:tab/>
        <w:t>(1)</w:t>
      </w:r>
      <w:r>
        <w:tab/>
        <w:t>The Director General may endorse a driver’s licence to give the authorisation referred to in regulation 11(1).</w:t>
      </w:r>
    </w:p>
    <w:p>
      <w:pPr>
        <w:pStyle w:val="Subsection"/>
        <w:spacing w:before="140"/>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spacing w:before="120"/>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spacing w:before="120"/>
      </w:pPr>
      <w:r>
        <w:tab/>
        <w:t>(4)</w:t>
      </w:r>
      <w:r>
        <w:tab/>
        <w:t>A person may apply to the Director General for a driver’s licence held by that person to be endorsed as including extension F or extension T.</w:t>
      </w:r>
    </w:p>
    <w:p>
      <w:pPr>
        <w:pStyle w:val="Subsection"/>
        <w:spacing w:before="120"/>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spacing w:before="120"/>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keepNext/>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18" w:name="_Toc377111941"/>
      <w:r>
        <w:rPr>
          <w:rStyle w:val="CharSectno"/>
        </w:rPr>
        <w:t>13</w:t>
      </w:r>
      <w:r>
        <w:t>.</w:t>
      </w:r>
      <w:r>
        <w:tab/>
        <w:t>Trailer towing limits (Sch. 4)</w:t>
      </w:r>
      <w:bookmarkEnd w:id="1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9" w:name="_Toc377111942"/>
      <w:r>
        <w:rPr>
          <w:rStyle w:val="CharSectno"/>
        </w:rPr>
        <w:t>14</w:t>
      </w:r>
      <w:r>
        <w:t>.</w:t>
      </w:r>
      <w:r>
        <w:tab/>
        <w:t>Disqualifications etc. in another jurisdiction, recognition and effect of</w:t>
      </w:r>
      <w:bookmarkEnd w:id="19"/>
    </w:p>
    <w:p>
      <w:pPr>
        <w:pStyle w:val="Subsection"/>
        <w:keepNext/>
        <w:keepLines/>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 w:name="_Toc377111943"/>
      <w:r>
        <w:rPr>
          <w:rStyle w:val="CharDivNo"/>
        </w:rPr>
        <w:t>Division 2</w:t>
      </w:r>
      <w:r>
        <w:t> — </w:t>
      </w:r>
      <w:r>
        <w:rPr>
          <w:rStyle w:val="CharDivText"/>
        </w:rPr>
        <w:t>Eligibility to hold a driver’s licence</w:t>
      </w:r>
      <w:bookmarkEnd w:id="20"/>
    </w:p>
    <w:p>
      <w:pPr>
        <w:pStyle w:val="Heading5"/>
      </w:pPr>
      <w:bookmarkStart w:id="21" w:name="_Toc377111944"/>
      <w:r>
        <w:rPr>
          <w:rStyle w:val="CharSectno"/>
        </w:rPr>
        <w:t>15</w:t>
      </w:r>
      <w:r>
        <w:t>.</w:t>
      </w:r>
      <w:r>
        <w:tab/>
        <w:t>Minimum age for driver’s licence</w:t>
      </w:r>
      <w:bookmarkEnd w:id="21"/>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2" w:name="_Toc377111945"/>
      <w:r>
        <w:rPr>
          <w:rStyle w:val="CharSectno"/>
        </w:rPr>
        <w:t>16</w:t>
      </w:r>
      <w:r>
        <w:t>.</w:t>
      </w:r>
      <w:r>
        <w:tab/>
        <w:t>Ability to safely drive, demonstrating</w:t>
      </w:r>
      <w:bookmarkEnd w:id="22"/>
      <w:r>
        <w:t xml:space="preserve"> </w:t>
      </w:r>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(a)</w:t>
      </w:r>
      <w:r>
        <w:tab/>
        <w:t>after recording that driving, and having reached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(4A)</w:t>
      </w:r>
      <w:r>
        <w:tab/>
        <w:t xml:space="preserve">For the purposes of this regulation, an applicant for a driver’s licence who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r>
      <w:r>
        <w:tab/>
        <w:t>is to be taken to have not previously held a driver’s licence.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Subsection"/>
      </w:pPr>
      <w:r>
        <w:tab/>
        <w:t>(5)</w:t>
      </w:r>
      <w:r>
        <w:tab/>
        <w:t xml:space="preserve">Subregulation (2)(aa) has effect only in relation to a person who applies for a driver’s licence on or after the day on which the </w:t>
      </w:r>
      <w:r>
        <w:rPr>
          <w:i/>
        </w:rPr>
        <w:t>Road Traffic (Authorisation to Drive) Amendment Regulations (No. 2) 2012</w:t>
      </w:r>
      <w:r>
        <w:t xml:space="preserve"> regulation 4(1) comes into operation.</w:t>
      </w:r>
    </w:p>
    <w:p>
      <w:pPr>
        <w:pStyle w:val="Footnoteheading"/>
      </w:pPr>
      <w:r>
        <w:tab/>
        <w:t>[Regulation 16 amended in Gazette 2 Nov 2012 p. 5264 and 5265.]</w:t>
      </w:r>
    </w:p>
    <w:p>
      <w:pPr>
        <w:pStyle w:val="Heading5"/>
      </w:pPr>
      <w:bookmarkStart w:id="23" w:name="_Toc377111946"/>
      <w:r>
        <w:rPr>
          <w:rStyle w:val="CharSectno"/>
        </w:rPr>
        <w:t>17</w:t>
      </w:r>
      <w:r>
        <w:t>.</w:t>
      </w:r>
      <w:r>
        <w:tab/>
        <w:t>Ability to control motor vehicle, how can be shown (Sch. 5)</w:t>
      </w:r>
      <w:bookmarkEnd w:id="23"/>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learner approved motor cycle is to be taken to have satisfied the Director General of the ability to control motor vehicles that is needed for a driver’s licence to authorise the person to drive a motor vehicle of class R while the licence is endorsed with condition E.</w:t>
      </w:r>
    </w:p>
    <w:p>
      <w:pPr>
        <w:pStyle w:val="Footnotesection"/>
      </w:pPr>
      <w:r>
        <w:tab/>
        <w:t>[Regulation 17 amended in Gazette 30 Nov 2012 p. 5807.]</w:t>
      </w:r>
    </w:p>
    <w:p>
      <w:pPr>
        <w:pStyle w:val="Heading5"/>
      </w:pPr>
      <w:bookmarkStart w:id="24" w:name="_Toc377111947"/>
      <w:r>
        <w:rPr>
          <w:rStyle w:val="CharSectno"/>
        </w:rPr>
        <w:t>18</w:t>
      </w:r>
      <w:r>
        <w:t>.</w:t>
      </w:r>
      <w:r>
        <w:tab/>
        <w:t>Ability to safely drive, acceptable evidence of</w:t>
      </w:r>
      <w:bookmarkEnd w:id="24"/>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5" w:name="_Toc377111948"/>
      <w:r>
        <w:rPr>
          <w:rStyle w:val="CharSectno"/>
        </w:rPr>
        <w:t>19</w:t>
      </w:r>
      <w:r>
        <w:t>.</w:t>
      </w:r>
      <w:r>
        <w:tab/>
        <w:t>Drivers who are 80 or older, evidence as to ability of to safely drive</w:t>
      </w:r>
      <w:bookmarkEnd w:id="2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The applicant has to have demonstrated that ability within one year before the grant of the licence.</w:t>
      </w:r>
    </w:p>
    <w:p>
      <w:pPr>
        <w:pStyle w:val="Footnotesection"/>
      </w:pPr>
      <w:r>
        <w:tab/>
        <w:t>[Regulation 19 amended in Gazette 5 Apr 2012 p. 1578.]</w:t>
      </w:r>
    </w:p>
    <w:p>
      <w:pPr>
        <w:pStyle w:val="Heading5"/>
      </w:pPr>
      <w:bookmarkStart w:id="26" w:name="_Toc377111949"/>
      <w:r>
        <w:rPr>
          <w:rStyle w:val="CharSectno"/>
        </w:rPr>
        <w:t>20</w:t>
      </w:r>
      <w:r>
        <w:t>.</w:t>
      </w:r>
      <w:r>
        <w:tab/>
        <w:t>Knowledge of traffic laws and safe driving techniques, demonstrating</w:t>
      </w:r>
      <w:bookmarkEnd w:id="26"/>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7" w:name="_Toc377111950"/>
      <w:r>
        <w:rPr>
          <w:rStyle w:val="CharSectno"/>
        </w:rPr>
        <w:t>21</w:t>
      </w:r>
      <w:r>
        <w:t>.</w:t>
      </w:r>
      <w:r>
        <w:tab/>
        <w:t>Driver’s licence required as prerequisite for other driver’s licence (Sch. 6)</w:t>
      </w:r>
      <w:bookmarkEnd w:id="27"/>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8" w:name="_Toc377111951"/>
      <w:r>
        <w:rPr>
          <w:rStyle w:val="CharSectno"/>
        </w:rPr>
        <w:t>22</w:t>
      </w:r>
      <w:r>
        <w:t>.</w:t>
      </w:r>
      <w:r>
        <w:tab/>
        <w:t>Waiving certain requirements in special cases</w:t>
      </w:r>
      <w:bookmarkEnd w:id="28"/>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keepNext/>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9" w:name="_Toc377111952"/>
      <w:r>
        <w:rPr>
          <w:rStyle w:val="CharDivNo"/>
        </w:rPr>
        <w:t>Division 3</w:t>
      </w:r>
      <w:r>
        <w:t> — </w:t>
      </w:r>
      <w:r>
        <w:rPr>
          <w:rStyle w:val="CharDivText"/>
        </w:rPr>
        <w:t>Applying for grant or variation of driver’s licence</w:t>
      </w:r>
      <w:bookmarkEnd w:id="29"/>
    </w:p>
    <w:p>
      <w:pPr>
        <w:pStyle w:val="Heading5"/>
      </w:pPr>
      <w:bookmarkStart w:id="30" w:name="_Toc377111953"/>
      <w:r>
        <w:rPr>
          <w:rStyle w:val="CharSectno"/>
        </w:rPr>
        <w:t>23</w:t>
      </w:r>
      <w:r>
        <w:t>.</w:t>
      </w:r>
      <w:r>
        <w:tab/>
        <w:t>Driver’s licence, applying for</w:t>
      </w:r>
      <w:bookmarkEnd w:id="30"/>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31" w:name="_Toc377111954"/>
      <w:r>
        <w:rPr>
          <w:rStyle w:val="CharSectno"/>
        </w:rPr>
        <w:t>24</w:t>
      </w:r>
      <w:r>
        <w:t>.</w:t>
      </w:r>
      <w:r>
        <w:tab/>
        <w:t>Grant of licence</w:t>
      </w:r>
      <w:bookmarkEnd w:id="31"/>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32" w:name="_Toc377111955"/>
      <w:r>
        <w:rPr>
          <w:rStyle w:val="CharSectno"/>
        </w:rPr>
        <w:t>25</w:t>
      </w:r>
      <w:r>
        <w:t>.</w:t>
      </w:r>
      <w:r>
        <w:tab/>
        <w:t>Some grounds for refusing to grant driver’s licence</w:t>
      </w:r>
      <w:bookmarkEnd w:id="32"/>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33" w:name="_Toc377111956"/>
      <w:r>
        <w:rPr>
          <w:rStyle w:val="CharSectno"/>
        </w:rPr>
        <w:t>26</w:t>
      </w:r>
      <w:r>
        <w:t>.</w:t>
      </w:r>
      <w:r>
        <w:tab/>
        <w:t>Applicant with cancelled licence, requirement for</w:t>
      </w:r>
      <w:bookmarkEnd w:id="33"/>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34" w:name="_Toc377111957"/>
      <w:r>
        <w:rPr>
          <w:rStyle w:val="CharSectno"/>
        </w:rPr>
        <w:t>27</w:t>
      </w:r>
      <w:r>
        <w:t>.</w:t>
      </w:r>
      <w:r>
        <w:tab/>
        <w:t>Driving tests, time of etc.</w:t>
      </w:r>
      <w:bookmarkEnd w:id="34"/>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35" w:name="_Toc377111958"/>
      <w:r>
        <w:rPr>
          <w:rStyle w:val="CharSectno"/>
        </w:rPr>
        <w:t>28</w:t>
      </w:r>
      <w:r>
        <w:t>.</w:t>
      </w:r>
      <w:r>
        <w:tab/>
        <w:t>Varying driver’s licence</w:t>
      </w:r>
      <w:bookmarkEnd w:id="35"/>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6" w:name="_Toc377111959"/>
      <w:r>
        <w:rPr>
          <w:rStyle w:val="CharSectno"/>
        </w:rPr>
        <w:t>29</w:t>
      </w:r>
      <w:r>
        <w:t>.</w:t>
      </w:r>
      <w:r>
        <w:tab/>
        <w:t>Surrender of driver’s licence</w:t>
      </w:r>
      <w:bookmarkEnd w:id="36"/>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37" w:name="_Toc377111960"/>
      <w:r>
        <w:rPr>
          <w:rStyle w:val="CharDivNo"/>
        </w:rPr>
        <w:t>Division 4</w:t>
      </w:r>
      <w:r>
        <w:t> — </w:t>
      </w:r>
      <w:r>
        <w:rPr>
          <w:rStyle w:val="CharDivText"/>
        </w:rPr>
        <w:t>Driver’s licence documents</w:t>
      </w:r>
      <w:bookmarkEnd w:id="37"/>
    </w:p>
    <w:p>
      <w:pPr>
        <w:pStyle w:val="Heading5"/>
      </w:pPr>
      <w:bookmarkStart w:id="38" w:name="_Toc377111961"/>
      <w:r>
        <w:rPr>
          <w:rStyle w:val="CharSectno"/>
        </w:rPr>
        <w:t>30</w:t>
      </w:r>
      <w:r>
        <w:t>.</w:t>
      </w:r>
      <w:r>
        <w:tab/>
        <w:t>Driver’s licence, issue and form of</w:t>
      </w:r>
      <w:bookmarkEnd w:id="38"/>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9" w:name="_Toc377111962"/>
      <w:r>
        <w:rPr>
          <w:rStyle w:val="CharSectno"/>
        </w:rPr>
        <w:t>31</w:t>
      </w:r>
      <w:r>
        <w:t>.</w:t>
      </w:r>
      <w:r>
        <w:tab/>
        <w:t>Lost etc. driver’s licence, replacing</w:t>
      </w:r>
      <w:bookmarkEnd w:id="39"/>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keepNext/>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0" w:name="_Toc377111963"/>
      <w:r>
        <w:rPr>
          <w:rStyle w:val="CharSectno"/>
        </w:rPr>
        <w:t>32</w:t>
      </w:r>
      <w:r>
        <w:t>.</w:t>
      </w:r>
      <w:r>
        <w:tab/>
        <w:t>Driver’s licence to be returned to Director General in some cases</w:t>
      </w:r>
      <w:bookmarkEnd w:id="40"/>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41" w:name="_Toc377111964"/>
      <w:r>
        <w:rPr>
          <w:rStyle w:val="CharDivNo"/>
        </w:rPr>
        <w:t>Division 5</w:t>
      </w:r>
      <w:r>
        <w:t> — </w:t>
      </w:r>
      <w:r>
        <w:rPr>
          <w:rStyle w:val="CharDivText"/>
        </w:rPr>
        <w:t>Other provisions about drivers’ licences</w:t>
      </w:r>
      <w:bookmarkEnd w:id="41"/>
    </w:p>
    <w:p>
      <w:pPr>
        <w:pStyle w:val="Heading5"/>
      </w:pPr>
      <w:bookmarkStart w:id="42" w:name="_Toc377111965"/>
      <w:r>
        <w:rPr>
          <w:rStyle w:val="CharSectno"/>
        </w:rPr>
        <w:t>33</w:t>
      </w:r>
      <w:r>
        <w:t>.</w:t>
      </w:r>
      <w:r>
        <w:tab/>
        <w:t>Conditions on licences, imposing etc.</w:t>
      </w:r>
      <w:bookmarkEnd w:id="42"/>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43" w:name="_Toc377111966"/>
      <w:r>
        <w:rPr>
          <w:rStyle w:val="CharSectno"/>
        </w:rPr>
        <w:t>34</w:t>
      </w:r>
      <w:r>
        <w:t>.</w:t>
      </w:r>
      <w:r>
        <w:tab/>
        <w:t>Procedures for imposing etc. conditions</w:t>
      </w:r>
      <w:bookmarkEnd w:id="43"/>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4" w:name="_Toc377111967"/>
      <w:r>
        <w:rPr>
          <w:rStyle w:val="CharSectno"/>
        </w:rPr>
        <w:t>35</w:t>
      </w:r>
      <w:r>
        <w:t>.</w:t>
      </w:r>
      <w:r>
        <w:tab/>
        <w:t>Breach of condition, consequence of (Sch. 7)</w:t>
      </w:r>
      <w:bookmarkEnd w:id="44"/>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45" w:name="_Toc377111968"/>
      <w:r>
        <w:rPr>
          <w:rStyle w:val="CharSectno"/>
        </w:rPr>
        <w:t>36</w:t>
      </w:r>
      <w:r>
        <w:t>.</w:t>
      </w:r>
      <w:r>
        <w:tab/>
        <w:t>P plates, form and display of</w:t>
      </w:r>
      <w:bookmarkEnd w:id="45"/>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rPr>
        <w:drawing>
          <wp:inline distT="0" distB="0" distL="0" distR="0">
            <wp:extent cx="194564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46" w:name="_Toc377111969"/>
      <w:r>
        <w:rPr>
          <w:rStyle w:val="CharSectno"/>
        </w:rPr>
        <w:t>37</w:t>
      </w:r>
      <w:r>
        <w:t>.</w:t>
      </w:r>
      <w:r>
        <w:tab/>
        <w:t>Duration of driver’s licence</w:t>
      </w:r>
      <w:bookmarkEnd w:id="46"/>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76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Footnotesection"/>
      </w:pPr>
      <w:r>
        <w:tab/>
        <w:t>[Regulation 37 amended in Gazette 5 Apr 2012 p. 1579.]</w:t>
      </w:r>
    </w:p>
    <w:p>
      <w:pPr>
        <w:pStyle w:val="Heading5"/>
      </w:pPr>
      <w:bookmarkStart w:id="47" w:name="_Toc377111970"/>
      <w:r>
        <w:rPr>
          <w:rStyle w:val="CharSectno"/>
        </w:rPr>
        <w:t>38</w:t>
      </w:r>
      <w:r>
        <w:t>.</w:t>
      </w:r>
      <w:r>
        <w:tab/>
        <w:t>Grant of driver’s licence by way of renewal</w:t>
      </w:r>
      <w:bookmarkEnd w:id="47"/>
    </w:p>
    <w:p>
      <w:pPr>
        <w:pStyle w:val="Subsection"/>
        <w:spacing w:before="100"/>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spacing w:before="100"/>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48" w:name="_Toc377111971"/>
      <w:r>
        <w:rPr>
          <w:rStyle w:val="CharSectno"/>
        </w:rPr>
        <w:t>39</w:t>
      </w:r>
      <w:r>
        <w:t>.</w:t>
      </w:r>
      <w:r>
        <w:tab/>
        <w:t>Renewal application made after driver’s licence expires</w:t>
      </w:r>
      <w:bookmarkEnd w:id="48"/>
    </w:p>
    <w:p>
      <w:pPr>
        <w:pStyle w:val="Subsection"/>
        <w:spacing w:before="100"/>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spacing w:before="100"/>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9" w:name="_Toc377111972"/>
      <w:r>
        <w:rPr>
          <w:rStyle w:val="CharSectno"/>
        </w:rPr>
        <w:t>40</w:t>
      </w:r>
      <w:r>
        <w:t>.</w:t>
      </w:r>
      <w:r>
        <w:tab/>
        <w:t>Change of licence holder’s address</w:t>
      </w:r>
      <w:bookmarkEnd w:id="49"/>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or in any other manner approved in writing by the Director General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pPr>
      <w:r>
        <w:tab/>
        <w:t>[Regulation 40 amended in Gazette 2 Dec 2011 p. 5074.]</w:t>
      </w:r>
    </w:p>
    <w:p>
      <w:pPr>
        <w:pStyle w:val="Heading5"/>
      </w:pPr>
      <w:bookmarkStart w:id="50" w:name="_Toc377111973"/>
      <w:r>
        <w:rPr>
          <w:rStyle w:val="CharSectno"/>
        </w:rPr>
        <w:t>41</w:t>
      </w:r>
      <w:r>
        <w:t>.</w:t>
      </w:r>
      <w:r>
        <w:tab/>
        <w:t>Suspending or cancelling driver’s licence, Director General’s powers for</w:t>
      </w:r>
      <w:bookmarkEnd w:id="50"/>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keepNext/>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51" w:name="_Toc377111974"/>
      <w:r>
        <w:rPr>
          <w:rStyle w:val="CharSectno"/>
        </w:rPr>
        <w:t>42</w:t>
      </w:r>
      <w:r>
        <w:t>.</w:t>
      </w:r>
      <w:r>
        <w:tab/>
        <w:t>Decisions by Director General, form of, reconsidering and SAT review of</w:t>
      </w:r>
      <w:bookmarkEnd w:id="51"/>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Ednotesection"/>
      </w:pPr>
      <w:r>
        <w:t>[</w:t>
      </w:r>
      <w:r>
        <w:rPr>
          <w:b/>
        </w:rPr>
        <w:t>43.</w:t>
      </w:r>
      <w:r>
        <w:tab/>
        <w:t>Deleted in Gazette 2 Dec 2011 p. 5081.]</w:t>
      </w:r>
    </w:p>
    <w:p>
      <w:pPr>
        <w:pStyle w:val="Heading2"/>
      </w:pPr>
      <w:bookmarkStart w:id="52" w:name="_Toc377111975"/>
      <w:r>
        <w:rPr>
          <w:rStyle w:val="CharPartNo"/>
        </w:rPr>
        <w:t>Part 3</w:t>
      </w:r>
      <w:r>
        <w:rPr>
          <w:rStyle w:val="CharDivNo"/>
        </w:rPr>
        <w:t> </w:t>
      </w:r>
      <w:r>
        <w:t>—</w:t>
      </w:r>
      <w:r>
        <w:rPr>
          <w:rStyle w:val="CharDivText"/>
        </w:rPr>
        <w:t> </w:t>
      </w:r>
      <w:r>
        <w:rPr>
          <w:rStyle w:val="CharPartText"/>
        </w:rPr>
        <w:t>Learner drivers</w:t>
      </w:r>
      <w:bookmarkEnd w:id="52"/>
    </w:p>
    <w:p>
      <w:pPr>
        <w:pStyle w:val="Heading5"/>
      </w:pPr>
      <w:bookmarkStart w:id="53" w:name="_Toc377111976"/>
      <w:r>
        <w:rPr>
          <w:rStyle w:val="CharSectno"/>
        </w:rPr>
        <w:t>44</w:t>
      </w:r>
      <w:r>
        <w:t>.</w:t>
      </w:r>
      <w:r>
        <w:tab/>
        <w:t>Learner’s permit, what it authorises</w:t>
      </w:r>
      <w:bookmarkEnd w:id="53"/>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54" w:name="_Toc377111977"/>
      <w:r>
        <w:rPr>
          <w:rStyle w:val="CharSectno"/>
        </w:rPr>
        <w:t>45</w:t>
      </w:r>
      <w:r>
        <w:t>.</w:t>
      </w:r>
      <w:r>
        <w:tab/>
        <w:t>Driving instruction, who may give</w:t>
      </w:r>
      <w:bookmarkEnd w:id="5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55" w:name="_Toc377111978"/>
      <w:r>
        <w:rPr>
          <w:rStyle w:val="CharSectno"/>
        </w:rPr>
        <w:t>46</w:t>
      </w:r>
      <w:r>
        <w:t>.</w:t>
      </w:r>
      <w:r>
        <w:tab/>
        <w:t>Minimum age for learner’s permit</w:t>
      </w:r>
      <w:bookmarkEnd w:id="55"/>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56" w:name="_Toc377111979"/>
      <w:r>
        <w:rPr>
          <w:rStyle w:val="CharSectno"/>
        </w:rPr>
        <w:t>47</w:t>
      </w:r>
      <w:r>
        <w:t>.</w:t>
      </w:r>
      <w:r>
        <w:tab/>
        <w:t>Knowledge of traffic laws and safe driving techniques, requirements as to</w:t>
      </w:r>
      <w:bookmarkEnd w:id="56"/>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57" w:name="_Toc377111980"/>
      <w:r>
        <w:rPr>
          <w:rStyle w:val="CharSectno"/>
        </w:rPr>
        <w:t>48</w:t>
      </w:r>
      <w:r>
        <w:t>.</w:t>
      </w:r>
      <w:r>
        <w:tab/>
        <w:t>Driver’s licence required as prerequisite for learner’s permit (Sch. 8)</w:t>
      </w:r>
      <w:bookmarkEnd w:id="57"/>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58" w:name="_Toc377111981"/>
      <w:r>
        <w:rPr>
          <w:rStyle w:val="CharSectno"/>
        </w:rPr>
        <w:t>49</w:t>
      </w:r>
      <w:r>
        <w:t>.</w:t>
      </w:r>
      <w:r>
        <w:tab/>
        <w:t>Conditions on learner’s permit</w:t>
      </w:r>
      <w:bookmarkEnd w:id="58"/>
    </w:p>
    <w:p>
      <w:pPr>
        <w:pStyle w:val="Subsection"/>
        <w:keepNext/>
        <w:keepLines/>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59" w:name="_Toc377111982"/>
      <w:r>
        <w:rPr>
          <w:rStyle w:val="CharSectno"/>
        </w:rPr>
        <w:t>50</w:t>
      </w:r>
      <w:r>
        <w:t>.</w:t>
      </w:r>
      <w:r>
        <w:tab/>
        <w:t>Breach of condition, consequence of</w:t>
      </w:r>
      <w:bookmarkEnd w:id="59"/>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60" w:name="_Toc377111983"/>
      <w:r>
        <w:rPr>
          <w:rStyle w:val="CharSectno"/>
        </w:rPr>
        <w:t>51</w:t>
      </w:r>
      <w:r>
        <w:t>.</w:t>
      </w:r>
      <w:r>
        <w:tab/>
        <w:t>L plates, form and display of</w:t>
      </w:r>
      <w:bookmarkEnd w:id="60"/>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61" w:name="_Toc377111984"/>
      <w:r>
        <w:rPr>
          <w:rStyle w:val="CharSectno"/>
        </w:rPr>
        <w:t>52</w:t>
      </w:r>
      <w:r>
        <w:t>.</w:t>
      </w:r>
      <w:r>
        <w:tab/>
        <w:t>Learner’s permit, applying for</w:t>
      </w:r>
      <w:bookmarkEnd w:id="61"/>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62" w:name="_Toc377111985"/>
      <w:r>
        <w:rPr>
          <w:rStyle w:val="CharSectno"/>
        </w:rPr>
        <w:t>53</w:t>
      </w:r>
      <w:r>
        <w:t>.</w:t>
      </w:r>
      <w:r>
        <w:tab/>
        <w:t>Learner’s permit document, issue and form of</w:t>
      </w:r>
      <w:bookmarkEnd w:id="62"/>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63" w:name="_Toc377111986"/>
      <w:r>
        <w:rPr>
          <w:rStyle w:val="CharSectno"/>
        </w:rPr>
        <w:t>54</w:t>
      </w:r>
      <w:r>
        <w:t>.</w:t>
      </w:r>
      <w:r>
        <w:tab/>
        <w:t>Lost etc. learner’s permit, replacing</w:t>
      </w:r>
      <w:bookmarkEnd w:id="63"/>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64" w:name="_Toc377111987"/>
      <w:r>
        <w:rPr>
          <w:rStyle w:val="CharSectno"/>
        </w:rPr>
        <w:t>55</w:t>
      </w:r>
      <w:r>
        <w:t>.</w:t>
      </w:r>
      <w:r>
        <w:tab/>
        <w:t>Suspending or cancelling learner’s permit, Director General’s powers for</w:t>
      </w:r>
      <w:bookmarkEnd w:id="64"/>
    </w:p>
    <w:p>
      <w:pPr>
        <w:pStyle w:val="Subsection"/>
      </w:pPr>
      <w:r>
        <w:tab/>
      </w:r>
      <w:r>
        <w:tab/>
        <w:t>The Director General may suspend or cancel a learner’s permit by notice in writing given to the holder of the permit.</w:t>
      </w:r>
    </w:p>
    <w:p>
      <w:pPr>
        <w:pStyle w:val="Heading2"/>
      </w:pPr>
      <w:bookmarkStart w:id="65" w:name="_Toc377111988"/>
      <w:r>
        <w:rPr>
          <w:rStyle w:val="CharPartNo"/>
        </w:rPr>
        <w:t>Part 4</w:t>
      </w:r>
      <w:r>
        <w:rPr>
          <w:rStyle w:val="CharDivNo"/>
        </w:rPr>
        <w:t> </w:t>
      </w:r>
      <w:r>
        <w:t>—</w:t>
      </w:r>
      <w:r>
        <w:rPr>
          <w:rStyle w:val="CharDivText"/>
        </w:rPr>
        <w:t> </w:t>
      </w:r>
      <w:r>
        <w:rPr>
          <w:rStyle w:val="CharPartText"/>
        </w:rPr>
        <w:t>Other matters about driver authorisations</w:t>
      </w:r>
      <w:bookmarkEnd w:id="65"/>
    </w:p>
    <w:p>
      <w:pPr>
        <w:pStyle w:val="Heading5"/>
      </w:pPr>
      <w:bookmarkStart w:id="66" w:name="_Toc377111989"/>
      <w:r>
        <w:rPr>
          <w:rStyle w:val="CharSectno"/>
        </w:rPr>
        <w:t>56</w:t>
      </w:r>
      <w:r>
        <w:t>.</w:t>
      </w:r>
      <w:r>
        <w:tab/>
        <w:t>Certain motor vehicles may be driven without licence</w:t>
      </w:r>
      <w:bookmarkEnd w:id="66"/>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as follows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Indenta"/>
      </w:pPr>
      <w:r>
        <w:tab/>
        <w:t>(f)</w:t>
      </w:r>
      <w:r>
        <w:tab/>
        <w:t xml:space="preserve">an electric personal transporter that cannot travel at a </w:t>
      </w:r>
      <w:r>
        <w:rPr>
          <w:color w:val="000000"/>
        </w:rPr>
        <w:t xml:space="preserve">speed exceeding 10 km/h, </w:t>
      </w:r>
      <w:r>
        <w:t>used only in an electric personal transporter use area.</w:t>
      </w:r>
    </w:p>
    <w:p>
      <w:pPr>
        <w:pStyle w:val="Footnotesection"/>
      </w:pPr>
      <w:r>
        <w:tab/>
        <w:t>[Regulation 56 amended in Gazette 12 Apr 2013 p. 1541</w:t>
      </w:r>
      <w:r>
        <w:noBreakHyphen/>
        <w:t>2.]</w:t>
      </w:r>
    </w:p>
    <w:p>
      <w:pPr>
        <w:pStyle w:val="Heading5"/>
      </w:pPr>
      <w:bookmarkStart w:id="67" w:name="_Toc377111990"/>
      <w:r>
        <w:rPr>
          <w:rStyle w:val="CharSectno"/>
        </w:rPr>
        <w:t>57</w:t>
      </w:r>
      <w:r>
        <w:t>.</w:t>
      </w:r>
      <w:r>
        <w:tab/>
        <w:t>Australian driver licence may authorise learning to drive</w:t>
      </w:r>
      <w:bookmarkEnd w:id="67"/>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68" w:name="_Toc377111991"/>
      <w:r>
        <w:rPr>
          <w:rStyle w:val="CharSectno"/>
        </w:rPr>
        <w:t>58</w:t>
      </w:r>
      <w:r>
        <w:t>.</w:t>
      </w:r>
      <w:r>
        <w:tab/>
        <w:t>Director General may permit certain driving without licence</w:t>
      </w:r>
      <w:bookmarkEnd w:id="68"/>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9" w:name="_Toc377111992"/>
      <w:r>
        <w:rPr>
          <w:rStyle w:val="CharSectno"/>
        </w:rPr>
        <w:t>59</w:t>
      </w:r>
      <w:r>
        <w:t>.</w:t>
      </w:r>
      <w:r>
        <w:tab/>
        <w:t>Foreign driving authorisation may not prevent grant of driver’s licence</w:t>
      </w:r>
      <w:bookmarkEnd w:id="69"/>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70" w:name="_Toc377111993"/>
      <w:r>
        <w:rPr>
          <w:rStyle w:val="CharSectno"/>
        </w:rPr>
        <w:t>60</w:t>
      </w:r>
      <w:r>
        <w:t>.</w:t>
      </w:r>
      <w:r>
        <w:tab/>
        <w:t>Other Australian jurisdiction’s driving authorisations, recognising</w:t>
      </w:r>
      <w:bookmarkEnd w:id="70"/>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71" w:name="_Toc377111994"/>
      <w:r>
        <w:rPr>
          <w:rStyle w:val="CharSectno"/>
        </w:rPr>
        <w:t>61</w:t>
      </w:r>
      <w:r>
        <w:t>.</w:t>
      </w:r>
      <w:r>
        <w:tab/>
        <w:t>Foreign driving authorisation, recognising</w:t>
      </w:r>
      <w:bookmarkEnd w:id="71"/>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72" w:name="_Toc377111995"/>
      <w:r>
        <w:rPr>
          <w:rStyle w:val="CharSectno"/>
        </w:rPr>
        <w:t>62</w:t>
      </w:r>
      <w:r>
        <w:t>.</w:t>
      </w:r>
      <w:r>
        <w:tab/>
        <w:t>Recognition under r. 60 or 61, effect of</w:t>
      </w:r>
      <w:bookmarkEnd w:id="72"/>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73" w:name="_Toc377111996"/>
      <w:r>
        <w:rPr>
          <w:rStyle w:val="CharSectno"/>
        </w:rPr>
        <w:t>63</w:t>
      </w:r>
      <w:r>
        <w:t>.</w:t>
      </w:r>
      <w:r>
        <w:tab/>
        <w:t>Excluding person from being authorised by r. 62</w:t>
      </w:r>
      <w:bookmarkEnd w:id="73"/>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74" w:name="_Toc377111997"/>
      <w:r>
        <w:rPr>
          <w:rStyle w:val="CharSectno"/>
        </w:rPr>
        <w:t>64</w:t>
      </w:r>
      <w:r>
        <w:t>.</w:t>
      </w:r>
      <w:r>
        <w:tab/>
        <w:t>Other jurisdiction’s driving authorisation document to be carried</w:t>
      </w:r>
      <w:bookmarkEnd w:id="74"/>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75" w:name="_Toc377111998"/>
      <w:r>
        <w:rPr>
          <w:rStyle w:val="CharSectno"/>
        </w:rPr>
        <w:t>65</w:t>
      </w:r>
      <w:r>
        <w:t>.</w:t>
      </w:r>
      <w:r>
        <w:tab/>
        <w:t>Duty to reveal things that might impair ability to drive</w:t>
      </w:r>
      <w:bookmarkEnd w:id="7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76" w:name="_Toc377111999"/>
      <w:r>
        <w:rPr>
          <w:rStyle w:val="CharPartNo"/>
        </w:rPr>
        <w:t>Part 5</w:t>
      </w:r>
      <w:r>
        <w:rPr>
          <w:rStyle w:val="CharDivNo"/>
        </w:rPr>
        <w:t> </w:t>
      </w:r>
      <w:r>
        <w:t>—</w:t>
      </w:r>
      <w:r>
        <w:rPr>
          <w:rStyle w:val="CharDivText"/>
        </w:rPr>
        <w:t> </w:t>
      </w:r>
      <w:r>
        <w:rPr>
          <w:rStyle w:val="CharPartText"/>
        </w:rPr>
        <w:t>Repeal and transitional provisions</w:t>
      </w:r>
      <w:bookmarkEnd w:id="76"/>
    </w:p>
    <w:p>
      <w:pPr>
        <w:pStyle w:val="Ednotesection"/>
      </w:pPr>
      <w:r>
        <w:t>[</w:t>
      </w:r>
      <w:r>
        <w:rPr>
          <w:b/>
        </w:rPr>
        <w:t>66.</w:t>
      </w:r>
      <w:r>
        <w:tab/>
        <w:t>Omitted under the Reprints Act 1984 s. 7(4)(f).]</w:t>
      </w:r>
    </w:p>
    <w:p>
      <w:pPr>
        <w:pStyle w:val="Heading5"/>
      </w:pPr>
      <w:bookmarkStart w:id="77" w:name="_Toc377112000"/>
      <w:r>
        <w:rPr>
          <w:rStyle w:val="CharSectno"/>
        </w:rPr>
        <w:t>67</w:t>
      </w:r>
      <w:r>
        <w:t>.</w:t>
      </w:r>
      <w:r>
        <w:tab/>
        <w:t>Transitional provisions relating to</w:t>
      </w:r>
      <w:r>
        <w:rPr>
          <w:i/>
        </w:rPr>
        <w:t xml:space="preserve"> Road Traffic Amendment Act 2006</w:t>
      </w:r>
      <w:bookmarkEnd w:id="77"/>
    </w:p>
    <w:p>
      <w:pPr>
        <w:pStyle w:val="Subsection"/>
      </w:pPr>
      <w:r>
        <w:tab/>
        <w:t>(1)</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w:t>
      </w:r>
      <w:r>
        <w:rPr>
          <w:vertAlign w:val="superscript"/>
        </w:rPr>
        <w:t> 2</w:t>
      </w:r>
      <w:r>
        <w:t xml:space="preserve">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w:t>
      </w:r>
      <w:r>
        <w:rPr>
          <w:vertAlign w:val="superscript"/>
        </w:rPr>
        <w:t> 2</w:t>
      </w:r>
      <w:r>
        <w:t>,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w:t>
      </w:r>
      <w:r>
        <w:rPr>
          <w:vertAlign w:val="superscript"/>
        </w:rPr>
        <w:t> 2</w:t>
      </w:r>
      <w:r>
        <w:t xml:space="preserve"> is to be regarded as being a day on which a report was provided under regulation 12(11).</w:t>
      </w:r>
    </w:p>
    <w:p>
      <w:pPr>
        <w:pStyle w:val="Heading5"/>
      </w:pPr>
      <w:bookmarkStart w:id="78" w:name="_Toc377112001"/>
      <w:r>
        <w:rPr>
          <w:rStyle w:val="CharSectno"/>
        </w:rPr>
        <w:t>68</w:t>
      </w:r>
      <w:r>
        <w:t>.</w:t>
      </w:r>
      <w:r>
        <w:tab/>
        <w:t xml:space="preserve">Transitional provision relating to </w:t>
      </w:r>
      <w:r>
        <w:rPr>
          <w:i/>
        </w:rPr>
        <w:t>Road Traffic (Authorisation to Drive) Amendment Regulations (No. 3) 2012</w:t>
      </w:r>
      <w:bookmarkEnd w:id="78"/>
    </w:p>
    <w:p>
      <w:pPr>
        <w:pStyle w:val="Subsection"/>
      </w:pPr>
      <w:r>
        <w:tab/>
        <w:t>(1)</w:t>
      </w:r>
      <w:r>
        <w:tab/>
        <w:t xml:space="preserve">This regulation applies to a driver’s licence if, immediately before the coming into operation of the </w:t>
      </w:r>
      <w:r>
        <w:rPr>
          <w:i/>
        </w:rPr>
        <w:t xml:space="preserve">Road Traffic (Authorisation to Drive) Amendment Regulations (No. 3) 2012 </w:t>
      </w:r>
      <w:r>
        <w:t>regulation 9, the licence authorised a person to drive a vehicle of class R and was endorsed with condition E.</w:t>
      </w:r>
    </w:p>
    <w:p>
      <w:pPr>
        <w:pStyle w:val="Subsection"/>
      </w:pPr>
      <w:r>
        <w:tab/>
        <w:t>(2)</w:t>
      </w:r>
      <w:r>
        <w:tab/>
        <w:t xml:space="preserve">During the period of 12 months beginning on 14 January 2013, Schedule 7 applies in relation to the driver’s licence as if the reference in column 2 of the Table in that Schedule to a learner approved motor cycle were a reference to a motor cycle that — </w:t>
      </w:r>
    </w:p>
    <w:p>
      <w:pPr>
        <w:pStyle w:val="Indenta"/>
      </w:pPr>
      <w:r>
        <w:tab/>
        <w:t>(a)</w:t>
      </w:r>
      <w:r>
        <w:tab/>
        <w:t>is a learner approved motor cycle; or</w:t>
      </w:r>
    </w:p>
    <w:p>
      <w:pPr>
        <w:pStyle w:val="Indenta"/>
      </w:pPr>
      <w:r>
        <w:tab/>
        <w:t>(b)</w:t>
      </w:r>
      <w:r>
        <w:tab/>
        <w:t>has an engine capacity not exceeding 250 cc.</w:t>
      </w:r>
    </w:p>
    <w:p>
      <w:pPr>
        <w:pStyle w:val="Footnotesection"/>
      </w:pPr>
      <w:r>
        <w:tab/>
        <w:t>[Regulation 68 inserted in Gazette 30 Nov 2012 p. 5807.]</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9" w:name="_Toc377112002"/>
      <w:r>
        <w:rPr>
          <w:rStyle w:val="CharSchNo"/>
        </w:rPr>
        <w:t>Schedule 1</w:t>
      </w:r>
      <w:r>
        <w:rPr>
          <w:rStyle w:val="CharSDivNo"/>
        </w:rPr>
        <w:t> </w:t>
      </w:r>
      <w:r>
        <w:t>—</w:t>
      </w:r>
      <w:r>
        <w:rPr>
          <w:rStyle w:val="CharSDivText"/>
        </w:rPr>
        <w:t> </w:t>
      </w:r>
      <w:r>
        <w:rPr>
          <w:rStyle w:val="CharSchText"/>
        </w:rPr>
        <w:t>Classes of motor vehicles</w:t>
      </w:r>
      <w:bookmarkEnd w:id="79"/>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not exceeding 4.5 t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not exceeding 4.5 t and that is equipped to seat more than 12 adults including the driver; or</w:t>
            </w:r>
          </w:p>
        </w:tc>
      </w:tr>
      <w:tr>
        <w:tc>
          <w:tcPr>
            <w:tcW w:w="1418" w:type="dxa"/>
          </w:tcPr>
          <w:p>
            <w:pPr>
              <w:pStyle w:val="yTableNAm"/>
            </w:pPr>
          </w:p>
        </w:tc>
        <w:tc>
          <w:tcPr>
            <w:tcW w:w="5670" w:type="dxa"/>
          </w:tcPr>
          <w:p>
            <w:pPr>
              <w:pStyle w:val="yTableNAm"/>
            </w:pPr>
            <w:r>
              <w:t>(b)</w:t>
            </w:r>
            <w:r>
              <w:tab/>
              <w:t>has a GVM exceeding 4.5 t but not exceeding 8 t</w:t>
            </w:r>
          </w:p>
        </w:tc>
      </w:tr>
      <w:tr>
        <w:tc>
          <w:tcPr>
            <w:tcW w:w="1418" w:type="dxa"/>
          </w:tcPr>
          <w:p>
            <w:pPr>
              <w:pStyle w:val="yTableNAm"/>
            </w:pPr>
            <w:r>
              <w:t>MR</w:t>
            </w:r>
          </w:p>
        </w:tc>
        <w:tc>
          <w:tcPr>
            <w:tcW w:w="5670" w:type="dxa"/>
          </w:tcPr>
          <w:p>
            <w:pPr>
              <w:pStyle w:val="yTableNAm"/>
            </w:pPr>
            <w:r>
              <w:t>a motor vehicle, other than a motor cycle or motor carrier, that has 2 axles and a GVM exceeding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exceeding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exceeding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80" w:name="_Toc377112003"/>
      <w:r>
        <w:rPr>
          <w:rStyle w:val="CharSchNo"/>
        </w:rPr>
        <w:t>Schedule 2</w:t>
      </w:r>
      <w:r>
        <w:rPr>
          <w:rStyle w:val="CharSDivNo"/>
        </w:rPr>
        <w:t> </w:t>
      </w:r>
      <w:r>
        <w:t>—</w:t>
      </w:r>
      <w:r>
        <w:rPr>
          <w:rStyle w:val="CharSDivText"/>
        </w:rPr>
        <w:t> </w:t>
      </w:r>
      <w:r>
        <w:rPr>
          <w:rStyle w:val="CharSchText"/>
        </w:rPr>
        <w:t>Classes of authorisation to drive</w:t>
      </w:r>
      <w:bookmarkEnd w:id="80"/>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81" w:name="_Toc377112004"/>
      <w:r>
        <w:rPr>
          <w:rStyle w:val="CharSchNo"/>
        </w:rPr>
        <w:t>Schedule 3</w:t>
      </w:r>
      <w:r>
        <w:rPr>
          <w:rStyle w:val="CharSDivNo"/>
        </w:rPr>
        <w:t> </w:t>
      </w:r>
      <w:r>
        <w:t>—</w:t>
      </w:r>
      <w:r>
        <w:rPr>
          <w:rStyle w:val="CharSDivText"/>
        </w:rPr>
        <w:t> </w:t>
      </w:r>
      <w:r>
        <w:rPr>
          <w:rStyle w:val="CharSchText"/>
        </w:rPr>
        <w:t>Vehicle running costs</w:t>
      </w:r>
      <w:bookmarkEnd w:id="81"/>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NAm"/>
              <w:rPr>
                <w:b/>
              </w:rPr>
            </w:pPr>
            <w:r>
              <w:rPr>
                <w:b/>
              </w:rPr>
              <w:t>description of vehicle</w:t>
            </w:r>
          </w:p>
        </w:tc>
        <w:tc>
          <w:tcPr>
            <w:tcW w:w="1559" w:type="dxa"/>
            <w:tcBorders>
              <w:top w:val="single" w:sz="4" w:space="0" w:color="auto"/>
              <w:bottom w:val="single" w:sz="4" w:space="0" w:color="auto"/>
            </w:tcBorders>
            <w:vAlign w:val="center"/>
          </w:tcPr>
          <w:p>
            <w:pPr>
              <w:pStyle w:val="yTableNAm"/>
              <w:rPr>
                <w:b/>
              </w:rPr>
            </w:pPr>
            <w:r>
              <w:rPr>
                <w:b/>
              </w:rPr>
              <w:t xml:space="preserve">rate </w:t>
            </w:r>
            <w:r>
              <w:rPr>
                <w:b/>
              </w:rPr>
              <w:br/>
              <w:t>per kilometre</w:t>
            </w:r>
          </w:p>
        </w:tc>
      </w:tr>
      <w:tr>
        <w:tc>
          <w:tcPr>
            <w:tcW w:w="5529" w:type="dxa"/>
            <w:tcBorders>
              <w:top w:val="single" w:sz="4" w:space="0" w:color="auto"/>
            </w:tcBorders>
          </w:tcPr>
          <w:p>
            <w:pPr>
              <w:pStyle w:val="yTableNAm"/>
            </w:pPr>
            <w:r>
              <w:t xml:space="preserve">A motor vehicle powered by — </w:t>
            </w:r>
          </w:p>
          <w:p>
            <w:pPr>
              <w:pStyle w:val="yTableNAm"/>
              <w:ind w:left="567" w:hanging="567"/>
            </w:pPr>
            <w:r>
              <w:t>(a)</w:t>
            </w:r>
            <w:r>
              <w:tab/>
              <w:t>an engine (other than a rotary engine) with a capacity not exceeding 1 600 cc; or</w:t>
            </w:r>
          </w:p>
          <w:p>
            <w:pPr>
              <w:pStyle w:val="yTableNAm"/>
            </w:pPr>
            <w:r>
              <w:t>(b)</w:t>
            </w:r>
            <w:r>
              <w:tab/>
              <w:t>a rotary engine with a capacity not exceeding 800 cc</w:t>
            </w:r>
          </w:p>
        </w:tc>
        <w:tc>
          <w:tcPr>
            <w:tcW w:w="1559" w:type="dxa"/>
            <w:tcBorders>
              <w:top w:val="single" w:sz="4" w:space="0" w:color="auto"/>
            </w:tcBorders>
          </w:tcPr>
          <w:p>
            <w:pPr>
              <w:pStyle w:val="yTableNAm"/>
            </w:pPr>
            <w:r>
              <w:t>63.0 cents</w:t>
            </w:r>
          </w:p>
        </w:tc>
      </w:tr>
      <w:tr>
        <w:tc>
          <w:tcPr>
            <w:tcW w:w="5529" w:type="dxa"/>
          </w:tcPr>
          <w:p>
            <w:pPr>
              <w:pStyle w:val="yTableNAm"/>
              <w:ind w:left="567" w:hanging="567"/>
            </w:pPr>
            <w:r>
              <w:t xml:space="preserve">A motor vehicle powered by — </w:t>
            </w:r>
          </w:p>
          <w:p>
            <w:pPr>
              <w:pStyle w:val="yTableNAm"/>
              <w:ind w:left="567" w:hanging="567"/>
            </w:pPr>
            <w:r>
              <w:t>(a)</w:t>
            </w:r>
            <w:r>
              <w:tab/>
              <w:t>an engine (other than a rotary engine) with a capacity exceeding 1 600 cc but not exceeding 2 600 cc; or</w:t>
            </w:r>
          </w:p>
          <w:p>
            <w:pPr>
              <w:pStyle w:val="yTableNAm"/>
              <w:ind w:left="567" w:hanging="567"/>
            </w:pPr>
            <w:r>
              <w:t>(b)</w:t>
            </w:r>
            <w:r>
              <w:tab/>
              <w:t>a rotary engine with a capacity exceeding 800 cc but not exceeding 1 300 cc</w:t>
            </w:r>
          </w:p>
        </w:tc>
        <w:tc>
          <w:tcPr>
            <w:tcW w:w="1559" w:type="dxa"/>
          </w:tcPr>
          <w:p>
            <w:pPr>
              <w:pStyle w:val="yTableNAm"/>
            </w:pPr>
            <w:r>
              <w:t>74.0 cents</w:t>
            </w:r>
          </w:p>
        </w:tc>
      </w:tr>
      <w:tr>
        <w:tc>
          <w:tcPr>
            <w:tcW w:w="5529" w:type="dxa"/>
            <w:tcBorders>
              <w:bottom w:val="single" w:sz="4" w:space="0" w:color="auto"/>
            </w:tcBorders>
          </w:tcPr>
          <w:p>
            <w:pPr>
              <w:pStyle w:val="yTableNAm"/>
              <w:ind w:left="567" w:hanging="567"/>
            </w:pPr>
            <w:r>
              <w:t xml:space="preserve">A motor vehicle powered by — </w:t>
            </w:r>
          </w:p>
          <w:p>
            <w:pPr>
              <w:pStyle w:val="yTableNAm"/>
              <w:ind w:left="567" w:hanging="567"/>
            </w:pPr>
            <w:r>
              <w:t>(a)</w:t>
            </w:r>
            <w:r>
              <w:tab/>
              <w:t>an engine (other than a rotary engine) with a capacity exceeding 2 600 cc; or</w:t>
            </w:r>
          </w:p>
          <w:p>
            <w:pPr>
              <w:pStyle w:val="yTableNAm"/>
              <w:ind w:left="567" w:hanging="567"/>
            </w:pPr>
            <w:r>
              <w:t>(b)</w:t>
            </w:r>
            <w:r>
              <w:tab/>
              <w:t>a rotary engine with a capacity exceeding 1 300 cc</w:t>
            </w:r>
          </w:p>
        </w:tc>
        <w:tc>
          <w:tcPr>
            <w:tcW w:w="1559" w:type="dxa"/>
            <w:tcBorders>
              <w:bottom w:val="single" w:sz="4" w:space="0" w:color="auto"/>
            </w:tcBorders>
          </w:tcPr>
          <w:p>
            <w:pPr>
              <w:pStyle w:val="yTableNAm"/>
            </w:pPr>
            <w:r>
              <w:t>75.0 cents</w:t>
            </w:r>
          </w:p>
        </w:tc>
      </w:tr>
    </w:tbl>
    <w:p>
      <w:pPr>
        <w:pStyle w:val="yFootnotesection"/>
        <w:sectPr>
          <w:headerReference w:type="even" r:id="rId27"/>
          <w:headerReference w:type="default" r:id="rId28"/>
          <w:endnotePr>
            <w:numFmt w:val="decimal"/>
          </w:endnotePr>
          <w:pgSz w:w="11906" w:h="16838" w:code="9"/>
          <w:pgMar w:top="2381" w:right="2410" w:bottom="3544" w:left="2410" w:header="720" w:footer="3380" w:gutter="0"/>
          <w:cols w:space="720"/>
          <w:docGrid w:linePitch="326"/>
        </w:sectPr>
      </w:pPr>
      <w:r>
        <w:tab/>
        <w:t>[Schedule 3 amended in Gazette 14 May 2010 p. 2022.]</w:t>
      </w:r>
    </w:p>
    <w:p>
      <w:pPr>
        <w:pStyle w:val="yScheduleHeading"/>
      </w:pPr>
      <w:bookmarkStart w:id="82" w:name="_Toc377112005"/>
      <w:r>
        <w:rPr>
          <w:rStyle w:val="CharSchNo"/>
        </w:rPr>
        <w:t>Schedule 4</w:t>
      </w:r>
      <w:r>
        <w:rPr>
          <w:rStyle w:val="CharSDivNo"/>
        </w:rPr>
        <w:t> </w:t>
      </w:r>
      <w:r>
        <w:t>—</w:t>
      </w:r>
      <w:r>
        <w:rPr>
          <w:rStyle w:val="CharSDivText"/>
        </w:rPr>
        <w:t> </w:t>
      </w:r>
      <w:r>
        <w:rPr>
          <w:rStyle w:val="CharSchText"/>
        </w:rPr>
        <w:t>Trailer towing limits</w:t>
      </w:r>
      <w:bookmarkEnd w:id="82"/>
    </w:p>
    <w:p>
      <w:pPr>
        <w:pStyle w:val="yShoulderClause"/>
      </w:pPr>
      <w:r>
        <w:t>[r. 13]</w:t>
      </w:r>
    </w:p>
    <w:p>
      <w:pPr>
        <w:pStyle w:val="yHeading5"/>
      </w:pPr>
      <w:bookmarkStart w:id="83" w:name="_Toc377112006"/>
      <w:r>
        <w:rPr>
          <w:rStyle w:val="CharSClsNo"/>
        </w:rPr>
        <w:t>1</w:t>
      </w:r>
      <w:r>
        <w:t>.</w:t>
      </w:r>
      <w:r>
        <w:tab/>
        <w:t>Motor vehicle of class C or LR, limits for</w:t>
      </w:r>
      <w:bookmarkEnd w:id="8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84" w:name="_Toc377112007"/>
      <w:r>
        <w:rPr>
          <w:rStyle w:val="CharSClsNo"/>
        </w:rPr>
        <w:t>2</w:t>
      </w:r>
      <w:r>
        <w:t>.</w:t>
      </w:r>
      <w:r>
        <w:tab/>
        <w:t>Motor vehicle of class MR, limits for</w:t>
      </w:r>
      <w:bookmarkEnd w:id="84"/>
    </w:p>
    <w:p>
      <w:pPr>
        <w:pStyle w:val="ySubsection"/>
      </w:pPr>
      <w:r>
        <w:tab/>
      </w:r>
      <w:r>
        <w:tab/>
        <w:t>A motor vehicle of class MR may be used to tow one trailer that has a GVM not exceeding 9 t, and no other trailer.</w:t>
      </w:r>
    </w:p>
    <w:p>
      <w:pPr>
        <w:pStyle w:val="yHeading5"/>
      </w:pPr>
      <w:bookmarkStart w:id="85" w:name="_Toc377112008"/>
      <w:r>
        <w:rPr>
          <w:rStyle w:val="CharSClsNo"/>
        </w:rPr>
        <w:t>3</w:t>
      </w:r>
      <w:r>
        <w:t>.</w:t>
      </w:r>
      <w:r>
        <w:tab/>
        <w:t>Motor vehicle of class HR, limits for</w:t>
      </w:r>
      <w:bookmarkEnd w:id="85"/>
    </w:p>
    <w:p>
      <w:pPr>
        <w:pStyle w:val="ySubsection"/>
      </w:pPr>
      <w:r>
        <w:tab/>
      </w:r>
      <w:r>
        <w:tab/>
        <w:t>A motor vehicle of class HR may be used to tow one trailer that has a GVM not exceeding 9 t, and no other trailer.</w:t>
      </w:r>
    </w:p>
    <w:p>
      <w:pPr>
        <w:pStyle w:val="yHeading5"/>
      </w:pPr>
      <w:bookmarkStart w:id="86" w:name="_Toc377112009"/>
      <w:r>
        <w:rPr>
          <w:rStyle w:val="CharSClsNo"/>
        </w:rPr>
        <w:t>4</w:t>
      </w:r>
      <w:r>
        <w:t>.</w:t>
      </w:r>
      <w:r>
        <w:tab/>
        <w:t>Motor vehicle of class HC, limits for</w:t>
      </w:r>
      <w:bookmarkEnd w:id="86"/>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9"/>
          <w:headerReference w:type="default" r:id="rId30"/>
          <w:endnotePr>
            <w:numFmt w:val="decimal"/>
          </w:endnotePr>
          <w:pgSz w:w="11906" w:h="16838" w:code="9"/>
          <w:pgMar w:top="2381" w:right="2410" w:bottom="3544" w:left="2410" w:header="720" w:footer="3380" w:gutter="0"/>
          <w:cols w:space="720"/>
          <w:docGrid w:linePitch="326"/>
        </w:sectPr>
      </w:pPr>
    </w:p>
    <w:p>
      <w:pPr>
        <w:pStyle w:val="yScheduleHeading"/>
      </w:pPr>
      <w:bookmarkStart w:id="87" w:name="_Toc377112010"/>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87"/>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exceeding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that has at least 2 axles, an unladen mass exceeding 4 500 kg, a GVM of at least 16 t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exceeding 15 t; and</w:t>
            </w:r>
          </w:p>
          <w:p>
            <w:pPr>
              <w:pStyle w:val="yTableNAm"/>
              <w:ind w:left="567" w:hanging="567"/>
            </w:pPr>
            <w:r>
              <w:t>(b)</w:t>
            </w:r>
            <w:r>
              <w:tab/>
              <w:t>is attached to one trailer that has an unladen mass exceeding 4 500 kg, a GVM of at least 16 t and a length of at least 7 m</w:t>
            </w:r>
          </w:p>
        </w:tc>
      </w:tr>
      <w:tr>
        <w:trPr>
          <w:trHeight w:val="1790"/>
        </w:trPr>
        <w:tc>
          <w:tcPr>
            <w:tcW w:w="1276" w:type="dxa"/>
          </w:tcPr>
          <w:p>
            <w:pPr>
              <w:pStyle w:val="yTableNAm"/>
            </w:pPr>
            <w:r>
              <w:t>MC</w:t>
            </w:r>
          </w:p>
        </w:tc>
        <w:tc>
          <w:tcPr>
            <w:tcW w:w="5679" w:type="dxa"/>
          </w:tcPr>
          <w:p>
            <w:pPr>
              <w:pStyle w:val="yTableNAm"/>
            </w:pPr>
            <w:r>
              <w:t xml:space="preserve">a prime mover that — </w:t>
            </w:r>
          </w:p>
          <w:p>
            <w:pPr>
              <w:pStyle w:val="yTableNAm"/>
            </w:pPr>
            <w:r>
              <w:t>(a)</w:t>
            </w:r>
            <w:r>
              <w:tab/>
              <w:t>has at least 3 axles and a GVM exceeding 15 t; and</w:t>
            </w:r>
          </w:p>
          <w:p>
            <w:pPr>
              <w:pStyle w:val="yTableNAm"/>
              <w:ind w:left="567" w:hanging="567"/>
            </w:pPr>
            <w:r>
              <w:t>(b)</w:t>
            </w:r>
            <w:r>
              <w:tab/>
              <w:t>is attached to one semi</w:t>
            </w:r>
            <w:r>
              <w:noBreakHyphen/>
              <w:t>trailer and one trailer each of which has at least 2 axles, an unladen mass exceeding 4 500 kg, a GVM of at least 16 t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exceeding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at least 16 t;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exceeding 15 t; and</w:t>
            </w:r>
          </w:p>
          <w:p>
            <w:pPr>
              <w:pStyle w:val="yTableNAm"/>
              <w:ind w:left="567" w:hanging="567"/>
            </w:pPr>
            <w:r>
              <w:t>(b)</w:t>
            </w:r>
            <w:r>
              <w:tab/>
              <w:t>is attached to 2 trailers each of which has at least 2 axles, an unladen mass exceeding 4 500 kg, a GVM of at least 16 t and a length of at least 7 m</w:t>
            </w:r>
          </w:p>
        </w:tc>
      </w:tr>
    </w:tbl>
    <w:p>
      <w:pPr>
        <w:pStyle w:val="yFootnotesection"/>
      </w:pPr>
      <w:r>
        <w:tab/>
        <w:t>[Schedule 5 amended in Gazette 30 Nov 2012 p. 5808.]</w:t>
      </w:r>
    </w:p>
    <w:p>
      <w:pPr>
        <w:pStyle w:val="yScheduleHeading"/>
      </w:pPr>
      <w:bookmarkStart w:id="88" w:name="_Toc377112011"/>
      <w:r>
        <w:rPr>
          <w:rStyle w:val="CharSchNo"/>
        </w:rPr>
        <w:t>Schedule 6</w:t>
      </w:r>
      <w:r>
        <w:rPr>
          <w:rStyle w:val="CharSDivNo"/>
        </w:rPr>
        <w:t> </w:t>
      </w:r>
      <w:r>
        <w:t>—</w:t>
      </w:r>
      <w:r>
        <w:rPr>
          <w:rStyle w:val="CharSDivText"/>
        </w:rPr>
        <w:t> </w:t>
      </w:r>
      <w:r>
        <w:rPr>
          <w:rStyle w:val="CharSchText"/>
        </w:rPr>
        <w:t>Licence prerequisites for drivers’ licences</w:t>
      </w:r>
      <w:bookmarkEnd w:id="88"/>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
              <w:rPr>
                <w:b/>
                <w:bCs/>
                <w:i/>
                <w:iCs/>
              </w:rPr>
            </w:pPr>
            <w:r>
              <w:rPr>
                <w:b/>
                <w:bCs/>
                <w:i/>
                <w:iCs/>
              </w:rPr>
              <w:t>column 1</w:t>
            </w:r>
          </w:p>
        </w:tc>
        <w:tc>
          <w:tcPr>
            <w:tcW w:w="4354" w:type="dxa"/>
          </w:tcPr>
          <w:p>
            <w:pPr>
              <w:pStyle w:val="yTable"/>
              <w:rPr>
                <w:b/>
                <w:bCs/>
                <w:i/>
                <w:iCs/>
              </w:rPr>
            </w:pPr>
            <w:r>
              <w:rPr>
                <w:b/>
                <w:bCs/>
                <w:i/>
                <w:iCs/>
              </w:rPr>
              <w:t>column 2</w:t>
            </w:r>
          </w:p>
        </w:tc>
        <w:tc>
          <w:tcPr>
            <w:tcW w:w="1427"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354" w:type="dxa"/>
          </w:tcPr>
          <w:p>
            <w:pPr>
              <w:pStyle w:val="yTable"/>
              <w:rPr>
                <w:b/>
                <w:bCs/>
              </w:rPr>
            </w:pPr>
            <w:r>
              <w:rPr>
                <w:b/>
                <w:bCs/>
              </w:rPr>
              <w:t>prerequisite licence</w:t>
            </w:r>
          </w:p>
        </w:tc>
        <w:tc>
          <w:tcPr>
            <w:tcW w:w="1427" w:type="dxa"/>
          </w:tcPr>
          <w:p>
            <w:pPr>
              <w:pStyle w:val="yTable"/>
              <w:rPr>
                <w:b/>
                <w:bCs/>
              </w:rPr>
            </w:pPr>
            <w:r>
              <w:rPr>
                <w:b/>
                <w:bCs/>
              </w:rPr>
              <w:t>period</w:t>
            </w:r>
          </w:p>
        </w:tc>
      </w:tr>
      <w:tr>
        <w:tc>
          <w:tcPr>
            <w:tcW w:w="1232" w:type="dxa"/>
          </w:tcPr>
          <w:p>
            <w:pPr>
              <w:pStyle w:val="yTable"/>
            </w:pPr>
            <w:r>
              <w:t>R (but see r. 21(3))</w:t>
            </w:r>
          </w:p>
        </w:tc>
        <w:tc>
          <w:tcPr>
            <w:tcW w:w="4354" w:type="dxa"/>
          </w:tcPr>
          <w:p>
            <w:pPr>
              <w:pStyle w:val="yTable"/>
              <w:tabs>
                <w:tab w:val="left" w:leader="dot" w:pos="4002"/>
              </w:tabs>
            </w:pPr>
            <w:r>
              <w:t xml:space="preserve">a licence that authorises a person to drive a motor vehicle of class R and is endorsed with condition E </w:t>
            </w:r>
            <w:r>
              <w:tab/>
            </w:r>
          </w:p>
        </w:tc>
        <w:tc>
          <w:tcPr>
            <w:tcW w:w="1427" w:type="dxa"/>
          </w:tcPr>
          <w:p>
            <w:pPr>
              <w:pStyle w:val="yTable"/>
              <w:spacing w:before="0"/>
            </w:pPr>
            <w:r>
              <w:br/>
            </w:r>
            <w:r>
              <w:br/>
              <w:t>one year</w:t>
            </w:r>
          </w:p>
        </w:tc>
      </w:tr>
      <w:tr>
        <w:tc>
          <w:tcPr>
            <w:tcW w:w="1232" w:type="dxa"/>
          </w:tcPr>
          <w:p>
            <w:pPr>
              <w:pStyle w:val="yTable"/>
            </w:pPr>
            <w:r>
              <w:t>LR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MR</w:t>
            </w:r>
          </w:p>
        </w:tc>
        <w:tc>
          <w:tcPr>
            <w:tcW w:w="4354" w:type="dxa"/>
          </w:tcPr>
          <w:p>
            <w:pPr>
              <w:pStyle w:val="yTable"/>
              <w:tabs>
                <w:tab w:val="left" w:leader="dot" w:pos="4002"/>
              </w:tabs>
            </w:pPr>
            <w:r>
              <w:t>a licence that authorises a person to drive a motor vehicle of class C</w:t>
            </w:r>
            <w:r>
              <w:tab/>
            </w:r>
          </w:p>
        </w:tc>
        <w:tc>
          <w:tcPr>
            <w:tcW w:w="1427" w:type="dxa"/>
          </w:tcPr>
          <w:p>
            <w:pPr>
              <w:pStyle w:val="yTable"/>
              <w:spacing w:before="0"/>
            </w:pPr>
            <w:r>
              <w:br/>
              <w:t>one year</w:t>
            </w:r>
          </w:p>
        </w:tc>
      </w:tr>
      <w:tr>
        <w:tc>
          <w:tcPr>
            <w:tcW w:w="1232" w:type="dxa"/>
          </w:tcPr>
          <w:p>
            <w:pPr>
              <w:pStyle w:val="yTable"/>
            </w:pPr>
            <w:r>
              <w:t>HR</w:t>
            </w:r>
          </w:p>
        </w:tc>
        <w:tc>
          <w:tcPr>
            <w:tcW w:w="4354" w:type="dxa"/>
          </w:tcPr>
          <w:p>
            <w:pPr>
              <w:pStyle w:val="yTable"/>
              <w:tabs>
                <w:tab w:val="left" w:leader="dot" w:pos="4002"/>
              </w:tabs>
            </w:pPr>
            <w:r>
              <w:t>a licence that is not provisional and authorises a person to drive a motor vehicle of class C</w:t>
            </w:r>
            <w:r>
              <w:tab/>
            </w:r>
          </w:p>
        </w:tc>
        <w:tc>
          <w:tcPr>
            <w:tcW w:w="1427" w:type="dxa"/>
          </w:tcPr>
          <w:p>
            <w:pPr>
              <w:pStyle w:val="yTable"/>
              <w:spacing w:before="0"/>
            </w:pPr>
            <w:r>
              <w:br/>
              <w:t>2 years</w:t>
            </w:r>
          </w:p>
        </w:tc>
      </w:tr>
      <w:tr>
        <w:tc>
          <w:tcPr>
            <w:tcW w:w="1232" w:type="dxa"/>
          </w:tcPr>
          <w:p>
            <w:pPr>
              <w:pStyle w:val="yTable"/>
            </w:pPr>
            <w:r>
              <w:t>HC</w:t>
            </w:r>
          </w:p>
        </w:tc>
        <w:tc>
          <w:tcPr>
            <w:tcW w:w="4354" w:type="dxa"/>
          </w:tcPr>
          <w:p>
            <w:pPr>
              <w:pStyle w:val="yTable"/>
              <w:tabs>
                <w:tab w:val="left" w:leader="dot" w:pos="4002"/>
              </w:tabs>
            </w:pPr>
            <w:r>
              <w:t>a licence that is not provisional and authorises a person to drive a motor vehicle of class C</w:t>
            </w:r>
            <w:r>
              <w:tab/>
            </w:r>
            <w:r>
              <w:br/>
              <w:t>AND</w:t>
            </w:r>
          </w:p>
        </w:tc>
        <w:tc>
          <w:tcPr>
            <w:tcW w:w="1427" w:type="dxa"/>
          </w:tcPr>
          <w:p>
            <w:pPr>
              <w:pStyle w:val="yTable"/>
              <w:spacing w:before="0"/>
            </w:pPr>
            <w:r>
              <w:br/>
              <w:t>3 years</w:t>
            </w:r>
          </w:p>
        </w:tc>
      </w:tr>
      <w:tr>
        <w:tc>
          <w:tcPr>
            <w:tcW w:w="1232" w:type="dxa"/>
          </w:tcPr>
          <w:p>
            <w:pPr>
              <w:pStyle w:val="yTable"/>
            </w:pPr>
          </w:p>
        </w:tc>
        <w:tc>
          <w:tcPr>
            <w:tcW w:w="4354" w:type="dxa"/>
          </w:tcPr>
          <w:p>
            <w:pPr>
              <w:pStyle w:val="yTable"/>
              <w:tabs>
                <w:tab w:val="left" w:leader="dot" w:pos="4002"/>
              </w:tabs>
            </w:pPr>
            <w:r>
              <w:t>a licence that is not provisional and authorises a person to drive a motor vehicle of class MR or HR</w:t>
            </w:r>
            <w:r>
              <w:tab/>
            </w:r>
          </w:p>
        </w:tc>
        <w:tc>
          <w:tcPr>
            <w:tcW w:w="1427" w:type="dxa"/>
          </w:tcPr>
          <w:p>
            <w:pPr>
              <w:pStyle w:val="yTable"/>
              <w:spacing w:before="0"/>
            </w:pPr>
            <w:r>
              <w:br/>
            </w:r>
            <w:r>
              <w:br/>
              <w:t>one year</w:t>
            </w:r>
          </w:p>
        </w:tc>
      </w:tr>
      <w:tr>
        <w:tc>
          <w:tcPr>
            <w:tcW w:w="1232" w:type="dxa"/>
          </w:tcPr>
          <w:p>
            <w:pPr>
              <w:pStyle w:val="yTable"/>
            </w:pPr>
            <w:r>
              <w:t>MC</w:t>
            </w:r>
          </w:p>
        </w:tc>
        <w:tc>
          <w:tcPr>
            <w:tcW w:w="4354" w:type="dxa"/>
          </w:tcPr>
          <w:p>
            <w:pPr>
              <w:pStyle w:val="yTable"/>
              <w:tabs>
                <w:tab w:val="left" w:leader="dot" w:pos="4002"/>
              </w:tabs>
            </w:pPr>
            <w:r>
              <w:t>a licence that authorises a person to drive a motor vehicle of class HR or HC</w:t>
            </w:r>
            <w:r>
              <w:tab/>
            </w:r>
          </w:p>
        </w:tc>
        <w:tc>
          <w:tcPr>
            <w:tcW w:w="1427" w:type="dxa"/>
          </w:tcPr>
          <w:p>
            <w:pPr>
              <w:pStyle w:val="yTable"/>
              <w:spacing w:before="0"/>
            </w:pPr>
            <w:r>
              <w:br/>
              <w:t>one year</w:t>
            </w:r>
          </w:p>
        </w:tc>
      </w:tr>
    </w:tbl>
    <w:p>
      <w:pPr>
        <w:pStyle w:val="yScheduleHeading"/>
      </w:pPr>
      <w:bookmarkStart w:id="89" w:name="_Toc377112012"/>
      <w:r>
        <w:rPr>
          <w:rStyle w:val="CharSchNo"/>
        </w:rPr>
        <w:t>Schedule 7</w:t>
      </w:r>
      <w:r>
        <w:rPr>
          <w:rStyle w:val="CharSDivNo"/>
        </w:rPr>
        <w:t> </w:t>
      </w:r>
      <w:r>
        <w:t>—</w:t>
      </w:r>
      <w:r>
        <w:rPr>
          <w:rStyle w:val="CharSDivText"/>
        </w:rPr>
        <w:t> </w:t>
      </w:r>
      <w:r>
        <w:rPr>
          <w:rStyle w:val="CharSchText"/>
        </w:rPr>
        <w:t>Notations to indicate certain conditions apply</w:t>
      </w:r>
      <w:bookmarkEnd w:id="89"/>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in Gazette 30 Nov 2012 p. 5808.]</w:t>
      </w:r>
    </w:p>
    <w:p>
      <w:pPr>
        <w:pStyle w:val="yScheduleHeading"/>
      </w:pPr>
      <w:bookmarkStart w:id="90" w:name="_Toc377112013"/>
      <w:r>
        <w:rPr>
          <w:rStyle w:val="CharSchNo"/>
        </w:rPr>
        <w:t>Schedule 8</w:t>
      </w:r>
      <w:r>
        <w:rPr>
          <w:rStyle w:val="CharSDivNo"/>
        </w:rPr>
        <w:t> </w:t>
      </w:r>
      <w:r>
        <w:t>—</w:t>
      </w:r>
      <w:r>
        <w:rPr>
          <w:rStyle w:val="CharSDivText"/>
        </w:rPr>
        <w:t> </w:t>
      </w:r>
      <w:r>
        <w:rPr>
          <w:rStyle w:val="CharSchText"/>
        </w:rPr>
        <w:t>Licence prerequisites for learners’ permits</w:t>
      </w:r>
      <w:bookmarkEnd w:id="90"/>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48(5))</w:t>
            </w:r>
          </w:p>
        </w:tc>
        <w:tc>
          <w:tcPr>
            <w:tcW w:w="4550" w:type="dxa"/>
          </w:tcPr>
          <w:p>
            <w:pPr>
              <w:pStyle w:val="yTableNAm"/>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pPr>
            <w:r>
              <w:t>a driver’s licence that authorises a person to drive a motor vehicle of class C</w:t>
            </w:r>
            <w:r>
              <w:tab/>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pPr>
            <w:r>
              <w:t>a driver’s licence that authorises a person to drive a motor vehicle of class C</w:t>
            </w:r>
            <w:r>
              <w:tab/>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pPr>
            <w:r>
              <w:t>a driver’s licence that authorises a person to drive a motor vehicle of class HR or HC</w:t>
            </w:r>
          </w:p>
        </w:tc>
        <w:tc>
          <w:tcPr>
            <w:tcW w:w="1330" w:type="dxa"/>
          </w:tcPr>
          <w:p>
            <w:pPr>
              <w:pStyle w:val="yTableNAm"/>
            </w:pPr>
          </w:p>
        </w:tc>
      </w:tr>
    </w:tbl>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91" w:name="_Toc377112014"/>
      <w:r>
        <w:t>Notes</w:t>
      </w:r>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(Authorisation to Drive) Regulations 2008</w:t>
      </w:r>
      <w:r>
        <w:rPr>
          <w:snapToGrid w:val="0"/>
        </w:rPr>
        <w:t xml:space="preserve"> and includes the amendments made by the other written laws referred to in the following table.  The table also contains information about any reprint.</w:t>
      </w:r>
    </w:p>
    <w:p>
      <w:pPr>
        <w:pStyle w:val="nHeading3"/>
      </w:pPr>
      <w:bookmarkStart w:id="92" w:name="_Toc377112015"/>
      <w:r>
        <w:t>Compilation table</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Road Traffic (Authorisation to Drive) Regulations 2008</w:t>
            </w:r>
          </w:p>
        </w:tc>
        <w:tc>
          <w:tcPr>
            <w:tcW w:w="1276" w:type="dxa"/>
            <w:tcBorders>
              <w:top w:val="single" w:sz="8" w:space="0" w:color="auto"/>
              <w:bottom w:val="nil"/>
            </w:tcBorders>
          </w:tcPr>
          <w:p>
            <w:pPr>
              <w:pStyle w:val="nTable"/>
              <w:spacing w:after="40"/>
              <w:rPr>
                <w:sz w:val="19"/>
              </w:rPr>
            </w:pPr>
            <w:r>
              <w:rPr>
                <w:sz w:val="19"/>
              </w:rPr>
              <w:t>10 Jun 2008 p. 2367-429</w:t>
            </w:r>
          </w:p>
        </w:tc>
        <w:tc>
          <w:tcPr>
            <w:tcW w:w="2693" w:type="dxa"/>
            <w:tcBorders>
              <w:top w:val="single" w:sz="8" w:space="0" w:color="auto"/>
              <w:bottom w:val="nil"/>
            </w:tcBorders>
          </w:tcPr>
          <w:p>
            <w:pPr>
              <w:pStyle w:val="nTable"/>
              <w:spacing w:after="40"/>
              <w:rPr>
                <w:sz w:val="19"/>
              </w:rPr>
            </w:pPr>
            <w:r>
              <w:rPr>
                <w:sz w:val="19"/>
              </w:rPr>
              <w:t>r. 1 and 2: 10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 xml:space="preserve">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z w:val="19"/>
              </w:rPr>
              <w:t>r. 1 and 2: 14 May 2010 (see r. 2(a));</w:t>
            </w:r>
            <w:r>
              <w:rPr>
                <w:snapToGrid w:val="0"/>
                <w:sz w:val="19"/>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z w:val="19"/>
              </w:rPr>
            </w:pPr>
            <w:r>
              <w:rPr>
                <w:snapToGrid w:val="0"/>
                <w:sz w:val="19"/>
              </w:rPr>
              <w:t>r. 1 and 2: 25 Feb 2011 (see r. 2(a));</w:t>
            </w:r>
            <w:r>
              <w:rPr>
                <w:snapToGrid w:val="0"/>
                <w:sz w:val="19"/>
              </w:rPr>
              <w:br/>
              <w:t>Regulations other than r. 1 and 2: 1 Mar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2) 2011</w:t>
            </w:r>
          </w:p>
        </w:tc>
        <w:tc>
          <w:tcPr>
            <w:tcW w:w="1276" w:type="dxa"/>
            <w:tcBorders>
              <w:top w:val="nil"/>
              <w:bottom w:val="nil"/>
            </w:tcBorders>
          </w:tcPr>
          <w:p>
            <w:pPr>
              <w:pStyle w:val="nTable"/>
              <w:spacing w:after="40"/>
              <w:rPr>
                <w:sz w:val="19"/>
              </w:rPr>
            </w:pPr>
            <w:r>
              <w:rPr>
                <w:sz w:val="19"/>
              </w:rPr>
              <w:t>2 Dec 2011 p. 5074</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8" w:type="dxa"/>
            <w:tcBorders>
              <w:top w:val="nil"/>
              <w:bottom w:val="nil"/>
            </w:tcBorders>
          </w:tcPr>
          <w:p>
            <w:pPr>
              <w:pStyle w:val="nTable"/>
              <w:spacing w:after="40"/>
              <w:rPr>
                <w:i/>
                <w:sz w:val="19"/>
              </w:rPr>
            </w:pPr>
            <w:r>
              <w:rPr>
                <w:i/>
                <w:sz w:val="19"/>
              </w:rPr>
              <w:t>Road Traffic (Information) Regulations 2011</w:t>
            </w:r>
            <w:r>
              <w:rPr>
                <w:sz w:val="19"/>
              </w:rPr>
              <w:t xml:space="preserve"> r. 7</w:t>
            </w:r>
          </w:p>
        </w:tc>
        <w:tc>
          <w:tcPr>
            <w:tcW w:w="1276" w:type="dxa"/>
            <w:tcBorders>
              <w:top w:val="nil"/>
              <w:bottom w:val="nil"/>
            </w:tcBorders>
          </w:tcPr>
          <w:p>
            <w:pPr>
              <w:pStyle w:val="nTable"/>
              <w:spacing w:after="40"/>
              <w:rPr>
                <w:sz w:val="19"/>
              </w:rPr>
            </w:pPr>
            <w:r>
              <w:rPr>
                <w:sz w:val="19"/>
              </w:rPr>
              <w:t>2 Dec 2011 p. 5077</w:t>
            </w:r>
            <w:r>
              <w:rPr>
                <w:sz w:val="19"/>
              </w:rPr>
              <w:noBreakHyphen/>
              <w:t>81</w:t>
            </w:r>
          </w:p>
        </w:tc>
        <w:tc>
          <w:tcPr>
            <w:tcW w:w="2693" w:type="dxa"/>
            <w:tcBorders>
              <w:top w:val="nil"/>
              <w:bottom w:val="nil"/>
            </w:tcBorders>
          </w:tcPr>
          <w:p>
            <w:pPr>
              <w:pStyle w:val="nTable"/>
              <w:spacing w:after="40"/>
              <w:rPr>
                <w:snapToGrid w:val="0"/>
                <w:sz w:val="19"/>
              </w:rPr>
            </w:pPr>
            <w:r>
              <w:rPr>
                <w:snapToGrid w:val="0"/>
                <w:sz w:val="19"/>
              </w:rPr>
              <w:t>3 Dec 2011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2012</w:t>
            </w:r>
          </w:p>
        </w:tc>
        <w:tc>
          <w:tcPr>
            <w:tcW w:w="1276" w:type="dxa"/>
            <w:tcBorders>
              <w:top w:val="nil"/>
              <w:bottom w:val="nil"/>
            </w:tcBorders>
          </w:tcPr>
          <w:p>
            <w:pPr>
              <w:pStyle w:val="nTable"/>
              <w:spacing w:after="40"/>
              <w:rPr>
                <w:sz w:val="19"/>
              </w:rPr>
            </w:pPr>
            <w:r>
              <w:rPr>
                <w:sz w:val="19"/>
              </w:rPr>
              <w:t>5 Apr 2012 p. 1578-9</w:t>
            </w:r>
          </w:p>
        </w:tc>
        <w:tc>
          <w:tcPr>
            <w:tcW w:w="2693" w:type="dxa"/>
            <w:tcBorders>
              <w:top w:val="nil"/>
              <w:bottom w:val="nil"/>
            </w:tcBorders>
          </w:tcPr>
          <w:p>
            <w:pPr>
              <w:pStyle w:val="nTable"/>
              <w:spacing w:after="40"/>
              <w:rPr>
                <w:snapToGrid w:val="0"/>
                <w:sz w:val="19"/>
              </w:rPr>
            </w:pPr>
            <w:r>
              <w:rPr>
                <w:snapToGrid w:val="0"/>
                <w:sz w:val="19"/>
              </w:rPr>
              <w:t>r. 1 and 2: 5 Apr 2012 (see r. 2(a));</w:t>
            </w:r>
            <w:r>
              <w:rPr>
                <w:snapToGrid w:val="0"/>
                <w:sz w:val="19"/>
              </w:rPr>
              <w:br/>
              <w:t>Regulations other than r. 1 and 2: 7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Road Traffic (Authorisation to Drive) Regulations 2008 </w:t>
            </w:r>
            <w:r>
              <w:rPr>
                <w:b/>
                <w:snapToGrid w:val="0"/>
                <w:sz w:val="19"/>
              </w:rPr>
              <w:t>as at 24 Aug 2012</w:t>
            </w:r>
            <w:r>
              <w:rPr>
                <w:snapToGrid w:val="0"/>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Road Traffic (Authorisation to Drive) Amendment Regulations (No. 2) 2012</w:t>
            </w:r>
          </w:p>
        </w:tc>
        <w:tc>
          <w:tcPr>
            <w:tcW w:w="1276" w:type="dxa"/>
            <w:tcBorders>
              <w:top w:val="nil"/>
              <w:bottom w:val="nil"/>
            </w:tcBorders>
          </w:tcPr>
          <w:p>
            <w:pPr>
              <w:pStyle w:val="nTable"/>
              <w:spacing w:after="40"/>
              <w:rPr>
                <w:sz w:val="19"/>
              </w:rPr>
            </w:pPr>
            <w:r>
              <w:rPr>
                <w:sz w:val="19"/>
              </w:rPr>
              <w:t>2 Nov 2012 p. 5263-4</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12 Nov 2012 (see r. 2(b))</w:t>
            </w:r>
          </w:p>
        </w:tc>
      </w:tr>
      <w:tr>
        <w:tc>
          <w:tcPr>
            <w:tcW w:w="3118" w:type="dxa"/>
            <w:tcBorders>
              <w:top w:val="nil"/>
              <w:bottom w:val="nil"/>
            </w:tcBorders>
          </w:tcPr>
          <w:p>
            <w:pPr>
              <w:pStyle w:val="nTable"/>
              <w:spacing w:after="40"/>
              <w:rPr>
                <w:i/>
                <w:sz w:val="19"/>
              </w:rPr>
            </w:pPr>
            <w:r>
              <w:rPr>
                <w:i/>
                <w:sz w:val="19"/>
              </w:rPr>
              <w:t>Road Traffic (Authorisation to Drive) Amendment Regulations (No. 4) 2012</w:t>
            </w:r>
          </w:p>
        </w:tc>
        <w:tc>
          <w:tcPr>
            <w:tcW w:w="1276" w:type="dxa"/>
            <w:tcBorders>
              <w:top w:val="nil"/>
              <w:bottom w:val="nil"/>
            </w:tcBorders>
          </w:tcPr>
          <w:p>
            <w:pPr>
              <w:pStyle w:val="nTable"/>
              <w:spacing w:after="40"/>
              <w:rPr>
                <w:sz w:val="19"/>
              </w:rPr>
            </w:pPr>
            <w:r>
              <w:rPr>
                <w:sz w:val="19"/>
              </w:rPr>
              <w:t>2 Nov 2012 p. 5265</w:t>
            </w:r>
          </w:p>
        </w:tc>
        <w:tc>
          <w:tcPr>
            <w:tcW w:w="2693" w:type="dxa"/>
            <w:tcBorders>
              <w:top w:val="nil"/>
              <w:bottom w:val="nil"/>
            </w:tcBorders>
          </w:tcPr>
          <w:p>
            <w:pPr>
              <w:pStyle w:val="nTable"/>
              <w:spacing w:after="40"/>
              <w:rPr>
                <w:snapToGrid w:val="0"/>
                <w:sz w:val="19"/>
              </w:rPr>
            </w:pPr>
            <w:r>
              <w:rPr>
                <w:snapToGrid w:val="0"/>
                <w:sz w:val="19"/>
              </w:rPr>
              <w:t>r. 1 and 2: 2 Nov 2012 (see r. 2(a));</w:t>
            </w:r>
            <w:r>
              <w:rPr>
                <w:snapToGrid w:val="0"/>
                <w:sz w:val="19"/>
              </w:rPr>
              <w:br/>
              <w:t>Regulations other than r. 1 and 2: 3 Nov 2012 (see r. 2(b))</w:t>
            </w:r>
          </w:p>
        </w:tc>
      </w:tr>
      <w:tr>
        <w:tc>
          <w:tcPr>
            <w:tcW w:w="3118" w:type="dxa"/>
            <w:tcBorders>
              <w:top w:val="nil"/>
              <w:bottom w:val="nil"/>
            </w:tcBorders>
          </w:tcPr>
          <w:p>
            <w:pPr>
              <w:pStyle w:val="nTable"/>
              <w:spacing w:after="40"/>
              <w:rPr>
                <w:i/>
                <w:sz w:val="19"/>
              </w:rPr>
            </w:pPr>
            <w:r>
              <w:rPr>
                <w:i/>
                <w:sz w:val="19"/>
              </w:rPr>
              <w:t xml:space="preserve">Road Traffic (Authorisation to Drive) Amendment Regulations (No. 3) 2012 </w:t>
            </w:r>
          </w:p>
        </w:tc>
        <w:tc>
          <w:tcPr>
            <w:tcW w:w="1276" w:type="dxa"/>
            <w:tcBorders>
              <w:top w:val="nil"/>
              <w:bottom w:val="nil"/>
            </w:tcBorders>
          </w:tcPr>
          <w:p>
            <w:pPr>
              <w:pStyle w:val="nTable"/>
              <w:spacing w:after="40"/>
              <w:rPr>
                <w:sz w:val="19"/>
              </w:rPr>
            </w:pPr>
            <w:r>
              <w:rPr>
                <w:sz w:val="19"/>
              </w:rPr>
              <w:t>30 Nov 2012 p. 5805-8</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napToGrid w:val="0"/>
                <w:sz w:val="19"/>
              </w:rPr>
              <w:t>14 Jan 2013 (see r. 2(b))</w:t>
            </w:r>
          </w:p>
        </w:tc>
      </w:tr>
      <w:tr>
        <w:tc>
          <w:tcPr>
            <w:tcW w:w="3118" w:type="dxa"/>
            <w:tcBorders>
              <w:top w:val="nil"/>
              <w:bottom w:val="single" w:sz="4" w:space="0" w:color="auto"/>
            </w:tcBorders>
          </w:tcPr>
          <w:p>
            <w:pPr>
              <w:pStyle w:val="nTable"/>
              <w:spacing w:after="40"/>
              <w:rPr>
                <w:i/>
                <w:sz w:val="19"/>
              </w:rPr>
            </w:pPr>
            <w:r>
              <w:rPr>
                <w:i/>
                <w:sz w:val="19"/>
              </w:rPr>
              <w:t>Road Traffic (Authorisation to Drive) Amendment Regulations 2013</w:t>
            </w:r>
          </w:p>
        </w:tc>
        <w:tc>
          <w:tcPr>
            <w:tcW w:w="1276" w:type="dxa"/>
            <w:tcBorders>
              <w:top w:val="nil"/>
              <w:bottom w:val="single" w:sz="4" w:space="0" w:color="auto"/>
            </w:tcBorders>
          </w:tcPr>
          <w:p>
            <w:pPr>
              <w:pStyle w:val="nTable"/>
              <w:spacing w:after="40"/>
              <w:rPr>
                <w:sz w:val="19"/>
              </w:rPr>
            </w:pPr>
            <w:r>
              <w:rPr>
                <w:sz w:val="19"/>
              </w:rPr>
              <w:t>12 Apr 2013 p. 1541</w:t>
            </w:r>
            <w:r>
              <w:rPr>
                <w:sz w:val="19"/>
              </w:rPr>
              <w:noBreakHyphen/>
              <w:t>2</w:t>
            </w:r>
          </w:p>
        </w:tc>
        <w:tc>
          <w:tcPr>
            <w:tcW w:w="2693" w:type="dxa"/>
            <w:tcBorders>
              <w:top w:val="nil"/>
              <w:bottom w:val="single" w:sz="4" w:space="0" w:color="auto"/>
            </w:tcBorders>
          </w:tcPr>
          <w:p>
            <w:pPr>
              <w:pStyle w:val="nTable"/>
              <w:spacing w:after="40"/>
              <w:rPr>
                <w:rFonts w:ascii="Times" w:hAnsi="Times"/>
                <w:snapToGrid w:val="0"/>
                <w:sz w:val="19"/>
              </w:rPr>
            </w:pPr>
            <w:r>
              <w:rPr>
                <w:rFonts w:ascii="Times" w:hAnsi="Times"/>
                <w:snapToGrid w:val="0"/>
                <w:spacing w:val="-2"/>
                <w:sz w:val="19"/>
              </w:rPr>
              <w:t>r. 1 and 2: 12 Apr 2013 (see r. 2(a));</w:t>
            </w:r>
            <w:r>
              <w:rPr>
                <w:rFonts w:ascii="Times" w:hAnsi="Times"/>
                <w:snapToGrid w:val="0"/>
                <w:spacing w:val="-2"/>
                <w:sz w:val="19"/>
              </w:rPr>
              <w:br/>
              <w:t xml:space="preserve">Regulations other than r. 1 and 2: 13 Apr  2013 (see r. 2(b) and </w:t>
            </w:r>
            <w:r>
              <w:rPr>
                <w:rFonts w:ascii="Times" w:hAnsi="Times"/>
                <w:i/>
                <w:snapToGrid w:val="0"/>
                <w:spacing w:val="-2"/>
                <w:sz w:val="19"/>
              </w:rPr>
              <w:t xml:space="preserve">Gazette </w:t>
            </w:r>
            <w:r>
              <w:rPr>
                <w:rFonts w:ascii="Times" w:hAnsi="Times"/>
                <w:snapToGrid w:val="0"/>
                <w:spacing w:val="-2"/>
                <w:sz w:val="19"/>
              </w:rPr>
              <w:t>12 Apr 2013 p. 1533)</w:t>
            </w:r>
          </w:p>
        </w:tc>
      </w:tr>
    </w:tbl>
    <w:p>
      <w:pPr>
        <w:pStyle w:val="nSubsection"/>
        <w:spacing w:before="160"/>
      </w:pPr>
      <w:r>
        <w:rPr>
          <w:vertAlign w:val="superscript"/>
        </w:rPr>
        <w:t>2</w:t>
      </w:r>
      <w:r>
        <w:tab/>
        <w:t xml:space="preserve">The </w:t>
      </w:r>
      <w:r>
        <w:rPr>
          <w:i/>
        </w:rPr>
        <w:t>Road Traffic Amendment Act 2006</w:t>
      </w:r>
      <w:r>
        <w:t xml:space="preserve"> s. 6 came into force on 30 Jun 2008 (see </w:t>
      </w:r>
      <w:r>
        <w:rPr>
          <w:i/>
        </w:rPr>
        <w:t xml:space="preserve">Gazette </w:t>
      </w:r>
      <w:r>
        <w:t>10 Jun 2008 p. 2471).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pPr>
      <w:bookmarkStart w:id="93" w:name="_Toc377112016"/>
      <w: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4" w:name="DefinedTerms"/>
      <w:bookmarkEnd w:id="94"/>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 xml:space="preserve">electric personal transporter </w:t>
      </w:r>
      <w:r>
        <w:tab/>
        <w:t>3</w:t>
      </w:r>
    </w:p>
    <w:p>
      <w:pPr>
        <w:pStyle w:val="DefinedTerms"/>
      </w:pPr>
      <w:r>
        <w:t>electric personal transporter use area</w:t>
      </w:r>
      <w:r>
        <w:tab/>
        <w:t>3</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51(4)(b)</w:t>
      </w:r>
    </w:p>
    <w:p>
      <w:pPr>
        <w:pStyle w:val="DefinedTerms"/>
      </w:pPr>
      <w:r>
        <w:t>learner approved motor cycle</w:t>
      </w:r>
      <w:r>
        <w:tab/>
        <w:t>3</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13 Apr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312"/>
          </w:tblGrid>
          <w:tr>
            <w:trPr>
              <w:cantSplit/>
            </w:trPr>
            <w:tc>
              <w:tcPr>
                <w:tcW w:w="7312" w:type="dxa"/>
              </w:tcPr>
              <w:p>
                <w:pPr>
                  <w:pStyle w:val="HeaderSectionRight"/>
                </w:pPr>
              </w:p>
            </w:tc>
          </w:tr>
        </w:tbl>
        <w:p>
          <w:pPr>
            <w:pStyle w:val="HeaderNumber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652"/>
    <w:docVar w:name="WAFER_20140110100134" w:val="RemoveTocBookmarks,RemoveUnusedBookmarks,RemoveLanguageTags,UsedStyles,ResetPageSize,UpdateArrangement"/>
    <w:docVar w:name="WAFER_20140110100134_GUID" w:val="394ac1c3-01a3-4080-8172-3dfc12d82a00"/>
    <w:docVar w:name="WAFER_20151209112652" w:val="RemoveTrackChanges"/>
    <w:docVar w:name="WAFER_20151209112652_GUID" w:val="abc6ba14-094d-4f7e-95b0-b64b88d534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15895</Words>
  <Characters>75504</Characters>
  <Application>Microsoft Office Word</Application>
  <DocSecurity>0</DocSecurity>
  <Lines>2097</Lines>
  <Paragraphs>1171</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90228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2008 - 01-f0-02</dc:title>
  <dc:subject/>
  <dc:creator/>
  <cp:keywords/>
  <dc:description/>
  <cp:lastModifiedBy>svcMRProcess</cp:lastModifiedBy>
  <cp:revision>4</cp:revision>
  <cp:lastPrinted>2012-09-05T01:30:00Z</cp:lastPrinted>
  <dcterms:created xsi:type="dcterms:W3CDTF">2020-02-27T20:33:00Z</dcterms:created>
  <dcterms:modified xsi:type="dcterms:W3CDTF">2020-02-27T20:33:00Z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13 Apr 2013</vt:lpwstr>
  </property>
  <property fmtid="{D5CDD505-2E9C-101B-9397-08002B2CF9AE}" pid="3" name="Suffix">
    <vt:lpwstr>01-f0-02</vt:lpwstr>
  </property>
  <property fmtid="{D5CDD505-2E9C-101B-9397-08002B2CF9AE}" pid="4" name="OwlsUID">
    <vt:i4>39509</vt:i4>
  </property>
  <property fmtid="{D5CDD505-2E9C-101B-9397-08002B2CF9AE}" pid="5" name="CommencementDate">
    <vt:lpwstr>20130413</vt:lpwstr>
  </property>
  <property fmtid="{D5CDD505-2E9C-101B-9397-08002B2CF9AE}" pid="6" name="ID">
    <vt:lpwstr>10 Jun 2008 p 2367-429</vt:lpwstr>
  </property>
  <property fmtid="{D5CDD505-2E9C-101B-9397-08002B2CF9AE}" pid="7" name="ReprintNo">
    <vt:lpwstr>1</vt:lpwstr>
  </property>
  <property fmtid="{D5CDD505-2E9C-101B-9397-08002B2CF9AE}" pid="8" name="ReprintedAsAt">
    <vt:filetime>2012-08-23T16:00:00Z</vt:filetime>
  </property>
  <property fmtid="{D5CDD505-2E9C-101B-9397-08002B2CF9AE}" pid="9" name="DocumentType">
    <vt:lpwstr>Reg</vt:lpwstr>
  </property>
</Properties>
</file>