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Combat Sports Act 1987</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Combat Sports Regulations 2004</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1</w:t>
      </w:r>
      <w:r>
        <w:fldChar w:fldCharType="end"/>
      </w:r>
      <w:r>
        <w:t xml:space="preserve">:  The regulations as at </w:t>
      </w:r>
      <w:r>
        <w:fldChar w:fldCharType="begin"/>
      </w:r>
      <w:r>
        <w:instrText xml:space="preserve"> DOCPROPERTY "ReprintedAsAt" \@ "d MMMM yyyy" </w:instrText>
      </w:r>
      <w:r>
        <w:fldChar w:fldCharType="separate"/>
      </w:r>
      <w:r>
        <w:t>5 April 2013</w:t>
      </w:r>
      <w:r>
        <w:fldChar w:fldCharType="end"/>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sz w:val="20"/>
        </w:rPr>
        <w:tab/>
      </w:r>
      <w:r>
        <w:rPr>
          <w:b/>
          <w:sz w:val="20"/>
        </w:rPr>
        <w:tab/>
      </w:r>
      <w:r>
        <w:rPr>
          <w:b/>
          <w:i/>
          <w:sz w:val="20"/>
        </w:rPr>
        <w:t>What the reprint includes</w:t>
      </w:r>
    </w:p>
    <w:p>
      <w:pPr>
        <w:tabs>
          <w:tab w:val="left" w:pos="567"/>
          <w:tab w:val="left" w:pos="851"/>
        </w:tabs>
        <w:ind w:left="1418" w:hanging="851"/>
        <w:rPr>
          <w:b/>
          <w:sz w:val="20"/>
        </w:rPr>
      </w:pPr>
      <w:r>
        <w:rPr>
          <w:sz w:val="20"/>
        </w:rPr>
        <w:object w:dxaOrig="63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8.5pt" o:ole="" fillcolor="window">
            <v:imagedata r:id="rId10" o:title=""/>
          </v:shape>
          <o:OLEObject Type="Embed" ProgID="Word.Picture.8" ShapeID="_x0000_i1025" DrawAspect="Content" ObjectID="_1644894486" r:id="rId11"/>
        </w:object>
      </w:r>
    </w:p>
    <w:p>
      <w:pPr>
        <w:tabs>
          <w:tab w:val="left" w:pos="567"/>
          <w:tab w:val="left" w:pos="851"/>
        </w:tabs>
        <w:spacing w:before="120"/>
        <w:ind w:left="851" w:hanging="851"/>
        <w:rPr>
          <w:b/>
          <w:i/>
          <w:sz w:val="20"/>
        </w:rPr>
      </w:pPr>
      <w:r>
        <w:rPr>
          <w:b/>
          <w:sz w:val="20"/>
        </w:rPr>
        <w:tab/>
      </w:r>
      <w:r>
        <w:rPr>
          <w:b/>
          <w:sz w:val="20"/>
        </w:rPr>
        <w:tab/>
      </w:r>
      <w:r>
        <w:rPr>
          <w:b/>
          <w:i/>
          <w:sz w:val="20"/>
        </w:rPr>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5"/>
        </w:numPr>
        <w:tabs>
          <w:tab w:val="clear" w:pos="360"/>
          <w:tab w:val="num" w:pos="1197"/>
        </w:tabs>
        <w:ind w:left="1208" w:hanging="357"/>
        <w:rPr>
          <w:sz w:val="20"/>
        </w:rPr>
      </w:pPr>
      <w:r>
        <w:rPr>
          <w:rFonts w:ascii="Times" w:hAnsi="Times"/>
          <w:sz w:val="20"/>
        </w:rPr>
        <w:t>removed (because it was repealed or deleted from the law); or</w:t>
      </w:r>
    </w:p>
    <w:p>
      <w:pPr>
        <w:numPr>
          <w:ilvl w:val="0"/>
          <w:numId w:val="25"/>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tabs>
          <w:tab w:val="left" w:pos="567"/>
        </w:tabs>
        <w:spacing w:before="60"/>
        <w:ind w:left="851" w:hanging="851"/>
        <w:rPr>
          <w:spacing w:val="-3"/>
          <w:sz w:val="20"/>
        </w:rPr>
      </w:pPr>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5 April 2013</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Combat Sports Regulations 2004</w:t>
      </w:r>
      <w:r>
        <w:fldChar w:fldCharType="end"/>
      </w:r>
    </w:p>
    <w:p>
      <w:pPr>
        <w:pStyle w:val="Arrangement"/>
        <w:pBdr>
          <w:top w:val="none" w:sz="0" w:space="0" w:color="auto"/>
          <w:bottom w:val="none" w:sz="0" w:space="0" w:color="auto"/>
        </w:pBdr>
        <w:rPr>
          <w:b/>
          <w:sz w:val="28"/>
          <w:szCs w:val="28"/>
        </w:rPr>
      </w:pPr>
      <w:r>
        <w:rPr>
          <w:b/>
          <w:sz w:val="28"/>
          <w:szCs w:val="28"/>
        </w:rP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_Toc382313188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_Toc382313189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_Toc382313190 \h </w:instrText>
      </w:r>
      <w:r>
        <w:fldChar w:fldCharType="separate"/>
      </w:r>
      <w:r>
        <w:t>1</w:t>
      </w:r>
      <w:r>
        <w:fldChar w:fldCharType="end"/>
      </w:r>
    </w:p>
    <w:p>
      <w:pPr>
        <w:pStyle w:val="TOC8"/>
        <w:rPr>
          <w:rFonts w:asciiTheme="minorHAnsi" w:eastAsiaTheme="minorEastAsia" w:hAnsiTheme="minorHAnsi" w:cstheme="minorBidi"/>
          <w:szCs w:val="22"/>
        </w:rPr>
      </w:pPr>
      <w:r>
        <w:t>4.</w:t>
      </w:r>
      <w:r>
        <w:tab/>
        <w:t>Combat sports prescribed not to be combat sport</w:t>
      </w:r>
      <w:r>
        <w:tab/>
      </w:r>
      <w:r>
        <w:fldChar w:fldCharType="begin"/>
      </w:r>
      <w:r>
        <w:instrText xml:space="preserve"> PAGEREF _Toc382313191 \h </w:instrText>
      </w:r>
      <w:r>
        <w:fldChar w:fldCharType="separate"/>
      </w:r>
      <w:r>
        <w:t>2</w:t>
      </w:r>
      <w:r>
        <w:fldChar w:fldCharType="end"/>
      </w:r>
    </w:p>
    <w:p>
      <w:pPr>
        <w:pStyle w:val="TOC8"/>
        <w:rPr>
          <w:rFonts w:asciiTheme="minorHAnsi" w:eastAsiaTheme="minorEastAsia" w:hAnsiTheme="minorHAnsi" w:cstheme="minorBidi"/>
          <w:szCs w:val="22"/>
        </w:rPr>
      </w:pPr>
      <w:r>
        <w:t>5A.</w:t>
      </w:r>
      <w:r>
        <w:tab/>
        <w:t>Contests prescribed not to be contest</w:t>
      </w:r>
      <w:r>
        <w:tab/>
      </w:r>
      <w:r>
        <w:fldChar w:fldCharType="begin"/>
      </w:r>
      <w:r>
        <w:instrText xml:space="preserve"> PAGEREF _Toc382313192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Part 2 — Registration</w:t>
      </w:r>
    </w:p>
    <w:p>
      <w:pPr>
        <w:pStyle w:val="TOC4"/>
        <w:tabs>
          <w:tab w:val="right" w:leader="dot" w:pos="7086"/>
        </w:tabs>
        <w:rPr>
          <w:rFonts w:asciiTheme="minorHAnsi" w:eastAsiaTheme="minorEastAsia" w:hAnsiTheme="minorHAnsi" w:cstheme="minorBidi"/>
          <w:b w:val="0"/>
          <w:szCs w:val="22"/>
        </w:rPr>
      </w:pPr>
      <w:r>
        <w:t>Division 1 — Contestants</w:t>
      </w:r>
    </w:p>
    <w:p>
      <w:pPr>
        <w:pStyle w:val="TOC8"/>
        <w:rPr>
          <w:rFonts w:asciiTheme="minorHAnsi" w:eastAsiaTheme="minorEastAsia" w:hAnsiTheme="minorHAnsi" w:cstheme="minorBidi"/>
          <w:szCs w:val="22"/>
        </w:rPr>
      </w:pPr>
      <w:r>
        <w:t>5.</w:t>
      </w:r>
      <w:r>
        <w:tab/>
      </w:r>
      <w:r>
        <w:rPr>
          <w:snapToGrid w:val="0"/>
        </w:rPr>
        <w:t>Prescribed classes of contestants</w:t>
      </w:r>
      <w:r>
        <w:tab/>
      </w:r>
      <w:r>
        <w:fldChar w:fldCharType="begin"/>
      </w:r>
      <w:r>
        <w:instrText xml:space="preserve"> PAGEREF _Toc382313195 \h </w:instrText>
      </w:r>
      <w:r>
        <w:fldChar w:fldCharType="separate"/>
      </w:r>
      <w:r>
        <w:t>4</w:t>
      </w:r>
      <w:r>
        <w:fldChar w:fldCharType="end"/>
      </w:r>
    </w:p>
    <w:p>
      <w:pPr>
        <w:pStyle w:val="TOC8"/>
        <w:rPr>
          <w:rFonts w:asciiTheme="minorHAnsi" w:eastAsiaTheme="minorEastAsia" w:hAnsiTheme="minorHAnsi" w:cstheme="minorBidi"/>
          <w:szCs w:val="22"/>
        </w:rPr>
      </w:pPr>
      <w:r>
        <w:t>6A.</w:t>
      </w:r>
      <w:r>
        <w:tab/>
        <w:t>Persons taken to be registered as contestant</w:t>
      </w:r>
      <w:r>
        <w:tab/>
      </w:r>
      <w:r>
        <w:fldChar w:fldCharType="begin"/>
      </w:r>
      <w:r>
        <w:instrText xml:space="preserve"> PAGEREF _Toc382313196 \h </w:instrText>
      </w:r>
      <w:r>
        <w:fldChar w:fldCharType="separate"/>
      </w:r>
      <w:r>
        <w:t>4</w:t>
      </w:r>
      <w:r>
        <w:fldChar w:fldCharType="end"/>
      </w:r>
    </w:p>
    <w:p>
      <w:pPr>
        <w:pStyle w:val="TOC8"/>
        <w:rPr>
          <w:rFonts w:asciiTheme="minorHAnsi" w:eastAsiaTheme="minorEastAsia" w:hAnsiTheme="minorHAnsi" w:cstheme="minorBidi"/>
          <w:szCs w:val="22"/>
        </w:rPr>
      </w:pPr>
      <w:r>
        <w:t>6.</w:t>
      </w:r>
      <w:r>
        <w:tab/>
        <w:t>Particulars to be recorded in the register</w:t>
      </w:r>
      <w:r>
        <w:tab/>
      </w:r>
      <w:r>
        <w:fldChar w:fldCharType="begin"/>
      </w:r>
      <w:r>
        <w:instrText xml:space="preserve"> PAGEREF _Toc382313197 \h </w:instrText>
      </w:r>
      <w:r>
        <w:fldChar w:fldCharType="separate"/>
      </w:r>
      <w:r>
        <w:t>4</w:t>
      </w:r>
      <w:r>
        <w:fldChar w:fldCharType="end"/>
      </w:r>
    </w:p>
    <w:p>
      <w:pPr>
        <w:pStyle w:val="TOC8"/>
        <w:rPr>
          <w:rFonts w:asciiTheme="minorHAnsi" w:eastAsiaTheme="minorEastAsia" w:hAnsiTheme="minorHAnsi" w:cstheme="minorBidi"/>
          <w:szCs w:val="22"/>
        </w:rPr>
      </w:pPr>
      <w:r>
        <w:t>7.</w:t>
      </w:r>
      <w:r>
        <w:tab/>
        <w:t>Time for making application for registration</w:t>
      </w:r>
      <w:r>
        <w:tab/>
      </w:r>
      <w:r>
        <w:fldChar w:fldCharType="begin"/>
      </w:r>
      <w:r>
        <w:instrText xml:space="preserve"> PAGEREF _Toc382313198 \h </w:instrText>
      </w:r>
      <w:r>
        <w:fldChar w:fldCharType="separate"/>
      </w:r>
      <w:r>
        <w:t>5</w:t>
      </w:r>
      <w:r>
        <w:fldChar w:fldCharType="end"/>
      </w:r>
    </w:p>
    <w:p>
      <w:pPr>
        <w:pStyle w:val="TOC8"/>
        <w:rPr>
          <w:rFonts w:asciiTheme="minorHAnsi" w:eastAsiaTheme="minorEastAsia" w:hAnsiTheme="minorHAnsi" w:cstheme="minorBidi"/>
          <w:szCs w:val="22"/>
        </w:rPr>
      </w:pPr>
      <w:r>
        <w:t>8A.</w:t>
      </w:r>
      <w:r>
        <w:tab/>
        <w:t>Prescribed medical information</w:t>
      </w:r>
      <w:r>
        <w:tab/>
      </w:r>
      <w:r>
        <w:fldChar w:fldCharType="begin"/>
      </w:r>
      <w:r>
        <w:instrText xml:space="preserve"> PAGEREF _Toc382313199 \h </w:instrText>
      </w:r>
      <w:r>
        <w:fldChar w:fldCharType="separate"/>
      </w:r>
      <w:r>
        <w:t>5</w:t>
      </w:r>
      <w:r>
        <w:fldChar w:fldCharType="end"/>
      </w:r>
    </w:p>
    <w:p>
      <w:pPr>
        <w:pStyle w:val="TOC8"/>
        <w:rPr>
          <w:rFonts w:asciiTheme="minorHAnsi" w:eastAsiaTheme="minorEastAsia" w:hAnsiTheme="minorHAnsi" w:cstheme="minorBidi"/>
          <w:szCs w:val="22"/>
        </w:rPr>
      </w:pPr>
      <w:r>
        <w:t>8B.</w:t>
      </w:r>
      <w:r>
        <w:tab/>
        <w:t>Prescribed ages for classes of contestants</w:t>
      </w:r>
      <w:r>
        <w:tab/>
      </w:r>
      <w:r>
        <w:fldChar w:fldCharType="begin"/>
      </w:r>
      <w:r>
        <w:instrText xml:space="preserve"> PAGEREF _Toc382313200 \h </w:instrText>
      </w:r>
      <w:r>
        <w:fldChar w:fldCharType="separate"/>
      </w:r>
      <w:r>
        <w:t>6</w:t>
      </w:r>
      <w:r>
        <w:fldChar w:fldCharType="end"/>
      </w:r>
    </w:p>
    <w:p>
      <w:pPr>
        <w:pStyle w:val="TOC8"/>
        <w:rPr>
          <w:rFonts w:asciiTheme="minorHAnsi" w:eastAsiaTheme="minorEastAsia" w:hAnsiTheme="minorHAnsi" w:cstheme="minorBidi"/>
          <w:szCs w:val="22"/>
        </w:rPr>
      </w:pPr>
      <w:r>
        <w:t>8C.</w:t>
      </w:r>
      <w:r>
        <w:tab/>
        <w:t>Contestant record book</w:t>
      </w:r>
      <w:r>
        <w:tab/>
      </w:r>
      <w:r>
        <w:fldChar w:fldCharType="begin"/>
      </w:r>
      <w:r>
        <w:instrText xml:space="preserve"> PAGEREF _Toc382313201 \h </w:instrText>
      </w:r>
      <w:r>
        <w:fldChar w:fldCharType="separate"/>
      </w:r>
      <w:r>
        <w:t>7</w:t>
      </w:r>
      <w:r>
        <w:fldChar w:fldCharType="end"/>
      </w:r>
    </w:p>
    <w:p>
      <w:pPr>
        <w:pStyle w:val="TOC8"/>
        <w:rPr>
          <w:rFonts w:asciiTheme="minorHAnsi" w:eastAsiaTheme="minorEastAsia" w:hAnsiTheme="minorHAnsi" w:cstheme="minorBidi"/>
          <w:szCs w:val="22"/>
        </w:rPr>
      </w:pPr>
      <w:r>
        <w:t>8.</w:t>
      </w:r>
      <w:r>
        <w:tab/>
        <w:t>Fees</w:t>
      </w:r>
      <w:r>
        <w:tab/>
      </w:r>
      <w:r>
        <w:fldChar w:fldCharType="begin"/>
      </w:r>
      <w:r>
        <w:instrText xml:space="preserve"> PAGEREF _Toc382313202 \h </w:instrText>
      </w:r>
      <w:r>
        <w:fldChar w:fldCharType="separate"/>
      </w:r>
      <w:r>
        <w:t>7</w:t>
      </w:r>
      <w:r>
        <w:fldChar w:fldCharType="end"/>
      </w:r>
    </w:p>
    <w:p>
      <w:pPr>
        <w:pStyle w:val="TOC4"/>
        <w:tabs>
          <w:tab w:val="right" w:leader="dot" w:pos="7086"/>
        </w:tabs>
        <w:rPr>
          <w:rFonts w:asciiTheme="minorHAnsi" w:eastAsiaTheme="minorEastAsia" w:hAnsiTheme="minorHAnsi" w:cstheme="minorBidi"/>
          <w:b w:val="0"/>
          <w:szCs w:val="22"/>
        </w:rPr>
      </w:pPr>
      <w:r>
        <w:t>Division 2 — Industry participants</w:t>
      </w:r>
    </w:p>
    <w:p>
      <w:pPr>
        <w:pStyle w:val="TOC8"/>
        <w:rPr>
          <w:rFonts w:asciiTheme="minorHAnsi" w:eastAsiaTheme="minorEastAsia" w:hAnsiTheme="minorHAnsi" w:cstheme="minorBidi"/>
          <w:szCs w:val="22"/>
        </w:rPr>
      </w:pPr>
      <w:r>
        <w:t>9.</w:t>
      </w:r>
      <w:r>
        <w:tab/>
        <w:t>Prescribed capacities of industry participants</w:t>
      </w:r>
      <w:r>
        <w:tab/>
      </w:r>
      <w:r>
        <w:fldChar w:fldCharType="begin"/>
      </w:r>
      <w:r>
        <w:instrText xml:space="preserve"> PAGEREF _Toc382313204 \h </w:instrText>
      </w:r>
      <w:r>
        <w:fldChar w:fldCharType="separate"/>
      </w:r>
      <w:r>
        <w:t>7</w:t>
      </w:r>
      <w:r>
        <w:fldChar w:fldCharType="end"/>
      </w:r>
    </w:p>
    <w:p>
      <w:pPr>
        <w:pStyle w:val="TOC8"/>
        <w:rPr>
          <w:rFonts w:asciiTheme="minorHAnsi" w:eastAsiaTheme="minorEastAsia" w:hAnsiTheme="minorHAnsi" w:cstheme="minorBidi"/>
          <w:szCs w:val="22"/>
        </w:rPr>
      </w:pPr>
      <w:r>
        <w:t>10A.</w:t>
      </w:r>
      <w:r>
        <w:tab/>
        <w:t>Persons taken to be registered as industry participants</w:t>
      </w:r>
      <w:r>
        <w:tab/>
      </w:r>
      <w:r>
        <w:fldChar w:fldCharType="begin"/>
      </w:r>
      <w:r>
        <w:instrText xml:space="preserve"> PAGEREF _Toc382313205 \h </w:instrText>
      </w:r>
      <w:r>
        <w:fldChar w:fldCharType="separate"/>
      </w:r>
      <w:r>
        <w:t>8</w:t>
      </w:r>
      <w:r>
        <w:fldChar w:fldCharType="end"/>
      </w:r>
    </w:p>
    <w:p>
      <w:pPr>
        <w:pStyle w:val="TOC8"/>
        <w:rPr>
          <w:rFonts w:asciiTheme="minorHAnsi" w:eastAsiaTheme="minorEastAsia" w:hAnsiTheme="minorHAnsi" w:cstheme="minorBidi"/>
          <w:szCs w:val="22"/>
        </w:rPr>
      </w:pPr>
      <w:r>
        <w:t>10.</w:t>
      </w:r>
      <w:r>
        <w:tab/>
        <w:t>Register of industry participants: prescribed particulars</w:t>
      </w:r>
      <w:r>
        <w:tab/>
      </w:r>
      <w:r>
        <w:fldChar w:fldCharType="begin"/>
      </w:r>
      <w:r>
        <w:instrText xml:space="preserve"> PAGEREF _Toc382313206 \h </w:instrText>
      </w:r>
      <w:r>
        <w:fldChar w:fldCharType="separate"/>
      </w:r>
      <w:r>
        <w:t>8</w:t>
      </w:r>
      <w:r>
        <w:fldChar w:fldCharType="end"/>
      </w:r>
    </w:p>
    <w:p>
      <w:pPr>
        <w:pStyle w:val="TOC8"/>
        <w:rPr>
          <w:rFonts w:asciiTheme="minorHAnsi" w:eastAsiaTheme="minorEastAsia" w:hAnsiTheme="minorHAnsi" w:cstheme="minorBidi"/>
          <w:szCs w:val="22"/>
        </w:rPr>
      </w:pPr>
      <w:r>
        <w:t>11.</w:t>
      </w:r>
      <w:r>
        <w:tab/>
        <w:t>Registration fees</w:t>
      </w:r>
      <w:r>
        <w:tab/>
      </w:r>
      <w:r>
        <w:fldChar w:fldCharType="begin"/>
      </w:r>
      <w:r>
        <w:instrText xml:space="preserve"> PAGEREF _Toc382313207 \h </w:instrText>
      </w:r>
      <w:r>
        <w:fldChar w:fldCharType="separate"/>
      </w:r>
      <w:r>
        <w:t>10</w:t>
      </w:r>
      <w:r>
        <w:fldChar w:fldCharType="end"/>
      </w:r>
    </w:p>
    <w:p>
      <w:pPr>
        <w:pStyle w:val="TOC2"/>
        <w:tabs>
          <w:tab w:val="right" w:leader="dot" w:pos="7086"/>
        </w:tabs>
        <w:rPr>
          <w:rFonts w:asciiTheme="minorHAnsi" w:eastAsiaTheme="minorEastAsia" w:hAnsiTheme="minorHAnsi" w:cstheme="minorBidi"/>
          <w:b w:val="0"/>
          <w:sz w:val="22"/>
          <w:szCs w:val="22"/>
        </w:rPr>
      </w:pPr>
      <w:r>
        <w:t>Part 3 — Contests</w:t>
      </w:r>
    </w:p>
    <w:p>
      <w:pPr>
        <w:pStyle w:val="TOC4"/>
        <w:tabs>
          <w:tab w:val="right" w:leader="dot" w:pos="7086"/>
        </w:tabs>
        <w:rPr>
          <w:rFonts w:asciiTheme="minorHAnsi" w:eastAsiaTheme="minorEastAsia" w:hAnsiTheme="minorHAnsi" w:cstheme="minorBidi"/>
          <w:b w:val="0"/>
          <w:szCs w:val="22"/>
        </w:rPr>
      </w:pPr>
      <w:r>
        <w:t>Division 1 — Pre</w:t>
      </w:r>
      <w:r>
        <w:noBreakHyphen/>
        <w:t>contest matters</w:t>
      </w:r>
    </w:p>
    <w:p>
      <w:pPr>
        <w:pStyle w:val="TOC8"/>
        <w:rPr>
          <w:rFonts w:asciiTheme="minorHAnsi" w:eastAsiaTheme="minorEastAsia" w:hAnsiTheme="minorHAnsi" w:cstheme="minorBidi"/>
          <w:szCs w:val="22"/>
        </w:rPr>
      </w:pPr>
      <w:r>
        <w:t>13.</w:t>
      </w:r>
      <w:r>
        <w:tab/>
        <w:t>Information to be recorded at weigh</w:t>
      </w:r>
      <w:r>
        <w:noBreakHyphen/>
        <w:t>in</w:t>
      </w:r>
      <w:r>
        <w:tab/>
      </w:r>
      <w:r>
        <w:fldChar w:fldCharType="begin"/>
      </w:r>
      <w:r>
        <w:instrText xml:space="preserve"> PAGEREF _Toc382313210 \h </w:instrText>
      </w:r>
      <w:r>
        <w:fldChar w:fldCharType="separate"/>
      </w:r>
      <w:r>
        <w:t>11</w:t>
      </w:r>
      <w:r>
        <w:fldChar w:fldCharType="end"/>
      </w:r>
    </w:p>
    <w:p>
      <w:pPr>
        <w:pStyle w:val="TOC8"/>
        <w:rPr>
          <w:rFonts w:asciiTheme="minorHAnsi" w:eastAsiaTheme="minorEastAsia" w:hAnsiTheme="minorHAnsi" w:cstheme="minorBidi"/>
          <w:szCs w:val="22"/>
        </w:rPr>
      </w:pPr>
      <w:r>
        <w:t>14.</w:t>
      </w:r>
      <w:r>
        <w:tab/>
        <w:t>Information to be certified by medical practitioner</w:t>
      </w:r>
      <w:r>
        <w:tab/>
      </w:r>
      <w:r>
        <w:fldChar w:fldCharType="begin"/>
      </w:r>
      <w:r>
        <w:instrText xml:space="preserve"> PAGEREF _Toc382313211 \h </w:instrText>
      </w:r>
      <w:r>
        <w:fldChar w:fldCharType="separate"/>
      </w:r>
      <w:r>
        <w:t>11</w:t>
      </w:r>
      <w:r>
        <w:fldChar w:fldCharType="end"/>
      </w:r>
    </w:p>
    <w:p>
      <w:pPr>
        <w:pStyle w:val="TOC4"/>
        <w:tabs>
          <w:tab w:val="right" w:leader="dot" w:pos="7086"/>
        </w:tabs>
        <w:rPr>
          <w:rFonts w:asciiTheme="minorHAnsi" w:eastAsiaTheme="minorEastAsia" w:hAnsiTheme="minorHAnsi" w:cstheme="minorBidi"/>
          <w:b w:val="0"/>
          <w:szCs w:val="22"/>
        </w:rPr>
      </w:pPr>
      <w:r>
        <w:t>Division 2 — Rest periods</w:t>
      </w:r>
    </w:p>
    <w:p>
      <w:pPr>
        <w:pStyle w:val="TOC8"/>
        <w:rPr>
          <w:rFonts w:asciiTheme="minorHAnsi" w:eastAsiaTheme="minorEastAsia" w:hAnsiTheme="minorHAnsi" w:cstheme="minorBidi"/>
          <w:szCs w:val="22"/>
        </w:rPr>
      </w:pPr>
      <w:r>
        <w:rPr>
          <w:rFonts w:ascii="Times" w:hAnsi="Times"/>
        </w:rPr>
        <w:t>15.</w:t>
      </w:r>
      <w:r>
        <w:rPr>
          <w:rFonts w:ascii="Times" w:hAnsi="Times"/>
        </w:rPr>
        <w:tab/>
      </w:r>
      <w:r>
        <w:rPr>
          <w:rFonts w:ascii="Times" w:hAnsi="Times"/>
          <w:snapToGrid w:val="0"/>
        </w:rPr>
        <w:t>Restrictions on competing following a knockout or other loss</w:t>
      </w:r>
      <w:r>
        <w:tab/>
      </w:r>
      <w:r>
        <w:fldChar w:fldCharType="begin"/>
      </w:r>
      <w:r>
        <w:instrText xml:space="preserve"> PAGEREF _Toc382313213 \h </w:instrText>
      </w:r>
      <w:r>
        <w:fldChar w:fldCharType="separate"/>
      </w:r>
      <w:r>
        <w:t>11</w:t>
      </w:r>
      <w:r>
        <w:fldChar w:fldCharType="end"/>
      </w:r>
    </w:p>
    <w:p>
      <w:pPr>
        <w:pStyle w:val="TOC8"/>
        <w:rPr>
          <w:rFonts w:asciiTheme="minorHAnsi" w:eastAsiaTheme="minorEastAsia" w:hAnsiTheme="minorHAnsi" w:cstheme="minorBidi"/>
          <w:szCs w:val="22"/>
        </w:rPr>
      </w:pPr>
      <w:r>
        <w:rPr>
          <w:rFonts w:ascii="Times" w:hAnsi="Times"/>
        </w:rPr>
        <w:t>16.</w:t>
      </w:r>
      <w:r>
        <w:rPr>
          <w:rFonts w:ascii="Times" w:hAnsi="Times"/>
        </w:rPr>
        <w:tab/>
      </w:r>
      <w:r>
        <w:rPr>
          <w:rFonts w:ascii="Times" w:hAnsi="Times"/>
          <w:snapToGrid w:val="0"/>
        </w:rPr>
        <w:t>Restrictions on competing following a contest</w:t>
      </w:r>
      <w:r>
        <w:tab/>
      </w:r>
      <w:r>
        <w:fldChar w:fldCharType="begin"/>
      </w:r>
      <w:r>
        <w:instrText xml:space="preserve"> PAGEREF _Toc382313214 \h </w:instrText>
      </w:r>
      <w:r>
        <w:fldChar w:fldCharType="separate"/>
      </w:r>
      <w:r>
        <w:t>12</w:t>
      </w:r>
      <w:r>
        <w:fldChar w:fldCharType="end"/>
      </w:r>
    </w:p>
    <w:p>
      <w:pPr>
        <w:pStyle w:val="TOC4"/>
        <w:tabs>
          <w:tab w:val="right" w:leader="dot" w:pos="7086"/>
        </w:tabs>
        <w:rPr>
          <w:rFonts w:asciiTheme="minorHAnsi" w:eastAsiaTheme="minorEastAsia" w:hAnsiTheme="minorHAnsi" w:cstheme="minorBidi"/>
          <w:b w:val="0"/>
          <w:szCs w:val="22"/>
        </w:rPr>
      </w:pPr>
      <w:r>
        <w:t>Division 3 — Record of contest</w:t>
      </w:r>
    </w:p>
    <w:p>
      <w:pPr>
        <w:pStyle w:val="TOC8"/>
        <w:rPr>
          <w:rFonts w:asciiTheme="minorHAnsi" w:eastAsiaTheme="minorEastAsia" w:hAnsiTheme="minorHAnsi" w:cstheme="minorBidi"/>
          <w:szCs w:val="22"/>
        </w:rPr>
      </w:pPr>
      <w:r>
        <w:t>17A.</w:t>
      </w:r>
      <w:r>
        <w:tab/>
        <w:t>Prescribed information: record of contest</w:t>
      </w:r>
      <w:r>
        <w:tab/>
      </w:r>
      <w:r>
        <w:fldChar w:fldCharType="begin"/>
      </w:r>
      <w:r>
        <w:instrText xml:space="preserve"> PAGEREF _Toc382313216 \h </w:instrText>
      </w:r>
      <w:r>
        <w:fldChar w:fldCharType="separate"/>
      </w:r>
      <w:r>
        <w:t>13</w:t>
      </w:r>
      <w:r>
        <w:fldChar w:fldCharType="end"/>
      </w:r>
    </w:p>
    <w:p>
      <w:pPr>
        <w:pStyle w:val="TOC8"/>
        <w:rPr>
          <w:rFonts w:asciiTheme="minorHAnsi" w:eastAsiaTheme="minorEastAsia" w:hAnsiTheme="minorHAnsi" w:cstheme="minorBidi"/>
          <w:szCs w:val="22"/>
        </w:rPr>
      </w:pPr>
      <w:r>
        <w:t>17B.</w:t>
      </w:r>
      <w:r>
        <w:tab/>
        <w:t>Recording participation in contests outside State</w:t>
      </w:r>
      <w:r>
        <w:tab/>
      </w:r>
      <w:r>
        <w:fldChar w:fldCharType="begin"/>
      </w:r>
      <w:r>
        <w:instrText xml:space="preserve"> PAGEREF _Toc382313217 \h </w:instrText>
      </w:r>
      <w:r>
        <w:fldChar w:fldCharType="separate"/>
      </w:r>
      <w:r>
        <w:t>13</w:t>
      </w:r>
      <w:r>
        <w:fldChar w:fldCharType="end"/>
      </w:r>
    </w:p>
    <w:p>
      <w:pPr>
        <w:pStyle w:val="TOC4"/>
        <w:tabs>
          <w:tab w:val="right" w:leader="dot" w:pos="7086"/>
        </w:tabs>
        <w:rPr>
          <w:rFonts w:asciiTheme="minorHAnsi" w:eastAsiaTheme="minorEastAsia" w:hAnsiTheme="minorHAnsi" w:cstheme="minorBidi"/>
          <w:b w:val="0"/>
          <w:szCs w:val="22"/>
        </w:rPr>
      </w:pPr>
      <w:r>
        <w:t>Division 4 — Permits for contests</w:t>
      </w:r>
    </w:p>
    <w:p>
      <w:pPr>
        <w:pStyle w:val="TOC8"/>
        <w:rPr>
          <w:rFonts w:asciiTheme="minorHAnsi" w:eastAsiaTheme="minorEastAsia" w:hAnsiTheme="minorHAnsi" w:cstheme="minorBidi"/>
          <w:szCs w:val="22"/>
        </w:rPr>
      </w:pPr>
      <w:r>
        <w:t>17C.</w:t>
      </w:r>
      <w:r>
        <w:tab/>
        <w:t>Prescribed information: permits to conduct contests</w:t>
      </w:r>
      <w:r>
        <w:tab/>
      </w:r>
      <w:r>
        <w:fldChar w:fldCharType="begin"/>
      </w:r>
      <w:r>
        <w:instrText xml:space="preserve"> PAGEREF _Toc382313219 \h </w:instrText>
      </w:r>
      <w:r>
        <w:fldChar w:fldCharType="separate"/>
      </w:r>
      <w:r>
        <w:t>14</w:t>
      </w:r>
      <w:r>
        <w:fldChar w:fldCharType="end"/>
      </w:r>
    </w:p>
    <w:p>
      <w:pPr>
        <w:pStyle w:val="TOC8"/>
        <w:rPr>
          <w:rFonts w:asciiTheme="minorHAnsi" w:eastAsiaTheme="minorEastAsia" w:hAnsiTheme="minorHAnsi" w:cstheme="minorBidi"/>
          <w:szCs w:val="22"/>
        </w:rPr>
      </w:pPr>
      <w:r>
        <w:t>17D.</w:t>
      </w:r>
      <w:r>
        <w:tab/>
        <w:t>Prescribed information: permit for contest</w:t>
      </w:r>
      <w:r>
        <w:tab/>
      </w:r>
      <w:r>
        <w:fldChar w:fldCharType="begin"/>
      </w:r>
      <w:r>
        <w:instrText xml:space="preserve"> PAGEREF _Toc382313220 \h </w:instrText>
      </w:r>
      <w:r>
        <w:fldChar w:fldCharType="separate"/>
      </w:r>
      <w:r>
        <w:t>15</w:t>
      </w:r>
      <w:r>
        <w:fldChar w:fldCharType="end"/>
      </w:r>
    </w:p>
    <w:p>
      <w:pPr>
        <w:pStyle w:val="TOC8"/>
        <w:rPr>
          <w:rFonts w:asciiTheme="minorHAnsi" w:eastAsiaTheme="minorEastAsia" w:hAnsiTheme="minorHAnsi" w:cstheme="minorBidi"/>
          <w:szCs w:val="22"/>
        </w:rPr>
      </w:pPr>
      <w:r>
        <w:t>17E.</w:t>
      </w:r>
      <w:r>
        <w:tab/>
        <w:t>Fee for permit for contest</w:t>
      </w:r>
      <w:r>
        <w:tab/>
      </w:r>
      <w:r>
        <w:fldChar w:fldCharType="begin"/>
      </w:r>
      <w:r>
        <w:instrText xml:space="preserve"> PAGEREF _Toc382313221 \h </w:instrText>
      </w:r>
      <w:r>
        <w:fldChar w:fldCharType="separate"/>
      </w:r>
      <w:r>
        <w:t>15</w:t>
      </w:r>
      <w:r>
        <w:fldChar w:fldCharType="end"/>
      </w:r>
    </w:p>
    <w:p>
      <w:pPr>
        <w:pStyle w:val="TOC2"/>
        <w:tabs>
          <w:tab w:val="right" w:leader="dot" w:pos="7086"/>
        </w:tabs>
        <w:rPr>
          <w:rFonts w:asciiTheme="minorHAnsi" w:eastAsiaTheme="minorEastAsia" w:hAnsiTheme="minorHAnsi" w:cstheme="minorBidi"/>
          <w:b w:val="0"/>
          <w:sz w:val="22"/>
          <w:szCs w:val="22"/>
        </w:rPr>
      </w:pPr>
      <w:r>
        <w:t>Part 4 — Ratings and titles</w:t>
      </w:r>
    </w:p>
    <w:p>
      <w:pPr>
        <w:pStyle w:val="TOC8"/>
        <w:rPr>
          <w:rFonts w:asciiTheme="minorHAnsi" w:eastAsiaTheme="minorEastAsia" w:hAnsiTheme="minorHAnsi" w:cstheme="minorBidi"/>
          <w:szCs w:val="22"/>
        </w:rPr>
      </w:pPr>
      <w:r>
        <w:t>17.</w:t>
      </w:r>
      <w:r>
        <w:tab/>
      </w:r>
      <w:r>
        <w:rPr>
          <w:snapToGrid w:val="0"/>
        </w:rPr>
        <w:t>Ratings</w:t>
      </w:r>
      <w:r>
        <w:tab/>
      </w:r>
      <w:r>
        <w:fldChar w:fldCharType="begin"/>
      </w:r>
      <w:r>
        <w:instrText xml:space="preserve"> PAGEREF _Toc382313223 \h </w:instrText>
      </w:r>
      <w:r>
        <w:fldChar w:fldCharType="separate"/>
      </w:r>
      <w:r>
        <w:t>16</w:t>
      </w:r>
      <w:r>
        <w:fldChar w:fldCharType="end"/>
      </w:r>
    </w:p>
    <w:p>
      <w:pPr>
        <w:pStyle w:val="TOC8"/>
        <w:rPr>
          <w:rFonts w:asciiTheme="minorHAnsi" w:eastAsiaTheme="minorEastAsia" w:hAnsiTheme="minorHAnsi" w:cstheme="minorBidi"/>
          <w:szCs w:val="22"/>
        </w:rPr>
      </w:pPr>
      <w:r>
        <w:t>18.</w:t>
      </w:r>
      <w:r>
        <w:tab/>
        <w:t>Titles</w:t>
      </w:r>
      <w:r>
        <w:tab/>
      </w:r>
      <w:r>
        <w:fldChar w:fldCharType="begin"/>
      </w:r>
      <w:r>
        <w:instrText xml:space="preserve"> PAGEREF _Toc382313224 \h </w:instrText>
      </w:r>
      <w:r>
        <w:fldChar w:fldCharType="separate"/>
      </w:r>
      <w:r>
        <w:t>16</w:t>
      </w:r>
      <w:r>
        <w:fldChar w:fldCharType="end"/>
      </w:r>
    </w:p>
    <w:p>
      <w:pPr>
        <w:pStyle w:val="TOC2"/>
        <w:tabs>
          <w:tab w:val="right" w:leader="dot" w:pos="7086"/>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19.</w:t>
      </w:r>
      <w:r>
        <w:tab/>
        <w:t>Minimum fees for officials</w:t>
      </w:r>
      <w:r>
        <w:tab/>
      </w:r>
      <w:r>
        <w:fldChar w:fldCharType="begin"/>
      </w:r>
      <w:r>
        <w:instrText xml:space="preserve"> PAGEREF _Toc382313226 \h </w:instrText>
      </w:r>
      <w:r>
        <w:fldChar w:fldCharType="separate"/>
      </w:r>
      <w:r>
        <w:t>17</w:t>
      </w:r>
      <w:r>
        <w:fldChar w:fldCharType="end"/>
      </w:r>
    </w:p>
    <w:p>
      <w:pPr>
        <w:pStyle w:val="TOC2"/>
        <w:tabs>
          <w:tab w:val="right" w:leader="dot" w:pos="7086"/>
        </w:tabs>
        <w:rPr>
          <w:rFonts w:asciiTheme="minorHAnsi" w:eastAsiaTheme="minorEastAsia" w:hAnsiTheme="minorHAnsi" w:cstheme="minorBidi"/>
          <w:b w:val="0"/>
          <w:sz w:val="22"/>
          <w:szCs w:val="22"/>
        </w:rPr>
      </w:pPr>
      <w:r>
        <w:t>Part 6 — Savings and transitional matters</w:t>
      </w:r>
    </w:p>
    <w:p>
      <w:pPr>
        <w:pStyle w:val="TOC8"/>
        <w:rPr>
          <w:rFonts w:asciiTheme="minorHAnsi" w:eastAsiaTheme="minorEastAsia" w:hAnsiTheme="minorHAnsi" w:cstheme="minorBidi"/>
          <w:szCs w:val="22"/>
        </w:rPr>
      </w:pPr>
      <w:r>
        <w:t>20.</w:t>
      </w:r>
      <w:r>
        <w:tab/>
        <w:t>Terms used</w:t>
      </w:r>
      <w:r>
        <w:tab/>
      </w:r>
      <w:r>
        <w:fldChar w:fldCharType="begin"/>
      </w:r>
      <w:r>
        <w:instrText xml:space="preserve"> PAGEREF _Toc382313228 \h </w:instrText>
      </w:r>
      <w:r>
        <w:fldChar w:fldCharType="separate"/>
      </w:r>
      <w:r>
        <w:t>18</w:t>
      </w:r>
      <w:r>
        <w:fldChar w:fldCharType="end"/>
      </w:r>
    </w:p>
    <w:p>
      <w:pPr>
        <w:pStyle w:val="TOC8"/>
        <w:rPr>
          <w:rFonts w:asciiTheme="minorHAnsi" w:eastAsiaTheme="minorEastAsia" w:hAnsiTheme="minorHAnsi" w:cstheme="minorBidi"/>
          <w:szCs w:val="22"/>
        </w:rPr>
      </w:pPr>
      <w:r>
        <w:t>21.</w:t>
      </w:r>
      <w:r>
        <w:tab/>
      </w:r>
      <w:r>
        <w:rPr>
          <w:i/>
        </w:rPr>
        <w:t>Interpretation Act 1984</w:t>
      </w:r>
      <w:r>
        <w:t xml:space="preserve"> not affected</w:t>
      </w:r>
      <w:r>
        <w:tab/>
      </w:r>
      <w:r>
        <w:fldChar w:fldCharType="begin"/>
      </w:r>
      <w:r>
        <w:instrText xml:space="preserve"> PAGEREF _Toc382313229 \h </w:instrText>
      </w:r>
      <w:r>
        <w:fldChar w:fldCharType="separate"/>
      </w:r>
      <w:r>
        <w:t>18</w:t>
      </w:r>
      <w:r>
        <w:fldChar w:fldCharType="end"/>
      </w:r>
    </w:p>
    <w:p>
      <w:pPr>
        <w:pStyle w:val="TOC8"/>
        <w:rPr>
          <w:rFonts w:asciiTheme="minorHAnsi" w:eastAsiaTheme="minorEastAsia" w:hAnsiTheme="minorHAnsi" w:cstheme="minorBidi"/>
          <w:szCs w:val="22"/>
        </w:rPr>
      </w:pPr>
      <w:r>
        <w:t>22.</w:t>
      </w:r>
      <w:r>
        <w:tab/>
        <w:t>Contestants registered under PCS Act</w:t>
      </w:r>
      <w:r>
        <w:tab/>
      </w:r>
      <w:r>
        <w:fldChar w:fldCharType="begin"/>
      </w:r>
      <w:r>
        <w:instrText xml:space="preserve"> PAGEREF _Toc382313230 \h </w:instrText>
      </w:r>
      <w:r>
        <w:fldChar w:fldCharType="separate"/>
      </w:r>
      <w:r>
        <w:t>18</w:t>
      </w:r>
      <w:r>
        <w:fldChar w:fldCharType="end"/>
      </w:r>
    </w:p>
    <w:p>
      <w:pPr>
        <w:pStyle w:val="TOC8"/>
        <w:rPr>
          <w:rFonts w:asciiTheme="minorHAnsi" w:eastAsiaTheme="minorEastAsia" w:hAnsiTheme="minorHAnsi" w:cstheme="minorBidi"/>
          <w:szCs w:val="22"/>
        </w:rPr>
      </w:pPr>
      <w:r>
        <w:t>23.</w:t>
      </w:r>
      <w:r>
        <w:tab/>
        <w:t>Certificate of registration: contestants</w:t>
      </w:r>
      <w:r>
        <w:tab/>
      </w:r>
      <w:r>
        <w:fldChar w:fldCharType="begin"/>
      </w:r>
      <w:r>
        <w:instrText xml:space="preserve"> PAGEREF _Toc382313231 \h </w:instrText>
      </w:r>
      <w:r>
        <w:fldChar w:fldCharType="separate"/>
      </w:r>
      <w:r>
        <w:t>18</w:t>
      </w:r>
      <w:r>
        <w:fldChar w:fldCharType="end"/>
      </w:r>
    </w:p>
    <w:p>
      <w:pPr>
        <w:pStyle w:val="TOC8"/>
        <w:rPr>
          <w:rFonts w:asciiTheme="minorHAnsi" w:eastAsiaTheme="minorEastAsia" w:hAnsiTheme="minorHAnsi" w:cstheme="minorBidi"/>
          <w:szCs w:val="22"/>
        </w:rPr>
      </w:pPr>
      <w:r>
        <w:t>24.</w:t>
      </w:r>
      <w:r>
        <w:tab/>
        <w:t>Participants registered under PCS Act</w:t>
      </w:r>
      <w:r>
        <w:tab/>
      </w:r>
      <w:r>
        <w:fldChar w:fldCharType="begin"/>
      </w:r>
      <w:r>
        <w:instrText xml:space="preserve"> PAGEREF _Toc382313232 \h </w:instrText>
      </w:r>
      <w:r>
        <w:fldChar w:fldCharType="separate"/>
      </w:r>
      <w:r>
        <w:t>19</w:t>
      </w:r>
      <w:r>
        <w:fldChar w:fldCharType="end"/>
      </w:r>
    </w:p>
    <w:p>
      <w:pPr>
        <w:pStyle w:val="TOC8"/>
        <w:rPr>
          <w:rFonts w:asciiTheme="minorHAnsi" w:eastAsiaTheme="minorEastAsia" w:hAnsiTheme="minorHAnsi" w:cstheme="minorBidi"/>
          <w:szCs w:val="22"/>
        </w:rPr>
      </w:pPr>
      <w:r>
        <w:t>25.</w:t>
      </w:r>
      <w:r>
        <w:tab/>
        <w:t>Certificate of registration: industry participants</w:t>
      </w:r>
      <w:r>
        <w:tab/>
      </w:r>
      <w:r>
        <w:fldChar w:fldCharType="begin"/>
      </w:r>
      <w:r>
        <w:instrText xml:space="preserve"> PAGEREF _Toc382313233 \h </w:instrText>
      </w:r>
      <w:r>
        <w:fldChar w:fldCharType="separate"/>
      </w:r>
      <w:r>
        <w:t>19</w:t>
      </w:r>
      <w:r>
        <w:fldChar w:fldCharType="end"/>
      </w:r>
    </w:p>
    <w:p>
      <w:pPr>
        <w:pStyle w:val="TOC8"/>
        <w:rPr>
          <w:rFonts w:asciiTheme="minorHAnsi" w:eastAsiaTheme="minorEastAsia" w:hAnsiTheme="minorHAnsi" w:cstheme="minorBidi"/>
          <w:szCs w:val="22"/>
        </w:rPr>
      </w:pPr>
      <w:r>
        <w:t>26.</w:t>
      </w:r>
      <w:r>
        <w:tab/>
        <w:t>Register: industry participants</w:t>
      </w:r>
      <w:r>
        <w:tab/>
      </w:r>
      <w:r>
        <w:fldChar w:fldCharType="begin"/>
      </w:r>
      <w:r>
        <w:instrText xml:space="preserve"> PAGEREF _Toc382313234 \h </w:instrText>
      </w:r>
      <w:r>
        <w:fldChar w:fldCharType="separate"/>
      </w:r>
      <w:r>
        <w:t>19</w:t>
      </w:r>
      <w:r>
        <w:fldChar w:fldCharType="end"/>
      </w:r>
    </w:p>
    <w:p>
      <w:pPr>
        <w:pStyle w:val="TOC2"/>
        <w:tabs>
          <w:tab w:val="right" w:leader="dot" w:pos="7086"/>
        </w:tabs>
        <w:rPr>
          <w:rFonts w:asciiTheme="minorHAnsi" w:eastAsiaTheme="minorEastAsia" w:hAnsiTheme="minorHAnsi" w:cstheme="minorBidi"/>
          <w:b w:val="0"/>
          <w:sz w:val="22"/>
          <w:szCs w:val="22"/>
        </w:rPr>
      </w:pPr>
      <w:r>
        <w:t>Schedule 2 — Prescribed classes of contestants</w:t>
      </w:r>
    </w:p>
    <w:p>
      <w:pPr>
        <w:pStyle w:val="TOC4"/>
        <w:tabs>
          <w:tab w:val="right" w:leader="dot" w:pos="7086"/>
        </w:tabs>
        <w:rPr>
          <w:rFonts w:asciiTheme="minorHAnsi" w:eastAsiaTheme="minorEastAsia" w:hAnsiTheme="minorHAnsi" w:cstheme="minorBidi"/>
          <w:b w:val="0"/>
          <w:szCs w:val="22"/>
        </w:rPr>
      </w:pPr>
      <w:r>
        <w:t>Division 1</w:t>
      </w:r>
      <w:r>
        <w:rPr>
          <w:b w:val="0"/>
        </w:rPr>
        <w:t> — </w:t>
      </w:r>
      <w:r>
        <w:t>Boxing, kickboxing and Muay Thai</w:t>
      </w:r>
    </w:p>
    <w:p>
      <w:pPr>
        <w:pStyle w:val="TOC4"/>
        <w:tabs>
          <w:tab w:val="right" w:leader="dot" w:pos="7086"/>
        </w:tabs>
        <w:rPr>
          <w:rFonts w:asciiTheme="minorHAnsi" w:eastAsiaTheme="minorEastAsia" w:hAnsiTheme="minorHAnsi" w:cstheme="minorBidi"/>
          <w:b w:val="0"/>
          <w:szCs w:val="22"/>
        </w:rPr>
      </w:pPr>
      <w:r>
        <w:t>Division 2</w:t>
      </w:r>
      <w:r>
        <w:rPr>
          <w:b w:val="0"/>
        </w:rPr>
        <w:t> — </w:t>
      </w:r>
      <w:r>
        <w:t>Brazilian ju jitsu and full contact karate</w:t>
      </w:r>
    </w:p>
    <w:p>
      <w:pPr>
        <w:pStyle w:val="TOC4"/>
        <w:tabs>
          <w:tab w:val="right" w:leader="dot" w:pos="7086"/>
        </w:tabs>
        <w:rPr>
          <w:rFonts w:asciiTheme="minorHAnsi" w:eastAsiaTheme="minorEastAsia" w:hAnsiTheme="minorHAnsi" w:cstheme="minorBidi"/>
          <w:b w:val="0"/>
          <w:szCs w:val="22"/>
        </w:rPr>
      </w:pPr>
      <w:r>
        <w:t>Division 3 — Mixed martial arts</w:t>
      </w:r>
    </w:p>
    <w:p>
      <w:pPr>
        <w:pStyle w:val="TOC2"/>
        <w:tabs>
          <w:tab w:val="right" w:leader="dot" w:pos="7086"/>
        </w:tabs>
        <w:rPr>
          <w:rFonts w:asciiTheme="minorHAnsi" w:eastAsiaTheme="minorEastAsia" w:hAnsiTheme="minorHAnsi" w:cstheme="minorBidi"/>
          <w:b w:val="0"/>
          <w:sz w:val="22"/>
          <w:szCs w:val="22"/>
        </w:rPr>
      </w:pPr>
      <w:r>
        <w:t>Schedule 3 — Fees</w:t>
      </w:r>
    </w:p>
    <w:p>
      <w:pPr>
        <w:pStyle w:val="TOC2"/>
        <w:tabs>
          <w:tab w:val="right" w:leader="dot" w:pos="7086"/>
        </w:tabs>
        <w:rPr>
          <w:rFonts w:asciiTheme="minorHAnsi" w:eastAsiaTheme="minorEastAsia" w:hAnsiTheme="minorHAnsi" w:cstheme="minorBidi"/>
          <w:b w:val="0"/>
          <w:sz w:val="22"/>
          <w:szCs w:val="22"/>
        </w:rPr>
      </w:pPr>
      <w:r>
        <w:t>Schedule 4 — Minimum fees for officials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_Toc382313242 \h </w:instrText>
      </w:r>
      <w:r>
        <w:fldChar w:fldCharType="separate"/>
      </w:r>
      <w:r>
        <w:t>25</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8"/>
          <w:headerReference w:type="default" r:id="rId19"/>
          <w:footerReference w:type="even" r:id="rId20"/>
          <w:footerReference w:type="defaul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5</w:t>
            </w:r>
            <w:r>
              <w:rPr>
                <w:b/>
                <w:snapToGrid w:val="0"/>
                <w:sz w:val="22"/>
              </w:rPr>
              <w:t xml:space="preserve"> April 2013</w:t>
            </w:r>
            <w:r>
              <w:rPr>
                <w:b/>
                <w:sz w:val="22"/>
              </w:rPr>
              <w:fldChar w:fldCharType="end"/>
            </w:r>
          </w:p>
        </w:tc>
      </w:tr>
    </w:tbl>
    <w:p>
      <w:pPr>
        <w:pStyle w:val="WA"/>
        <w:spacing w:before="120"/>
      </w:pPr>
      <w:r>
        <w:t>Western Australia</w:t>
      </w:r>
    </w:p>
    <w:p>
      <w:pPr>
        <w:pStyle w:val="PrincipalActReg"/>
      </w:pPr>
      <w:r>
        <w:t>Combat Sports Act 1987</w:t>
      </w:r>
    </w:p>
    <w:p>
      <w:pPr>
        <w:pStyle w:val="NameofActReg"/>
      </w:pPr>
      <w:r>
        <w:t>Combat Sports Regulations 2004</w:t>
      </w:r>
    </w:p>
    <w:p>
      <w:pPr>
        <w:pStyle w:val="Heading2"/>
        <w:pageBreakBefore w:val="0"/>
        <w:spacing w:before="240"/>
      </w:pPr>
      <w:bookmarkStart w:id="1" w:name="_Toc382313187"/>
      <w:r>
        <w:rPr>
          <w:rStyle w:val="CharPartNo"/>
        </w:rPr>
        <w:t>Part 1</w:t>
      </w:r>
      <w:r>
        <w:rPr>
          <w:rStyle w:val="CharDivNo"/>
        </w:rPr>
        <w:t> </w:t>
      </w:r>
      <w:r>
        <w:t>—</w:t>
      </w:r>
      <w:r>
        <w:rPr>
          <w:rStyle w:val="CharDivText"/>
        </w:rPr>
        <w:t> </w:t>
      </w:r>
      <w:r>
        <w:rPr>
          <w:rStyle w:val="CharPartText"/>
        </w:rPr>
        <w:t>Preliminary</w:t>
      </w:r>
      <w:bookmarkEnd w:id="1"/>
    </w:p>
    <w:p>
      <w:pPr>
        <w:pStyle w:val="Heading5"/>
      </w:pPr>
      <w:bookmarkStart w:id="2" w:name="_Toc382313188"/>
      <w:r>
        <w:rPr>
          <w:rStyle w:val="CharSectno"/>
        </w:rPr>
        <w:t>1</w:t>
      </w:r>
      <w:r>
        <w:t>.</w:t>
      </w:r>
      <w:r>
        <w:tab/>
        <w:t>Citation</w:t>
      </w:r>
      <w:bookmarkEnd w:id="2"/>
    </w:p>
    <w:p>
      <w:pPr>
        <w:pStyle w:val="Subsection"/>
      </w:pPr>
      <w:r>
        <w:tab/>
      </w:r>
      <w:r>
        <w:tab/>
      </w:r>
      <w:bookmarkStart w:id="3" w:name="Start_Cursor"/>
      <w:bookmarkEnd w:id="3"/>
      <w:r>
        <w:rPr>
          <w:spacing w:val="-2"/>
        </w:rPr>
        <w:t>These</w:t>
      </w:r>
      <w:r>
        <w:t xml:space="preserve"> regulations </w:t>
      </w:r>
      <w:r>
        <w:rPr>
          <w:spacing w:val="-2"/>
        </w:rPr>
        <w:t>are</w:t>
      </w:r>
      <w:r>
        <w:t xml:space="preserve"> the </w:t>
      </w:r>
      <w:r>
        <w:rPr>
          <w:i/>
        </w:rPr>
        <w:t>Combat Sports Regulations 2004</w:t>
      </w:r>
      <w:r>
        <w:rPr>
          <w:vertAlign w:val="superscript"/>
        </w:rPr>
        <w:t> 1</w:t>
      </w:r>
      <w:r>
        <w:t>.</w:t>
      </w:r>
    </w:p>
    <w:p>
      <w:pPr>
        <w:pStyle w:val="Footnotesection"/>
      </w:pPr>
      <w:r>
        <w:tab/>
        <w:t>[Regulation 1 amended in Gazette 22 Feb 2013 p. 1014.]</w:t>
      </w:r>
    </w:p>
    <w:p>
      <w:pPr>
        <w:pStyle w:val="Heading5"/>
        <w:rPr>
          <w:spacing w:val="-2"/>
        </w:rPr>
      </w:pPr>
      <w:bookmarkStart w:id="4" w:name="_Toc382313189"/>
      <w:r>
        <w:rPr>
          <w:rStyle w:val="CharSectno"/>
        </w:rPr>
        <w:t>2</w:t>
      </w:r>
      <w:r>
        <w:rPr>
          <w:spacing w:val="-2"/>
        </w:rPr>
        <w:t>.</w:t>
      </w:r>
      <w:r>
        <w:rPr>
          <w:spacing w:val="-2"/>
        </w:rPr>
        <w:tab/>
        <w:t>Commencement</w:t>
      </w:r>
      <w:bookmarkEnd w:id="4"/>
    </w:p>
    <w:p>
      <w:pPr>
        <w:pStyle w:val="Subsection"/>
      </w:pPr>
      <w:r>
        <w:rPr>
          <w:spacing w:val="-2"/>
        </w:rPr>
        <w:tab/>
      </w:r>
      <w:r>
        <w:rPr>
          <w:spacing w:val="-2"/>
        </w:rPr>
        <w:tab/>
        <w:t xml:space="preserve">These regulations come into operation on the day on which the </w:t>
      </w:r>
      <w:r>
        <w:rPr>
          <w:i/>
          <w:spacing w:val="-2"/>
        </w:rPr>
        <w:t>Boxing Control Amendment Act 2003</w:t>
      </w:r>
      <w:r>
        <w:rPr>
          <w:spacing w:val="-2"/>
        </w:rPr>
        <w:t xml:space="preserve"> comes into operation</w:t>
      </w:r>
      <w:r>
        <w:rPr>
          <w:spacing w:val="-2"/>
          <w:vertAlign w:val="superscript"/>
        </w:rPr>
        <w:t> 1</w:t>
      </w:r>
      <w:r>
        <w:rPr>
          <w:spacing w:val="-2"/>
        </w:rPr>
        <w:t>.</w:t>
      </w:r>
    </w:p>
    <w:p>
      <w:pPr>
        <w:pStyle w:val="Heading5"/>
      </w:pPr>
      <w:bookmarkStart w:id="5" w:name="_Toc382313190"/>
      <w:r>
        <w:rPr>
          <w:rStyle w:val="CharSectno"/>
        </w:rPr>
        <w:t>3</w:t>
      </w:r>
      <w:r>
        <w:t>.</w:t>
      </w:r>
      <w:r>
        <w:tab/>
        <w:t>Terms used</w:t>
      </w:r>
      <w:bookmarkEnd w:id="5"/>
    </w:p>
    <w:p>
      <w:pPr>
        <w:pStyle w:val="Subsection"/>
      </w:pPr>
      <w:r>
        <w:tab/>
      </w:r>
      <w:r>
        <w:tab/>
        <w:t>In these regulations, unless the contrary intention appears —</w:t>
      </w:r>
    </w:p>
    <w:p>
      <w:pPr>
        <w:pStyle w:val="Defstart"/>
      </w:pPr>
      <w:r>
        <w:rPr>
          <w:b/>
        </w:rPr>
        <w:tab/>
      </w:r>
      <w:r>
        <w:rPr>
          <w:rStyle w:val="CharDefText"/>
        </w:rPr>
        <w:t>approved</w:t>
      </w:r>
      <w:r>
        <w:t xml:space="preserve"> means approved by the Commission;</w:t>
      </w:r>
    </w:p>
    <w:p>
      <w:pPr>
        <w:pStyle w:val="Defstart"/>
      </w:pPr>
      <w:r>
        <w:tab/>
      </w:r>
      <w:r>
        <w:rPr>
          <w:rStyle w:val="CharDefText"/>
        </w:rPr>
        <w:t>grappling</w:t>
      </w:r>
      <w:r>
        <w:t>, in relation to an event, is where participants wrestle, grip, handle and control an opponent without the use of striking;</w:t>
      </w:r>
    </w:p>
    <w:p>
      <w:pPr>
        <w:pStyle w:val="Defstart"/>
      </w:pPr>
      <w:r>
        <w:tab/>
      </w:r>
      <w:r>
        <w:rPr>
          <w:rStyle w:val="CharDefText"/>
        </w:rPr>
        <w:t>light contact</w:t>
      </w:r>
      <w:r>
        <w:t>, in relation to an event that is not a sham contest, is where participants do not strike their opponents with full force and where strikes are pulled;</w:t>
      </w:r>
    </w:p>
    <w:p>
      <w:pPr>
        <w:pStyle w:val="Defstart"/>
      </w:pPr>
      <w:r>
        <w:rPr>
          <w:b/>
        </w:rPr>
        <w:tab/>
      </w:r>
      <w:r>
        <w:rPr>
          <w:rStyle w:val="CharDefText"/>
        </w:rPr>
        <w:t>recognised body</w:t>
      </w:r>
      <w:r>
        <w:t xml:space="preserve"> means an approved combat sports body of another State, a Territory, the Commonwealth or another country;</w:t>
      </w:r>
    </w:p>
    <w:p>
      <w:pPr>
        <w:pStyle w:val="Defstart"/>
        <w:keepNext/>
      </w:pPr>
      <w:r>
        <w:rPr>
          <w:b/>
        </w:rPr>
        <w:tab/>
      </w:r>
      <w:r>
        <w:rPr>
          <w:rStyle w:val="CharDefText"/>
        </w:rPr>
        <w:t>sanction</w:t>
      </w:r>
      <w:r>
        <w:t>, in relation to a title, means to approve of the use of the title in relation to a contestant in a contest.</w:t>
      </w:r>
    </w:p>
    <w:p>
      <w:pPr>
        <w:pStyle w:val="Footnotesection"/>
      </w:pPr>
      <w:r>
        <w:tab/>
        <w:t>[Regulation 3 amended in Gazette 22 Feb 2013 p. 1014.]</w:t>
      </w:r>
    </w:p>
    <w:p>
      <w:pPr>
        <w:pStyle w:val="Heading5"/>
      </w:pPr>
      <w:bookmarkStart w:id="6" w:name="_Toc382313191"/>
      <w:r>
        <w:rPr>
          <w:rStyle w:val="CharSectno"/>
        </w:rPr>
        <w:t>4</w:t>
      </w:r>
      <w:r>
        <w:t>.</w:t>
      </w:r>
      <w:r>
        <w:tab/>
        <w:t>Combat sports prescribed not to be combat sport</w:t>
      </w:r>
      <w:bookmarkEnd w:id="6"/>
    </w:p>
    <w:p>
      <w:pPr>
        <w:pStyle w:val="Subsection"/>
      </w:pPr>
      <w:r>
        <w:tab/>
      </w:r>
      <w:r>
        <w:tab/>
        <w:t xml:space="preserve">For the purposes of the definition of </w:t>
      </w:r>
      <w:r>
        <w:rPr>
          <w:b/>
          <w:i/>
        </w:rPr>
        <w:t>combat sport</w:t>
      </w:r>
      <w:r>
        <w:t xml:space="preserve"> in section 3 of the Act, the combat sports listed in the Table are prescribed not to be a combat sport.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528"/>
      </w:tblGrid>
      <w:tr>
        <w:tc>
          <w:tcPr>
            <w:tcW w:w="5528" w:type="dxa"/>
          </w:tcPr>
          <w:p>
            <w:pPr>
              <w:pStyle w:val="TableNAm"/>
            </w:pPr>
            <w:r>
              <w:t>Fencing</w:t>
            </w:r>
          </w:p>
        </w:tc>
      </w:tr>
      <w:tr>
        <w:tc>
          <w:tcPr>
            <w:tcW w:w="5528" w:type="dxa"/>
          </w:tcPr>
          <w:p>
            <w:pPr>
              <w:pStyle w:val="TableNAm"/>
            </w:pPr>
            <w:r>
              <w:t>Paintball</w:t>
            </w:r>
          </w:p>
        </w:tc>
      </w:tr>
      <w:tr>
        <w:tc>
          <w:tcPr>
            <w:tcW w:w="5528" w:type="dxa"/>
          </w:tcPr>
          <w:p>
            <w:pPr>
              <w:pStyle w:val="TableNAm"/>
            </w:pPr>
            <w:r>
              <w:t>Wrestling that is intended to be theatrical or humorous</w:t>
            </w:r>
          </w:p>
        </w:tc>
      </w:tr>
    </w:tbl>
    <w:p>
      <w:pPr>
        <w:pStyle w:val="Footnotesection"/>
      </w:pPr>
      <w:r>
        <w:tab/>
        <w:t>[Regulation 4 inserted in Gazette 22 Feb 2013 p. 1014.]</w:t>
      </w:r>
    </w:p>
    <w:p>
      <w:pPr>
        <w:pStyle w:val="Heading5"/>
      </w:pPr>
      <w:bookmarkStart w:id="7" w:name="_Toc382313192"/>
      <w:r>
        <w:rPr>
          <w:rStyle w:val="CharSectno"/>
        </w:rPr>
        <w:t>5A</w:t>
      </w:r>
      <w:r>
        <w:t>.</w:t>
      </w:r>
      <w:r>
        <w:tab/>
        <w:t>Contests prescribed not to be contest</w:t>
      </w:r>
      <w:bookmarkEnd w:id="7"/>
    </w:p>
    <w:p>
      <w:pPr>
        <w:pStyle w:val="Subsection"/>
      </w:pPr>
      <w:r>
        <w:tab/>
        <w:t>(1)</w:t>
      </w:r>
      <w:r>
        <w:tab/>
        <w:t xml:space="preserve">For the purposes of the definition of </w:t>
      </w:r>
      <w:r>
        <w:rPr>
          <w:b/>
          <w:i/>
        </w:rPr>
        <w:t>contest</w:t>
      </w:r>
      <w:r>
        <w:t xml:space="preserve"> in section 3 of the Act, the following contests or exhibitions are prescribed not to be contests — </w:t>
      </w:r>
    </w:p>
    <w:p>
      <w:pPr>
        <w:pStyle w:val="Indenta"/>
      </w:pPr>
      <w:r>
        <w:tab/>
        <w:t>(a)</w:t>
      </w:r>
      <w:r>
        <w:tab/>
        <w:t xml:space="preserve">a light contact or grappling event for the purpose of promoting the combat sport and for which — </w:t>
      </w:r>
    </w:p>
    <w:p>
      <w:pPr>
        <w:pStyle w:val="Indenti"/>
      </w:pPr>
      <w:r>
        <w:tab/>
        <w:t>(i)</w:t>
      </w:r>
      <w:r>
        <w:tab/>
        <w:t>scores are not kept; and</w:t>
      </w:r>
    </w:p>
    <w:p>
      <w:pPr>
        <w:pStyle w:val="Indenti"/>
      </w:pPr>
      <w:r>
        <w:tab/>
        <w:t>(ii)</w:t>
      </w:r>
      <w:r>
        <w:tab/>
        <w:t>there is no outcome or result;</w:t>
      </w:r>
    </w:p>
    <w:p>
      <w:pPr>
        <w:pStyle w:val="Indenta"/>
      </w:pPr>
      <w:r>
        <w:tab/>
        <w:t>(b)</w:t>
      </w:r>
      <w:r>
        <w:tab/>
        <w:t>a light contact or grappling event solely for the purpose of determining a contestant’s proficiency in the combat sport;</w:t>
      </w:r>
    </w:p>
    <w:p>
      <w:pPr>
        <w:pStyle w:val="Indenta"/>
      </w:pPr>
      <w:r>
        <w:tab/>
        <w:t>(c)</w:t>
      </w:r>
      <w:r>
        <w:tab/>
        <w:t>an event in which a contestant is penalised if he or she punches, kicks, strikes or hits another contestant in a manner that does not involve light contact with that other contestant.</w:t>
      </w:r>
    </w:p>
    <w:p>
      <w:pPr>
        <w:pStyle w:val="Subsection"/>
      </w:pPr>
      <w:r>
        <w:tab/>
        <w:t>(2)</w:t>
      </w:r>
      <w:r>
        <w:tab/>
        <w:t xml:space="preserve">For the purposes of the definition of </w:t>
      </w:r>
      <w:r>
        <w:rPr>
          <w:b/>
          <w:i/>
        </w:rPr>
        <w:t>contest</w:t>
      </w:r>
      <w:r>
        <w:t xml:space="preserve"> in section 3 of the Act, contests or exhibitions are prescribed not to be contests if they are conducted by one of the following State Sporting Associations, or by the national or international parent bodies of one of the following State Sporting Associations — </w:t>
      </w:r>
    </w:p>
    <w:p>
      <w:pPr>
        <w:pStyle w:val="Indenta"/>
      </w:pPr>
      <w:r>
        <w:tab/>
        <w:t>(a)</w:t>
      </w:r>
      <w:r>
        <w:tab/>
        <w:t>All Australian International Taekwondo Federation WA;</w:t>
      </w:r>
    </w:p>
    <w:p>
      <w:pPr>
        <w:pStyle w:val="Indenta"/>
      </w:pPr>
      <w:r>
        <w:tab/>
        <w:t>(b)</w:t>
      </w:r>
      <w:r>
        <w:tab/>
        <w:t>Australian Karate Federation WA;</w:t>
      </w:r>
    </w:p>
    <w:p>
      <w:pPr>
        <w:pStyle w:val="Indenta"/>
      </w:pPr>
      <w:r>
        <w:tab/>
        <w:t>(c)</w:t>
      </w:r>
      <w:r>
        <w:tab/>
        <w:t>Boxing WA;</w:t>
      </w:r>
    </w:p>
    <w:p>
      <w:pPr>
        <w:pStyle w:val="Indenta"/>
      </w:pPr>
      <w:r>
        <w:tab/>
        <w:t>(d)</w:t>
      </w:r>
      <w:r>
        <w:tab/>
        <w:t>Judo WA;</w:t>
      </w:r>
    </w:p>
    <w:p>
      <w:pPr>
        <w:pStyle w:val="Indenta"/>
      </w:pPr>
      <w:r>
        <w:tab/>
        <w:t>(e)</w:t>
      </w:r>
      <w:r>
        <w:tab/>
        <w:t xml:space="preserve">Sport </w:t>
      </w:r>
      <w:smartTag w:uri="urn:schemas-microsoft-com:office:smarttags" w:element="place">
        <w:smartTag w:uri="urn:schemas-microsoft-com:office:smarttags" w:element="City">
          <w:r>
            <w:t>Taekwondo</w:t>
          </w:r>
        </w:smartTag>
        <w:r>
          <w:t xml:space="preserve"> </w:t>
        </w:r>
        <w:smartTag w:uri="urn:schemas-microsoft-com:office:smarttags" w:element="State">
          <w:r>
            <w:t>WA</w:t>
          </w:r>
        </w:smartTag>
      </w:smartTag>
      <w:r>
        <w:t>;</w:t>
      </w:r>
    </w:p>
    <w:p>
      <w:pPr>
        <w:pStyle w:val="Indenta"/>
      </w:pPr>
      <w:r>
        <w:tab/>
        <w:t>(f)</w:t>
      </w:r>
      <w:r>
        <w:tab/>
        <w:t>Taekwondo WA;</w:t>
      </w:r>
    </w:p>
    <w:p>
      <w:pPr>
        <w:pStyle w:val="Indenta"/>
      </w:pPr>
      <w:r>
        <w:tab/>
        <w:t>(g)</w:t>
      </w:r>
      <w:r>
        <w:tab/>
        <w:t>Western Australian, Australian Federation of Brazilian Jujitsu Branch;</w:t>
      </w:r>
    </w:p>
    <w:p>
      <w:pPr>
        <w:pStyle w:val="Indenta"/>
      </w:pPr>
      <w:r>
        <w:tab/>
        <w:t>(h)</w:t>
      </w:r>
      <w:r>
        <w:tab/>
        <w:t>Wrestling WA.</w:t>
      </w:r>
    </w:p>
    <w:p>
      <w:pPr>
        <w:pStyle w:val="Footnotesection"/>
      </w:pPr>
      <w:r>
        <w:tab/>
        <w:t>[Regulation 5A inserted in Gazette 22 Feb 2013 p. 1015.]</w:t>
      </w:r>
    </w:p>
    <w:p>
      <w:pPr>
        <w:pStyle w:val="Heading2"/>
      </w:pPr>
      <w:bookmarkStart w:id="8" w:name="_Toc382313193"/>
      <w:r>
        <w:rPr>
          <w:rStyle w:val="CharPartNo"/>
        </w:rPr>
        <w:t>Part 2</w:t>
      </w:r>
      <w:r>
        <w:t> — </w:t>
      </w:r>
      <w:r>
        <w:rPr>
          <w:rStyle w:val="CharPartText"/>
        </w:rPr>
        <w:t>Registration</w:t>
      </w:r>
      <w:bookmarkEnd w:id="8"/>
    </w:p>
    <w:p>
      <w:pPr>
        <w:pStyle w:val="Heading3"/>
      </w:pPr>
      <w:bookmarkStart w:id="9" w:name="_Toc382313194"/>
      <w:r>
        <w:rPr>
          <w:rStyle w:val="CharDivNo"/>
        </w:rPr>
        <w:t>Division 1</w:t>
      </w:r>
      <w:r>
        <w:t> — </w:t>
      </w:r>
      <w:r>
        <w:rPr>
          <w:rStyle w:val="CharDivText"/>
        </w:rPr>
        <w:t>Contestants</w:t>
      </w:r>
      <w:bookmarkEnd w:id="9"/>
    </w:p>
    <w:p>
      <w:pPr>
        <w:pStyle w:val="Heading5"/>
        <w:rPr>
          <w:snapToGrid w:val="0"/>
        </w:rPr>
      </w:pPr>
      <w:bookmarkStart w:id="10" w:name="_Toc382313195"/>
      <w:r>
        <w:rPr>
          <w:rStyle w:val="CharSectno"/>
        </w:rPr>
        <w:t>5</w:t>
      </w:r>
      <w:r>
        <w:t>.</w:t>
      </w:r>
      <w:r>
        <w:tab/>
      </w:r>
      <w:r>
        <w:rPr>
          <w:snapToGrid w:val="0"/>
        </w:rPr>
        <w:t>Prescribed classes of contestants</w:t>
      </w:r>
      <w:bookmarkEnd w:id="10"/>
    </w:p>
    <w:p>
      <w:pPr>
        <w:pStyle w:val="Subsection"/>
        <w:rPr>
          <w:snapToGrid w:val="0"/>
        </w:rPr>
      </w:pPr>
      <w:r>
        <w:rPr>
          <w:snapToGrid w:val="0"/>
        </w:rPr>
        <w:tab/>
        <w:t>(1)</w:t>
      </w:r>
      <w:r>
        <w:rPr>
          <w:snapToGrid w:val="0"/>
        </w:rPr>
        <w:tab/>
        <w:t>For the purposes of section 14 of the Act the classes of contestants are prescribed in Schedule 2.</w:t>
      </w:r>
    </w:p>
    <w:p>
      <w:pPr>
        <w:pStyle w:val="Ednotesubsection"/>
      </w:pPr>
      <w:r>
        <w:tab/>
        <w:t>[(2)</w:t>
      </w:r>
      <w:r>
        <w:tab/>
        <w:t>deleted]</w:t>
      </w:r>
    </w:p>
    <w:p>
      <w:pPr>
        <w:pStyle w:val="Footnotesection"/>
        <w:spacing w:before="100"/>
      </w:pPr>
      <w:r>
        <w:tab/>
        <w:t>[Regulation 5 amended in Gazette 22 Feb 2013 p. 1015.]</w:t>
      </w:r>
    </w:p>
    <w:p>
      <w:pPr>
        <w:pStyle w:val="Heading5"/>
      </w:pPr>
      <w:bookmarkStart w:id="11" w:name="_Toc382313196"/>
      <w:r>
        <w:rPr>
          <w:rStyle w:val="CharSectno"/>
        </w:rPr>
        <w:t>6A</w:t>
      </w:r>
      <w:r>
        <w:t>.</w:t>
      </w:r>
      <w:r>
        <w:tab/>
        <w:t>Persons taken to be registered as contestant</w:t>
      </w:r>
      <w:bookmarkEnd w:id="11"/>
    </w:p>
    <w:p>
      <w:pPr>
        <w:pStyle w:val="Subsection"/>
      </w:pPr>
      <w:r>
        <w:tab/>
      </w:r>
      <w:r>
        <w:tab/>
        <w:t>Under section 62(3) of the Act, a person who is registered or licensed under a law of a place outside the State, the purpose of which substantially corresponds with the purpose of the Act, as a contestant is to be taken to be registered under the Act as a contestant.</w:t>
      </w:r>
    </w:p>
    <w:p>
      <w:pPr>
        <w:pStyle w:val="Footnotesection"/>
        <w:spacing w:before="100"/>
      </w:pPr>
      <w:r>
        <w:tab/>
        <w:t>[Regulation 6A inserted in Gazette 22 Feb 2013 p. 1015.]</w:t>
      </w:r>
    </w:p>
    <w:p>
      <w:pPr>
        <w:pStyle w:val="Heading5"/>
      </w:pPr>
      <w:bookmarkStart w:id="12" w:name="_Toc382313197"/>
      <w:r>
        <w:rPr>
          <w:rStyle w:val="CharSectno"/>
        </w:rPr>
        <w:t>6</w:t>
      </w:r>
      <w:r>
        <w:t>.</w:t>
      </w:r>
      <w:r>
        <w:tab/>
        <w:t>Particulars to be recorded in the register</w:t>
      </w:r>
      <w:bookmarkEnd w:id="12"/>
    </w:p>
    <w:p>
      <w:pPr>
        <w:pStyle w:val="Subsection"/>
      </w:pPr>
      <w:r>
        <w:tab/>
      </w:r>
      <w:r>
        <w:tab/>
        <w:t>For the purposes of section 15(2)(c) of the Act, the Commission is to cause to be entered in the register in respect of each person registered as a contestant — </w:t>
      </w:r>
    </w:p>
    <w:p>
      <w:pPr>
        <w:pStyle w:val="Indenta"/>
        <w:spacing w:before="60"/>
      </w:pPr>
      <w:r>
        <w:tab/>
        <w:t>(a)</w:t>
      </w:r>
      <w:r>
        <w:tab/>
        <w:t>details of any contests in which the person has participated, including the number of years that the person participated, the person’s win/loss record and details of any injuries sustained by the person in that participation; and</w:t>
      </w:r>
    </w:p>
    <w:p>
      <w:pPr>
        <w:pStyle w:val="Indenta"/>
        <w:spacing w:before="60"/>
      </w:pPr>
      <w:r>
        <w:tab/>
        <w:t>(b)</w:t>
      </w:r>
      <w:r>
        <w:tab/>
        <w:t>details of any previous registration or licensing as a contestant in a combat sport, including where the person was registered or licensed, each combat sport and class in respect of which the person was registered or licensed; and</w:t>
      </w:r>
    </w:p>
    <w:p>
      <w:pPr>
        <w:pStyle w:val="Indenta"/>
        <w:spacing w:before="60"/>
      </w:pPr>
      <w:r>
        <w:tab/>
        <w:t>(c)</w:t>
      </w:r>
      <w:r>
        <w:tab/>
        <w:t>details of any — </w:t>
      </w:r>
    </w:p>
    <w:p>
      <w:pPr>
        <w:pStyle w:val="Indenti"/>
        <w:spacing w:before="60"/>
      </w:pPr>
      <w:r>
        <w:tab/>
        <w:t>(i)</w:t>
      </w:r>
      <w:r>
        <w:tab/>
        <w:t>convictions for criminal offences; or</w:t>
      </w:r>
    </w:p>
    <w:p>
      <w:pPr>
        <w:pStyle w:val="Indenti"/>
      </w:pPr>
      <w:r>
        <w:tab/>
        <w:t>(ii)</w:t>
      </w:r>
      <w:r>
        <w:tab/>
        <w:t>other disciplinary measures taken under a law, the purpose of which substantially corresponds with the purpose of the Act,</w:t>
      </w:r>
    </w:p>
    <w:p>
      <w:pPr>
        <w:pStyle w:val="Indenta"/>
      </w:pPr>
      <w:r>
        <w:tab/>
      </w:r>
      <w:r>
        <w:tab/>
        <w:t>in this or any other State, a Territory or another country; and</w:t>
      </w:r>
    </w:p>
    <w:p>
      <w:pPr>
        <w:pStyle w:val="Indenta"/>
      </w:pPr>
      <w:r>
        <w:tab/>
        <w:t>(d)</w:t>
      </w:r>
      <w:r>
        <w:tab/>
        <w:t>a recent photograph of the person; and</w:t>
      </w:r>
    </w:p>
    <w:p>
      <w:pPr>
        <w:pStyle w:val="Indenta"/>
      </w:pPr>
      <w:r>
        <w:tab/>
        <w:t>(e)</w:t>
      </w:r>
      <w:r>
        <w:tab/>
        <w:t>identifying details from the person’s drivers licence, passport or any other approved identification document bearing the person’s photograph; and</w:t>
      </w:r>
    </w:p>
    <w:p>
      <w:pPr>
        <w:pStyle w:val="Indenta"/>
      </w:pPr>
      <w:r>
        <w:tab/>
        <w:t>(f)</w:t>
      </w:r>
      <w:r>
        <w:tab/>
        <w:t xml:space="preserve">details of </w:t>
      </w:r>
      <w:r>
        <w:rPr>
          <w:snapToGrid w:val="0"/>
        </w:rPr>
        <w:t>any medical information provided under section 16(2)(b) or 19(3)(b) of the Act; and</w:t>
      </w:r>
    </w:p>
    <w:p>
      <w:pPr>
        <w:pStyle w:val="Indenta"/>
      </w:pPr>
      <w:r>
        <w:tab/>
        <w:t>(g)</w:t>
      </w:r>
      <w:r>
        <w:tab/>
        <w:t>details of the person’s next of kin and an emergency contact telephone number for that next of kin.</w:t>
      </w:r>
    </w:p>
    <w:p>
      <w:pPr>
        <w:pStyle w:val="Footnotesection"/>
        <w:keepLines w:val="0"/>
      </w:pPr>
      <w:r>
        <w:tab/>
        <w:t>[Regulation 6 amended in Gazette 22 Feb 2013 p. 1016.]</w:t>
      </w:r>
    </w:p>
    <w:p>
      <w:pPr>
        <w:pStyle w:val="Heading5"/>
      </w:pPr>
      <w:bookmarkStart w:id="13" w:name="_Toc382313198"/>
      <w:r>
        <w:rPr>
          <w:rStyle w:val="CharSectno"/>
        </w:rPr>
        <w:t>7</w:t>
      </w:r>
      <w:r>
        <w:t>.</w:t>
      </w:r>
      <w:r>
        <w:tab/>
        <w:t>Time for making application for registration</w:t>
      </w:r>
      <w:bookmarkEnd w:id="13"/>
    </w:p>
    <w:p>
      <w:pPr>
        <w:pStyle w:val="Ednotesubsection"/>
      </w:pPr>
      <w:r>
        <w:tab/>
        <w:t>[(1)</w:t>
      </w:r>
      <w:r>
        <w:tab/>
        <w:t>deleted]</w:t>
      </w:r>
    </w:p>
    <w:p>
      <w:pPr>
        <w:pStyle w:val="Subsection"/>
      </w:pPr>
      <w:r>
        <w:tab/>
        <w:t>(2)</w:t>
      </w:r>
      <w:r>
        <w:tab/>
        <w:t xml:space="preserve">An application under section 16(1) of the Act must be made — </w:t>
      </w:r>
    </w:p>
    <w:p>
      <w:pPr>
        <w:pStyle w:val="Indenta"/>
      </w:pPr>
      <w:r>
        <w:tab/>
        <w:t>(a)</w:t>
      </w:r>
      <w:r>
        <w:tab/>
        <w:t>in the case of an application by a person whose principal place of residence is in the State, not later than 5 days before the date of any proposed contest in which the person intends to compete; and</w:t>
      </w:r>
    </w:p>
    <w:p>
      <w:pPr>
        <w:pStyle w:val="Indenta"/>
      </w:pPr>
      <w:r>
        <w:tab/>
        <w:t>(b)</w:t>
      </w:r>
      <w:r>
        <w:tab/>
        <w:t>in the case of an application by a person whose principal place of residence is outside the State, before any weigh</w:t>
      </w:r>
      <w:r>
        <w:noBreakHyphen/>
        <w:t>in conducted under section 48 of the Act.</w:t>
      </w:r>
    </w:p>
    <w:p>
      <w:pPr>
        <w:pStyle w:val="Footnotesection"/>
        <w:keepLines w:val="0"/>
      </w:pPr>
      <w:r>
        <w:tab/>
        <w:t>[Regulation 7 amended in Gazette 22 Feb 2013 p. 1016.]</w:t>
      </w:r>
    </w:p>
    <w:p>
      <w:pPr>
        <w:pStyle w:val="Heading5"/>
      </w:pPr>
      <w:bookmarkStart w:id="14" w:name="_Toc382313199"/>
      <w:r>
        <w:rPr>
          <w:rStyle w:val="CharSectno"/>
        </w:rPr>
        <w:t>8A</w:t>
      </w:r>
      <w:r>
        <w:t>.</w:t>
      </w:r>
      <w:r>
        <w:tab/>
        <w:t>Prescribed medical information</w:t>
      </w:r>
      <w:bookmarkEnd w:id="14"/>
    </w:p>
    <w:p>
      <w:pPr>
        <w:pStyle w:val="Subsection"/>
      </w:pPr>
      <w:r>
        <w:tab/>
        <w:t>(1)</w:t>
      </w:r>
      <w:r>
        <w:tab/>
        <w:t xml:space="preserve">For the purposes of sections 16(2)(b) and 19(3)(b) of the Act, the following medical information is prescribed — </w:t>
      </w:r>
    </w:p>
    <w:p>
      <w:pPr>
        <w:pStyle w:val="Indenta"/>
      </w:pPr>
      <w:r>
        <w:tab/>
        <w:t>(a)</w:t>
      </w:r>
      <w:r>
        <w:tab/>
        <w:t>a medical certificate as to fitness to be registered as a contestant in the class to which an application relates completed by a medical practitioner within 12 months before the date of the application;</w:t>
      </w:r>
    </w:p>
    <w:p>
      <w:pPr>
        <w:pStyle w:val="Indenta"/>
      </w:pPr>
      <w:r>
        <w:tab/>
        <w:t>(b)</w:t>
      </w:r>
      <w:r>
        <w:tab/>
        <w:t>a serology report prepared within 6 months before the date of the application stating whether or not the applicant has Human Immunodeficiency Virus (HIV) infection, Hepatitis B or Hepatitis C;</w:t>
      </w:r>
    </w:p>
    <w:p>
      <w:pPr>
        <w:pStyle w:val="Indenta"/>
      </w:pPr>
      <w:r>
        <w:tab/>
        <w:t>(c)</w:t>
      </w:r>
      <w:r>
        <w:tab/>
        <w:t>a detailed medical history of injuries sustained in a contest.</w:t>
      </w:r>
    </w:p>
    <w:p>
      <w:pPr>
        <w:pStyle w:val="Subsection"/>
      </w:pPr>
      <w:r>
        <w:tab/>
        <w:t>(2)</w:t>
      </w:r>
      <w:r>
        <w:tab/>
        <w:t>If the person who desires to be registered as a contestant is or has been a contestant in any country outside the Commonwealth, the serology report referred to in subregulation (1)(b) must be prepared within 7 days before the date of the application.</w:t>
      </w:r>
    </w:p>
    <w:p>
      <w:pPr>
        <w:pStyle w:val="Footnotesection"/>
        <w:keepLines w:val="0"/>
      </w:pPr>
      <w:r>
        <w:tab/>
        <w:t>[Regulation 8A inserted in Gazette 22 Feb 2013 p. 1017.]</w:t>
      </w:r>
    </w:p>
    <w:p>
      <w:pPr>
        <w:pStyle w:val="Heading5"/>
      </w:pPr>
      <w:bookmarkStart w:id="15" w:name="_Toc382313200"/>
      <w:r>
        <w:rPr>
          <w:rStyle w:val="CharSectno"/>
        </w:rPr>
        <w:t>8B</w:t>
      </w:r>
      <w:r>
        <w:t>.</w:t>
      </w:r>
      <w:r>
        <w:tab/>
        <w:t>Prescribed ages for classes of contestants</w:t>
      </w:r>
      <w:bookmarkEnd w:id="15"/>
    </w:p>
    <w:p>
      <w:pPr>
        <w:pStyle w:val="Subsection"/>
      </w:pPr>
      <w:r>
        <w:tab/>
      </w:r>
      <w:r>
        <w:tab/>
        <w:t xml:space="preserve">For the purposes of section 17(1)(a)(ii) of the Act, the following ages must be reached by contestants in the following classes of contests before registration can be considered — </w:t>
      </w:r>
    </w:p>
    <w:p>
      <w:pPr>
        <w:pStyle w:val="Indenta"/>
      </w:pPr>
      <w:r>
        <w:tab/>
        <w:t>(a)</w:t>
      </w:r>
      <w:r>
        <w:tab/>
        <w:t>6 years of age for Brazilian Jiu Jitsu;</w:t>
      </w:r>
    </w:p>
    <w:p>
      <w:pPr>
        <w:pStyle w:val="Indenta"/>
      </w:pPr>
      <w:r>
        <w:tab/>
        <w:t>(b)</w:t>
      </w:r>
      <w:r>
        <w:tab/>
        <w:t>6 years of age for Taekwondo;</w:t>
      </w:r>
    </w:p>
    <w:p>
      <w:pPr>
        <w:pStyle w:val="Indenta"/>
      </w:pPr>
      <w:r>
        <w:tab/>
        <w:t>(c)</w:t>
      </w:r>
      <w:r>
        <w:tab/>
        <w:t>6 years of age for Wrestling;</w:t>
      </w:r>
    </w:p>
    <w:p>
      <w:pPr>
        <w:pStyle w:val="Indenta"/>
      </w:pPr>
      <w:r>
        <w:tab/>
        <w:t>(d)</w:t>
      </w:r>
      <w:r>
        <w:tab/>
        <w:t>7 years of age for Karate;</w:t>
      </w:r>
    </w:p>
    <w:p>
      <w:pPr>
        <w:pStyle w:val="Indenta"/>
      </w:pPr>
      <w:r>
        <w:tab/>
        <w:t>(e)</w:t>
      </w:r>
      <w:r>
        <w:tab/>
        <w:t>9 years of age for Judo;</w:t>
      </w:r>
    </w:p>
    <w:p>
      <w:pPr>
        <w:pStyle w:val="Indenta"/>
      </w:pPr>
      <w:r>
        <w:tab/>
        <w:t>(f)</w:t>
      </w:r>
      <w:r>
        <w:tab/>
        <w:t>10 years of age for Boxing;</w:t>
      </w:r>
    </w:p>
    <w:p>
      <w:pPr>
        <w:pStyle w:val="Indenta"/>
      </w:pPr>
      <w:r>
        <w:tab/>
        <w:t>(g)</w:t>
      </w:r>
      <w:r>
        <w:tab/>
        <w:t>12 years of age for Kickboxing;</w:t>
      </w:r>
    </w:p>
    <w:p>
      <w:pPr>
        <w:pStyle w:val="Indenta"/>
      </w:pPr>
      <w:r>
        <w:tab/>
        <w:t>(h)</w:t>
      </w:r>
      <w:r>
        <w:tab/>
        <w:t>12 years of age for Muay Thai;</w:t>
      </w:r>
    </w:p>
    <w:p>
      <w:pPr>
        <w:pStyle w:val="Indenta"/>
      </w:pPr>
      <w:r>
        <w:tab/>
        <w:t>(i)</w:t>
      </w:r>
      <w:r>
        <w:tab/>
        <w:t>16 years of age for Shooto;</w:t>
      </w:r>
    </w:p>
    <w:p>
      <w:pPr>
        <w:pStyle w:val="Indenta"/>
      </w:pPr>
      <w:r>
        <w:tab/>
        <w:t>(j)</w:t>
      </w:r>
      <w:r>
        <w:tab/>
        <w:t>18 years of age for Mixed Martial Arts (Unified Rules).</w:t>
      </w:r>
    </w:p>
    <w:p>
      <w:pPr>
        <w:pStyle w:val="Footnotesection"/>
        <w:keepLines w:val="0"/>
      </w:pPr>
      <w:r>
        <w:tab/>
        <w:t>[Regulation 8B inserted in Gazette 22 Feb 2013 p. 1017.]</w:t>
      </w:r>
    </w:p>
    <w:p>
      <w:pPr>
        <w:pStyle w:val="Heading5"/>
      </w:pPr>
      <w:bookmarkStart w:id="16" w:name="_Toc382313201"/>
      <w:r>
        <w:rPr>
          <w:rStyle w:val="CharSectno"/>
        </w:rPr>
        <w:t>8C</w:t>
      </w:r>
      <w:r>
        <w:t>.</w:t>
      </w:r>
      <w:r>
        <w:tab/>
        <w:t>Contestant record book</w:t>
      </w:r>
      <w:bookmarkEnd w:id="16"/>
    </w:p>
    <w:p>
      <w:pPr>
        <w:pStyle w:val="Subsection"/>
      </w:pPr>
      <w:r>
        <w:tab/>
      </w:r>
      <w:r>
        <w:tab/>
        <w:t xml:space="preserve">For the purposes of section 35(1) of the Act, the following information is prescribed — </w:t>
      </w:r>
    </w:p>
    <w:p>
      <w:pPr>
        <w:pStyle w:val="Indenta"/>
      </w:pPr>
      <w:r>
        <w:tab/>
        <w:t>(a)</w:t>
      </w:r>
      <w:r>
        <w:tab/>
        <w:t>the contestant’s name;</w:t>
      </w:r>
    </w:p>
    <w:p>
      <w:pPr>
        <w:pStyle w:val="Indenta"/>
      </w:pPr>
      <w:r>
        <w:tab/>
        <w:t>(b)</w:t>
      </w:r>
      <w:r>
        <w:tab/>
        <w:t>the contestant’s weight;</w:t>
      </w:r>
    </w:p>
    <w:p>
      <w:pPr>
        <w:pStyle w:val="Indenta"/>
      </w:pPr>
      <w:r>
        <w:tab/>
        <w:t>(c)</w:t>
      </w:r>
      <w:r>
        <w:tab/>
        <w:t>details of the contestant’s medical examination and serology test;</w:t>
      </w:r>
    </w:p>
    <w:p>
      <w:pPr>
        <w:pStyle w:val="Indenta"/>
      </w:pPr>
      <w:r>
        <w:tab/>
        <w:t>(d)</w:t>
      </w:r>
      <w:r>
        <w:tab/>
        <w:t>details of the contestant’s win/loss record and titles the contestant has won.</w:t>
      </w:r>
    </w:p>
    <w:p>
      <w:pPr>
        <w:pStyle w:val="Footnotesection"/>
        <w:keepLines w:val="0"/>
      </w:pPr>
      <w:r>
        <w:tab/>
        <w:t>[Regulation 8C inserted in Gazette 22 Feb 2013 p. 1018.]</w:t>
      </w:r>
    </w:p>
    <w:p>
      <w:pPr>
        <w:pStyle w:val="Heading5"/>
      </w:pPr>
      <w:bookmarkStart w:id="17" w:name="_Toc382313202"/>
      <w:r>
        <w:rPr>
          <w:rStyle w:val="CharSectno"/>
        </w:rPr>
        <w:t>8</w:t>
      </w:r>
      <w:r>
        <w:t>.</w:t>
      </w:r>
      <w:r>
        <w:tab/>
        <w:t>Fees</w:t>
      </w:r>
      <w:bookmarkEnd w:id="17"/>
    </w:p>
    <w:p>
      <w:pPr>
        <w:pStyle w:val="Subsection"/>
      </w:pPr>
      <w:r>
        <w:tab/>
        <w:t>(1)</w:t>
      </w:r>
      <w:r>
        <w:tab/>
        <w:t>The fee set out in Schedule 3 item 1 is prescribed for the triennial registration of a contestant under section 16(2)(c) of the Act or for the renewal of the triennial registration of a contestant under section 19(3)(c) of the Act.</w:t>
      </w:r>
    </w:p>
    <w:p>
      <w:pPr>
        <w:pStyle w:val="Subsection"/>
      </w:pPr>
      <w:r>
        <w:tab/>
        <w:t>(2)</w:t>
      </w:r>
      <w:r>
        <w:tab/>
        <w:t>The fee set out in Schedule 3 item 3 is prescribed for the issue of a duplicate contestant record book under section 42 of the Act.</w:t>
      </w:r>
    </w:p>
    <w:p>
      <w:pPr>
        <w:pStyle w:val="Footnotesection"/>
        <w:keepLines w:val="0"/>
      </w:pPr>
      <w:r>
        <w:tab/>
        <w:t>[Regulation 8 inserted in Gazette 22 Feb 2013 p. 1018.]</w:t>
      </w:r>
    </w:p>
    <w:p>
      <w:pPr>
        <w:pStyle w:val="Heading3"/>
      </w:pPr>
      <w:bookmarkStart w:id="18" w:name="_Toc382313203"/>
      <w:r>
        <w:rPr>
          <w:rStyle w:val="CharDivNo"/>
        </w:rPr>
        <w:t>Division 2</w:t>
      </w:r>
      <w:r>
        <w:t> — </w:t>
      </w:r>
      <w:r>
        <w:rPr>
          <w:rStyle w:val="CharDivText"/>
        </w:rPr>
        <w:t>Industry participants</w:t>
      </w:r>
      <w:bookmarkEnd w:id="18"/>
    </w:p>
    <w:p>
      <w:pPr>
        <w:pStyle w:val="Heading5"/>
      </w:pPr>
      <w:bookmarkStart w:id="19" w:name="_Toc382313204"/>
      <w:r>
        <w:rPr>
          <w:rStyle w:val="CharSectno"/>
        </w:rPr>
        <w:t>9</w:t>
      </w:r>
      <w:r>
        <w:t>.</w:t>
      </w:r>
      <w:r>
        <w:tab/>
        <w:t>Prescribed capacities of industry participants</w:t>
      </w:r>
      <w:bookmarkEnd w:id="19"/>
    </w:p>
    <w:p>
      <w:pPr>
        <w:pStyle w:val="Subsection"/>
      </w:pPr>
      <w:r>
        <w:tab/>
      </w:r>
      <w:r>
        <w:tab/>
        <w:t xml:space="preserve">For the purposes of the definition of </w:t>
      </w:r>
      <w:r>
        <w:rPr>
          <w:b/>
          <w:i/>
        </w:rPr>
        <w:t>industry participant</w:t>
      </w:r>
      <w:r>
        <w:t xml:space="preserve"> in section 3 of the Act, the following capacities are prescribed — </w:t>
      </w:r>
    </w:p>
    <w:p>
      <w:pPr>
        <w:pStyle w:val="Indenta"/>
      </w:pPr>
      <w:r>
        <w:tab/>
        <w:t>(a)</w:t>
      </w:r>
      <w:r>
        <w:tab/>
        <w:t>promoter;</w:t>
      </w:r>
    </w:p>
    <w:p>
      <w:pPr>
        <w:pStyle w:val="Indenta"/>
      </w:pPr>
      <w:r>
        <w:tab/>
        <w:t>(b)</w:t>
      </w:r>
      <w:r>
        <w:tab/>
        <w:t>matchmaker;</w:t>
      </w:r>
    </w:p>
    <w:p>
      <w:pPr>
        <w:pStyle w:val="Indenta"/>
      </w:pPr>
      <w:r>
        <w:tab/>
        <w:t>(c)</w:t>
      </w:r>
      <w:r>
        <w:tab/>
        <w:t>manager;</w:t>
      </w:r>
    </w:p>
    <w:p>
      <w:pPr>
        <w:pStyle w:val="Indenta"/>
      </w:pPr>
      <w:r>
        <w:tab/>
        <w:t>(d)</w:t>
      </w:r>
      <w:r>
        <w:tab/>
        <w:t>trainer;</w:t>
      </w:r>
    </w:p>
    <w:p>
      <w:pPr>
        <w:pStyle w:val="Indenta"/>
      </w:pPr>
      <w:r>
        <w:tab/>
        <w:t>(e)</w:t>
      </w:r>
      <w:r>
        <w:tab/>
        <w:t>referee;</w:t>
      </w:r>
    </w:p>
    <w:p>
      <w:pPr>
        <w:pStyle w:val="Indenta"/>
        <w:keepNext/>
        <w:spacing w:before="60"/>
      </w:pPr>
      <w:r>
        <w:tab/>
        <w:t>(f)</w:t>
      </w:r>
      <w:r>
        <w:tab/>
        <w:t>judge;</w:t>
      </w:r>
    </w:p>
    <w:p>
      <w:pPr>
        <w:pStyle w:val="Indenta"/>
        <w:keepNext/>
        <w:spacing w:before="60"/>
      </w:pPr>
      <w:r>
        <w:tab/>
        <w:t>(g)</w:t>
      </w:r>
      <w:r>
        <w:tab/>
        <w:t>timekeeper.</w:t>
      </w:r>
    </w:p>
    <w:p>
      <w:pPr>
        <w:pStyle w:val="Footnotesection"/>
        <w:keepLines w:val="0"/>
        <w:spacing w:before="100"/>
      </w:pPr>
      <w:r>
        <w:tab/>
        <w:t>[Regulation 9 inserted in Gazette 22 Feb 2013 p. 1018.]</w:t>
      </w:r>
    </w:p>
    <w:p>
      <w:pPr>
        <w:pStyle w:val="Heading5"/>
        <w:spacing w:before="200"/>
      </w:pPr>
      <w:bookmarkStart w:id="20" w:name="_Toc382313205"/>
      <w:r>
        <w:rPr>
          <w:rStyle w:val="CharSectno"/>
        </w:rPr>
        <w:t>10A</w:t>
      </w:r>
      <w:r>
        <w:t>.</w:t>
      </w:r>
      <w:r>
        <w:tab/>
        <w:t>Persons taken to be registered as industry participants</w:t>
      </w:r>
      <w:bookmarkEnd w:id="20"/>
    </w:p>
    <w:p>
      <w:pPr>
        <w:pStyle w:val="Subsection"/>
        <w:spacing w:before="140"/>
      </w:pPr>
      <w:r>
        <w:tab/>
      </w:r>
      <w:r>
        <w:tab/>
        <w:t>Under section 62(3) of the Act, a person who is registered or licensed under a law of a place outside the State, the purpose of which substantially corresponds with the purpose of the Act, for one of the capacities prescribed under regulation 9 (other than promoter) is to be taken to be registered under the Act as an industry participant of that capacity.</w:t>
      </w:r>
    </w:p>
    <w:p>
      <w:pPr>
        <w:pStyle w:val="Footnotesection"/>
        <w:keepLines w:val="0"/>
        <w:spacing w:before="100"/>
      </w:pPr>
      <w:r>
        <w:tab/>
        <w:t>[Regulation 10A inserted in Gazette 22 Feb 2013 p. 1018</w:t>
      </w:r>
      <w:r>
        <w:noBreakHyphen/>
        <w:t>19.]</w:t>
      </w:r>
    </w:p>
    <w:p>
      <w:pPr>
        <w:pStyle w:val="Heading5"/>
        <w:spacing w:before="200"/>
      </w:pPr>
      <w:bookmarkStart w:id="21" w:name="_Toc382313206"/>
      <w:r>
        <w:rPr>
          <w:rStyle w:val="CharSectno"/>
        </w:rPr>
        <w:t>10</w:t>
      </w:r>
      <w:r>
        <w:t>.</w:t>
      </w:r>
      <w:r>
        <w:tab/>
        <w:t>Register of industry participants: prescribed particulars</w:t>
      </w:r>
      <w:bookmarkEnd w:id="21"/>
    </w:p>
    <w:p>
      <w:pPr>
        <w:pStyle w:val="Subsection"/>
        <w:spacing w:before="140"/>
      </w:pPr>
      <w:r>
        <w:tab/>
      </w:r>
      <w:r>
        <w:tab/>
        <w:t>Under section 26(c) of the Act, the particulars listed in column 2 of the Table opposite an industry participant capacity listed in column 1 are prescribed.</w:t>
      </w:r>
    </w:p>
    <w:p>
      <w:pPr>
        <w:pStyle w:val="THeadingNAm"/>
        <w:spacing w:before="100" w:after="40"/>
      </w:pPr>
      <w:r>
        <w:t>Register of industry participants</w:t>
      </w:r>
    </w:p>
    <w:tbl>
      <w:tblPr>
        <w:tblW w:w="624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0"/>
        <w:gridCol w:w="3840"/>
      </w:tblGrid>
      <w:tr>
        <w:trPr>
          <w:tblHeader/>
        </w:trPr>
        <w:tc>
          <w:tcPr>
            <w:tcW w:w="2400" w:type="dxa"/>
          </w:tcPr>
          <w:p>
            <w:pPr>
              <w:pStyle w:val="TableNAm"/>
              <w:keepNext/>
              <w:spacing w:before="70"/>
              <w:rPr>
                <w:b/>
                <w:bCs/>
              </w:rPr>
            </w:pPr>
            <w:r>
              <w:rPr>
                <w:b/>
              </w:rPr>
              <w:t>Industry participant capacity</w:t>
            </w:r>
          </w:p>
        </w:tc>
        <w:tc>
          <w:tcPr>
            <w:tcW w:w="3840" w:type="dxa"/>
          </w:tcPr>
          <w:p>
            <w:pPr>
              <w:pStyle w:val="TableNAm"/>
              <w:keepNext/>
              <w:spacing w:before="70"/>
              <w:rPr>
                <w:b/>
                <w:bCs/>
              </w:rPr>
            </w:pPr>
            <w:r>
              <w:rPr>
                <w:b/>
              </w:rPr>
              <w:t>Particulars</w:t>
            </w:r>
          </w:p>
        </w:tc>
      </w:tr>
      <w:tr>
        <w:tc>
          <w:tcPr>
            <w:tcW w:w="2400" w:type="dxa"/>
          </w:tcPr>
          <w:p>
            <w:pPr>
              <w:pStyle w:val="TableNAm"/>
              <w:keepNext/>
              <w:spacing w:before="70"/>
            </w:pPr>
            <w:r>
              <w:t>Judge</w:t>
            </w:r>
          </w:p>
        </w:tc>
        <w:tc>
          <w:tcPr>
            <w:tcW w:w="3840" w:type="dxa"/>
          </w:tcPr>
          <w:p>
            <w:pPr>
              <w:pStyle w:val="TableNAm"/>
              <w:keepNext/>
              <w:spacing w:before="70"/>
              <w:ind w:left="600" w:hanging="600"/>
            </w:pPr>
            <w:r>
              <w:t>(a)</w:t>
            </w:r>
            <w:r>
              <w:tab/>
              <w:t>Details of the participant’s experience, qualifications and any accreditation.</w:t>
            </w:r>
          </w:p>
          <w:p>
            <w:pPr>
              <w:pStyle w:val="TableNAm"/>
              <w:keepNext/>
              <w:spacing w:before="70"/>
              <w:ind w:left="600" w:hanging="600"/>
            </w:pPr>
            <w:r>
              <w:t>(b)</w:t>
            </w:r>
            <w:r>
              <w:tab/>
              <w:t>All the particulars required to be disclosed in the application form approved under section 27 of the Act.</w:t>
            </w:r>
          </w:p>
        </w:tc>
      </w:tr>
      <w:tr>
        <w:tc>
          <w:tcPr>
            <w:tcW w:w="2400" w:type="dxa"/>
          </w:tcPr>
          <w:p>
            <w:pPr>
              <w:pStyle w:val="TableNAm"/>
              <w:spacing w:before="70"/>
            </w:pPr>
            <w:r>
              <w:t>Manager</w:t>
            </w:r>
          </w:p>
        </w:tc>
        <w:tc>
          <w:tcPr>
            <w:tcW w:w="3840" w:type="dxa"/>
          </w:tcPr>
          <w:p>
            <w:pPr>
              <w:pStyle w:val="TableNAm"/>
              <w:spacing w:before="70"/>
              <w:ind w:left="600" w:hanging="600"/>
            </w:pPr>
            <w:r>
              <w:t>(a)</w:t>
            </w:r>
            <w:r>
              <w:tab/>
              <w:t>Copy of proof of the participant’s identity such as a driver’s licence or passport.</w:t>
            </w:r>
          </w:p>
          <w:p>
            <w:pPr>
              <w:pStyle w:val="TableNAm"/>
              <w:spacing w:before="70"/>
              <w:ind w:left="600" w:hanging="600"/>
            </w:pPr>
            <w:r>
              <w:t>(b)</w:t>
            </w:r>
            <w:r>
              <w:tab/>
              <w:t>Details of the participant’s experience, qualifications and any accreditation.</w:t>
            </w:r>
          </w:p>
          <w:p>
            <w:pPr>
              <w:pStyle w:val="TableNAm"/>
              <w:spacing w:before="70"/>
              <w:ind w:left="600" w:hanging="600"/>
            </w:pPr>
            <w:r>
              <w:t>(c)</w:t>
            </w:r>
            <w:r>
              <w:tab/>
              <w:t>All the particulars required to be disclosed in the application form approved under section 27 of the Act.</w:t>
            </w:r>
          </w:p>
        </w:tc>
      </w:tr>
      <w:tr>
        <w:tc>
          <w:tcPr>
            <w:tcW w:w="2400" w:type="dxa"/>
          </w:tcPr>
          <w:p>
            <w:pPr>
              <w:pStyle w:val="TableNAm"/>
              <w:spacing w:before="80"/>
            </w:pPr>
            <w:r>
              <w:t>Promoter</w:t>
            </w:r>
          </w:p>
        </w:tc>
        <w:tc>
          <w:tcPr>
            <w:tcW w:w="3840" w:type="dxa"/>
          </w:tcPr>
          <w:p>
            <w:pPr>
              <w:pStyle w:val="TableNAm"/>
              <w:spacing w:before="80"/>
              <w:ind w:left="600" w:hanging="600"/>
            </w:pPr>
            <w:r>
              <w:t>(a)</w:t>
            </w:r>
            <w:r>
              <w:tab/>
              <w:t>Copy of proof of the participant’s identity such as a driver’s licence or passport.</w:t>
            </w:r>
          </w:p>
          <w:p>
            <w:pPr>
              <w:pStyle w:val="TableNAm"/>
              <w:spacing w:before="80"/>
              <w:ind w:left="600" w:hanging="600"/>
            </w:pPr>
            <w:r>
              <w:t>(b)</w:t>
            </w:r>
            <w:r>
              <w:tab/>
              <w:t>Details of the participant’s experience, qualifications and any accreditation.</w:t>
            </w:r>
          </w:p>
          <w:p>
            <w:pPr>
              <w:pStyle w:val="TableNAm"/>
              <w:spacing w:before="80"/>
              <w:ind w:left="600" w:hanging="600"/>
            </w:pPr>
            <w:r>
              <w:t>(c)</w:t>
            </w:r>
            <w:r>
              <w:tab/>
              <w:t>All the particulars required to be disclosed in the application form approved under section 27 of the Act.</w:t>
            </w:r>
          </w:p>
        </w:tc>
      </w:tr>
      <w:tr>
        <w:tc>
          <w:tcPr>
            <w:tcW w:w="2400" w:type="dxa"/>
          </w:tcPr>
          <w:p>
            <w:pPr>
              <w:pStyle w:val="TableNAm"/>
              <w:spacing w:before="80"/>
            </w:pPr>
            <w:r>
              <w:t>Referee</w:t>
            </w:r>
          </w:p>
        </w:tc>
        <w:tc>
          <w:tcPr>
            <w:tcW w:w="3840" w:type="dxa"/>
          </w:tcPr>
          <w:p>
            <w:pPr>
              <w:pStyle w:val="TableNAm"/>
              <w:spacing w:before="80"/>
              <w:ind w:left="600" w:hanging="600"/>
            </w:pPr>
            <w:r>
              <w:t>(a)</w:t>
            </w:r>
            <w:r>
              <w:tab/>
              <w:t>Copy of proof of the participant’s identity such as a driver’s licence or passport.</w:t>
            </w:r>
          </w:p>
          <w:p>
            <w:pPr>
              <w:pStyle w:val="TableNAm"/>
              <w:spacing w:before="80"/>
              <w:ind w:left="600" w:hanging="600"/>
            </w:pPr>
            <w:r>
              <w:t>(b)</w:t>
            </w:r>
            <w:r>
              <w:tab/>
              <w:t>Details of the participant’s experience, qualifications and any accreditation.</w:t>
            </w:r>
          </w:p>
          <w:p>
            <w:pPr>
              <w:pStyle w:val="TableNAm"/>
              <w:spacing w:before="80"/>
              <w:ind w:left="600" w:hanging="600"/>
            </w:pPr>
            <w:r>
              <w:t>(c)</w:t>
            </w:r>
            <w:r>
              <w:tab/>
              <w:t>All the particulars required to be disclosed in the application form approved under section 27 of the Act.</w:t>
            </w:r>
          </w:p>
        </w:tc>
      </w:tr>
      <w:tr>
        <w:tc>
          <w:tcPr>
            <w:tcW w:w="2400" w:type="dxa"/>
          </w:tcPr>
          <w:p>
            <w:pPr>
              <w:pStyle w:val="TableNAm"/>
              <w:spacing w:before="80"/>
            </w:pPr>
            <w:r>
              <w:t>Timekeeper</w:t>
            </w:r>
          </w:p>
        </w:tc>
        <w:tc>
          <w:tcPr>
            <w:tcW w:w="3840" w:type="dxa"/>
          </w:tcPr>
          <w:p>
            <w:pPr>
              <w:pStyle w:val="TableNAm"/>
              <w:spacing w:before="80"/>
              <w:ind w:left="600" w:hanging="600"/>
            </w:pPr>
            <w:r>
              <w:t>(a)</w:t>
            </w:r>
            <w:r>
              <w:tab/>
              <w:t>Copy of proof of the participant’s identity such as a driver’s licence or passport.</w:t>
            </w:r>
          </w:p>
          <w:p>
            <w:pPr>
              <w:pStyle w:val="TableNAm"/>
              <w:spacing w:before="80"/>
              <w:ind w:left="600" w:hanging="600"/>
            </w:pPr>
            <w:r>
              <w:t>(b)</w:t>
            </w:r>
            <w:r>
              <w:tab/>
              <w:t>Details of the participant’s experience, qualifications and any accreditation.</w:t>
            </w:r>
          </w:p>
          <w:p>
            <w:pPr>
              <w:pStyle w:val="TableNAm"/>
              <w:spacing w:before="80"/>
              <w:ind w:left="600" w:hanging="600"/>
            </w:pPr>
            <w:r>
              <w:t>(c)</w:t>
            </w:r>
            <w:r>
              <w:tab/>
              <w:t>All the particulars required to be disclosed in the application form approved under section 27 of the Act.</w:t>
            </w:r>
          </w:p>
        </w:tc>
      </w:tr>
      <w:tr>
        <w:tc>
          <w:tcPr>
            <w:tcW w:w="2400" w:type="dxa"/>
          </w:tcPr>
          <w:p>
            <w:pPr>
              <w:pStyle w:val="TableNAm"/>
              <w:spacing w:before="80"/>
            </w:pPr>
            <w:r>
              <w:t>Trainer</w:t>
            </w:r>
          </w:p>
        </w:tc>
        <w:tc>
          <w:tcPr>
            <w:tcW w:w="3840" w:type="dxa"/>
          </w:tcPr>
          <w:p>
            <w:pPr>
              <w:pStyle w:val="TableNAm"/>
              <w:spacing w:before="80"/>
              <w:ind w:left="600" w:hanging="600"/>
            </w:pPr>
            <w:r>
              <w:t>(a)</w:t>
            </w:r>
            <w:r>
              <w:tab/>
              <w:t>Copy of proof of the participant’s identity such as a driver’s licence or passport.</w:t>
            </w:r>
          </w:p>
          <w:p>
            <w:pPr>
              <w:pStyle w:val="TableNAm"/>
              <w:spacing w:before="80"/>
              <w:ind w:left="600" w:hanging="600"/>
            </w:pPr>
            <w:r>
              <w:t>(b)</w:t>
            </w:r>
            <w:r>
              <w:tab/>
              <w:t>Details of the participant’s experience, qualifications and any accreditation.</w:t>
            </w:r>
          </w:p>
          <w:p>
            <w:pPr>
              <w:pStyle w:val="TableNAm"/>
              <w:spacing w:before="80"/>
              <w:ind w:left="600" w:hanging="600"/>
            </w:pPr>
            <w:r>
              <w:t>(c)</w:t>
            </w:r>
            <w:r>
              <w:tab/>
              <w:t>All the particulars required to be disclosed in the application form approved under section 27 of the Act.</w:t>
            </w:r>
          </w:p>
        </w:tc>
      </w:tr>
    </w:tbl>
    <w:p>
      <w:pPr>
        <w:pStyle w:val="Footnotesection"/>
        <w:keepLines w:val="0"/>
      </w:pPr>
      <w:r>
        <w:tab/>
        <w:t>[Regulation 10 inserted in Gazette 22 Feb 2013 p. 1019</w:t>
      </w:r>
      <w:r>
        <w:noBreakHyphen/>
        <w:t>20.]</w:t>
      </w:r>
    </w:p>
    <w:p>
      <w:pPr>
        <w:pStyle w:val="Heading5"/>
      </w:pPr>
      <w:bookmarkStart w:id="22" w:name="_Toc382313207"/>
      <w:r>
        <w:rPr>
          <w:rStyle w:val="CharSectno"/>
        </w:rPr>
        <w:t>11</w:t>
      </w:r>
      <w:r>
        <w:t>.</w:t>
      </w:r>
      <w:r>
        <w:tab/>
        <w:t>Registration fees</w:t>
      </w:r>
      <w:bookmarkEnd w:id="22"/>
    </w:p>
    <w:p>
      <w:pPr>
        <w:pStyle w:val="Subsection"/>
      </w:pPr>
      <w:r>
        <w:tab/>
      </w:r>
      <w:r>
        <w:tab/>
        <w:t>The fees set out in Schedule 3 item 2 are prescribed for the triennial annual registration of an industry participant under section 27(3)(b) of the Act or for the renewal of the triennial annual registration of an industry participant under section 31(2)(b) of the Act.</w:t>
      </w:r>
    </w:p>
    <w:p>
      <w:pPr>
        <w:pStyle w:val="Footnotesection"/>
        <w:keepLines w:val="0"/>
      </w:pPr>
      <w:r>
        <w:tab/>
        <w:t>[Regulation 11 inserted in Gazette 22 Feb 2013 p. 1020.]</w:t>
      </w:r>
    </w:p>
    <w:p>
      <w:pPr>
        <w:pStyle w:val="Ednotesection"/>
      </w:pPr>
      <w:r>
        <w:t>[</w:t>
      </w:r>
      <w:r>
        <w:rPr>
          <w:b/>
        </w:rPr>
        <w:t>12.</w:t>
      </w:r>
      <w:r>
        <w:tab/>
        <w:t>Deleted in Gazette 22 Feb 2013 p. 1020.]</w:t>
      </w:r>
    </w:p>
    <w:p>
      <w:pPr>
        <w:pStyle w:val="Heading2"/>
      </w:pPr>
      <w:bookmarkStart w:id="23" w:name="_Toc382313208"/>
      <w:r>
        <w:rPr>
          <w:rStyle w:val="CharPartNo"/>
        </w:rPr>
        <w:t>Part 3</w:t>
      </w:r>
      <w:r>
        <w:t> — </w:t>
      </w:r>
      <w:r>
        <w:rPr>
          <w:rStyle w:val="CharPartText"/>
        </w:rPr>
        <w:t>Contests</w:t>
      </w:r>
      <w:bookmarkEnd w:id="23"/>
    </w:p>
    <w:p>
      <w:pPr>
        <w:pStyle w:val="Heading3"/>
      </w:pPr>
      <w:bookmarkStart w:id="24" w:name="_Toc382313209"/>
      <w:r>
        <w:rPr>
          <w:rStyle w:val="CharDivNo"/>
        </w:rPr>
        <w:t>Division 1</w:t>
      </w:r>
      <w:r>
        <w:t> — </w:t>
      </w:r>
      <w:r>
        <w:rPr>
          <w:rStyle w:val="CharDivText"/>
        </w:rPr>
        <w:t>Pre</w:t>
      </w:r>
      <w:r>
        <w:rPr>
          <w:rStyle w:val="CharDivText"/>
        </w:rPr>
        <w:noBreakHyphen/>
        <w:t>contest matters</w:t>
      </w:r>
      <w:bookmarkEnd w:id="24"/>
    </w:p>
    <w:p>
      <w:pPr>
        <w:pStyle w:val="Footnoteheading"/>
        <w:spacing w:before="100"/>
      </w:pPr>
      <w:r>
        <w:tab/>
        <w:t>[Heading inserted in Gazette 22 Feb 2013 p. 1021.]</w:t>
      </w:r>
    </w:p>
    <w:p>
      <w:pPr>
        <w:pStyle w:val="Heading5"/>
      </w:pPr>
      <w:bookmarkStart w:id="25" w:name="_Toc382313210"/>
      <w:r>
        <w:rPr>
          <w:rStyle w:val="CharSectno"/>
        </w:rPr>
        <w:t>13</w:t>
      </w:r>
      <w:r>
        <w:t>.</w:t>
      </w:r>
      <w:r>
        <w:tab/>
        <w:t>Information to be recorded at weigh</w:t>
      </w:r>
      <w:r>
        <w:noBreakHyphen/>
        <w:t>in</w:t>
      </w:r>
      <w:bookmarkEnd w:id="25"/>
    </w:p>
    <w:p>
      <w:pPr>
        <w:pStyle w:val="Subsection"/>
      </w:pPr>
      <w:r>
        <w:tab/>
      </w:r>
      <w:r>
        <w:tab/>
        <w:t xml:space="preserve">For the purposes of section 48(2)(d) of the Act, the following information is prescribed — </w:t>
      </w:r>
    </w:p>
    <w:p>
      <w:pPr>
        <w:pStyle w:val="Indenta"/>
        <w:spacing w:before="60"/>
      </w:pPr>
      <w:r>
        <w:tab/>
        <w:t>(a)</w:t>
      </w:r>
      <w:r>
        <w:tab/>
        <w:t>the date and venue of the contest;</w:t>
      </w:r>
    </w:p>
    <w:p>
      <w:pPr>
        <w:pStyle w:val="Indenta"/>
        <w:spacing w:before="60"/>
      </w:pPr>
      <w:r>
        <w:tab/>
        <w:t>(b)</w:t>
      </w:r>
      <w:r>
        <w:tab/>
        <w:t>the contestant’s weight;</w:t>
      </w:r>
    </w:p>
    <w:p>
      <w:pPr>
        <w:pStyle w:val="Indenta"/>
        <w:spacing w:before="60"/>
      </w:pPr>
      <w:r>
        <w:tab/>
        <w:t>(c)</w:t>
      </w:r>
      <w:r>
        <w:tab/>
        <w:t>the contestant’s opponent;</w:t>
      </w:r>
    </w:p>
    <w:p>
      <w:pPr>
        <w:pStyle w:val="Indenta"/>
        <w:spacing w:before="60"/>
      </w:pPr>
      <w:r>
        <w:tab/>
        <w:t>(d)</w:t>
      </w:r>
      <w:r>
        <w:tab/>
        <w:t>the name of the rules of the contest;</w:t>
      </w:r>
    </w:p>
    <w:p>
      <w:pPr>
        <w:pStyle w:val="Indenta"/>
        <w:spacing w:before="60"/>
      </w:pPr>
      <w:r>
        <w:tab/>
        <w:t>(e)</w:t>
      </w:r>
      <w:r>
        <w:tab/>
        <w:t>the number of rounds of the contest and the length of each round.</w:t>
      </w:r>
    </w:p>
    <w:p>
      <w:pPr>
        <w:pStyle w:val="Footnotesection"/>
        <w:keepLines w:val="0"/>
        <w:spacing w:before="100"/>
      </w:pPr>
      <w:r>
        <w:tab/>
        <w:t>[Regulation 13 inserted in Gazette 22 Feb 2013 p. 1021.]</w:t>
      </w:r>
    </w:p>
    <w:p>
      <w:pPr>
        <w:pStyle w:val="Heading5"/>
      </w:pPr>
      <w:bookmarkStart w:id="26" w:name="_Toc382313211"/>
      <w:r>
        <w:rPr>
          <w:rStyle w:val="CharSectno"/>
        </w:rPr>
        <w:t>14</w:t>
      </w:r>
      <w:r>
        <w:t>.</w:t>
      </w:r>
      <w:r>
        <w:tab/>
        <w:t>Information to be certified by medical practitioner</w:t>
      </w:r>
      <w:bookmarkEnd w:id="26"/>
    </w:p>
    <w:p>
      <w:pPr>
        <w:pStyle w:val="Subsection"/>
      </w:pPr>
      <w:r>
        <w:tab/>
      </w:r>
      <w:r>
        <w:tab/>
        <w:t xml:space="preserve">For the purposes of section 49A(2)(c) of the Act, the following information prescribed is — </w:t>
      </w:r>
    </w:p>
    <w:p>
      <w:pPr>
        <w:pStyle w:val="Indenta"/>
        <w:spacing w:before="60"/>
      </w:pPr>
      <w:r>
        <w:tab/>
        <w:t>(a)</w:t>
      </w:r>
      <w:r>
        <w:tab/>
        <w:t>whether or not the person examined is fit to compete in the contest;</w:t>
      </w:r>
    </w:p>
    <w:p>
      <w:pPr>
        <w:pStyle w:val="Indenta"/>
        <w:spacing w:before="60"/>
      </w:pPr>
      <w:r>
        <w:tab/>
        <w:t>(b)</w:t>
      </w:r>
      <w:r>
        <w:tab/>
        <w:t xml:space="preserve">if the person is not fit to compete in the contest, a date before which the person should not take part in — </w:t>
      </w:r>
    </w:p>
    <w:p>
      <w:pPr>
        <w:pStyle w:val="Indenti"/>
        <w:spacing w:before="60"/>
      </w:pPr>
      <w:r>
        <w:tab/>
        <w:t>(i)</w:t>
      </w:r>
      <w:r>
        <w:tab/>
        <w:t>sparring; or</w:t>
      </w:r>
    </w:p>
    <w:p>
      <w:pPr>
        <w:pStyle w:val="Indenti"/>
        <w:spacing w:before="60"/>
      </w:pPr>
      <w:r>
        <w:tab/>
        <w:t>(ii)</w:t>
      </w:r>
      <w:r>
        <w:tab/>
        <w:t>a contest.</w:t>
      </w:r>
    </w:p>
    <w:p>
      <w:pPr>
        <w:pStyle w:val="Footnotesection"/>
        <w:keepLines w:val="0"/>
        <w:spacing w:before="100"/>
      </w:pPr>
      <w:r>
        <w:tab/>
        <w:t>[Regulation 14 inserted in Gazette 22 Feb 2013 p. 1021.]</w:t>
      </w:r>
    </w:p>
    <w:p>
      <w:pPr>
        <w:pStyle w:val="Heading3"/>
      </w:pPr>
      <w:bookmarkStart w:id="27" w:name="_Toc382313212"/>
      <w:r>
        <w:rPr>
          <w:rStyle w:val="CharDivNo"/>
        </w:rPr>
        <w:t>Division 2</w:t>
      </w:r>
      <w:r>
        <w:t> — </w:t>
      </w:r>
      <w:r>
        <w:rPr>
          <w:rStyle w:val="CharDivText"/>
        </w:rPr>
        <w:t>Rest periods</w:t>
      </w:r>
      <w:bookmarkEnd w:id="27"/>
    </w:p>
    <w:p>
      <w:pPr>
        <w:pStyle w:val="Heading5"/>
        <w:rPr>
          <w:rFonts w:ascii="Times" w:hAnsi="Times"/>
          <w:snapToGrid w:val="0"/>
        </w:rPr>
      </w:pPr>
      <w:bookmarkStart w:id="28" w:name="_Toc382313213"/>
      <w:r>
        <w:rPr>
          <w:rStyle w:val="CharSectno"/>
          <w:rFonts w:ascii="Times" w:hAnsi="Times"/>
        </w:rPr>
        <w:t>15</w:t>
      </w:r>
      <w:r>
        <w:rPr>
          <w:rFonts w:ascii="Times" w:hAnsi="Times"/>
        </w:rPr>
        <w:t>.</w:t>
      </w:r>
      <w:r>
        <w:rPr>
          <w:rFonts w:ascii="Times" w:hAnsi="Times"/>
        </w:rPr>
        <w:tab/>
      </w:r>
      <w:r>
        <w:rPr>
          <w:rFonts w:ascii="Times" w:hAnsi="Times"/>
          <w:snapToGrid w:val="0"/>
        </w:rPr>
        <w:t>Restrictions on competing following a knockout or other loss</w:t>
      </w:r>
      <w:bookmarkEnd w:id="28"/>
    </w:p>
    <w:p>
      <w:pPr>
        <w:pStyle w:val="Subsection"/>
        <w:keepNext/>
        <w:rPr>
          <w:rFonts w:ascii="Times" w:hAnsi="Times"/>
          <w:snapToGrid w:val="0"/>
        </w:rPr>
      </w:pPr>
      <w:r>
        <w:rPr>
          <w:rFonts w:ascii="Times" w:hAnsi="Times"/>
          <w:snapToGrid w:val="0"/>
        </w:rPr>
        <w:tab/>
        <w:t>(1)</w:t>
      </w:r>
      <w:r>
        <w:rPr>
          <w:rFonts w:ascii="Times" w:hAnsi="Times"/>
          <w:snapToGrid w:val="0"/>
        </w:rPr>
        <w:tab/>
        <w:t>Where a contestant is knocked out — </w:t>
      </w:r>
    </w:p>
    <w:p>
      <w:pPr>
        <w:pStyle w:val="Indenta"/>
        <w:spacing w:before="60"/>
        <w:rPr>
          <w:rFonts w:ascii="Times" w:hAnsi="Times"/>
          <w:snapToGrid w:val="0"/>
        </w:rPr>
      </w:pPr>
      <w:r>
        <w:rPr>
          <w:rFonts w:ascii="Times" w:hAnsi="Times"/>
          <w:snapToGrid w:val="0"/>
        </w:rPr>
        <w:tab/>
        <w:t>(a)</w:t>
      </w:r>
      <w:r>
        <w:rPr>
          <w:rFonts w:ascii="Times" w:hAnsi="Times"/>
          <w:snapToGrid w:val="0"/>
        </w:rPr>
        <w:tab/>
        <w:t>the contestant must not participate in a contest for a period of at least 30 days; or</w:t>
      </w:r>
    </w:p>
    <w:p>
      <w:pPr>
        <w:pStyle w:val="Indenta"/>
        <w:rPr>
          <w:rFonts w:ascii="Times" w:hAnsi="Times"/>
          <w:snapToGrid w:val="0"/>
        </w:rPr>
      </w:pPr>
      <w:r>
        <w:rPr>
          <w:rFonts w:ascii="Times" w:hAnsi="Times"/>
          <w:snapToGrid w:val="0"/>
        </w:rPr>
        <w:tab/>
        <w:t>(b)</w:t>
      </w:r>
      <w:r>
        <w:rPr>
          <w:rFonts w:ascii="Times" w:hAnsi="Times"/>
          <w:snapToGrid w:val="0"/>
        </w:rPr>
        <w:tab/>
        <w:t>for a second consecutive time, the contestant must not participate in a contest for a period of at least 60 days; or</w:t>
      </w:r>
    </w:p>
    <w:p>
      <w:pPr>
        <w:pStyle w:val="Indenta"/>
        <w:rPr>
          <w:rFonts w:ascii="Times" w:hAnsi="Times"/>
          <w:snapToGrid w:val="0"/>
        </w:rPr>
      </w:pPr>
      <w:r>
        <w:rPr>
          <w:rFonts w:ascii="Times" w:hAnsi="Times"/>
          <w:snapToGrid w:val="0"/>
        </w:rPr>
        <w:tab/>
        <w:t>(c)</w:t>
      </w:r>
      <w:r>
        <w:rPr>
          <w:rFonts w:ascii="Times" w:hAnsi="Times"/>
          <w:snapToGrid w:val="0"/>
        </w:rPr>
        <w:tab/>
        <w:t>for a third consecutive time, the contestant must not participate in a contest for a period of 90 days,</w:t>
      </w:r>
    </w:p>
    <w:p>
      <w:pPr>
        <w:pStyle w:val="Subsection"/>
        <w:rPr>
          <w:rFonts w:ascii="Times" w:hAnsi="Times"/>
          <w:snapToGrid w:val="0"/>
        </w:rPr>
      </w:pPr>
      <w:r>
        <w:rPr>
          <w:rFonts w:ascii="Times" w:hAnsi="Times"/>
          <w:snapToGrid w:val="0"/>
        </w:rPr>
        <w:tab/>
      </w:r>
      <w:r>
        <w:rPr>
          <w:rFonts w:ascii="Times" w:hAnsi="Times"/>
          <w:snapToGrid w:val="0"/>
        </w:rPr>
        <w:tab/>
        <w:t>or for such longer period as the medical practitioner referred to in section 49 of the Act determines.</w:t>
      </w:r>
    </w:p>
    <w:p>
      <w:pPr>
        <w:pStyle w:val="Penstart"/>
      </w:pPr>
      <w:r>
        <w:tab/>
        <w:t>Penalty: $1 000.</w:t>
      </w:r>
    </w:p>
    <w:p>
      <w:pPr>
        <w:pStyle w:val="Subsection"/>
        <w:rPr>
          <w:rFonts w:ascii="Times" w:hAnsi="Times"/>
          <w:snapToGrid w:val="0"/>
        </w:rPr>
      </w:pPr>
      <w:r>
        <w:rPr>
          <w:rFonts w:ascii="Times" w:hAnsi="Times"/>
          <w:snapToGrid w:val="0"/>
        </w:rPr>
        <w:tab/>
        <w:t>(2)</w:t>
      </w:r>
      <w:r>
        <w:rPr>
          <w:rFonts w:ascii="Times" w:hAnsi="Times"/>
          <w:snapToGrid w:val="0"/>
        </w:rPr>
        <w:tab/>
        <w:t>Where a contest is terminated because a contestant is judged unable to continue for a reason other than a knock</w:t>
      </w:r>
      <w:r>
        <w:rPr>
          <w:rFonts w:ascii="Times" w:hAnsi="Times"/>
          <w:snapToGrid w:val="0"/>
        </w:rPr>
        <w:noBreakHyphen/>
        <w:t>out, the contestant must not participate in a contest for such a period as the medical practitioner referred to in section 49 of the Act determines.</w:t>
      </w:r>
    </w:p>
    <w:p>
      <w:pPr>
        <w:pStyle w:val="Penstart"/>
      </w:pPr>
      <w:r>
        <w:tab/>
        <w:t>Penalty: $1 000.</w:t>
      </w:r>
    </w:p>
    <w:p>
      <w:pPr>
        <w:pStyle w:val="Subsection"/>
        <w:rPr>
          <w:rFonts w:ascii="Times" w:hAnsi="Times"/>
          <w:snapToGrid w:val="0"/>
        </w:rPr>
      </w:pPr>
      <w:r>
        <w:rPr>
          <w:rFonts w:ascii="Times" w:hAnsi="Times"/>
          <w:snapToGrid w:val="0"/>
        </w:rPr>
        <w:tab/>
        <w:t>(3)</w:t>
      </w:r>
      <w:r>
        <w:rPr>
          <w:rFonts w:ascii="Times" w:hAnsi="Times"/>
          <w:snapToGrid w:val="0"/>
        </w:rPr>
        <w:tab/>
        <w:t>Any contestant who loses 6 consecutive contests must not enter into any contract to participate in a contest unless the contestant has passed a medical examination by an approved medical practitioner.</w:t>
      </w:r>
    </w:p>
    <w:p>
      <w:pPr>
        <w:pStyle w:val="Penstart"/>
      </w:pPr>
      <w:r>
        <w:tab/>
        <w:t>Penalty: $1 000.</w:t>
      </w:r>
    </w:p>
    <w:p>
      <w:pPr>
        <w:pStyle w:val="Subsection"/>
        <w:rPr>
          <w:rFonts w:ascii="Times" w:hAnsi="Times"/>
          <w:snapToGrid w:val="0"/>
        </w:rPr>
      </w:pPr>
      <w:r>
        <w:tab/>
        <w:t>(4)</w:t>
      </w:r>
      <w:r>
        <w:tab/>
        <w:t xml:space="preserve">The medical practitioner referred to in section 49 of the Act is to </w:t>
      </w:r>
      <w:r>
        <w:rPr>
          <w:rFonts w:ascii="Times" w:hAnsi="Times"/>
          <w:snapToGrid w:val="0"/>
        </w:rPr>
        <w:t xml:space="preserve">endorse a contestant’s </w:t>
      </w:r>
      <w:r>
        <w:t>contestant record</w:t>
      </w:r>
      <w:r>
        <w:rPr>
          <w:rFonts w:ascii="Times" w:hAnsi="Times"/>
          <w:snapToGrid w:val="0"/>
        </w:rPr>
        <w:t xml:space="preserve"> book</w:t>
      </w:r>
      <w:r>
        <w:t xml:space="preserve"> referred to in section 35 of the Act</w:t>
      </w:r>
      <w:r>
        <w:rPr>
          <w:rFonts w:ascii="Times" w:hAnsi="Times"/>
          <w:snapToGrid w:val="0"/>
        </w:rPr>
        <w:t xml:space="preserve"> with any specific date before which the contestant is not to participate in a contest under this regulation.</w:t>
      </w:r>
    </w:p>
    <w:p>
      <w:pPr>
        <w:pStyle w:val="Footnotesection"/>
        <w:keepLines w:val="0"/>
      </w:pPr>
      <w:r>
        <w:tab/>
        <w:t>[Regulation 15 amended in Gazette 22 Feb 2013 p. 1021.]</w:t>
      </w:r>
    </w:p>
    <w:p>
      <w:pPr>
        <w:pStyle w:val="Heading5"/>
        <w:rPr>
          <w:rFonts w:ascii="Times" w:hAnsi="Times"/>
          <w:snapToGrid w:val="0"/>
        </w:rPr>
      </w:pPr>
      <w:bookmarkStart w:id="29" w:name="_Toc382313214"/>
      <w:r>
        <w:rPr>
          <w:rStyle w:val="CharSectno"/>
          <w:rFonts w:ascii="Times" w:hAnsi="Times"/>
        </w:rPr>
        <w:t>16</w:t>
      </w:r>
      <w:r>
        <w:rPr>
          <w:rFonts w:ascii="Times" w:hAnsi="Times"/>
        </w:rPr>
        <w:t>.</w:t>
      </w:r>
      <w:r>
        <w:rPr>
          <w:rFonts w:ascii="Times" w:hAnsi="Times"/>
        </w:rPr>
        <w:tab/>
      </w:r>
      <w:r>
        <w:rPr>
          <w:rFonts w:ascii="Times" w:hAnsi="Times"/>
          <w:snapToGrid w:val="0"/>
        </w:rPr>
        <w:t>Restrictions on competing following a contest</w:t>
      </w:r>
      <w:bookmarkEnd w:id="29"/>
    </w:p>
    <w:p>
      <w:pPr>
        <w:pStyle w:val="Subsection"/>
      </w:pPr>
      <w:r>
        <w:tab/>
        <w:t>(1)</w:t>
      </w:r>
      <w:r>
        <w:tab/>
        <w:t>Except where subregulation (2) applies, where a contestant has participated in a contest of 6 rounds or less, the contestant must not participate in another contest for 7 days.</w:t>
      </w:r>
    </w:p>
    <w:p>
      <w:pPr>
        <w:pStyle w:val="Penstart"/>
      </w:pPr>
      <w:r>
        <w:tab/>
        <w:t>Penalty: $1 000.</w:t>
      </w:r>
    </w:p>
    <w:p>
      <w:pPr>
        <w:pStyle w:val="Subsection"/>
        <w:rPr>
          <w:rFonts w:ascii="Times" w:hAnsi="Times"/>
          <w:snapToGrid w:val="0"/>
        </w:rPr>
      </w:pPr>
      <w:r>
        <w:rPr>
          <w:rFonts w:ascii="Times" w:hAnsi="Times"/>
          <w:snapToGrid w:val="0"/>
        </w:rPr>
        <w:tab/>
        <w:t>(2)</w:t>
      </w:r>
      <w:r>
        <w:rPr>
          <w:rFonts w:ascii="Times" w:hAnsi="Times"/>
          <w:snapToGrid w:val="0"/>
        </w:rPr>
        <w:tab/>
        <w:t xml:space="preserve">Where a medical practitioner has endorsed a contestant’s </w:t>
      </w:r>
      <w:r>
        <w:t>contestant record</w:t>
      </w:r>
      <w:r>
        <w:rPr>
          <w:rFonts w:ascii="Times" w:hAnsi="Times"/>
          <w:snapToGrid w:val="0"/>
        </w:rPr>
        <w:t xml:space="preserve"> book</w:t>
      </w:r>
      <w:r>
        <w:t xml:space="preserve"> under regulation 15(4) </w:t>
      </w:r>
      <w:r>
        <w:rPr>
          <w:rFonts w:ascii="Times" w:hAnsi="Times"/>
          <w:snapToGrid w:val="0"/>
        </w:rPr>
        <w:t>with a specific date before which the contestant is not to participate in a contest, the contestant must not participate in a contest before that date.</w:t>
      </w:r>
    </w:p>
    <w:p>
      <w:pPr>
        <w:pStyle w:val="Penstart"/>
      </w:pPr>
      <w:r>
        <w:tab/>
        <w:t>Penalty: $1 000.</w:t>
      </w:r>
    </w:p>
    <w:p>
      <w:pPr>
        <w:pStyle w:val="Footnotesection"/>
        <w:keepLines w:val="0"/>
        <w:spacing w:before="100"/>
      </w:pPr>
      <w:r>
        <w:tab/>
        <w:t>[Regulation 16 amended in Gazette 22 Feb 2013 p. 1021-2.]</w:t>
      </w:r>
    </w:p>
    <w:p>
      <w:pPr>
        <w:pStyle w:val="Heading3"/>
      </w:pPr>
      <w:bookmarkStart w:id="30" w:name="_Toc382313215"/>
      <w:r>
        <w:rPr>
          <w:rStyle w:val="CharDivNo"/>
        </w:rPr>
        <w:t>Division 3</w:t>
      </w:r>
      <w:r>
        <w:t> — </w:t>
      </w:r>
      <w:r>
        <w:rPr>
          <w:rStyle w:val="CharDivText"/>
        </w:rPr>
        <w:t>Record of contest</w:t>
      </w:r>
      <w:bookmarkEnd w:id="30"/>
    </w:p>
    <w:p>
      <w:pPr>
        <w:pStyle w:val="Footnoteheading"/>
        <w:spacing w:before="100"/>
      </w:pPr>
      <w:r>
        <w:tab/>
        <w:t>[Heading inserted in Gazette 22 Feb 2013 p. 1022.]</w:t>
      </w:r>
    </w:p>
    <w:p>
      <w:pPr>
        <w:pStyle w:val="Heading5"/>
      </w:pPr>
      <w:bookmarkStart w:id="31" w:name="_Toc382313216"/>
      <w:r>
        <w:rPr>
          <w:rStyle w:val="CharSectno"/>
        </w:rPr>
        <w:t>17A</w:t>
      </w:r>
      <w:r>
        <w:t>.</w:t>
      </w:r>
      <w:r>
        <w:tab/>
        <w:t>Prescribed information: record of contest</w:t>
      </w:r>
      <w:bookmarkEnd w:id="31"/>
    </w:p>
    <w:p>
      <w:pPr>
        <w:pStyle w:val="Subsection"/>
      </w:pPr>
      <w:r>
        <w:tab/>
      </w:r>
      <w:r>
        <w:tab/>
        <w:t xml:space="preserve">For the purposes of section 52(2)(d) of the Act, the following information is prescribed — </w:t>
      </w:r>
    </w:p>
    <w:p>
      <w:pPr>
        <w:pStyle w:val="Indenta"/>
        <w:spacing w:before="70"/>
      </w:pPr>
      <w:r>
        <w:tab/>
        <w:t>(a)</w:t>
      </w:r>
      <w:r>
        <w:tab/>
        <w:t>the contestant’s name;</w:t>
      </w:r>
    </w:p>
    <w:p>
      <w:pPr>
        <w:pStyle w:val="Indenta"/>
        <w:spacing w:before="70"/>
      </w:pPr>
      <w:r>
        <w:tab/>
        <w:t>(b)</w:t>
      </w:r>
      <w:r>
        <w:tab/>
        <w:t>the contestant’s weight;</w:t>
      </w:r>
    </w:p>
    <w:p>
      <w:pPr>
        <w:pStyle w:val="Indenta"/>
        <w:spacing w:before="70"/>
      </w:pPr>
      <w:r>
        <w:tab/>
        <w:t>(c)</w:t>
      </w:r>
      <w:r>
        <w:tab/>
        <w:t>details of the contestant’s medical examination;</w:t>
      </w:r>
    </w:p>
    <w:p>
      <w:pPr>
        <w:pStyle w:val="Indenta"/>
        <w:spacing w:before="70"/>
      </w:pPr>
      <w:r>
        <w:tab/>
        <w:t>(d)</w:t>
      </w:r>
      <w:r>
        <w:tab/>
        <w:t>the opponent’s name;</w:t>
      </w:r>
    </w:p>
    <w:p>
      <w:pPr>
        <w:pStyle w:val="Indenta"/>
        <w:spacing w:before="70"/>
      </w:pPr>
      <w:r>
        <w:tab/>
        <w:t>(e)</w:t>
      </w:r>
      <w:r>
        <w:tab/>
        <w:t>the opponent’s weight;</w:t>
      </w:r>
    </w:p>
    <w:p>
      <w:pPr>
        <w:pStyle w:val="Indenta"/>
        <w:spacing w:before="70"/>
      </w:pPr>
      <w:r>
        <w:tab/>
        <w:t>(f)</w:t>
      </w:r>
      <w:r>
        <w:tab/>
        <w:t>the date of the contest;</w:t>
      </w:r>
    </w:p>
    <w:p>
      <w:pPr>
        <w:pStyle w:val="Indenta"/>
        <w:spacing w:before="70"/>
      </w:pPr>
      <w:r>
        <w:tab/>
        <w:t>(g)</w:t>
      </w:r>
      <w:r>
        <w:tab/>
        <w:t>the venue of the contest;</w:t>
      </w:r>
    </w:p>
    <w:p>
      <w:pPr>
        <w:pStyle w:val="Indenta"/>
        <w:spacing w:before="70"/>
      </w:pPr>
      <w:r>
        <w:tab/>
        <w:t>(h)</w:t>
      </w:r>
      <w:r>
        <w:tab/>
        <w:t>the type of contest;</w:t>
      </w:r>
    </w:p>
    <w:p>
      <w:pPr>
        <w:pStyle w:val="Indenta"/>
        <w:spacing w:before="70"/>
      </w:pPr>
      <w:r>
        <w:tab/>
        <w:t>(i)</w:t>
      </w:r>
      <w:r>
        <w:tab/>
        <w:t>the name of the contest;</w:t>
      </w:r>
    </w:p>
    <w:p>
      <w:pPr>
        <w:pStyle w:val="Indenta"/>
        <w:spacing w:before="70"/>
      </w:pPr>
      <w:r>
        <w:tab/>
        <w:t>(j)</w:t>
      </w:r>
      <w:r>
        <w:tab/>
        <w:t>the number of rounds of the contest and the length of each round;</w:t>
      </w:r>
    </w:p>
    <w:p>
      <w:pPr>
        <w:pStyle w:val="Indenta"/>
        <w:keepNext/>
        <w:spacing w:before="70"/>
      </w:pPr>
      <w:r>
        <w:tab/>
        <w:t>(k)</w:t>
      </w:r>
      <w:r>
        <w:tab/>
        <w:t>the result of the contest.</w:t>
      </w:r>
    </w:p>
    <w:p>
      <w:pPr>
        <w:pStyle w:val="Footnotesection"/>
        <w:keepLines w:val="0"/>
        <w:spacing w:before="100"/>
      </w:pPr>
      <w:r>
        <w:tab/>
        <w:t>[Regulation 17A inserted in Gazette 22 Feb 2013 p. 1022.]</w:t>
      </w:r>
    </w:p>
    <w:p>
      <w:pPr>
        <w:pStyle w:val="Heading5"/>
      </w:pPr>
      <w:bookmarkStart w:id="32" w:name="_Toc382313217"/>
      <w:r>
        <w:rPr>
          <w:rStyle w:val="CharSectno"/>
        </w:rPr>
        <w:t>17B</w:t>
      </w:r>
      <w:r>
        <w:t>.</w:t>
      </w:r>
      <w:r>
        <w:tab/>
        <w:t>Recording participation in contests outside State</w:t>
      </w:r>
      <w:bookmarkEnd w:id="32"/>
    </w:p>
    <w:p>
      <w:pPr>
        <w:pStyle w:val="Subsection"/>
      </w:pPr>
      <w:r>
        <w:tab/>
      </w:r>
      <w:r>
        <w:tab/>
        <w:t>A person registered as a contestant under section 15 of the Act who participates as a contestant in a contest outside the State must ensure that the information prescribed under regulation 17A is entered in his or her contestant record book.</w:t>
      </w:r>
    </w:p>
    <w:p>
      <w:pPr>
        <w:pStyle w:val="Penstart"/>
      </w:pPr>
      <w:r>
        <w:tab/>
        <w:t>Penalty: $1 000.</w:t>
      </w:r>
    </w:p>
    <w:p>
      <w:pPr>
        <w:pStyle w:val="Footnotesection"/>
        <w:keepLines w:val="0"/>
        <w:spacing w:before="100"/>
      </w:pPr>
      <w:r>
        <w:tab/>
        <w:t>[Regulation 17B inserted in Gazette 22 Feb 2013 p. 1022.]</w:t>
      </w:r>
    </w:p>
    <w:p>
      <w:pPr>
        <w:pStyle w:val="Heading3"/>
      </w:pPr>
      <w:bookmarkStart w:id="33" w:name="_Toc382313218"/>
      <w:r>
        <w:rPr>
          <w:rStyle w:val="CharDivNo"/>
        </w:rPr>
        <w:t>Division 4</w:t>
      </w:r>
      <w:r>
        <w:t> — </w:t>
      </w:r>
      <w:r>
        <w:rPr>
          <w:rStyle w:val="CharDivText"/>
        </w:rPr>
        <w:t>Permits for contests</w:t>
      </w:r>
      <w:bookmarkEnd w:id="33"/>
    </w:p>
    <w:p>
      <w:pPr>
        <w:pStyle w:val="Footnoteheading"/>
      </w:pPr>
      <w:r>
        <w:tab/>
        <w:t>[Heading inserted in Gazette 22 Feb 2013 p. 1022.]</w:t>
      </w:r>
    </w:p>
    <w:p>
      <w:pPr>
        <w:pStyle w:val="Heading5"/>
      </w:pPr>
      <w:bookmarkStart w:id="34" w:name="_Toc382313219"/>
      <w:r>
        <w:rPr>
          <w:rStyle w:val="CharSectno"/>
        </w:rPr>
        <w:t>17C</w:t>
      </w:r>
      <w:r>
        <w:t>.</w:t>
      </w:r>
      <w:r>
        <w:tab/>
        <w:t>Prescribed information: permits to conduct contests</w:t>
      </w:r>
      <w:bookmarkEnd w:id="34"/>
    </w:p>
    <w:p>
      <w:pPr>
        <w:pStyle w:val="Subsection"/>
      </w:pPr>
      <w:r>
        <w:tab/>
      </w:r>
      <w:r>
        <w:tab/>
        <w:t>For the purposes of section 44(2)(c) of the Act, the following information is prescribed —</w:t>
      </w:r>
    </w:p>
    <w:p>
      <w:pPr>
        <w:pStyle w:val="Indenta"/>
      </w:pPr>
      <w:r>
        <w:tab/>
        <w:t>(a)</w:t>
      </w:r>
      <w:r>
        <w:tab/>
        <w:t>the name and contact details of the applicant and the registration details of the promoter of the contest;</w:t>
      </w:r>
    </w:p>
    <w:p>
      <w:pPr>
        <w:pStyle w:val="Indenta"/>
      </w:pPr>
      <w:r>
        <w:tab/>
        <w:t>(b)</w:t>
      </w:r>
      <w:r>
        <w:tab/>
        <w:t>the contest and weigh</w:t>
      </w:r>
      <w:r>
        <w:noBreakHyphen/>
        <w:t>in dates and venues;</w:t>
      </w:r>
    </w:p>
    <w:p>
      <w:pPr>
        <w:pStyle w:val="Indenta"/>
      </w:pPr>
      <w:r>
        <w:tab/>
        <w:t>(c)</w:t>
      </w:r>
      <w:r>
        <w:tab/>
        <w:t>the matchmaker’s details;</w:t>
      </w:r>
    </w:p>
    <w:p>
      <w:pPr>
        <w:pStyle w:val="Indenta"/>
      </w:pPr>
      <w:r>
        <w:tab/>
        <w:t>(d)</w:t>
      </w:r>
      <w:r>
        <w:tab/>
        <w:t>details of insurance cover to be obtained and who is to be covered by it, security of contestants and officials and the emergency medical contact procedures;</w:t>
      </w:r>
    </w:p>
    <w:p>
      <w:pPr>
        <w:pStyle w:val="Indenta"/>
      </w:pPr>
      <w:r>
        <w:tab/>
        <w:t>(e)</w:t>
      </w:r>
      <w:r>
        <w:tab/>
        <w:t>financial details for the contest including entry prices, and rewards or prizes for contestants;</w:t>
      </w:r>
    </w:p>
    <w:p>
      <w:pPr>
        <w:pStyle w:val="Indenta"/>
      </w:pPr>
      <w:r>
        <w:tab/>
        <w:t>(f)</w:t>
      </w:r>
      <w:r>
        <w:tab/>
        <w:t>contest details including the contestants’ names, weights, fight records and trainers, type and length of contest, classes, proposed rules, titles contested and sanctioning body;</w:t>
      </w:r>
    </w:p>
    <w:p>
      <w:pPr>
        <w:pStyle w:val="Indenta"/>
      </w:pPr>
      <w:r>
        <w:tab/>
        <w:t>(g)</w:t>
      </w:r>
      <w:r>
        <w:tab/>
        <w:t>details of the officials who are to officiate at the contest and their qualifications;</w:t>
      </w:r>
    </w:p>
    <w:p>
      <w:pPr>
        <w:pStyle w:val="Indenta"/>
      </w:pPr>
      <w:r>
        <w:tab/>
        <w:t>(h)</w:t>
      </w:r>
      <w:r>
        <w:tab/>
        <w:t>details of the medical practitioner to be present at the contest;</w:t>
      </w:r>
    </w:p>
    <w:p>
      <w:pPr>
        <w:pStyle w:val="Indenta"/>
      </w:pPr>
      <w:r>
        <w:tab/>
        <w:t>(i)</w:t>
      </w:r>
      <w:r>
        <w:tab/>
        <w:t xml:space="preserve">details of the venue including — </w:t>
      </w:r>
    </w:p>
    <w:p>
      <w:pPr>
        <w:pStyle w:val="Indenti"/>
      </w:pPr>
      <w:r>
        <w:tab/>
        <w:t>(i)</w:t>
      </w:r>
      <w:r>
        <w:tab/>
        <w:t>the layout of the venue and facilities for the safety of contestants, industry participants and spectators;</w:t>
      </w:r>
    </w:p>
    <w:p>
      <w:pPr>
        <w:pStyle w:val="Indenti"/>
      </w:pPr>
      <w:r>
        <w:tab/>
        <w:t>(ii)</w:t>
      </w:r>
      <w:r>
        <w:tab/>
        <w:t>the specifications of the contest ring;</w:t>
      </w:r>
    </w:p>
    <w:p>
      <w:pPr>
        <w:pStyle w:val="Indenti"/>
      </w:pPr>
      <w:r>
        <w:tab/>
        <w:t>(iii)</w:t>
      </w:r>
      <w:r>
        <w:tab/>
        <w:t>details of the contestant warm</w:t>
      </w:r>
      <w:r>
        <w:noBreakHyphen/>
        <w:t>up, cool down and change room areas;</w:t>
      </w:r>
    </w:p>
    <w:p>
      <w:pPr>
        <w:pStyle w:val="Indenti"/>
      </w:pPr>
      <w:r>
        <w:tab/>
        <w:t>(iv)</w:t>
      </w:r>
      <w:r>
        <w:tab/>
        <w:t>details of the areas for medical staff and officials;</w:t>
      </w:r>
    </w:p>
    <w:p>
      <w:pPr>
        <w:pStyle w:val="Indenti"/>
      </w:pPr>
      <w:r>
        <w:tab/>
        <w:t>(v)</w:t>
      </w:r>
      <w:r>
        <w:tab/>
        <w:t>details of the emergency access to the venue;</w:t>
      </w:r>
    </w:p>
    <w:p>
      <w:pPr>
        <w:pStyle w:val="Indenti"/>
      </w:pPr>
      <w:r>
        <w:tab/>
        <w:t>(vi)</w:t>
      </w:r>
      <w:r>
        <w:tab/>
        <w:t>the location of security personnel;</w:t>
      </w:r>
    </w:p>
    <w:p>
      <w:pPr>
        <w:pStyle w:val="Indenta"/>
      </w:pPr>
      <w:r>
        <w:tab/>
        <w:t>(j)</w:t>
      </w:r>
      <w:r>
        <w:tab/>
        <w:t>details of any entertainment to be provided at the contest.</w:t>
      </w:r>
    </w:p>
    <w:p>
      <w:pPr>
        <w:pStyle w:val="Footnotesection"/>
        <w:keepLines w:val="0"/>
      </w:pPr>
      <w:r>
        <w:tab/>
        <w:t>[Regulation 17C inserted in Gazette 22 Feb 2013 p. 1022-3.]</w:t>
      </w:r>
    </w:p>
    <w:p>
      <w:pPr>
        <w:pStyle w:val="Heading5"/>
      </w:pPr>
      <w:bookmarkStart w:id="35" w:name="_Toc382313220"/>
      <w:r>
        <w:rPr>
          <w:rStyle w:val="CharSectno"/>
        </w:rPr>
        <w:t>17D</w:t>
      </w:r>
      <w:r>
        <w:t>.</w:t>
      </w:r>
      <w:r>
        <w:tab/>
        <w:t>Prescribed information: permit for contest</w:t>
      </w:r>
      <w:bookmarkEnd w:id="35"/>
    </w:p>
    <w:p>
      <w:pPr>
        <w:pStyle w:val="Subsection"/>
      </w:pPr>
      <w:r>
        <w:tab/>
      </w:r>
      <w:r>
        <w:tab/>
        <w:t>For the purposes of section 45(3)(d) of the Act, the following information is prescribed —</w:t>
      </w:r>
    </w:p>
    <w:p>
      <w:pPr>
        <w:pStyle w:val="Indenta"/>
      </w:pPr>
      <w:r>
        <w:tab/>
        <w:t>(a)</w:t>
      </w:r>
      <w:r>
        <w:tab/>
        <w:t>the name and contact details of the promoter of the contest;</w:t>
      </w:r>
    </w:p>
    <w:p>
      <w:pPr>
        <w:pStyle w:val="Indenta"/>
      </w:pPr>
      <w:r>
        <w:tab/>
        <w:t>(b)</w:t>
      </w:r>
      <w:r>
        <w:tab/>
        <w:t>the type of contest;</w:t>
      </w:r>
    </w:p>
    <w:p>
      <w:pPr>
        <w:pStyle w:val="Indenta"/>
      </w:pPr>
      <w:r>
        <w:tab/>
        <w:t>(c)</w:t>
      </w:r>
      <w:r>
        <w:tab/>
        <w:t>the rules approved under section 62A(1) of the Act to be observed in the contest;</w:t>
      </w:r>
    </w:p>
    <w:p>
      <w:pPr>
        <w:pStyle w:val="Indenta"/>
      </w:pPr>
      <w:r>
        <w:tab/>
        <w:t>(d)</w:t>
      </w:r>
      <w:r>
        <w:tab/>
        <w:t>any sanctioned title for the contest;</w:t>
      </w:r>
    </w:p>
    <w:p>
      <w:pPr>
        <w:pStyle w:val="Indenta"/>
      </w:pPr>
      <w:r>
        <w:tab/>
        <w:t>(e)</w:t>
      </w:r>
      <w:r>
        <w:tab/>
        <w:t>the names of the industry participants approved to officiate at the contest as a referee, judge or timekeeper (as the contest requires).</w:t>
      </w:r>
    </w:p>
    <w:p>
      <w:pPr>
        <w:pStyle w:val="Footnotesection"/>
        <w:keepLines w:val="0"/>
      </w:pPr>
      <w:r>
        <w:tab/>
        <w:t>[Regulation 17D inserted in Gazette 22 Feb 2013 p. 1023.]</w:t>
      </w:r>
    </w:p>
    <w:p>
      <w:pPr>
        <w:pStyle w:val="Heading5"/>
      </w:pPr>
      <w:bookmarkStart w:id="36" w:name="_Toc382313221"/>
      <w:r>
        <w:rPr>
          <w:rStyle w:val="CharSectno"/>
        </w:rPr>
        <w:t>17E</w:t>
      </w:r>
      <w:r>
        <w:t>.</w:t>
      </w:r>
      <w:r>
        <w:tab/>
        <w:t>Fee for permit for contest</w:t>
      </w:r>
      <w:bookmarkEnd w:id="36"/>
    </w:p>
    <w:p>
      <w:pPr>
        <w:pStyle w:val="Subsection"/>
      </w:pPr>
      <w:r>
        <w:tab/>
      </w:r>
      <w:r>
        <w:tab/>
        <w:t>The fee set out in Schedule 3 item 4 is prescribed for a permit for a contest under section 44(2)(e) of the Act.</w:t>
      </w:r>
    </w:p>
    <w:p>
      <w:pPr>
        <w:pStyle w:val="Footnotesection"/>
        <w:keepLines w:val="0"/>
      </w:pPr>
      <w:r>
        <w:tab/>
        <w:t>[Regulation 17E inserted in Gazette 22 Feb 2013 p. 1023.]</w:t>
      </w:r>
    </w:p>
    <w:p>
      <w:pPr>
        <w:pStyle w:val="Heading2"/>
      </w:pPr>
      <w:bookmarkStart w:id="37" w:name="_Toc382313222"/>
      <w:r>
        <w:rPr>
          <w:rStyle w:val="CharPartNo"/>
        </w:rPr>
        <w:t>Part 4</w:t>
      </w:r>
      <w:r>
        <w:rPr>
          <w:rStyle w:val="CharDivNo"/>
        </w:rPr>
        <w:t> </w:t>
      </w:r>
      <w:r>
        <w:t>—</w:t>
      </w:r>
      <w:r>
        <w:rPr>
          <w:rStyle w:val="CharDivText"/>
        </w:rPr>
        <w:t> </w:t>
      </w:r>
      <w:r>
        <w:rPr>
          <w:rStyle w:val="CharPartText"/>
        </w:rPr>
        <w:t>Ratings and titles</w:t>
      </w:r>
      <w:bookmarkEnd w:id="37"/>
    </w:p>
    <w:p>
      <w:pPr>
        <w:pStyle w:val="Heading5"/>
        <w:rPr>
          <w:snapToGrid w:val="0"/>
        </w:rPr>
      </w:pPr>
      <w:bookmarkStart w:id="38" w:name="_Toc382313223"/>
      <w:r>
        <w:rPr>
          <w:rStyle w:val="CharSectno"/>
        </w:rPr>
        <w:t>17</w:t>
      </w:r>
      <w:r>
        <w:t>.</w:t>
      </w:r>
      <w:r>
        <w:tab/>
      </w:r>
      <w:r>
        <w:rPr>
          <w:snapToGrid w:val="0"/>
        </w:rPr>
        <w:t>Ratings</w:t>
      </w:r>
      <w:bookmarkEnd w:id="38"/>
      <w:r>
        <w:rPr>
          <w:snapToGrid w:val="0"/>
        </w:rPr>
        <w:t xml:space="preserve"> </w:t>
      </w:r>
    </w:p>
    <w:p>
      <w:pPr>
        <w:pStyle w:val="Subsection"/>
        <w:rPr>
          <w:snapToGrid w:val="0"/>
        </w:rPr>
      </w:pPr>
      <w:r>
        <w:rPr>
          <w:snapToGrid w:val="0"/>
        </w:rPr>
        <w:tab/>
      </w:r>
      <w:r>
        <w:rPr>
          <w:snapToGrid w:val="0"/>
        </w:rPr>
        <w:tab/>
        <w:t>The Commission may — </w:t>
      </w:r>
    </w:p>
    <w:p>
      <w:pPr>
        <w:pStyle w:val="Indenta"/>
        <w:rPr>
          <w:snapToGrid w:val="0"/>
        </w:rPr>
      </w:pPr>
      <w:r>
        <w:rPr>
          <w:snapToGrid w:val="0"/>
        </w:rPr>
        <w:tab/>
        <w:t>(a)</w:t>
      </w:r>
      <w:r>
        <w:rPr>
          <w:snapToGrid w:val="0"/>
        </w:rPr>
        <w:tab/>
        <w:t xml:space="preserve">adopt the rating given to a contestant by a </w:t>
      </w:r>
      <w:r>
        <w:t xml:space="preserve">sanctioning body or a </w:t>
      </w:r>
      <w:r>
        <w:rPr>
          <w:snapToGrid w:val="0"/>
        </w:rPr>
        <w:t>recognised body; or</w:t>
      </w:r>
    </w:p>
    <w:p>
      <w:pPr>
        <w:pStyle w:val="Indenta"/>
        <w:spacing w:before="60"/>
        <w:rPr>
          <w:snapToGrid w:val="0"/>
        </w:rPr>
      </w:pPr>
      <w:r>
        <w:rPr>
          <w:snapToGrid w:val="0"/>
        </w:rPr>
        <w:tab/>
        <w:t>(b)</w:t>
      </w:r>
      <w:r>
        <w:rPr>
          <w:snapToGrid w:val="0"/>
        </w:rPr>
        <w:tab/>
        <w:t>determine the rating of a contestant in accordance with its own standards,</w:t>
      </w:r>
    </w:p>
    <w:p>
      <w:pPr>
        <w:pStyle w:val="Subsection"/>
        <w:spacing w:before="80"/>
        <w:rPr>
          <w:snapToGrid w:val="0"/>
        </w:rPr>
      </w:pPr>
      <w:r>
        <w:rPr>
          <w:snapToGrid w:val="0"/>
        </w:rPr>
        <w:tab/>
      </w:r>
      <w:r>
        <w:rPr>
          <w:snapToGrid w:val="0"/>
        </w:rPr>
        <w:tab/>
        <w:t>and that rating is to be used to determine a contestant’s standard when participating in a contest in this State.</w:t>
      </w:r>
    </w:p>
    <w:p>
      <w:pPr>
        <w:pStyle w:val="Footnotesection"/>
        <w:keepLines w:val="0"/>
      </w:pPr>
      <w:r>
        <w:tab/>
        <w:t>[Regulation 17 amended in Gazette 22 Feb 2013 p. 1024.]</w:t>
      </w:r>
    </w:p>
    <w:p>
      <w:pPr>
        <w:pStyle w:val="Heading5"/>
      </w:pPr>
      <w:bookmarkStart w:id="39" w:name="_Toc382313224"/>
      <w:r>
        <w:rPr>
          <w:rStyle w:val="CharSectno"/>
        </w:rPr>
        <w:t>18</w:t>
      </w:r>
      <w:r>
        <w:t>.</w:t>
      </w:r>
      <w:r>
        <w:tab/>
        <w:t>Titles</w:t>
      </w:r>
      <w:bookmarkEnd w:id="39"/>
    </w:p>
    <w:p>
      <w:pPr>
        <w:pStyle w:val="Subsection"/>
      </w:pPr>
      <w:r>
        <w:tab/>
      </w:r>
      <w:r>
        <w:tab/>
        <w:t>The Commission may in writing adopt the sanctioning of a sanctioning body or a recognised body.</w:t>
      </w:r>
    </w:p>
    <w:p>
      <w:pPr>
        <w:pStyle w:val="Footnotesection"/>
        <w:keepLines w:val="0"/>
      </w:pPr>
      <w:r>
        <w:tab/>
        <w:t>[Regulation 18 inserted in Gazette 22 Feb 2013 p. 1024.]</w:t>
      </w:r>
    </w:p>
    <w:p>
      <w:pPr>
        <w:pStyle w:val="Heading2"/>
      </w:pPr>
      <w:bookmarkStart w:id="40" w:name="_Toc382313225"/>
      <w:r>
        <w:rPr>
          <w:rStyle w:val="CharPartNo"/>
        </w:rPr>
        <w:t>Part 5</w:t>
      </w:r>
      <w:r>
        <w:rPr>
          <w:rStyle w:val="CharDivNo"/>
        </w:rPr>
        <w:t> </w:t>
      </w:r>
      <w:r>
        <w:t>—</w:t>
      </w:r>
      <w:r>
        <w:rPr>
          <w:rStyle w:val="CharDivText"/>
        </w:rPr>
        <w:t> </w:t>
      </w:r>
      <w:r>
        <w:rPr>
          <w:rStyle w:val="CharPartText"/>
        </w:rPr>
        <w:t>Miscellaneous</w:t>
      </w:r>
      <w:bookmarkEnd w:id="40"/>
    </w:p>
    <w:p>
      <w:pPr>
        <w:pStyle w:val="Footnoteheading"/>
      </w:pPr>
      <w:r>
        <w:tab/>
        <w:t>[Heading inserted in Gazette 22 Feb 2013 p. 1024.]</w:t>
      </w:r>
    </w:p>
    <w:p>
      <w:pPr>
        <w:pStyle w:val="Heading5"/>
      </w:pPr>
      <w:bookmarkStart w:id="41" w:name="_Toc382313226"/>
      <w:r>
        <w:rPr>
          <w:rStyle w:val="CharSectno"/>
        </w:rPr>
        <w:t>19</w:t>
      </w:r>
      <w:r>
        <w:t>.</w:t>
      </w:r>
      <w:r>
        <w:tab/>
        <w:t>Minimum fees for officials</w:t>
      </w:r>
      <w:bookmarkEnd w:id="41"/>
    </w:p>
    <w:p>
      <w:pPr>
        <w:pStyle w:val="Subsection"/>
      </w:pPr>
      <w:r>
        <w:tab/>
        <w:t>(1)</w:t>
      </w:r>
      <w:r>
        <w:tab/>
        <w:t>The fees set out in Schedule 4 are prescribed as the minimum fees for the types of officials involved in a combat sport referred to in that item payable by the promoter of the contest to an official involved in the contest.</w:t>
      </w:r>
    </w:p>
    <w:p>
      <w:pPr>
        <w:pStyle w:val="Subsection"/>
      </w:pPr>
      <w:r>
        <w:tab/>
        <w:t>(2)</w:t>
      </w:r>
      <w:r>
        <w:tab/>
        <w:t xml:space="preserve">Despite subregulation (1), if a contest — </w:t>
      </w:r>
    </w:p>
    <w:p>
      <w:pPr>
        <w:pStyle w:val="Indenta"/>
      </w:pPr>
      <w:r>
        <w:tab/>
        <w:t>(a)</w:t>
      </w:r>
      <w:r>
        <w:tab/>
        <w:t>is for an international title; and</w:t>
      </w:r>
    </w:p>
    <w:p>
      <w:pPr>
        <w:pStyle w:val="Indenta"/>
      </w:pPr>
      <w:r>
        <w:tab/>
        <w:t>(b)</w:t>
      </w:r>
      <w:r>
        <w:tab/>
        <w:t>is sanctioned by an approved international body and that international body requires that a specified fee is to be paid to an official involved in a contest for an international title sanctioned by the body,</w:t>
      </w:r>
    </w:p>
    <w:p>
      <w:pPr>
        <w:pStyle w:val="Subsection"/>
      </w:pPr>
      <w:r>
        <w:tab/>
      </w:r>
      <w:r>
        <w:tab/>
        <w:t>the minimum fee payable by the promoter of the contest to an official involved in the contest (including the undercard to the title contest) is that specified fee.</w:t>
      </w:r>
    </w:p>
    <w:p>
      <w:pPr>
        <w:pStyle w:val="Footnotesection"/>
        <w:keepLines w:val="0"/>
      </w:pPr>
      <w:r>
        <w:tab/>
        <w:t>[Regulation 19 inserted in Gazette 22 Feb 2013 p. 1024.]</w:t>
      </w:r>
    </w:p>
    <w:p>
      <w:pPr>
        <w:pStyle w:val="Heading2"/>
      </w:pPr>
      <w:bookmarkStart w:id="42" w:name="_Toc382313227"/>
      <w:r>
        <w:rPr>
          <w:rStyle w:val="CharPartNo"/>
        </w:rPr>
        <w:t>Part 6</w:t>
      </w:r>
      <w:r>
        <w:rPr>
          <w:rStyle w:val="CharDivNo"/>
        </w:rPr>
        <w:t> </w:t>
      </w:r>
      <w:r>
        <w:t>—</w:t>
      </w:r>
      <w:r>
        <w:rPr>
          <w:rStyle w:val="CharDivText"/>
        </w:rPr>
        <w:t> </w:t>
      </w:r>
      <w:r>
        <w:rPr>
          <w:rStyle w:val="CharPartText"/>
        </w:rPr>
        <w:t>Savings and transitional matters</w:t>
      </w:r>
      <w:bookmarkEnd w:id="42"/>
    </w:p>
    <w:p>
      <w:pPr>
        <w:pStyle w:val="Footnoteheading"/>
      </w:pPr>
      <w:r>
        <w:tab/>
        <w:t>[Heading inserted in Gazette 22 Feb 2013 p. 1024.]</w:t>
      </w:r>
    </w:p>
    <w:p>
      <w:pPr>
        <w:pStyle w:val="Heading5"/>
      </w:pPr>
      <w:bookmarkStart w:id="43" w:name="_Toc382313228"/>
      <w:r>
        <w:rPr>
          <w:rStyle w:val="CharSectno"/>
        </w:rPr>
        <w:t>20</w:t>
      </w:r>
      <w:r>
        <w:t>.</w:t>
      </w:r>
      <w:r>
        <w:tab/>
        <w:t>Terms used</w:t>
      </w:r>
      <w:bookmarkEnd w:id="43"/>
    </w:p>
    <w:p>
      <w:pPr>
        <w:pStyle w:val="Subsection"/>
      </w:pPr>
      <w:r>
        <w:tab/>
      </w:r>
      <w:r>
        <w:tab/>
        <w:t xml:space="preserve">In this Part — </w:t>
      </w:r>
    </w:p>
    <w:p>
      <w:pPr>
        <w:pStyle w:val="Defstart"/>
      </w:pPr>
      <w:r>
        <w:tab/>
      </w:r>
      <w:r>
        <w:rPr>
          <w:rStyle w:val="CharDefText"/>
        </w:rPr>
        <w:t>amending Act</w:t>
      </w:r>
      <w:r>
        <w:t xml:space="preserve"> means the </w:t>
      </w:r>
      <w:r>
        <w:rPr>
          <w:i/>
        </w:rPr>
        <w:t>Professional Combat Sports Amendment Act 2011</w:t>
      </w:r>
      <w:r>
        <w:t>;</w:t>
      </w:r>
    </w:p>
    <w:p>
      <w:pPr>
        <w:pStyle w:val="Defstart"/>
      </w:pPr>
      <w:r>
        <w:tab/>
      </w:r>
      <w:r>
        <w:rPr>
          <w:rStyle w:val="CharDefText"/>
        </w:rPr>
        <w:t>commencement day</w:t>
      </w:r>
      <w:r>
        <w:t xml:space="preserve"> means the day on which the </w:t>
      </w:r>
      <w:r>
        <w:rPr>
          <w:i/>
        </w:rPr>
        <w:t>Professional Combat Sports Amendment Act 2011</w:t>
      </w:r>
      <w:r>
        <w:t xml:space="preserve"> comes into operation</w:t>
      </w:r>
      <w:r>
        <w:rPr>
          <w:vertAlign w:val="superscript"/>
        </w:rPr>
        <w:t> 2</w:t>
      </w:r>
      <w:r>
        <w:t>;</w:t>
      </w:r>
    </w:p>
    <w:p>
      <w:pPr>
        <w:pStyle w:val="Defstart"/>
      </w:pPr>
      <w:r>
        <w:tab/>
      </w:r>
      <w:r>
        <w:rPr>
          <w:rStyle w:val="CharDefText"/>
        </w:rPr>
        <w:t>PCS Act</w:t>
      </w:r>
      <w:r>
        <w:t xml:space="preserve"> means the </w:t>
      </w:r>
      <w:r>
        <w:rPr>
          <w:i/>
        </w:rPr>
        <w:t>Professional Combat Sports Act 1987</w:t>
      </w:r>
      <w:r>
        <w:t xml:space="preserve"> as in force immediately before commencement day.</w:t>
      </w:r>
    </w:p>
    <w:p>
      <w:pPr>
        <w:pStyle w:val="Footnotesection"/>
        <w:keepLines w:val="0"/>
      </w:pPr>
      <w:r>
        <w:tab/>
        <w:t>[Regulation 20 inserted in Gazette 22 Feb 2013 p. 1024-5.]</w:t>
      </w:r>
    </w:p>
    <w:p>
      <w:pPr>
        <w:pStyle w:val="Heading5"/>
      </w:pPr>
      <w:bookmarkStart w:id="44" w:name="_Toc382313229"/>
      <w:r>
        <w:rPr>
          <w:rStyle w:val="CharSectno"/>
        </w:rPr>
        <w:t>21</w:t>
      </w:r>
      <w:r>
        <w:t>.</w:t>
      </w:r>
      <w:r>
        <w:tab/>
      </w:r>
      <w:r>
        <w:rPr>
          <w:i/>
        </w:rPr>
        <w:t>Interpretation Act 1984</w:t>
      </w:r>
      <w:r>
        <w:t xml:space="preserve"> not affected</w:t>
      </w:r>
      <w:bookmarkEnd w:id="44"/>
    </w:p>
    <w:p>
      <w:pPr>
        <w:pStyle w:val="Subsection"/>
      </w:pPr>
      <w:r>
        <w:tab/>
      </w:r>
      <w:r>
        <w:tab/>
        <w:t xml:space="preserve">Except where the contrary intention appears, this Part does not prejudice or affect the application of the </w:t>
      </w:r>
      <w:r>
        <w:rPr>
          <w:i/>
        </w:rPr>
        <w:t>Interpretation Act 1984</w:t>
      </w:r>
      <w:r>
        <w:t xml:space="preserve"> Part V.</w:t>
      </w:r>
    </w:p>
    <w:p>
      <w:pPr>
        <w:pStyle w:val="Footnotesection"/>
        <w:keepLines w:val="0"/>
      </w:pPr>
      <w:r>
        <w:tab/>
        <w:t>[Regulation 21 inserted in Gazette 22 Feb 2013 p. 1025.]</w:t>
      </w:r>
    </w:p>
    <w:p>
      <w:pPr>
        <w:pStyle w:val="Heading5"/>
      </w:pPr>
      <w:bookmarkStart w:id="45" w:name="_Toc382313230"/>
      <w:r>
        <w:rPr>
          <w:rStyle w:val="CharSectno"/>
        </w:rPr>
        <w:t>22</w:t>
      </w:r>
      <w:r>
        <w:t>.</w:t>
      </w:r>
      <w:r>
        <w:tab/>
        <w:t>Contestants registered under PCS Act</w:t>
      </w:r>
      <w:bookmarkEnd w:id="45"/>
    </w:p>
    <w:p>
      <w:pPr>
        <w:pStyle w:val="Subsection"/>
      </w:pPr>
      <w:r>
        <w:tab/>
      </w:r>
      <w:r>
        <w:tab/>
        <w:t xml:space="preserve">A person who immediately before commencement day was registered under the PCS Act section 17 as a contestant of a class is, on commencement day, to be taken to be registered under the </w:t>
      </w:r>
      <w:r>
        <w:rPr>
          <w:i/>
        </w:rPr>
        <w:t>Combat Sports Act 1987</w:t>
      </w:r>
      <w:r>
        <w:t xml:space="preserve"> section 17 as a contestant in that class for the period that, and subject to the same conditions and restrictions as, applied to that person immediately before commencement day.</w:t>
      </w:r>
    </w:p>
    <w:p>
      <w:pPr>
        <w:pStyle w:val="Footnotesection"/>
        <w:keepLines w:val="0"/>
      </w:pPr>
      <w:r>
        <w:tab/>
        <w:t>[Regulation 22 inserted in Gazette 22 Feb 2013 p. 1025.]</w:t>
      </w:r>
    </w:p>
    <w:p>
      <w:pPr>
        <w:pStyle w:val="Heading5"/>
      </w:pPr>
      <w:bookmarkStart w:id="46" w:name="_Toc382313231"/>
      <w:r>
        <w:rPr>
          <w:rStyle w:val="CharSectno"/>
        </w:rPr>
        <w:t>23</w:t>
      </w:r>
      <w:r>
        <w:t>.</w:t>
      </w:r>
      <w:r>
        <w:tab/>
        <w:t>Certificate of registration: contestants</w:t>
      </w:r>
      <w:bookmarkEnd w:id="46"/>
    </w:p>
    <w:p>
      <w:pPr>
        <w:pStyle w:val="Subsection"/>
      </w:pPr>
      <w:r>
        <w:tab/>
      </w:r>
      <w:r>
        <w:tab/>
        <w:t xml:space="preserve">A certificate of registration in force under the PCS Act section 18 immediately before commencement day is, on commencement day, to be taken to be a certificate of registration issued under the </w:t>
      </w:r>
      <w:r>
        <w:rPr>
          <w:i/>
        </w:rPr>
        <w:t>Combat Sports Act 1987</w:t>
      </w:r>
      <w:r>
        <w:t xml:space="preserve"> section 18.</w:t>
      </w:r>
    </w:p>
    <w:p>
      <w:pPr>
        <w:pStyle w:val="Footnotesection"/>
        <w:keepLines w:val="0"/>
      </w:pPr>
      <w:r>
        <w:tab/>
        <w:t>[Regulation 23 inserted in Gazette 22 Feb 2013 p. 1025.]</w:t>
      </w:r>
    </w:p>
    <w:p>
      <w:pPr>
        <w:pStyle w:val="Heading5"/>
      </w:pPr>
      <w:bookmarkStart w:id="47" w:name="_Toc382313232"/>
      <w:r>
        <w:rPr>
          <w:rStyle w:val="CharSectno"/>
        </w:rPr>
        <w:t>24</w:t>
      </w:r>
      <w:r>
        <w:t>.</w:t>
      </w:r>
      <w:r>
        <w:tab/>
        <w:t>Participants registered under PCS Act</w:t>
      </w:r>
      <w:bookmarkEnd w:id="47"/>
    </w:p>
    <w:p>
      <w:pPr>
        <w:pStyle w:val="Subsection"/>
      </w:pPr>
      <w:r>
        <w:tab/>
      </w:r>
      <w:r>
        <w:tab/>
        <w:t xml:space="preserve">If — </w:t>
      </w:r>
    </w:p>
    <w:p>
      <w:pPr>
        <w:pStyle w:val="Indenta"/>
      </w:pPr>
      <w:r>
        <w:tab/>
        <w:t>(a)</w:t>
      </w:r>
      <w:r>
        <w:tab/>
        <w:t>immediately before commencement day a natural person was registered under the PCS Act section 27 as a prescribed class of industry participant; and</w:t>
      </w:r>
    </w:p>
    <w:p>
      <w:pPr>
        <w:pStyle w:val="Indenta"/>
      </w:pPr>
      <w:r>
        <w:tab/>
        <w:t>(b)</w:t>
      </w:r>
      <w:r>
        <w:tab/>
        <w:t>a capacity in which a person can be registered as an industry participant prescribed under regulation 9 corresponds to that prescribed class,</w:t>
      </w:r>
    </w:p>
    <w:p>
      <w:pPr>
        <w:pStyle w:val="Subsection"/>
      </w:pPr>
      <w:r>
        <w:tab/>
      </w:r>
      <w:r>
        <w:tab/>
        <w:t xml:space="preserve">the person is, on commencement day, to be taken to be registered under the </w:t>
      </w:r>
      <w:r>
        <w:rPr>
          <w:i/>
        </w:rPr>
        <w:t>Combat Sports Act 1987</w:t>
      </w:r>
      <w:r>
        <w:t xml:space="preserve"> section 28 in that capacity for the period that, and subject to the same conditions and restrictions as, applied to that person immediately before commencement day.</w:t>
      </w:r>
    </w:p>
    <w:p>
      <w:pPr>
        <w:pStyle w:val="Footnotesection"/>
        <w:keepLines w:val="0"/>
      </w:pPr>
      <w:r>
        <w:tab/>
        <w:t>[Regulation 24 inserted in Gazette 22 Feb 2013 p. 1025.]</w:t>
      </w:r>
    </w:p>
    <w:p>
      <w:pPr>
        <w:pStyle w:val="Heading5"/>
      </w:pPr>
      <w:bookmarkStart w:id="48" w:name="_Toc382313233"/>
      <w:r>
        <w:rPr>
          <w:rStyle w:val="CharSectno"/>
        </w:rPr>
        <w:t>25</w:t>
      </w:r>
      <w:r>
        <w:t>.</w:t>
      </w:r>
      <w:r>
        <w:tab/>
        <w:t>Certificate of registration: industry participants</w:t>
      </w:r>
      <w:bookmarkEnd w:id="48"/>
    </w:p>
    <w:p>
      <w:pPr>
        <w:pStyle w:val="Subsection"/>
      </w:pPr>
      <w:r>
        <w:tab/>
      </w:r>
      <w:r>
        <w:tab/>
        <w:t xml:space="preserve">A certificate of registration issued to an industry participant referred to in regulation 24 in force under the PCS Act section 29 immediately before commencement day is, on commencement day, to be taken to be a certificate of registration issued under the </w:t>
      </w:r>
      <w:r>
        <w:rPr>
          <w:i/>
        </w:rPr>
        <w:t>Combat Sports Act 1987</w:t>
      </w:r>
      <w:r>
        <w:t xml:space="preserve"> section 29 for the capacity corresponding to the prescribed class of industry participant set out in the certificate.</w:t>
      </w:r>
    </w:p>
    <w:p>
      <w:pPr>
        <w:pStyle w:val="Footnotesection"/>
        <w:keepLines w:val="0"/>
      </w:pPr>
      <w:r>
        <w:tab/>
        <w:t>[Regulation 25 inserted in Gazette 22 Feb 2013 p. 1025-6.]</w:t>
      </w:r>
    </w:p>
    <w:p>
      <w:pPr>
        <w:pStyle w:val="Heading5"/>
      </w:pPr>
      <w:bookmarkStart w:id="49" w:name="_Toc382313234"/>
      <w:r>
        <w:rPr>
          <w:rStyle w:val="CharSectno"/>
        </w:rPr>
        <w:t>26</w:t>
      </w:r>
      <w:r>
        <w:t>.</w:t>
      </w:r>
      <w:r>
        <w:tab/>
        <w:t>Register: industry participants</w:t>
      </w:r>
      <w:bookmarkEnd w:id="49"/>
    </w:p>
    <w:p>
      <w:pPr>
        <w:pStyle w:val="Subsection"/>
      </w:pPr>
      <w:r>
        <w:tab/>
      </w:r>
      <w:r>
        <w:tab/>
        <w:t xml:space="preserve">The register of industry participants kept under the PCS Act section 26 immediately before commencement day is, on commencement day, to be taken to be the register required to be kept under the </w:t>
      </w:r>
      <w:r>
        <w:rPr>
          <w:i/>
        </w:rPr>
        <w:t>Combat Sports Act 1987</w:t>
      </w:r>
      <w:r>
        <w:t xml:space="preserve"> section 26 in relation to industry participants referred to in regulation 24.</w:t>
      </w:r>
    </w:p>
    <w:p>
      <w:pPr>
        <w:pStyle w:val="Footnotesection"/>
        <w:keepLines w:val="0"/>
      </w:pPr>
      <w:r>
        <w:tab/>
        <w:t>[Regulation 26 inserted in Gazette 22 Feb 2013 p. 1026.]</w:t>
      </w:r>
    </w:p>
    <w:p>
      <w:pPr>
        <w:pStyle w:val="yEdnoteschedule"/>
        <w:rPr>
          <w:sz w:val="24"/>
          <w:szCs w:val="24"/>
        </w:rPr>
      </w:pPr>
      <w:r>
        <w:rPr>
          <w:sz w:val="24"/>
          <w:szCs w:val="24"/>
        </w:rPr>
        <w:t>[Schedule 1 deleted in Gazette 22 Feb 2013 p. 1026.]</w:t>
      </w:r>
    </w:p>
    <w:p>
      <w:pPr>
        <w:rPr>
          <w:szCs w:val="24"/>
        </w:rPr>
        <w:sectPr>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50" w:name="_Toc382313235"/>
      <w:r>
        <w:rPr>
          <w:rStyle w:val="CharSchNo"/>
        </w:rPr>
        <w:t>Schedule 2</w:t>
      </w:r>
      <w:r>
        <w:t> — </w:t>
      </w:r>
      <w:r>
        <w:rPr>
          <w:rStyle w:val="CharSchText"/>
        </w:rPr>
        <w:t>Prescribed classes of contestants</w:t>
      </w:r>
      <w:bookmarkEnd w:id="50"/>
    </w:p>
    <w:p>
      <w:pPr>
        <w:pStyle w:val="yShoulderClause"/>
      </w:pPr>
      <w:r>
        <w:t>[r. 5]</w:t>
      </w:r>
    </w:p>
    <w:p>
      <w:pPr>
        <w:pStyle w:val="yFootnoteheading"/>
      </w:pPr>
      <w:r>
        <w:tab/>
        <w:t>[Heading amended in Gazette 22 Feb 2013 p. 1026.]</w:t>
      </w:r>
    </w:p>
    <w:p>
      <w:pPr>
        <w:pStyle w:val="yHeading3"/>
        <w:spacing w:after="160"/>
      </w:pPr>
      <w:bookmarkStart w:id="51" w:name="_Toc382313236"/>
      <w:r>
        <w:rPr>
          <w:rStyle w:val="CharSDivNo"/>
        </w:rPr>
        <w:t>Division 1</w:t>
      </w:r>
      <w:r>
        <w:rPr>
          <w:b w:val="0"/>
        </w:rPr>
        <w:t> — </w:t>
      </w:r>
      <w:r>
        <w:rPr>
          <w:rStyle w:val="CharSDivText"/>
        </w:rPr>
        <w:t>Boxing, kickboxing and Muay Thai</w:t>
      </w:r>
      <w:bookmarkEnd w:id="51"/>
    </w:p>
    <w:tbl>
      <w:tblPr>
        <w:tblW w:w="0" w:type="auto"/>
        <w:tblInd w:w="108" w:type="dxa"/>
        <w:tblLayout w:type="fixed"/>
        <w:tblCellMar>
          <w:left w:w="85" w:type="dxa"/>
          <w:right w:w="85" w:type="dxa"/>
        </w:tblCellMar>
        <w:tblLook w:val="0000" w:firstRow="0" w:lastRow="0" w:firstColumn="0" w:lastColumn="0" w:noHBand="0" w:noVBand="0"/>
      </w:tblPr>
      <w:tblGrid>
        <w:gridCol w:w="3000"/>
        <w:gridCol w:w="1800"/>
        <w:gridCol w:w="2288"/>
      </w:tblGrid>
      <w:tr>
        <w:trPr>
          <w:tblHeader/>
        </w:trPr>
        <w:tc>
          <w:tcPr>
            <w:tcW w:w="3000" w:type="dxa"/>
            <w:tcBorders>
              <w:top w:val="single" w:sz="4" w:space="0" w:color="auto"/>
              <w:bottom w:val="single" w:sz="4" w:space="0" w:color="auto"/>
            </w:tcBorders>
          </w:tcPr>
          <w:p>
            <w:pPr>
              <w:pStyle w:val="yTable"/>
              <w:spacing w:after="60"/>
              <w:rPr>
                <w:b/>
              </w:rPr>
            </w:pPr>
            <w:r>
              <w:rPr>
                <w:b/>
              </w:rPr>
              <w:t>Division (Class)</w:t>
            </w:r>
          </w:p>
        </w:tc>
        <w:tc>
          <w:tcPr>
            <w:tcW w:w="1800" w:type="dxa"/>
            <w:tcBorders>
              <w:top w:val="single" w:sz="4" w:space="0" w:color="auto"/>
              <w:bottom w:val="single" w:sz="4" w:space="0" w:color="auto"/>
            </w:tcBorders>
          </w:tcPr>
          <w:p>
            <w:pPr>
              <w:pStyle w:val="yTable"/>
              <w:spacing w:after="60"/>
              <w:rPr>
                <w:b/>
              </w:rPr>
            </w:pPr>
            <w:r>
              <w:rPr>
                <w:b/>
              </w:rPr>
              <w:t>Minimum weight</w:t>
            </w:r>
          </w:p>
        </w:tc>
        <w:tc>
          <w:tcPr>
            <w:tcW w:w="2288" w:type="dxa"/>
            <w:tcBorders>
              <w:top w:val="single" w:sz="4" w:space="0" w:color="auto"/>
              <w:bottom w:val="single" w:sz="4" w:space="0" w:color="auto"/>
            </w:tcBorders>
          </w:tcPr>
          <w:p>
            <w:pPr>
              <w:pStyle w:val="yTable"/>
              <w:spacing w:after="60"/>
              <w:rPr>
                <w:b/>
              </w:rPr>
            </w:pPr>
            <w:r>
              <w:rPr>
                <w:b/>
              </w:rPr>
              <w:t>Maximum weight</w:t>
            </w:r>
          </w:p>
        </w:tc>
      </w:tr>
      <w:tr>
        <w:tc>
          <w:tcPr>
            <w:tcW w:w="3000" w:type="dxa"/>
          </w:tcPr>
          <w:p>
            <w:pPr>
              <w:pStyle w:val="yTable"/>
              <w:spacing w:after="60"/>
            </w:pPr>
            <w:r>
              <w:t>Strawweight or Mini Flyweight</w:t>
            </w:r>
          </w:p>
        </w:tc>
        <w:tc>
          <w:tcPr>
            <w:tcW w:w="1800" w:type="dxa"/>
          </w:tcPr>
          <w:p>
            <w:pPr>
              <w:pStyle w:val="yTable"/>
              <w:spacing w:after="60"/>
            </w:pPr>
            <w:r>
              <w:rPr>
                <w:snapToGrid w:val="0"/>
              </w:rPr>
              <w:t>—</w:t>
            </w:r>
          </w:p>
        </w:tc>
        <w:tc>
          <w:tcPr>
            <w:tcW w:w="2288" w:type="dxa"/>
          </w:tcPr>
          <w:p>
            <w:pPr>
              <w:pStyle w:val="yTable"/>
              <w:spacing w:after="60"/>
            </w:pPr>
            <w:r>
              <w:t>not exceeding 47.73 kg</w:t>
            </w:r>
          </w:p>
        </w:tc>
      </w:tr>
      <w:tr>
        <w:tc>
          <w:tcPr>
            <w:tcW w:w="3000" w:type="dxa"/>
          </w:tcPr>
          <w:p>
            <w:pPr>
              <w:pStyle w:val="yTable"/>
              <w:spacing w:after="60"/>
            </w:pPr>
            <w:r>
              <w:t>Junior Flyweight</w:t>
            </w:r>
          </w:p>
        </w:tc>
        <w:tc>
          <w:tcPr>
            <w:tcW w:w="1800" w:type="dxa"/>
          </w:tcPr>
          <w:p>
            <w:pPr>
              <w:pStyle w:val="yTable"/>
              <w:spacing w:after="60"/>
            </w:pPr>
            <w:r>
              <w:t>over 47.73 kg</w:t>
            </w:r>
          </w:p>
        </w:tc>
        <w:tc>
          <w:tcPr>
            <w:tcW w:w="2288" w:type="dxa"/>
          </w:tcPr>
          <w:p>
            <w:pPr>
              <w:pStyle w:val="yTable"/>
              <w:spacing w:after="60"/>
            </w:pPr>
            <w:r>
              <w:t>not exceeding 48.99 kg</w:t>
            </w:r>
          </w:p>
        </w:tc>
      </w:tr>
      <w:tr>
        <w:tc>
          <w:tcPr>
            <w:tcW w:w="3000" w:type="dxa"/>
          </w:tcPr>
          <w:p>
            <w:pPr>
              <w:pStyle w:val="yTable"/>
              <w:spacing w:after="60"/>
            </w:pPr>
            <w:r>
              <w:t>Flyweight</w:t>
            </w:r>
          </w:p>
        </w:tc>
        <w:tc>
          <w:tcPr>
            <w:tcW w:w="1800" w:type="dxa"/>
          </w:tcPr>
          <w:p>
            <w:pPr>
              <w:pStyle w:val="yTable"/>
              <w:spacing w:after="60"/>
            </w:pPr>
            <w:r>
              <w:t>over 48.99 kg</w:t>
            </w:r>
          </w:p>
        </w:tc>
        <w:tc>
          <w:tcPr>
            <w:tcW w:w="2288" w:type="dxa"/>
          </w:tcPr>
          <w:p>
            <w:pPr>
              <w:pStyle w:val="yTable"/>
              <w:spacing w:after="60"/>
            </w:pPr>
            <w:r>
              <w:t>not exceeding 50.80 kg</w:t>
            </w:r>
          </w:p>
        </w:tc>
      </w:tr>
      <w:tr>
        <w:tc>
          <w:tcPr>
            <w:tcW w:w="3000" w:type="dxa"/>
          </w:tcPr>
          <w:p>
            <w:pPr>
              <w:pStyle w:val="yTable"/>
              <w:spacing w:after="60"/>
            </w:pPr>
            <w:r>
              <w:t>Junior Bantamweight</w:t>
            </w:r>
          </w:p>
        </w:tc>
        <w:tc>
          <w:tcPr>
            <w:tcW w:w="1800" w:type="dxa"/>
          </w:tcPr>
          <w:p>
            <w:pPr>
              <w:pStyle w:val="yTable"/>
              <w:spacing w:after="60"/>
            </w:pPr>
            <w:r>
              <w:t>over 50.80 kg</w:t>
            </w:r>
          </w:p>
        </w:tc>
        <w:tc>
          <w:tcPr>
            <w:tcW w:w="2288" w:type="dxa"/>
          </w:tcPr>
          <w:p>
            <w:pPr>
              <w:pStyle w:val="yTable"/>
              <w:spacing w:after="60"/>
            </w:pPr>
            <w:r>
              <w:t>not exceeding 52.16 kg</w:t>
            </w:r>
          </w:p>
        </w:tc>
      </w:tr>
      <w:tr>
        <w:tc>
          <w:tcPr>
            <w:tcW w:w="3000" w:type="dxa"/>
          </w:tcPr>
          <w:p>
            <w:pPr>
              <w:pStyle w:val="yTable"/>
              <w:spacing w:after="60"/>
            </w:pPr>
            <w:r>
              <w:t>Bantamweight</w:t>
            </w:r>
          </w:p>
        </w:tc>
        <w:tc>
          <w:tcPr>
            <w:tcW w:w="1800" w:type="dxa"/>
          </w:tcPr>
          <w:p>
            <w:pPr>
              <w:pStyle w:val="yTable"/>
              <w:spacing w:after="60"/>
            </w:pPr>
            <w:r>
              <w:t>over 52.16 kg</w:t>
            </w:r>
          </w:p>
        </w:tc>
        <w:tc>
          <w:tcPr>
            <w:tcW w:w="2288" w:type="dxa"/>
          </w:tcPr>
          <w:p>
            <w:pPr>
              <w:pStyle w:val="yTable"/>
              <w:spacing w:after="60"/>
            </w:pPr>
            <w:r>
              <w:t>not exceeding 53.52 kg</w:t>
            </w:r>
          </w:p>
        </w:tc>
      </w:tr>
      <w:tr>
        <w:tc>
          <w:tcPr>
            <w:tcW w:w="3000" w:type="dxa"/>
          </w:tcPr>
          <w:p>
            <w:pPr>
              <w:pStyle w:val="yTable"/>
              <w:spacing w:after="60"/>
            </w:pPr>
            <w:r>
              <w:t>Junior Featherweight</w:t>
            </w:r>
          </w:p>
        </w:tc>
        <w:tc>
          <w:tcPr>
            <w:tcW w:w="1800" w:type="dxa"/>
          </w:tcPr>
          <w:p>
            <w:pPr>
              <w:pStyle w:val="yTable"/>
              <w:spacing w:after="60"/>
            </w:pPr>
            <w:r>
              <w:t>over 53.52 kg</w:t>
            </w:r>
          </w:p>
        </w:tc>
        <w:tc>
          <w:tcPr>
            <w:tcW w:w="2288" w:type="dxa"/>
          </w:tcPr>
          <w:p>
            <w:pPr>
              <w:pStyle w:val="yTable"/>
              <w:spacing w:after="60"/>
            </w:pPr>
            <w:r>
              <w:t>not exceeding 55.34 kg</w:t>
            </w:r>
          </w:p>
        </w:tc>
      </w:tr>
      <w:tr>
        <w:tc>
          <w:tcPr>
            <w:tcW w:w="3000" w:type="dxa"/>
          </w:tcPr>
          <w:p>
            <w:pPr>
              <w:pStyle w:val="yTable"/>
              <w:spacing w:after="60"/>
            </w:pPr>
            <w:r>
              <w:t>Featherweight</w:t>
            </w:r>
          </w:p>
        </w:tc>
        <w:tc>
          <w:tcPr>
            <w:tcW w:w="1800" w:type="dxa"/>
          </w:tcPr>
          <w:p>
            <w:pPr>
              <w:pStyle w:val="yTable"/>
              <w:spacing w:after="60"/>
            </w:pPr>
            <w:r>
              <w:t>over 55.34 kg</w:t>
            </w:r>
          </w:p>
        </w:tc>
        <w:tc>
          <w:tcPr>
            <w:tcW w:w="2288" w:type="dxa"/>
          </w:tcPr>
          <w:p>
            <w:pPr>
              <w:pStyle w:val="yTable"/>
              <w:spacing w:after="60"/>
            </w:pPr>
            <w:r>
              <w:t>not exceeding 57.15 kg</w:t>
            </w:r>
          </w:p>
        </w:tc>
      </w:tr>
      <w:tr>
        <w:tc>
          <w:tcPr>
            <w:tcW w:w="3000" w:type="dxa"/>
          </w:tcPr>
          <w:p>
            <w:pPr>
              <w:pStyle w:val="yTable"/>
              <w:spacing w:after="60"/>
            </w:pPr>
            <w:r>
              <w:t>Junior Lightweight</w:t>
            </w:r>
          </w:p>
        </w:tc>
        <w:tc>
          <w:tcPr>
            <w:tcW w:w="1800" w:type="dxa"/>
          </w:tcPr>
          <w:p>
            <w:pPr>
              <w:pStyle w:val="yTable"/>
              <w:spacing w:after="60"/>
            </w:pPr>
            <w:r>
              <w:t>over 57.15 kg</w:t>
            </w:r>
          </w:p>
        </w:tc>
        <w:tc>
          <w:tcPr>
            <w:tcW w:w="2288" w:type="dxa"/>
          </w:tcPr>
          <w:p>
            <w:pPr>
              <w:pStyle w:val="yTable"/>
              <w:spacing w:after="60"/>
            </w:pPr>
            <w:r>
              <w:t>not exceeding 58.97 kg</w:t>
            </w:r>
          </w:p>
        </w:tc>
      </w:tr>
      <w:tr>
        <w:tc>
          <w:tcPr>
            <w:tcW w:w="3000" w:type="dxa"/>
          </w:tcPr>
          <w:p>
            <w:pPr>
              <w:pStyle w:val="yTable"/>
              <w:spacing w:after="60"/>
            </w:pPr>
            <w:r>
              <w:t>Lightweight</w:t>
            </w:r>
          </w:p>
        </w:tc>
        <w:tc>
          <w:tcPr>
            <w:tcW w:w="1800" w:type="dxa"/>
          </w:tcPr>
          <w:p>
            <w:pPr>
              <w:pStyle w:val="yTable"/>
              <w:spacing w:after="60"/>
            </w:pPr>
            <w:r>
              <w:t>over 58.97 kg</w:t>
            </w:r>
          </w:p>
        </w:tc>
        <w:tc>
          <w:tcPr>
            <w:tcW w:w="2288" w:type="dxa"/>
          </w:tcPr>
          <w:p>
            <w:pPr>
              <w:pStyle w:val="yTable"/>
              <w:spacing w:after="60"/>
            </w:pPr>
            <w:r>
              <w:t>not exceeding 61.23 kg</w:t>
            </w:r>
          </w:p>
        </w:tc>
      </w:tr>
      <w:tr>
        <w:tc>
          <w:tcPr>
            <w:tcW w:w="3000" w:type="dxa"/>
          </w:tcPr>
          <w:p>
            <w:pPr>
              <w:pStyle w:val="yTable"/>
              <w:spacing w:after="60"/>
            </w:pPr>
            <w:r>
              <w:t>Junior Welterweight</w:t>
            </w:r>
          </w:p>
        </w:tc>
        <w:tc>
          <w:tcPr>
            <w:tcW w:w="1800" w:type="dxa"/>
          </w:tcPr>
          <w:p>
            <w:pPr>
              <w:pStyle w:val="yTable"/>
              <w:spacing w:after="60"/>
            </w:pPr>
            <w:r>
              <w:t>over 61.23 kg</w:t>
            </w:r>
          </w:p>
        </w:tc>
        <w:tc>
          <w:tcPr>
            <w:tcW w:w="2288" w:type="dxa"/>
          </w:tcPr>
          <w:p>
            <w:pPr>
              <w:pStyle w:val="yTable"/>
              <w:spacing w:after="60"/>
            </w:pPr>
            <w:r>
              <w:t>not exceeding 63.50 kg</w:t>
            </w:r>
          </w:p>
        </w:tc>
      </w:tr>
      <w:tr>
        <w:tc>
          <w:tcPr>
            <w:tcW w:w="3000" w:type="dxa"/>
          </w:tcPr>
          <w:p>
            <w:pPr>
              <w:pStyle w:val="yTable"/>
              <w:spacing w:after="60"/>
            </w:pPr>
            <w:r>
              <w:t>Welterweight</w:t>
            </w:r>
          </w:p>
        </w:tc>
        <w:tc>
          <w:tcPr>
            <w:tcW w:w="1800" w:type="dxa"/>
          </w:tcPr>
          <w:p>
            <w:pPr>
              <w:pStyle w:val="yTable"/>
              <w:spacing w:after="60"/>
            </w:pPr>
            <w:r>
              <w:t>over 63.50 kg</w:t>
            </w:r>
          </w:p>
        </w:tc>
        <w:tc>
          <w:tcPr>
            <w:tcW w:w="2288" w:type="dxa"/>
          </w:tcPr>
          <w:p>
            <w:pPr>
              <w:pStyle w:val="yTable"/>
              <w:spacing w:after="60"/>
            </w:pPr>
            <w:r>
              <w:t>not exceeding 66.68 kg</w:t>
            </w:r>
          </w:p>
        </w:tc>
      </w:tr>
      <w:tr>
        <w:tc>
          <w:tcPr>
            <w:tcW w:w="3000" w:type="dxa"/>
          </w:tcPr>
          <w:p>
            <w:pPr>
              <w:pStyle w:val="yTable"/>
              <w:spacing w:after="60"/>
            </w:pPr>
            <w:r>
              <w:t>Junior Middleweight</w:t>
            </w:r>
          </w:p>
        </w:tc>
        <w:tc>
          <w:tcPr>
            <w:tcW w:w="1800" w:type="dxa"/>
          </w:tcPr>
          <w:p>
            <w:pPr>
              <w:pStyle w:val="yTable"/>
              <w:spacing w:after="60"/>
            </w:pPr>
            <w:r>
              <w:t>over 66.68 kg</w:t>
            </w:r>
          </w:p>
        </w:tc>
        <w:tc>
          <w:tcPr>
            <w:tcW w:w="2288" w:type="dxa"/>
          </w:tcPr>
          <w:p>
            <w:pPr>
              <w:pStyle w:val="yTable"/>
              <w:spacing w:after="60"/>
            </w:pPr>
            <w:r>
              <w:t>not exceeding 69.85 kg</w:t>
            </w:r>
          </w:p>
        </w:tc>
      </w:tr>
      <w:tr>
        <w:tc>
          <w:tcPr>
            <w:tcW w:w="3000" w:type="dxa"/>
          </w:tcPr>
          <w:p>
            <w:pPr>
              <w:pStyle w:val="yTable"/>
              <w:spacing w:after="60"/>
            </w:pPr>
            <w:r>
              <w:t>Middleweight</w:t>
            </w:r>
          </w:p>
        </w:tc>
        <w:tc>
          <w:tcPr>
            <w:tcW w:w="1800" w:type="dxa"/>
          </w:tcPr>
          <w:p>
            <w:pPr>
              <w:pStyle w:val="yTable"/>
              <w:spacing w:after="60"/>
            </w:pPr>
            <w:r>
              <w:t>over 69.85 kg</w:t>
            </w:r>
          </w:p>
        </w:tc>
        <w:tc>
          <w:tcPr>
            <w:tcW w:w="2288" w:type="dxa"/>
          </w:tcPr>
          <w:p>
            <w:pPr>
              <w:pStyle w:val="yTable"/>
              <w:spacing w:after="60"/>
            </w:pPr>
            <w:r>
              <w:t>not exceeding 72.57 kg</w:t>
            </w:r>
          </w:p>
        </w:tc>
      </w:tr>
      <w:tr>
        <w:tc>
          <w:tcPr>
            <w:tcW w:w="3000" w:type="dxa"/>
          </w:tcPr>
          <w:p>
            <w:pPr>
              <w:pStyle w:val="yTable"/>
              <w:spacing w:after="60"/>
            </w:pPr>
            <w:r>
              <w:t>Super Middleweight</w:t>
            </w:r>
          </w:p>
        </w:tc>
        <w:tc>
          <w:tcPr>
            <w:tcW w:w="1800" w:type="dxa"/>
          </w:tcPr>
          <w:p>
            <w:pPr>
              <w:pStyle w:val="yTable"/>
              <w:spacing w:after="60"/>
            </w:pPr>
            <w:r>
              <w:t>over 72.57 kg</w:t>
            </w:r>
          </w:p>
        </w:tc>
        <w:tc>
          <w:tcPr>
            <w:tcW w:w="2288" w:type="dxa"/>
          </w:tcPr>
          <w:p>
            <w:pPr>
              <w:pStyle w:val="yTable"/>
              <w:spacing w:after="60"/>
            </w:pPr>
            <w:r>
              <w:t>not exceeding 76.20 kg</w:t>
            </w:r>
          </w:p>
        </w:tc>
      </w:tr>
      <w:tr>
        <w:tc>
          <w:tcPr>
            <w:tcW w:w="3000" w:type="dxa"/>
          </w:tcPr>
          <w:p>
            <w:pPr>
              <w:pStyle w:val="yTable"/>
              <w:spacing w:after="60"/>
            </w:pPr>
            <w:r>
              <w:t>Light Heavyweight</w:t>
            </w:r>
          </w:p>
        </w:tc>
        <w:tc>
          <w:tcPr>
            <w:tcW w:w="1800" w:type="dxa"/>
          </w:tcPr>
          <w:p>
            <w:pPr>
              <w:pStyle w:val="yTable"/>
              <w:spacing w:after="60"/>
            </w:pPr>
            <w:r>
              <w:t>over 76.20 kg</w:t>
            </w:r>
          </w:p>
        </w:tc>
        <w:tc>
          <w:tcPr>
            <w:tcW w:w="2288" w:type="dxa"/>
          </w:tcPr>
          <w:p>
            <w:pPr>
              <w:pStyle w:val="yTable"/>
              <w:spacing w:after="60"/>
            </w:pPr>
            <w:r>
              <w:t>not exceeding 79.38 kg</w:t>
            </w:r>
          </w:p>
        </w:tc>
      </w:tr>
      <w:tr>
        <w:tc>
          <w:tcPr>
            <w:tcW w:w="3000" w:type="dxa"/>
          </w:tcPr>
          <w:p>
            <w:pPr>
              <w:pStyle w:val="yTable"/>
              <w:spacing w:after="60"/>
            </w:pPr>
            <w:r>
              <w:t>Cruiserweight</w:t>
            </w:r>
          </w:p>
        </w:tc>
        <w:tc>
          <w:tcPr>
            <w:tcW w:w="1800" w:type="dxa"/>
          </w:tcPr>
          <w:p>
            <w:pPr>
              <w:pStyle w:val="yTable"/>
              <w:spacing w:after="60"/>
            </w:pPr>
            <w:r>
              <w:t>over 79.38 kg</w:t>
            </w:r>
          </w:p>
        </w:tc>
        <w:tc>
          <w:tcPr>
            <w:tcW w:w="2288" w:type="dxa"/>
          </w:tcPr>
          <w:p>
            <w:pPr>
              <w:pStyle w:val="yTable"/>
              <w:spacing w:after="60"/>
            </w:pPr>
            <w:r>
              <w:t>not exceeding 86.18 kg</w:t>
            </w:r>
          </w:p>
        </w:tc>
      </w:tr>
      <w:tr>
        <w:tc>
          <w:tcPr>
            <w:tcW w:w="3000" w:type="dxa"/>
          </w:tcPr>
          <w:p>
            <w:pPr>
              <w:pStyle w:val="yTable"/>
              <w:spacing w:after="60"/>
            </w:pPr>
            <w:r>
              <w:t>Super Cruiserweight</w:t>
            </w:r>
          </w:p>
        </w:tc>
        <w:tc>
          <w:tcPr>
            <w:tcW w:w="1800" w:type="dxa"/>
          </w:tcPr>
          <w:p>
            <w:pPr>
              <w:pStyle w:val="yTable"/>
              <w:spacing w:after="60"/>
            </w:pPr>
            <w:r>
              <w:t>over 86.18 kg</w:t>
            </w:r>
          </w:p>
        </w:tc>
        <w:tc>
          <w:tcPr>
            <w:tcW w:w="2288" w:type="dxa"/>
          </w:tcPr>
          <w:p>
            <w:pPr>
              <w:pStyle w:val="yTable"/>
              <w:spacing w:after="60"/>
            </w:pPr>
            <w:r>
              <w:t>not exceeding 95.00 kg</w:t>
            </w:r>
          </w:p>
        </w:tc>
      </w:tr>
      <w:tr>
        <w:tc>
          <w:tcPr>
            <w:tcW w:w="3000" w:type="dxa"/>
            <w:tcBorders>
              <w:bottom w:val="single" w:sz="4" w:space="0" w:color="auto"/>
            </w:tcBorders>
          </w:tcPr>
          <w:p>
            <w:pPr>
              <w:pStyle w:val="yTable"/>
              <w:spacing w:after="60"/>
            </w:pPr>
            <w:r>
              <w:t>Heavy weight</w:t>
            </w:r>
          </w:p>
        </w:tc>
        <w:tc>
          <w:tcPr>
            <w:tcW w:w="1800" w:type="dxa"/>
            <w:tcBorders>
              <w:bottom w:val="single" w:sz="4" w:space="0" w:color="auto"/>
            </w:tcBorders>
          </w:tcPr>
          <w:p>
            <w:pPr>
              <w:pStyle w:val="yTable"/>
              <w:spacing w:after="60"/>
            </w:pPr>
            <w:r>
              <w:t xml:space="preserve">over 95.00 kg </w:t>
            </w:r>
          </w:p>
        </w:tc>
        <w:tc>
          <w:tcPr>
            <w:tcW w:w="2288" w:type="dxa"/>
            <w:tcBorders>
              <w:bottom w:val="single" w:sz="4" w:space="0" w:color="auto"/>
            </w:tcBorders>
          </w:tcPr>
          <w:p>
            <w:pPr>
              <w:pStyle w:val="yTable"/>
              <w:spacing w:after="60"/>
            </w:pPr>
            <w:r>
              <w:t>(no upper limit)</w:t>
            </w:r>
          </w:p>
        </w:tc>
      </w:tr>
    </w:tbl>
    <w:p>
      <w:pPr>
        <w:pStyle w:val="yHeading3"/>
        <w:spacing w:after="160"/>
      </w:pPr>
      <w:bookmarkStart w:id="52" w:name="_Toc382313237"/>
      <w:r>
        <w:rPr>
          <w:rStyle w:val="CharSDivNo"/>
        </w:rPr>
        <w:t>Division 2</w:t>
      </w:r>
      <w:r>
        <w:rPr>
          <w:b w:val="0"/>
        </w:rPr>
        <w:t> — </w:t>
      </w:r>
      <w:r>
        <w:rPr>
          <w:rStyle w:val="CharSDivText"/>
        </w:rPr>
        <w:t>Brazilian ju jitsu and full contact karate</w:t>
      </w:r>
      <w:bookmarkEnd w:id="52"/>
    </w:p>
    <w:tbl>
      <w:tblPr>
        <w:tblW w:w="0" w:type="auto"/>
        <w:tblInd w:w="108" w:type="dxa"/>
        <w:tblLayout w:type="fixed"/>
        <w:tblCellMar>
          <w:left w:w="85" w:type="dxa"/>
          <w:right w:w="85" w:type="dxa"/>
        </w:tblCellMar>
        <w:tblLook w:val="0000" w:firstRow="0" w:lastRow="0" w:firstColumn="0" w:lastColumn="0" w:noHBand="0" w:noVBand="0"/>
      </w:tblPr>
      <w:tblGrid>
        <w:gridCol w:w="3000"/>
        <w:gridCol w:w="1800"/>
        <w:gridCol w:w="2288"/>
      </w:tblGrid>
      <w:tr>
        <w:trPr>
          <w:tblHeader/>
        </w:trPr>
        <w:tc>
          <w:tcPr>
            <w:tcW w:w="3000" w:type="dxa"/>
            <w:tcBorders>
              <w:top w:val="single" w:sz="4" w:space="0" w:color="auto"/>
              <w:bottom w:val="single" w:sz="4" w:space="0" w:color="auto"/>
            </w:tcBorders>
          </w:tcPr>
          <w:p>
            <w:pPr>
              <w:pStyle w:val="yTable"/>
              <w:keepNext/>
              <w:spacing w:after="60"/>
              <w:rPr>
                <w:b/>
              </w:rPr>
            </w:pPr>
            <w:r>
              <w:rPr>
                <w:b/>
              </w:rPr>
              <w:t>Division (Class)</w:t>
            </w:r>
          </w:p>
        </w:tc>
        <w:tc>
          <w:tcPr>
            <w:tcW w:w="1800" w:type="dxa"/>
            <w:tcBorders>
              <w:top w:val="single" w:sz="4" w:space="0" w:color="auto"/>
              <w:bottom w:val="single" w:sz="4" w:space="0" w:color="auto"/>
            </w:tcBorders>
          </w:tcPr>
          <w:p>
            <w:pPr>
              <w:pStyle w:val="yTable"/>
              <w:keepNext/>
              <w:spacing w:after="60"/>
              <w:rPr>
                <w:b/>
              </w:rPr>
            </w:pPr>
            <w:r>
              <w:rPr>
                <w:b/>
              </w:rPr>
              <w:t>Minimum weight</w:t>
            </w:r>
          </w:p>
        </w:tc>
        <w:tc>
          <w:tcPr>
            <w:tcW w:w="2288" w:type="dxa"/>
            <w:tcBorders>
              <w:top w:val="single" w:sz="4" w:space="0" w:color="auto"/>
              <w:bottom w:val="single" w:sz="4" w:space="0" w:color="auto"/>
            </w:tcBorders>
          </w:tcPr>
          <w:p>
            <w:pPr>
              <w:pStyle w:val="yTable"/>
              <w:keepNext/>
              <w:spacing w:after="60"/>
              <w:rPr>
                <w:b/>
              </w:rPr>
            </w:pPr>
            <w:r>
              <w:rPr>
                <w:b/>
              </w:rPr>
              <w:t>Maximum weight</w:t>
            </w:r>
          </w:p>
        </w:tc>
      </w:tr>
      <w:tr>
        <w:tc>
          <w:tcPr>
            <w:tcW w:w="3000" w:type="dxa"/>
          </w:tcPr>
          <w:p>
            <w:pPr>
              <w:pStyle w:val="yTable"/>
              <w:keepNext/>
              <w:spacing w:after="60"/>
            </w:pPr>
            <w:r>
              <w:t>Lightweight</w:t>
            </w:r>
          </w:p>
        </w:tc>
        <w:tc>
          <w:tcPr>
            <w:tcW w:w="1800" w:type="dxa"/>
          </w:tcPr>
          <w:p>
            <w:pPr>
              <w:pStyle w:val="yTable"/>
              <w:keepNext/>
              <w:spacing w:after="60"/>
            </w:pPr>
            <w:r>
              <w:t>over 60.00 kg</w:t>
            </w:r>
          </w:p>
        </w:tc>
        <w:tc>
          <w:tcPr>
            <w:tcW w:w="2288" w:type="dxa"/>
          </w:tcPr>
          <w:p>
            <w:pPr>
              <w:pStyle w:val="yTable"/>
              <w:keepNext/>
              <w:spacing w:after="60"/>
            </w:pPr>
            <w:r>
              <w:t>not exceeding 70.00 kg</w:t>
            </w:r>
          </w:p>
        </w:tc>
      </w:tr>
      <w:tr>
        <w:tc>
          <w:tcPr>
            <w:tcW w:w="3000" w:type="dxa"/>
          </w:tcPr>
          <w:p>
            <w:pPr>
              <w:pStyle w:val="yTable"/>
              <w:spacing w:after="60"/>
            </w:pPr>
            <w:r>
              <w:t>Middleweight</w:t>
            </w:r>
          </w:p>
        </w:tc>
        <w:tc>
          <w:tcPr>
            <w:tcW w:w="1800" w:type="dxa"/>
          </w:tcPr>
          <w:p>
            <w:pPr>
              <w:pStyle w:val="yTable"/>
              <w:spacing w:after="60"/>
            </w:pPr>
            <w:r>
              <w:t>over 70.00 kg</w:t>
            </w:r>
          </w:p>
        </w:tc>
        <w:tc>
          <w:tcPr>
            <w:tcW w:w="2288" w:type="dxa"/>
          </w:tcPr>
          <w:p>
            <w:pPr>
              <w:pStyle w:val="yTable"/>
              <w:spacing w:after="60"/>
            </w:pPr>
            <w:r>
              <w:t>not exceeding 80.00 kg</w:t>
            </w:r>
          </w:p>
        </w:tc>
      </w:tr>
      <w:tr>
        <w:tc>
          <w:tcPr>
            <w:tcW w:w="3000" w:type="dxa"/>
          </w:tcPr>
          <w:p>
            <w:pPr>
              <w:pStyle w:val="yTable"/>
              <w:spacing w:after="60"/>
            </w:pPr>
            <w:r>
              <w:t>Heavy weight</w:t>
            </w:r>
          </w:p>
        </w:tc>
        <w:tc>
          <w:tcPr>
            <w:tcW w:w="1800" w:type="dxa"/>
          </w:tcPr>
          <w:p>
            <w:pPr>
              <w:pStyle w:val="yTable"/>
              <w:spacing w:after="60"/>
            </w:pPr>
            <w:r>
              <w:t>over 80.00 kg</w:t>
            </w:r>
          </w:p>
        </w:tc>
        <w:tc>
          <w:tcPr>
            <w:tcW w:w="2288" w:type="dxa"/>
          </w:tcPr>
          <w:p>
            <w:pPr>
              <w:pStyle w:val="yTable"/>
              <w:spacing w:after="60"/>
            </w:pPr>
            <w:r>
              <w:t>not exceeding 90.00 kg</w:t>
            </w:r>
          </w:p>
        </w:tc>
      </w:tr>
      <w:tr>
        <w:tc>
          <w:tcPr>
            <w:tcW w:w="3000" w:type="dxa"/>
            <w:tcBorders>
              <w:bottom w:val="single" w:sz="4" w:space="0" w:color="auto"/>
            </w:tcBorders>
          </w:tcPr>
          <w:p>
            <w:pPr>
              <w:pStyle w:val="yTable"/>
              <w:spacing w:after="60"/>
            </w:pPr>
            <w:r>
              <w:t>Super heavyweight</w:t>
            </w:r>
          </w:p>
        </w:tc>
        <w:tc>
          <w:tcPr>
            <w:tcW w:w="1800" w:type="dxa"/>
            <w:tcBorders>
              <w:bottom w:val="single" w:sz="4" w:space="0" w:color="auto"/>
            </w:tcBorders>
          </w:tcPr>
          <w:p>
            <w:pPr>
              <w:pStyle w:val="yTable"/>
              <w:spacing w:after="60"/>
            </w:pPr>
            <w:r>
              <w:t xml:space="preserve">over 90.00 kg </w:t>
            </w:r>
          </w:p>
        </w:tc>
        <w:tc>
          <w:tcPr>
            <w:tcW w:w="2288" w:type="dxa"/>
            <w:tcBorders>
              <w:bottom w:val="single" w:sz="4" w:space="0" w:color="auto"/>
            </w:tcBorders>
          </w:tcPr>
          <w:p>
            <w:pPr>
              <w:pStyle w:val="yTable"/>
              <w:spacing w:after="60"/>
            </w:pPr>
            <w:r>
              <w:t>(no upper limit)</w:t>
            </w:r>
          </w:p>
        </w:tc>
      </w:tr>
    </w:tbl>
    <w:p>
      <w:pPr>
        <w:pStyle w:val="Heading3"/>
      </w:pPr>
      <w:bookmarkStart w:id="53" w:name="_Toc382313238"/>
      <w:r>
        <w:rPr>
          <w:rStyle w:val="CharSDivNo"/>
        </w:rPr>
        <w:t>Division 3</w:t>
      </w:r>
      <w:r>
        <w:t> — </w:t>
      </w:r>
      <w:r>
        <w:rPr>
          <w:rStyle w:val="CharSDivText"/>
        </w:rPr>
        <w:t>Mixed martial arts</w:t>
      </w:r>
      <w:bookmarkEnd w:id="53"/>
    </w:p>
    <w:p>
      <w:pPr>
        <w:pStyle w:val="yFootnoteheading"/>
        <w:spacing w:after="120"/>
      </w:pPr>
      <w:r>
        <w:tab/>
        <w:t>[Heading inserted in Gazette 22 Feb 2013 p. 1026.]</w:t>
      </w:r>
    </w:p>
    <w:tbl>
      <w:tblPr>
        <w:tblW w:w="0" w:type="auto"/>
        <w:tblInd w:w="108" w:type="dxa"/>
        <w:tblLayout w:type="fixed"/>
        <w:tblCellMar>
          <w:left w:w="85" w:type="dxa"/>
          <w:right w:w="85" w:type="dxa"/>
        </w:tblCellMar>
        <w:tblLook w:val="0000" w:firstRow="0" w:lastRow="0" w:firstColumn="0" w:lastColumn="0" w:noHBand="0" w:noVBand="0"/>
      </w:tblPr>
      <w:tblGrid>
        <w:gridCol w:w="3000"/>
        <w:gridCol w:w="1800"/>
        <w:gridCol w:w="2288"/>
      </w:tblGrid>
      <w:tr>
        <w:trPr>
          <w:tblHeader/>
        </w:trPr>
        <w:tc>
          <w:tcPr>
            <w:tcW w:w="3000" w:type="dxa"/>
            <w:tcBorders>
              <w:top w:val="single" w:sz="4" w:space="0" w:color="auto"/>
              <w:bottom w:val="single" w:sz="4" w:space="0" w:color="auto"/>
            </w:tcBorders>
          </w:tcPr>
          <w:p>
            <w:pPr>
              <w:pStyle w:val="yTableNAm"/>
              <w:spacing w:before="60" w:after="60"/>
            </w:pPr>
            <w:r>
              <w:rPr>
                <w:b/>
              </w:rPr>
              <w:t>Division (Class)</w:t>
            </w:r>
          </w:p>
        </w:tc>
        <w:tc>
          <w:tcPr>
            <w:tcW w:w="1800" w:type="dxa"/>
            <w:tcBorders>
              <w:top w:val="single" w:sz="4" w:space="0" w:color="auto"/>
              <w:bottom w:val="single" w:sz="4" w:space="0" w:color="auto"/>
            </w:tcBorders>
          </w:tcPr>
          <w:p>
            <w:pPr>
              <w:pStyle w:val="yTableNAm"/>
              <w:spacing w:before="60" w:after="60"/>
            </w:pPr>
            <w:r>
              <w:rPr>
                <w:b/>
              </w:rPr>
              <w:t>Minimum weight</w:t>
            </w:r>
          </w:p>
        </w:tc>
        <w:tc>
          <w:tcPr>
            <w:tcW w:w="2288" w:type="dxa"/>
            <w:tcBorders>
              <w:top w:val="single" w:sz="4" w:space="0" w:color="auto"/>
              <w:bottom w:val="single" w:sz="4" w:space="0" w:color="auto"/>
            </w:tcBorders>
          </w:tcPr>
          <w:p>
            <w:pPr>
              <w:pStyle w:val="yTableNAm"/>
              <w:spacing w:before="60" w:after="60"/>
            </w:pPr>
            <w:r>
              <w:rPr>
                <w:b/>
              </w:rPr>
              <w:t>Maximum weight</w:t>
            </w:r>
          </w:p>
        </w:tc>
      </w:tr>
      <w:tr>
        <w:tc>
          <w:tcPr>
            <w:tcW w:w="3000" w:type="dxa"/>
          </w:tcPr>
          <w:p>
            <w:pPr>
              <w:pStyle w:val="yTableNAm"/>
              <w:spacing w:before="60" w:after="60"/>
            </w:pPr>
            <w:r>
              <w:t>Flyweight</w:t>
            </w:r>
          </w:p>
        </w:tc>
        <w:tc>
          <w:tcPr>
            <w:tcW w:w="1800" w:type="dxa"/>
          </w:tcPr>
          <w:p>
            <w:pPr>
              <w:pStyle w:val="yTableNAm"/>
              <w:spacing w:before="60" w:after="60"/>
            </w:pPr>
            <w:r>
              <w:t>(no lower limit)</w:t>
            </w:r>
          </w:p>
        </w:tc>
        <w:tc>
          <w:tcPr>
            <w:tcW w:w="2288" w:type="dxa"/>
          </w:tcPr>
          <w:p>
            <w:pPr>
              <w:pStyle w:val="yTableNAm"/>
              <w:spacing w:before="60" w:after="60"/>
            </w:pPr>
            <w:r>
              <w:t>not exceeding 56.69 kg</w:t>
            </w:r>
          </w:p>
        </w:tc>
      </w:tr>
      <w:tr>
        <w:tc>
          <w:tcPr>
            <w:tcW w:w="3000" w:type="dxa"/>
          </w:tcPr>
          <w:p>
            <w:pPr>
              <w:pStyle w:val="yTableNAm"/>
              <w:spacing w:before="60" w:after="60"/>
            </w:pPr>
            <w:r>
              <w:t>Bantamweight</w:t>
            </w:r>
          </w:p>
        </w:tc>
        <w:tc>
          <w:tcPr>
            <w:tcW w:w="1800" w:type="dxa"/>
          </w:tcPr>
          <w:p>
            <w:pPr>
              <w:pStyle w:val="yTableNAm"/>
              <w:spacing w:before="60" w:after="60"/>
            </w:pPr>
            <w:r>
              <w:t xml:space="preserve">over 56.69 kg  </w:t>
            </w:r>
          </w:p>
        </w:tc>
        <w:tc>
          <w:tcPr>
            <w:tcW w:w="2288" w:type="dxa"/>
          </w:tcPr>
          <w:p>
            <w:pPr>
              <w:pStyle w:val="yTableNAm"/>
              <w:spacing w:before="60" w:after="60"/>
            </w:pPr>
            <w:r>
              <w:t>not exceeding 61.23 kg</w:t>
            </w:r>
          </w:p>
        </w:tc>
      </w:tr>
      <w:tr>
        <w:tc>
          <w:tcPr>
            <w:tcW w:w="3000" w:type="dxa"/>
          </w:tcPr>
          <w:p>
            <w:pPr>
              <w:pStyle w:val="yTableNAm"/>
              <w:spacing w:before="60" w:after="60"/>
            </w:pPr>
            <w:r>
              <w:t>Featherweight</w:t>
            </w:r>
          </w:p>
        </w:tc>
        <w:tc>
          <w:tcPr>
            <w:tcW w:w="1800" w:type="dxa"/>
          </w:tcPr>
          <w:p>
            <w:pPr>
              <w:pStyle w:val="yTableNAm"/>
              <w:spacing w:before="60" w:after="60"/>
            </w:pPr>
            <w:r>
              <w:t>Over 61.23 kg</w:t>
            </w:r>
          </w:p>
        </w:tc>
        <w:tc>
          <w:tcPr>
            <w:tcW w:w="2288" w:type="dxa"/>
          </w:tcPr>
          <w:p>
            <w:pPr>
              <w:pStyle w:val="yTableNAm"/>
              <w:spacing w:before="60" w:after="60"/>
            </w:pPr>
            <w:r>
              <w:t>not exceeding 65.77 kg</w:t>
            </w:r>
          </w:p>
        </w:tc>
      </w:tr>
      <w:tr>
        <w:tc>
          <w:tcPr>
            <w:tcW w:w="3000" w:type="dxa"/>
          </w:tcPr>
          <w:p>
            <w:pPr>
              <w:pStyle w:val="yTableNAm"/>
              <w:spacing w:before="60" w:after="60"/>
            </w:pPr>
            <w:r>
              <w:t>Lightweight</w:t>
            </w:r>
          </w:p>
        </w:tc>
        <w:tc>
          <w:tcPr>
            <w:tcW w:w="1800" w:type="dxa"/>
          </w:tcPr>
          <w:p>
            <w:pPr>
              <w:pStyle w:val="yTableNAm"/>
              <w:spacing w:before="60" w:after="60"/>
            </w:pPr>
            <w:r>
              <w:t>Over 65.77 kg</w:t>
            </w:r>
          </w:p>
        </w:tc>
        <w:tc>
          <w:tcPr>
            <w:tcW w:w="2288" w:type="dxa"/>
          </w:tcPr>
          <w:p>
            <w:pPr>
              <w:pStyle w:val="yTableNAm"/>
              <w:spacing w:before="60" w:after="60"/>
            </w:pPr>
            <w:r>
              <w:t>not exceeding 70.30 kg</w:t>
            </w:r>
          </w:p>
        </w:tc>
      </w:tr>
      <w:tr>
        <w:tc>
          <w:tcPr>
            <w:tcW w:w="3000" w:type="dxa"/>
          </w:tcPr>
          <w:p>
            <w:pPr>
              <w:pStyle w:val="yTableNAm"/>
              <w:spacing w:before="60" w:after="60"/>
            </w:pPr>
            <w:r>
              <w:t>Welterweight</w:t>
            </w:r>
          </w:p>
        </w:tc>
        <w:tc>
          <w:tcPr>
            <w:tcW w:w="1800" w:type="dxa"/>
          </w:tcPr>
          <w:p>
            <w:pPr>
              <w:pStyle w:val="yTableNAm"/>
              <w:spacing w:before="60" w:after="60"/>
            </w:pPr>
            <w:r>
              <w:t xml:space="preserve">Over 70.30 kg </w:t>
            </w:r>
          </w:p>
        </w:tc>
        <w:tc>
          <w:tcPr>
            <w:tcW w:w="2288" w:type="dxa"/>
          </w:tcPr>
          <w:p>
            <w:pPr>
              <w:pStyle w:val="yTableNAm"/>
              <w:spacing w:before="60" w:after="60"/>
            </w:pPr>
            <w:r>
              <w:t>not exceeding 77.11 kg</w:t>
            </w:r>
          </w:p>
        </w:tc>
      </w:tr>
      <w:tr>
        <w:tc>
          <w:tcPr>
            <w:tcW w:w="3000" w:type="dxa"/>
          </w:tcPr>
          <w:p>
            <w:pPr>
              <w:pStyle w:val="yTableNAm"/>
              <w:spacing w:before="60" w:after="60"/>
            </w:pPr>
            <w:r>
              <w:t>Middleweight</w:t>
            </w:r>
          </w:p>
        </w:tc>
        <w:tc>
          <w:tcPr>
            <w:tcW w:w="1800" w:type="dxa"/>
          </w:tcPr>
          <w:p>
            <w:pPr>
              <w:pStyle w:val="yTableNAm"/>
              <w:spacing w:before="60" w:after="60"/>
            </w:pPr>
            <w:r>
              <w:t xml:space="preserve">Over 77.11 kg </w:t>
            </w:r>
          </w:p>
        </w:tc>
        <w:tc>
          <w:tcPr>
            <w:tcW w:w="2288" w:type="dxa"/>
          </w:tcPr>
          <w:p>
            <w:pPr>
              <w:pStyle w:val="yTableNAm"/>
              <w:spacing w:before="60" w:after="60"/>
            </w:pPr>
            <w:r>
              <w:t>not exceeding 79.83 kg</w:t>
            </w:r>
          </w:p>
        </w:tc>
      </w:tr>
      <w:tr>
        <w:tc>
          <w:tcPr>
            <w:tcW w:w="3000" w:type="dxa"/>
          </w:tcPr>
          <w:p>
            <w:pPr>
              <w:pStyle w:val="yTableNAm"/>
              <w:spacing w:before="60" w:after="60"/>
            </w:pPr>
            <w:r>
              <w:t>Cruiserweight</w:t>
            </w:r>
          </w:p>
        </w:tc>
        <w:tc>
          <w:tcPr>
            <w:tcW w:w="1800" w:type="dxa"/>
          </w:tcPr>
          <w:p>
            <w:pPr>
              <w:pStyle w:val="yTableNAm"/>
              <w:spacing w:before="60" w:after="60"/>
            </w:pPr>
            <w:r>
              <w:t>Over 79.83 kg</w:t>
            </w:r>
          </w:p>
        </w:tc>
        <w:tc>
          <w:tcPr>
            <w:tcW w:w="2288" w:type="dxa"/>
          </w:tcPr>
          <w:p>
            <w:pPr>
              <w:pStyle w:val="yTableNAm"/>
              <w:spacing w:before="60" w:after="60"/>
            </w:pPr>
            <w:r>
              <w:t>not exceeding 90.7 kg</w:t>
            </w:r>
          </w:p>
        </w:tc>
      </w:tr>
      <w:tr>
        <w:tc>
          <w:tcPr>
            <w:tcW w:w="3000" w:type="dxa"/>
            <w:tcBorders>
              <w:bottom w:val="single" w:sz="4" w:space="0" w:color="auto"/>
            </w:tcBorders>
          </w:tcPr>
          <w:p>
            <w:pPr>
              <w:pStyle w:val="yTableNAm"/>
              <w:spacing w:before="60" w:after="60"/>
            </w:pPr>
            <w:r>
              <w:t>Heavyweight</w:t>
            </w:r>
          </w:p>
        </w:tc>
        <w:tc>
          <w:tcPr>
            <w:tcW w:w="1800" w:type="dxa"/>
            <w:tcBorders>
              <w:bottom w:val="single" w:sz="4" w:space="0" w:color="auto"/>
            </w:tcBorders>
          </w:tcPr>
          <w:p>
            <w:pPr>
              <w:pStyle w:val="yTableNAm"/>
              <w:spacing w:before="60" w:after="60"/>
            </w:pPr>
            <w:r>
              <w:t>Over 90.7 kg</w:t>
            </w:r>
          </w:p>
        </w:tc>
        <w:tc>
          <w:tcPr>
            <w:tcW w:w="2288" w:type="dxa"/>
            <w:tcBorders>
              <w:bottom w:val="single" w:sz="4" w:space="0" w:color="auto"/>
            </w:tcBorders>
          </w:tcPr>
          <w:p>
            <w:pPr>
              <w:pStyle w:val="yTableNAm"/>
              <w:spacing w:before="60" w:after="60"/>
            </w:pPr>
            <w:r>
              <w:t>(no upper limit)</w:t>
            </w:r>
          </w:p>
        </w:tc>
      </w:tr>
    </w:tbl>
    <w:p>
      <w:pPr>
        <w:pStyle w:val="yFootnotesection"/>
      </w:pPr>
      <w:r>
        <w:tab/>
        <w:t>[Division 3 inserted in Gazette 22 Feb 2013 p. 1026.]</w:t>
      </w:r>
    </w:p>
    <w:p>
      <w:pPr>
        <w:pStyle w:val="yScheduleHeading"/>
      </w:pPr>
      <w:bookmarkStart w:id="54" w:name="_Toc382313239"/>
      <w:r>
        <w:rPr>
          <w:rStyle w:val="CharSchNo"/>
        </w:rPr>
        <w:t>Schedule 3</w:t>
      </w:r>
      <w:r>
        <w:rPr>
          <w:rStyle w:val="CharSDivNo"/>
        </w:rPr>
        <w:t> </w:t>
      </w:r>
      <w:r>
        <w:t>—</w:t>
      </w:r>
      <w:r>
        <w:rPr>
          <w:rStyle w:val="CharSDivText"/>
        </w:rPr>
        <w:t> </w:t>
      </w:r>
      <w:r>
        <w:rPr>
          <w:rStyle w:val="CharSchText"/>
        </w:rPr>
        <w:t>Fees</w:t>
      </w:r>
      <w:bookmarkEnd w:id="54"/>
    </w:p>
    <w:p>
      <w:pPr>
        <w:pStyle w:val="yShoulderClause"/>
      </w:pPr>
      <w:r>
        <w:t>[r. 8, 11(1) and 17E]</w:t>
      </w:r>
    </w:p>
    <w:p>
      <w:pPr>
        <w:pStyle w:val="yFootnoteheading"/>
      </w:pPr>
      <w:r>
        <w:tab/>
        <w:t>[Heading inserted in Gazette 22 Feb 2013 p. 1027.]</w:t>
      </w:r>
    </w:p>
    <w:tbl>
      <w:tblPr>
        <w:tblW w:w="7119" w:type="dxa"/>
        <w:tblLayout w:type="fixed"/>
        <w:tblCellMar>
          <w:left w:w="0" w:type="dxa"/>
          <w:right w:w="0" w:type="dxa"/>
        </w:tblCellMar>
        <w:tblLook w:val="0000" w:firstRow="0" w:lastRow="0" w:firstColumn="0" w:lastColumn="0" w:noHBand="0" w:noVBand="0"/>
      </w:tblPr>
      <w:tblGrid>
        <w:gridCol w:w="600"/>
        <w:gridCol w:w="4920"/>
        <w:gridCol w:w="1599"/>
      </w:tblGrid>
      <w:tr>
        <w:trPr>
          <w:cantSplit/>
          <w:tblHeader/>
        </w:trPr>
        <w:tc>
          <w:tcPr>
            <w:tcW w:w="600" w:type="dxa"/>
          </w:tcPr>
          <w:p>
            <w:pPr>
              <w:pStyle w:val="zyTableNAm"/>
              <w:jc w:val="center"/>
            </w:pPr>
          </w:p>
        </w:tc>
        <w:tc>
          <w:tcPr>
            <w:tcW w:w="4920" w:type="dxa"/>
          </w:tcPr>
          <w:p>
            <w:pPr>
              <w:pStyle w:val="zyTableNAm"/>
              <w:jc w:val="center"/>
            </w:pPr>
          </w:p>
        </w:tc>
        <w:tc>
          <w:tcPr>
            <w:tcW w:w="1599" w:type="dxa"/>
          </w:tcPr>
          <w:p>
            <w:pPr>
              <w:pStyle w:val="yTableNAm"/>
              <w:jc w:val="center"/>
            </w:pPr>
            <w:r>
              <w:rPr>
                <w:b/>
              </w:rPr>
              <w:t>$</w:t>
            </w:r>
          </w:p>
        </w:tc>
      </w:tr>
      <w:tr>
        <w:trPr>
          <w:cantSplit/>
        </w:trPr>
        <w:tc>
          <w:tcPr>
            <w:tcW w:w="600" w:type="dxa"/>
          </w:tcPr>
          <w:p>
            <w:pPr>
              <w:pStyle w:val="yTableNAm"/>
            </w:pPr>
            <w:r>
              <w:t>1.</w:t>
            </w:r>
          </w:p>
        </w:tc>
        <w:tc>
          <w:tcPr>
            <w:tcW w:w="4920" w:type="dxa"/>
          </w:tcPr>
          <w:p>
            <w:pPr>
              <w:pStyle w:val="yTableNAm"/>
              <w:tabs>
                <w:tab w:val="right" w:leader="dot" w:pos="4920"/>
              </w:tabs>
            </w:pPr>
            <w:r>
              <w:t xml:space="preserve">Registration as a contestant under section 16(2)(c) of the Act or renewal of registration as a contestant under section 19(3)(c) of the Act </w:t>
            </w:r>
            <w:r>
              <w:tab/>
            </w:r>
          </w:p>
        </w:tc>
        <w:tc>
          <w:tcPr>
            <w:tcW w:w="1599" w:type="dxa"/>
          </w:tcPr>
          <w:p>
            <w:pPr>
              <w:pStyle w:val="yTableNAm"/>
              <w:tabs>
                <w:tab w:val="clear" w:pos="567"/>
              </w:tabs>
              <w:ind w:right="399"/>
              <w:jc w:val="right"/>
            </w:pPr>
            <w:r>
              <w:br/>
            </w:r>
            <w:r>
              <w:br/>
              <w:t>100.00</w:t>
            </w:r>
          </w:p>
        </w:tc>
      </w:tr>
      <w:tr>
        <w:trPr>
          <w:cantSplit/>
        </w:trPr>
        <w:tc>
          <w:tcPr>
            <w:tcW w:w="600" w:type="dxa"/>
          </w:tcPr>
          <w:p>
            <w:pPr>
              <w:pStyle w:val="yTableNAm"/>
            </w:pPr>
            <w:r>
              <w:t>2.</w:t>
            </w:r>
          </w:p>
        </w:tc>
        <w:tc>
          <w:tcPr>
            <w:tcW w:w="4920" w:type="dxa"/>
          </w:tcPr>
          <w:p>
            <w:pPr>
              <w:pStyle w:val="yTableNAm"/>
              <w:tabs>
                <w:tab w:val="right" w:leader="dot" w:pos="4920"/>
              </w:tabs>
            </w:pPr>
            <w:r>
              <w:t>Registration as an industry participant under sections 27(3)(b) and 28(3) of the Act or renewal of registration under section 31(2)(b) of the Act as — </w:t>
            </w:r>
          </w:p>
        </w:tc>
        <w:tc>
          <w:tcPr>
            <w:tcW w:w="1599" w:type="dxa"/>
          </w:tcPr>
          <w:p>
            <w:pPr>
              <w:pStyle w:val="yTableNAm"/>
              <w:tabs>
                <w:tab w:val="clear" w:pos="567"/>
              </w:tabs>
              <w:ind w:right="399"/>
              <w:jc w:val="right"/>
            </w:pP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(a)</w:t>
            </w:r>
            <w:r>
              <w:tab/>
              <w:t xml:space="preserve">a promoter </w:t>
            </w:r>
            <w:r>
              <w:tab/>
            </w:r>
          </w:p>
        </w:tc>
        <w:tc>
          <w:tcPr>
            <w:tcW w:w="1599" w:type="dxa"/>
          </w:tcPr>
          <w:p>
            <w:pPr>
              <w:pStyle w:val="yTableNAm"/>
              <w:tabs>
                <w:tab w:val="clear" w:pos="567"/>
              </w:tabs>
              <w:ind w:right="399"/>
              <w:jc w:val="right"/>
            </w:pPr>
            <w:r>
              <w:t>330.00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(b)</w:t>
            </w:r>
            <w:r>
              <w:tab/>
              <w:t xml:space="preserve">a matchmaker </w:t>
            </w:r>
            <w:r>
              <w:tab/>
            </w:r>
          </w:p>
        </w:tc>
        <w:tc>
          <w:tcPr>
            <w:tcW w:w="1599" w:type="dxa"/>
          </w:tcPr>
          <w:p>
            <w:pPr>
              <w:pStyle w:val="yTableNAm"/>
              <w:tabs>
                <w:tab w:val="clear" w:pos="567"/>
              </w:tabs>
              <w:ind w:right="399"/>
              <w:jc w:val="right"/>
            </w:pPr>
            <w:r>
              <w:t>165.00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(c)</w:t>
            </w:r>
            <w:r>
              <w:tab/>
              <w:t xml:space="preserve">a manager </w:t>
            </w:r>
            <w:r>
              <w:tab/>
            </w:r>
          </w:p>
        </w:tc>
        <w:tc>
          <w:tcPr>
            <w:tcW w:w="1599" w:type="dxa"/>
          </w:tcPr>
          <w:p>
            <w:pPr>
              <w:pStyle w:val="yTableNAm"/>
              <w:tabs>
                <w:tab w:val="clear" w:pos="567"/>
              </w:tabs>
              <w:ind w:right="399"/>
              <w:jc w:val="right"/>
            </w:pPr>
            <w:r>
              <w:t>165.00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(d)</w:t>
            </w:r>
            <w:r>
              <w:tab/>
              <w:t xml:space="preserve">a trainer </w:t>
            </w:r>
            <w:r>
              <w:tab/>
            </w:r>
          </w:p>
        </w:tc>
        <w:tc>
          <w:tcPr>
            <w:tcW w:w="1599" w:type="dxa"/>
          </w:tcPr>
          <w:p>
            <w:pPr>
              <w:pStyle w:val="yTableNAm"/>
              <w:tabs>
                <w:tab w:val="clear" w:pos="567"/>
              </w:tabs>
              <w:ind w:right="399"/>
              <w:jc w:val="right"/>
            </w:pPr>
            <w:r>
              <w:t>82.50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(e)</w:t>
            </w:r>
            <w:r>
              <w:tab/>
              <w:t xml:space="preserve">a referee </w:t>
            </w:r>
            <w:r>
              <w:tab/>
            </w:r>
          </w:p>
        </w:tc>
        <w:tc>
          <w:tcPr>
            <w:tcW w:w="1599" w:type="dxa"/>
          </w:tcPr>
          <w:p>
            <w:pPr>
              <w:pStyle w:val="yTableNAm"/>
              <w:tabs>
                <w:tab w:val="clear" w:pos="567"/>
              </w:tabs>
              <w:ind w:right="399"/>
              <w:jc w:val="right"/>
            </w:pPr>
            <w:r>
              <w:t>100.00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(f)</w:t>
            </w:r>
            <w:r>
              <w:tab/>
              <w:t xml:space="preserve">a judge </w:t>
            </w:r>
            <w:r>
              <w:tab/>
            </w:r>
          </w:p>
        </w:tc>
        <w:tc>
          <w:tcPr>
            <w:tcW w:w="1599" w:type="dxa"/>
          </w:tcPr>
          <w:p>
            <w:pPr>
              <w:pStyle w:val="yTableNAm"/>
              <w:tabs>
                <w:tab w:val="clear" w:pos="567"/>
              </w:tabs>
              <w:ind w:right="399"/>
              <w:jc w:val="right"/>
            </w:pPr>
            <w:r>
              <w:t>80.00</w:t>
            </w:r>
          </w:p>
        </w:tc>
      </w:tr>
      <w:tr>
        <w:trPr>
          <w:cantSplit/>
        </w:trPr>
        <w:tc>
          <w:tcPr>
            <w:tcW w:w="600" w:type="dxa"/>
          </w:tcPr>
          <w:p>
            <w:pPr>
              <w:pStyle w:val="zyTableNAm"/>
            </w:pPr>
          </w:p>
        </w:tc>
        <w:tc>
          <w:tcPr>
            <w:tcW w:w="4920" w:type="dxa"/>
          </w:tcPr>
          <w:p>
            <w:pPr>
              <w:pStyle w:val="yTableNAm"/>
              <w:tabs>
                <w:tab w:val="left" w:pos="1088"/>
                <w:tab w:val="right" w:leader="dot" w:pos="4920"/>
              </w:tabs>
              <w:ind w:left="1100" w:hanging="1100"/>
            </w:pPr>
            <w:r>
              <w:tab/>
              <w:t>(g)</w:t>
            </w:r>
            <w:r>
              <w:tab/>
              <w:t xml:space="preserve">a timekeeper </w:t>
            </w:r>
            <w:r>
              <w:tab/>
            </w:r>
          </w:p>
        </w:tc>
        <w:tc>
          <w:tcPr>
            <w:tcW w:w="1599" w:type="dxa"/>
          </w:tcPr>
          <w:p>
            <w:pPr>
              <w:pStyle w:val="yTableNAm"/>
              <w:tabs>
                <w:tab w:val="clear" w:pos="567"/>
              </w:tabs>
              <w:ind w:right="399"/>
              <w:jc w:val="right"/>
            </w:pPr>
            <w:r>
              <w:t>80.00</w:t>
            </w:r>
          </w:p>
        </w:tc>
      </w:tr>
      <w:tr>
        <w:trPr>
          <w:cantSplit/>
        </w:trPr>
        <w:tc>
          <w:tcPr>
            <w:tcW w:w="600" w:type="dxa"/>
          </w:tcPr>
          <w:p>
            <w:pPr>
              <w:pStyle w:val="yTableNAm"/>
            </w:pPr>
            <w:r>
              <w:t>3.</w:t>
            </w:r>
          </w:p>
        </w:tc>
        <w:tc>
          <w:tcPr>
            <w:tcW w:w="4920" w:type="dxa"/>
          </w:tcPr>
          <w:p>
            <w:pPr>
              <w:pStyle w:val="yTableNAm"/>
              <w:tabs>
                <w:tab w:val="right" w:leader="dot" w:pos="4920"/>
              </w:tabs>
            </w:pPr>
            <w:r>
              <w:t xml:space="preserve">Fee for issue of a duplicate contestant record book </w:t>
            </w:r>
            <w:r>
              <w:tab/>
            </w:r>
            <w:r>
              <w:tab/>
            </w:r>
          </w:p>
        </w:tc>
        <w:tc>
          <w:tcPr>
            <w:tcW w:w="1599" w:type="dxa"/>
          </w:tcPr>
          <w:p>
            <w:pPr>
              <w:pStyle w:val="yTableNAm"/>
              <w:tabs>
                <w:tab w:val="clear" w:pos="567"/>
              </w:tabs>
              <w:ind w:right="399"/>
              <w:jc w:val="right"/>
            </w:pPr>
            <w:r>
              <w:t>100.00</w:t>
            </w:r>
          </w:p>
        </w:tc>
      </w:tr>
      <w:tr>
        <w:trPr>
          <w:cantSplit/>
        </w:trPr>
        <w:tc>
          <w:tcPr>
            <w:tcW w:w="600" w:type="dxa"/>
          </w:tcPr>
          <w:p>
            <w:pPr>
              <w:pStyle w:val="yTableNAm"/>
            </w:pPr>
            <w:r>
              <w:t>4.</w:t>
            </w:r>
          </w:p>
        </w:tc>
        <w:tc>
          <w:tcPr>
            <w:tcW w:w="4920" w:type="dxa"/>
          </w:tcPr>
          <w:p>
            <w:pPr>
              <w:pStyle w:val="yTableNAm"/>
              <w:tabs>
                <w:tab w:val="right" w:leader="dot" w:pos="4920"/>
              </w:tabs>
            </w:pPr>
            <w:r>
              <w:t xml:space="preserve">Application fee for permit for contest </w:t>
            </w:r>
            <w:r>
              <w:tab/>
            </w:r>
          </w:p>
        </w:tc>
        <w:tc>
          <w:tcPr>
            <w:tcW w:w="1599" w:type="dxa"/>
          </w:tcPr>
          <w:p>
            <w:pPr>
              <w:pStyle w:val="yTableNAm"/>
              <w:jc w:val="center"/>
            </w:pPr>
            <w:r>
              <w:t>Maximum fee of 2 500</w:t>
            </w:r>
          </w:p>
        </w:tc>
      </w:tr>
    </w:tbl>
    <w:p>
      <w:pPr>
        <w:pStyle w:val="yFootnotesection"/>
      </w:pPr>
      <w:r>
        <w:tab/>
        <w:t>[Schedule 3 inserted in Gazette 22 Feb 2013 p. 1027.]</w:t>
      </w:r>
    </w:p>
    <w:p>
      <w:pPr>
        <w:pStyle w:val="yScheduleHeading"/>
      </w:pPr>
      <w:bookmarkStart w:id="55" w:name="_Toc382313240"/>
      <w:r>
        <w:rPr>
          <w:rStyle w:val="CharSchNo"/>
        </w:rPr>
        <w:t>Schedule 4</w:t>
      </w:r>
      <w:r>
        <w:rPr>
          <w:rStyle w:val="CharSDivNo"/>
        </w:rPr>
        <w:t> </w:t>
      </w:r>
      <w:r>
        <w:t>—</w:t>
      </w:r>
      <w:r>
        <w:rPr>
          <w:rStyle w:val="CharSDivText"/>
        </w:rPr>
        <w:t> </w:t>
      </w:r>
      <w:r>
        <w:rPr>
          <w:rStyle w:val="CharSchText"/>
        </w:rPr>
        <w:t>Minimum fees for officials</w:t>
      </w:r>
      <w:bookmarkEnd w:id="55"/>
    </w:p>
    <w:p>
      <w:pPr>
        <w:pStyle w:val="yShoulderClause"/>
      </w:pPr>
      <w:r>
        <w:t>[r. 19]</w:t>
      </w:r>
    </w:p>
    <w:p>
      <w:pPr>
        <w:pStyle w:val="yFootnoteheading"/>
        <w:spacing w:after="120"/>
      </w:pPr>
      <w:r>
        <w:tab/>
        <w:t>[Heading inserted in Gazette 22 Feb 2013 p. 1027.]</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418"/>
        <w:gridCol w:w="968"/>
        <w:gridCol w:w="969"/>
        <w:gridCol w:w="968"/>
        <w:gridCol w:w="969"/>
        <w:gridCol w:w="969"/>
        <w:gridCol w:w="969"/>
      </w:tblGrid>
      <w:tr>
        <w:trPr>
          <w:cantSplit/>
          <w:tblHeader/>
        </w:trPr>
        <w:tc>
          <w:tcPr>
            <w:tcW w:w="1418" w:type="dxa"/>
          </w:tcPr>
          <w:p>
            <w:pPr>
              <w:pStyle w:val="yTableNAm"/>
              <w:keepNext/>
              <w:keepLines/>
              <w:rPr>
                <w:b/>
                <w:bCs/>
              </w:rPr>
            </w:pPr>
            <w:r>
              <w:rPr>
                <w:b/>
                <w:bCs/>
              </w:rPr>
              <w:t>Official</w:t>
            </w:r>
          </w:p>
        </w:tc>
        <w:tc>
          <w:tcPr>
            <w:tcW w:w="1937" w:type="dxa"/>
            <w:gridSpan w:val="2"/>
          </w:tcPr>
          <w:p>
            <w:pPr>
              <w:pStyle w:val="yTableNAm"/>
              <w:keepNext/>
              <w:keepLines/>
              <w:rPr>
                <w:b/>
                <w:bCs/>
              </w:rPr>
            </w:pPr>
            <w:r>
              <w:rPr>
                <w:b/>
                <w:bCs/>
              </w:rPr>
              <w:t>Basic fee</w:t>
            </w:r>
          </w:p>
        </w:tc>
        <w:tc>
          <w:tcPr>
            <w:tcW w:w="1937" w:type="dxa"/>
            <w:gridSpan w:val="2"/>
          </w:tcPr>
          <w:p>
            <w:pPr>
              <w:pStyle w:val="yTableNAm"/>
              <w:keepNext/>
              <w:keepLines/>
              <w:rPr>
                <w:b/>
                <w:bCs/>
              </w:rPr>
            </w:pPr>
            <w:r>
              <w:rPr>
                <w:b/>
                <w:bCs/>
              </w:rPr>
              <w:t>State title</w:t>
            </w:r>
          </w:p>
        </w:tc>
        <w:tc>
          <w:tcPr>
            <w:tcW w:w="1938" w:type="dxa"/>
            <w:gridSpan w:val="2"/>
          </w:tcPr>
          <w:p>
            <w:pPr>
              <w:pStyle w:val="yTableNAm"/>
              <w:keepNext/>
              <w:keepLines/>
              <w:rPr>
                <w:b/>
                <w:bCs/>
              </w:rPr>
            </w:pPr>
            <w:r>
              <w:rPr>
                <w:b/>
                <w:bCs/>
              </w:rPr>
              <w:t>National or international title</w:t>
            </w:r>
          </w:p>
        </w:tc>
      </w:tr>
      <w:tr>
        <w:trPr>
          <w:cantSplit/>
        </w:trPr>
        <w:tc>
          <w:tcPr>
            <w:tcW w:w="1418" w:type="dxa"/>
          </w:tcPr>
          <w:p>
            <w:pPr>
              <w:pStyle w:val="yTableNAm"/>
              <w:keepNext/>
              <w:keepLines/>
            </w:pPr>
          </w:p>
        </w:tc>
        <w:tc>
          <w:tcPr>
            <w:tcW w:w="968" w:type="dxa"/>
            <w:shd w:val="clear" w:color="auto" w:fill="auto"/>
          </w:tcPr>
          <w:p>
            <w:pPr>
              <w:pStyle w:val="yTableNAm"/>
              <w:keepNext/>
              <w:keepLines/>
            </w:pPr>
            <w:r>
              <w:t>One contest on a bill</w:t>
            </w:r>
          </w:p>
        </w:tc>
        <w:tc>
          <w:tcPr>
            <w:tcW w:w="969" w:type="dxa"/>
            <w:shd w:val="clear" w:color="auto" w:fill="auto"/>
          </w:tcPr>
          <w:p>
            <w:pPr>
              <w:pStyle w:val="yTableNAm"/>
              <w:keepNext/>
              <w:keepLines/>
            </w:pPr>
            <w:r>
              <w:t>2 or more contests on a bill</w:t>
            </w:r>
          </w:p>
        </w:tc>
        <w:tc>
          <w:tcPr>
            <w:tcW w:w="968" w:type="dxa"/>
            <w:shd w:val="clear" w:color="auto" w:fill="auto"/>
          </w:tcPr>
          <w:p>
            <w:pPr>
              <w:pStyle w:val="yTableNAm"/>
              <w:keepNext/>
              <w:keepLines/>
            </w:pPr>
            <w:r>
              <w:t>One contest on a bill</w:t>
            </w:r>
          </w:p>
        </w:tc>
        <w:tc>
          <w:tcPr>
            <w:tcW w:w="969" w:type="dxa"/>
            <w:shd w:val="clear" w:color="auto" w:fill="auto"/>
          </w:tcPr>
          <w:p>
            <w:pPr>
              <w:pStyle w:val="yTableNAm"/>
              <w:keepNext/>
              <w:keepLines/>
            </w:pPr>
            <w:r>
              <w:t>2 or more contests on a bill</w:t>
            </w:r>
          </w:p>
        </w:tc>
        <w:tc>
          <w:tcPr>
            <w:tcW w:w="969" w:type="dxa"/>
            <w:shd w:val="clear" w:color="auto" w:fill="auto"/>
          </w:tcPr>
          <w:p>
            <w:pPr>
              <w:pStyle w:val="yTableNAm"/>
              <w:keepNext/>
              <w:keepLines/>
            </w:pPr>
            <w:r>
              <w:t>One contest on a bill</w:t>
            </w:r>
          </w:p>
        </w:tc>
        <w:tc>
          <w:tcPr>
            <w:tcW w:w="969" w:type="dxa"/>
            <w:shd w:val="clear" w:color="auto" w:fill="auto"/>
          </w:tcPr>
          <w:p>
            <w:pPr>
              <w:pStyle w:val="yTableNAm"/>
              <w:keepNext/>
              <w:keepLines/>
            </w:pPr>
            <w:r>
              <w:t>2 or more contests on a bill</w:t>
            </w:r>
          </w:p>
        </w:tc>
      </w:tr>
      <w:tr>
        <w:trPr>
          <w:cantSplit/>
        </w:trPr>
        <w:tc>
          <w:tcPr>
            <w:tcW w:w="1418" w:type="dxa"/>
          </w:tcPr>
          <w:p>
            <w:pPr>
              <w:pStyle w:val="yTableNAm"/>
              <w:keepNext/>
              <w:keepLines/>
            </w:pPr>
            <w:r>
              <w:t>Referee</w:t>
            </w:r>
          </w:p>
        </w:tc>
        <w:tc>
          <w:tcPr>
            <w:tcW w:w="968" w:type="dxa"/>
            <w:shd w:val="clear" w:color="auto" w:fill="auto"/>
          </w:tcPr>
          <w:p>
            <w:pPr>
              <w:pStyle w:val="yTableNAm"/>
              <w:keepNext/>
              <w:keepLines/>
            </w:pPr>
            <w:r>
              <w:t>$200</w:t>
            </w:r>
          </w:p>
        </w:tc>
        <w:tc>
          <w:tcPr>
            <w:tcW w:w="969" w:type="dxa"/>
            <w:shd w:val="clear" w:color="auto" w:fill="auto"/>
          </w:tcPr>
          <w:p>
            <w:pPr>
              <w:pStyle w:val="yTableNAm"/>
              <w:keepNext/>
              <w:keepLines/>
            </w:pPr>
            <w:r>
              <w:t>$250</w:t>
            </w:r>
          </w:p>
        </w:tc>
        <w:tc>
          <w:tcPr>
            <w:tcW w:w="968" w:type="dxa"/>
            <w:shd w:val="clear" w:color="auto" w:fill="auto"/>
          </w:tcPr>
          <w:p>
            <w:pPr>
              <w:pStyle w:val="yTableNAm"/>
              <w:keepNext/>
              <w:keepLines/>
            </w:pPr>
            <w:r>
              <w:t>$200</w:t>
            </w:r>
          </w:p>
        </w:tc>
        <w:tc>
          <w:tcPr>
            <w:tcW w:w="969" w:type="dxa"/>
            <w:shd w:val="clear" w:color="auto" w:fill="auto"/>
          </w:tcPr>
          <w:p>
            <w:pPr>
              <w:pStyle w:val="yTableNAm"/>
              <w:keepNext/>
              <w:keepLines/>
            </w:pPr>
            <w:r>
              <w:t>$250</w:t>
            </w:r>
          </w:p>
        </w:tc>
        <w:tc>
          <w:tcPr>
            <w:tcW w:w="969" w:type="dxa"/>
            <w:shd w:val="clear" w:color="auto" w:fill="auto"/>
          </w:tcPr>
          <w:p>
            <w:pPr>
              <w:pStyle w:val="yTableNAm"/>
              <w:keepNext/>
              <w:keepLines/>
            </w:pPr>
            <w:r>
              <w:t>$300</w:t>
            </w:r>
          </w:p>
        </w:tc>
        <w:tc>
          <w:tcPr>
            <w:tcW w:w="969" w:type="dxa"/>
            <w:shd w:val="clear" w:color="auto" w:fill="auto"/>
          </w:tcPr>
          <w:p>
            <w:pPr>
              <w:pStyle w:val="yTableNAm"/>
              <w:keepNext/>
              <w:keepLines/>
            </w:pPr>
            <w:r>
              <w:t>$350</w:t>
            </w:r>
          </w:p>
        </w:tc>
      </w:tr>
      <w:tr>
        <w:trPr>
          <w:cantSplit/>
        </w:trPr>
        <w:tc>
          <w:tcPr>
            <w:tcW w:w="1418" w:type="dxa"/>
          </w:tcPr>
          <w:p>
            <w:pPr>
              <w:pStyle w:val="yTableNAm"/>
              <w:keepNext/>
              <w:keepLines/>
            </w:pPr>
            <w:r>
              <w:t>Judge</w:t>
            </w:r>
          </w:p>
        </w:tc>
        <w:tc>
          <w:tcPr>
            <w:tcW w:w="968" w:type="dxa"/>
            <w:shd w:val="clear" w:color="auto" w:fill="auto"/>
          </w:tcPr>
          <w:p>
            <w:pPr>
              <w:pStyle w:val="yTableNAm"/>
              <w:keepNext/>
              <w:keepLines/>
            </w:pPr>
            <w:r>
              <w:t>$150</w:t>
            </w:r>
          </w:p>
        </w:tc>
        <w:tc>
          <w:tcPr>
            <w:tcW w:w="969" w:type="dxa"/>
            <w:shd w:val="clear" w:color="auto" w:fill="auto"/>
          </w:tcPr>
          <w:p>
            <w:pPr>
              <w:pStyle w:val="yTableNAm"/>
              <w:keepNext/>
              <w:keepLines/>
            </w:pPr>
            <w:r>
              <w:t>$200</w:t>
            </w:r>
          </w:p>
        </w:tc>
        <w:tc>
          <w:tcPr>
            <w:tcW w:w="968" w:type="dxa"/>
            <w:shd w:val="clear" w:color="auto" w:fill="auto"/>
          </w:tcPr>
          <w:p>
            <w:pPr>
              <w:pStyle w:val="yTableNAm"/>
              <w:keepNext/>
              <w:keepLines/>
            </w:pPr>
            <w:r>
              <w:t>$150</w:t>
            </w:r>
          </w:p>
        </w:tc>
        <w:tc>
          <w:tcPr>
            <w:tcW w:w="969" w:type="dxa"/>
            <w:shd w:val="clear" w:color="auto" w:fill="auto"/>
          </w:tcPr>
          <w:p>
            <w:pPr>
              <w:pStyle w:val="yTableNAm"/>
              <w:keepNext/>
              <w:keepLines/>
            </w:pPr>
            <w:r>
              <w:t>$200</w:t>
            </w:r>
          </w:p>
        </w:tc>
        <w:tc>
          <w:tcPr>
            <w:tcW w:w="969" w:type="dxa"/>
            <w:shd w:val="clear" w:color="auto" w:fill="auto"/>
          </w:tcPr>
          <w:p>
            <w:pPr>
              <w:pStyle w:val="yTableNAm"/>
              <w:keepNext/>
              <w:keepLines/>
            </w:pPr>
            <w:r>
              <w:t>$250</w:t>
            </w:r>
          </w:p>
        </w:tc>
        <w:tc>
          <w:tcPr>
            <w:tcW w:w="969" w:type="dxa"/>
            <w:shd w:val="clear" w:color="auto" w:fill="auto"/>
          </w:tcPr>
          <w:p>
            <w:pPr>
              <w:pStyle w:val="yTableNAm"/>
              <w:keepNext/>
              <w:keepLines/>
            </w:pPr>
            <w:r>
              <w:t>$300</w:t>
            </w:r>
          </w:p>
        </w:tc>
      </w:tr>
      <w:tr>
        <w:trPr>
          <w:cantSplit/>
        </w:trPr>
        <w:tc>
          <w:tcPr>
            <w:tcW w:w="1418" w:type="dxa"/>
          </w:tcPr>
          <w:p>
            <w:pPr>
              <w:pStyle w:val="yTableNAm"/>
              <w:keepNext/>
              <w:keepLines/>
            </w:pPr>
            <w:r>
              <w:t>Timekeeper</w:t>
            </w:r>
          </w:p>
        </w:tc>
        <w:tc>
          <w:tcPr>
            <w:tcW w:w="968" w:type="dxa"/>
            <w:shd w:val="clear" w:color="auto" w:fill="auto"/>
          </w:tcPr>
          <w:p>
            <w:pPr>
              <w:pStyle w:val="yTableNAm"/>
              <w:keepNext/>
              <w:keepLines/>
            </w:pPr>
            <w:r>
              <w:t>$150</w:t>
            </w:r>
          </w:p>
        </w:tc>
        <w:tc>
          <w:tcPr>
            <w:tcW w:w="969" w:type="dxa"/>
            <w:shd w:val="clear" w:color="auto" w:fill="auto"/>
          </w:tcPr>
          <w:p>
            <w:pPr>
              <w:pStyle w:val="yTableNAm"/>
              <w:keepNext/>
              <w:keepLines/>
            </w:pPr>
            <w:r>
              <w:t>$200</w:t>
            </w:r>
          </w:p>
        </w:tc>
        <w:tc>
          <w:tcPr>
            <w:tcW w:w="968" w:type="dxa"/>
            <w:shd w:val="clear" w:color="auto" w:fill="auto"/>
          </w:tcPr>
          <w:p>
            <w:pPr>
              <w:pStyle w:val="yTableNAm"/>
              <w:keepNext/>
              <w:keepLines/>
            </w:pPr>
            <w:r>
              <w:t>$150</w:t>
            </w:r>
          </w:p>
        </w:tc>
        <w:tc>
          <w:tcPr>
            <w:tcW w:w="969" w:type="dxa"/>
            <w:shd w:val="clear" w:color="auto" w:fill="auto"/>
          </w:tcPr>
          <w:p>
            <w:pPr>
              <w:pStyle w:val="yTableNAm"/>
              <w:keepNext/>
              <w:keepLines/>
            </w:pPr>
            <w:r>
              <w:t>$200</w:t>
            </w:r>
          </w:p>
        </w:tc>
        <w:tc>
          <w:tcPr>
            <w:tcW w:w="969" w:type="dxa"/>
            <w:shd w:val="clear" w:color="auto" w:fill="auto"/>
          </w:tcPr>
          <w:p>
            <w:pPr>
              <w:pStyle w:val="yTableNAm"/>
              <w:keepNext/>
              <w:keepLines/>
            </w:pPr>
            <w:r>
              <w:t>$250</w:t>
            </w:r>
          </w:p>
        </w:tc>
        <w:tc>
          <w:tcPr>
            <w:tcW w:w="969" w:type="dxa"/>
            <w:shd w:val="clear" w:color="auto" w:fill="auto"/>
          </w:tcPr>
          <w:p>
            <w:pPr>
              <w:pStyle w:val="yTableNAm"/>
              <w:keepNext/>
              <w:keepLines/>
            </w:pPr>
            <w:r>
              <w:t>$300</w:t>
            </w:r>
          </w:p>
        </w:tc>
      </w:tr>
    </w:tbl>
    <w:p>
      <w:pPr>
        <w:pStyle w:val="yFootnotesection"/>
      </w:pPr>
      <w:r>
        <w:tab/>
        <w:t>[Schedule 4 inserted in Gazette 22 Feb 2013 p. 1027.]</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headerReference w:type="first" r:id="rId33"/>
          <w:endnotePr>
            <w:numFmt w:val="decimal"/>
          </w:endnotePr>
          <w:pgSz w:w="11906" w:h="16838" w:code="9"/>
          <w:pgMar w:top="2376" w:right="2405" w:bottom="3542" w:left="2405" w:header="706" w:footer="3380" w:gutter="0"/>
          <w:cols w:space="720"/>
          <w:noEndnote/>
          <w:docGrid w:linePitch="326"/>
        </w:sectPr>
      </w:pPr>
    </w:p>
    <w:p>
      <w:pPr>
        <w:pStyle w:val="nHeading2"/>
      </w:pPr>
      <w:bookmarkStart w:id="56" w:name="_Toc382313241"/>
      <w:r>
        <w:t>Notes</w:t>
      </w:r>
      <w:bookmarkEnd w:id="56"/>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5 April 2013</w:t>
      </w:r>
      <w:r>
        <w:rPr>
          <w:snapToGrid w:val="0"/>
        </w:rPr>
        <w:fldChar w:fldCharType="end"/>
      </w:r>
      <w:r>
        <w:rPr>
          <w:snapToGrid w:val="0"/>
        </w:rPr>
        <w:t xml:space="preserve"> of the </w:t>
      </w:r>
      <w:r>
        <w:rPr>
          <w:i/>
          <w:noProof/>
          <w:snapToGrid w:val="0"/>
        </w:rPr>
        <w:t>Combat Sports Regulations 2004</w:t>
      </w:r>
      <w:r>
        <w:rPr>
          <w:snapToGrid w:val="0"/>
        </w:rPr>
        <w:t xml:space="preserve"> and includes the amendments made by the other written laws referred to in the following table.  The table also contains information about any reprint.</w:t>
      </w:r>
    </w:p>
    <w:p>
      <w:pPr>
        <w:pStyle w:val="nHeading3"/>
      </w:pPr>
      <w:bookmarkStart w:id="57" w:name="_Toc382313242"/>
      <w:r>
        <w:t>Compilation table</w:t>
      </w:r>
      <w:bookmarkEnd w:id="5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noProof/>
                <w:snapToGrid w:val="0"/>
                <w:sz w:val="19"/>
              </w:rPr>
              <w:t>Professional Combat Sports Regulations 2004</w:t>
            </w:r>
            <w:r>
              <w:rPr>
                <w:noProof/>
                <w:snapToGrid w:val="0"/>
                <w:sz w:val="19"/>
                <w:vertAlign w:val="superscript"/>
              </w:rPr>
              <w:t> 3</w:t>
            </w:r>
          </w:p>
        </w:tc>
        <w:tc>
          <w:tcPr>
            <w:tcW w:w="1276" w:type="dxa"/>
            <w:tcBorders>
              <w:top w:val="single" w:sz="8" w:space="0" w:color="auto"/>
            </w:tcBorders>
          </w:tcPr>
          <w:p>
            <w:pPr>
              <w:pStyle w:val="nTable"/>
              <w:spacing w:after="40"/>
              <w:rPr>
                <w:sz w:val="19"/>
              </w:rPr>
            </w:pPr>
            <w:r>
              <w:rPr>
                <w:sz w:val="19"/>
              </w:rPr>
              <w:t>11 Jan 2005 p. 115-33</w:t>
            </w:r>
          </w:p>
        </w:tc>
        <w:tc>
          <w:tcPr>
            <w:tcW w:w="2693" w:type="dxa"/>
            <w:tcBorders>
              <w:top w:val="single" w:sz="8" w:space="0" w:color="auto"/>
            </w:tcBorders>
          </w:tcPr>
          <w:p>
            <w:pPr>
              <w:pStyle w:val="nTable"/>
              <w:spacing w:after="40"/>
              <w:rPr>
                <w:sz w:val="19"/>
              </w:rPr>
            </w:pPr>
            <w:r>
              <w:rPr>
                <w:sz w:val="19"/>
              </w:rPr>
              <w:t xml:space="preserve">12 Jan 2005 (see r. 2 and </w:t>
            </w:r>
            <w:r>
              <w:rPr>
                <w:i/>
                <w:sz w:val="19"/>
              </w:rPr>
              <w:t>Gazette</w:t>
            </w:r>
            <w:r>
              <w:rPr>
                <w:sz w:val="19"/>
              </w:rPr>
              <w:t xml:space="preserve"> 11 Jan 2005 p. 89)</w:t>
            </w:r>
          </w:p>
        </w:tc>
      </w:tr>
      <w:tr>
        <w:tc>
          <w:tcPr>
            <w:tcW w:w="3118" w:type="dxa"/>
            <w:shd w:val="clear" w:color="auto" w:fill="auto"/>
          </w:tcPr>
          <w:p>
            <w:pPr>
              <w:pStyle w:val="nTable"/>
              <w:spacing w:after="40"/>
              <w:rPr>
                <w:i/>
                <w:noProof/>
                <w:snapToGrid w:val="0"/>
                <w:sz w:val="19"/>
              </w:rPr>
            </w:pPr>
            <w:r>
              <w:rPr>
                <w:i/>
                <w:noProof/>
                <w:snapToGrid w:val="0"/>
                <w:sz w:val="19"/>
              </w:rPr>
              <w:t>Professional Combat Sports Amendment Regulations 2013</w:t>
            </w:r>
          </w:p>
        </w:tc>
        <w:tc>
          <w:tcPr>
            <w:tcW w:w="1276" w:type="dxa"/>
            <w:shd w:val="clear" w:color="auto" w:fill="auto"/>
          </w:tcPr>
          <w:p>
            <w:pPr>
              <w:pStyle w:val="nTable"/>
              <w:spacing w:after="40"/>
              <w:rPr>
                <w:sz w:val="19"/>
              </w:rPr>
            </w:pPr>
            <w:r>
              <w:rPr>
                <w:sz w:val="19"/>
              </w:rPr>
              <w:t>22 Feb 2013 p. 1013-27</w:t>
            </w:r>
          </w:p>
        </w:tc>
        <w:tc>
          <w:tcPr>
            <w:tcW w:w="2693" w:type="dxa"/>
            <w:shd w:val="clear" w:color="auto" w:fill="auto"/>
          </w:tcPr>
          <w:p>
            <w:pPr>
              <w:pStyle w:val="nTable"/>
              <w:spacing w:after="40"/>
              <w:rPr>
                <w:sz w:val="19"/>
              </w:rPr>
            </w:pPr>
            <w:r>
              <w:rPr>
                <w:sz w:val="19"/>
              </w:rPr>
              <w:t>r. 1 and 2: 22 Feb 2013 (see r. 2(a));</w:t>
            </w:r>
            <w:r>
              <w:rPr>
                <w:sz w:val="19"/>
              </w:rPr>
              <w:br/>
              <w:t xml:space="preserve">Regulations other than r. 1 and 2: 1 Mar 2013 (see r. 2(b) and </w:t>
            </w:r>
            <w:r>
              <w:rPr>
                <w:i/>
                <w:sz w:val="19"/>
              </w:rPr>
              <w:t>Gazette</w:t>
            </w:r>
            <w:r>
              <w:rPr>
                <w:sz w:val="19"/>
              </w:rPr>
              <w:t xml:space="preserve"> 1 Mar 2013 p. 1091)</w:t>
            </w:r>
          </w:p>
        </w:tc>
      </w:tr>
      <w:tr>
        <w:tc>
          <w:tcPr>
            <w:tcW w:w="7087" w:type="dxa"/>
            <w:gridSpan w:val="3"/>
            <w:tcBorders>
              <w:bottom w:val="single" w:sz="8" w:space="0" w:color="auto"/>
            </w:tcBorders>
            <w:shd w:val="clear" w:color="auto" w:fill="auto"/>
          </w:tcPr>
          <w:p>
            <w:pPr>
              <w:pStyle w:val="nTable"/>
              <w:spacing w:after="40"/>
              <w:rPr>
                <w:sz w:val="19"/>
                <w:szCs w:val="19"/>
              </w:rPr>
            </w:pPr>
            <w:r>
              <w:rPr>
                <w:b/>
                <w:sz w:val="19"/>
                <w:szCs w:val="19"/>
              </w:rPr>
              <w:t xml:space="preserve">Reprint 1: The </w:t>
            </w:r>
            <w:r>
              <w:rPr>
                <w:b/>
                <w:i/>
                <w:sz w:val="19"/>
                <w:szCs w:val="19"/>
              </w:rPr>
              <w:t>Combat Sports Regulations 2004</w:t>
            </w:r>
            <w:r>
              <w:rPr>
                <w:b/>
                <w:sz w:val="19"/>
                <w:szCs w:val="19"/>
              </w:rPr>
              <w:t xml:space="preserve"> as at 5 Apr 2013</w:t>
            </w:r>
            <w:r>
              <w:rPr>
                <w:sz w:val="19"/>
                <w:szCs w:val="19"/>
              </w:rPr>
              <w:t xml:space="preserve"> (includes amendments listed above)</w:t>
            </w:r>
          </w:p>
        </w:tc>
      </w:tr>
    </w:tbl>
    <w:p>
      <w:pPr>
        <w:pStyle w:val="nSubsection"/>
      </w:pPr>
      <w:r>
        <w:rPr>
          <w:vertAlign w:val="superscript"/>
        </w:rPr>
        <w:t>2</w:t>
      </w:r>
      <w:r>
        <w:tab/>
        <w:t>Commenced 1 March 2013.</w:t>
      </w:r>
    </w:p>
    <w:p>
      <w:pPr>
        <w:pStyle w:val="nSubsection"/>
      </w:pPr>
      <w:r>
        <w:rPr>
          <w:vertAlign w:val="superscript"/>
        </w:rPr>
        <w:t>3</w:t>
      </w:r>
      <w:r>
        <w:tab/>
        <w:t xml:space="preserve">Now known as the </w:t>
      </w:r>
      <w:r>
        <w:rPr>
          <w:i/>
        </w:rPr>
        <w:t>Combat Sports Regulations 2004</w:t>
      </w:r>
      <w:r>
        <w:t>; citation changed (see note under r. 1).</w:t>
      </w:r>
    </w:p>
    <w:p>
      <w:pPr>
        <w:pStyle w:val="nSubsection"/>
        <w:sectPr>
          <w:headerReference w:type="even" r:id="rId34"/>
          <w:headerReference w:type="default" r:id="rId35"/>
          <w:headerReference w:type="first" r:id="rId36"/>
          <w:endnotePr>
            <w:numFmt w:val="decimal"/>
          </w:endnotePr>
          <w:pgSz w:w="11906" w:h="16838" w:code="9"/>
          <w:pgMar w:top="2376" w:right="2404" w:bottom="3544" w:left="2404" w:header="720" w:footer="3380" w:gutter="0"/>
          <w:cols w:space="720"/>
          <w:noEndnote/>
          <w:docGrid w:linePitch="326"/>
        </w:sectPr>
      </w:pPr>
    </w:p>
    <w:p>
      <w:pPr>
        <w:pStyle w:val="nSubsection"/>
      </w:pPr>
    </w:p>
    <w:p>
      <w:pPr>
        <w:pStyle w:val="nHeading2"/>
        <w:rPr>
          <w:sz w:val="28"/>
        </w:rPr>
      </w:pPr>
      <w:bookmarkStart w:id="58" w:name="_Toc382313243"/>
      <w:r>
        <w:rPr>
          <w:sz w:val="28"/>
        </w:rPr>
        <w:t>Defined terms</w:t>
      </w:r>
      <w:bookmarkEnd w:id="5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59" w:name="DefinedTerms"/>
      <w:bookmarkEnd w:id="59"/>
      <w:r>
        <w:t>amending Act</w:t>
      </w:r>
      <w:r>
        <w:tab/>
        <w:t>20</w:t>
      </w:r>
    </w:p>
    <w:p>
      <w:pPr>
        <w:pStyle w:val="DefinedTerms"/>
      </w:pPr>
      <w:r>
        <w:t>approved</w:t>
      </w:r>
      <w:r>
        <w:tab/>
        <w:t>3</w:t>
      </w:r>
    </w:p>
    <w:p>
      <w:pPr>
        <w:pStyle w:val="DefinedTerms"/>
      </w:pPr>
      <w:r>
        <w:t>commencement day</w:t>
      </w:r>
      <w:r>
        <w:tab/>
        <w:t>20</w:t>
      </w:r>
    </w:p>
    <w:p>
      <w:pPr>
        <w:pStyle w:val="DefinedTerms"/>
      </w:pPr>
      <w:r>
        <w:t>grappling</w:t>
      </w:r>
      <w:r>
        <w:tab/>
        <w:t>3</w:t>
      </w:r>
    </w:p>
    <w:p>
      <w:pPr>
        <w:pStyle w:val="DefinedTerms"/>
      </w:pPr>
      <w:r>
        <w:t>light contact</w:t>
      </w:r>
      <w:r>
        <w:tab/>
        <w:t>3</w:t>
      </w:r>
    </w:p>
    <w:p>
      <w:pPr>
        <w:pStyle w:val="DefinedTerms"/>
      </w:pPr>
      <w:r>
        <w:t>PCS Act</w:t>
      </w:r>
      <w:r>
        <w:tab/>
        <w:t>20</w:t>
      </w:r>
    </w:p>
    <w:p>
      <w:pPr>
        <w:pStyle w:val="DefinedTerms"/>
      </w:pPr>
      <w:r>
        <w:t>recognised body</w:t>
      </w:r>
      <w:r>
        <w:tab/>
        <w:t>3</w:t>
      </w:r>
    </w:p>
    <w:p>
      <w:pPr>
        <w:pStyle w:val="DefinedTerms"/>
      </w:pPr>
      <w:r>
        <w:t>sanction</w:t>
      </w:r>
      <w:r>
        <w:tab/>
        <w:t>3</w:t>
      </w:r>
    </w:p>
    <w:p>
      <w:pPr>
        <w:pStyle w:val="DefinedTerms"/>
      </w:pPr>
    </w:p>
    <w:p>
      <w:pPr>
        <w:rPr>
          <w:sz w:val="16"/>
          <w:szCs w:val="16"/>
        </w:rPr>
      </w:pPr>
    </w:p>
    <w:p>
      <w:pPr>
        <w:rPr>
          <w:sz w:val="16"/>
          <w:szCs w:val="16"/>
        </w:rPr>
      </w:pPr>
    </w:p>
    <w:p/>
    <w:p/>
    <w:p/>
    <w:p/>
    <w:p/>
    <w:p/>
    <w:p/>
    <w:p/>
    <w:p/>
    <w:p/>
    <w:p/>
    <w:p/>
    <w:p/>
    <w:p/>
    <w:p/>
    <w:p/>
    <w:p/>
    <w:p/>
    <w:p/>
    <w:p/>
    <w:p/>
    <w:p/>
    <w:p/>
    <w:p>
      <w:pPr>
        <w:sectPr>
          <w:headerReference w:type="even" r:id="rId37"/>
          <w:headerReference w:type="default" r:id="rId38"/>
          <w:footerReference w:type="even" r:id="rId39"/>
          <w:footerReference w:type="default" r:id="rId40"/>
          <w:headerReference w:type="first" r:id="rId41"/>
          <w:footerReference w:type="first" r:id="rId42"/>
          <w:endnotePr>
            <w:numFmt w:val="decimal"/>
          </w:endnotePr>
          <w:pgSz w:w="11906" w:h="16838" w:code="9"/>
          <w:pgMar w:top="2376" w:right="2404" w:bottom="3544" w:left="2404" w:header="720" w:footer="3380" w:gutter="0"/>
          <w:cols w:space="720"/>
          <w:noEndnote/>
          <w:docGrid w:linePitch="326"/>
        </w:sectPr>
      </w:pPr>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1</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24</w:t>
    </w:r>
    <w:r>
      <w:rPr>
        <w:rStyle w:val="CharPageNo"/>
      </w:rPr>
      <w:fldChar w:fldCharType="end"/>
    </w:r>
    <w:r>
      <w:rPr>
        <w:rStyle w:val="CharPageNo"/>
      </w:rPr>
      <w:tab/>
    </w:r>
    <w:r>
      <w:t xml:space="preserve">Reprint </w:t>
    </w:r>
    <w:fldSimple w:instr=" DOCPROPERTY &quot;ReprintNo&quot; ">
      <w:r>
        <w:t>1</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1</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Combat Sports Regulations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Combat Sports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Combat Sports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Combat Sports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Combat Sports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Combat Sports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Combat Sports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Combat Sports Regulations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Combat Sports Regulations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Combat Sports Regulations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9C9A612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81201DB2"/>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1143135"/>
    <w:docVar w:name="WAFER_20140311143135" w:val="RemoveTocBookmarks,RemoveUnusedBookmarks,RemoveLanguageTags,UsedStyles,ResetPageSize"/>
    <w:docVar w:name="WAFER_20140311143135_GUID" w:val="5099c569-49ec-4fb2-b2ec-c984ff138b9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4"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4"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3.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EDDA-8C37-4A38-A695-16C45CE0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5552</Words>
  <Characters>27654</Characters>
  <Application>Microsoft Office Word</Application>
  <DocSecurity>0</DocSecurity>
  <Lines>987</Lines>
  <Paragraphs>721</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Combat Sports Regulations 2004 - 01-00-01</dc:title>
  <dc:subject/>
  <dc:creator/>
  <cp:keywords/>
  <dc:description/>
  <cp:lastModifiedBy>svcMRProcess</cp:lastModifiedBy>
  <cp:revision>4</cp:revision>
  <cp:lastPrinted>2013-04-03T01:39:00Z</cp:lastPrinted>
  <dcterms:created xsi:type="dcterms:W3CDTF">2020-03-04T22:22:00Z</dcterms:created>
  <dcterms:modified xsi:type="dcterms:W3CDTF">2020-03-04T22:22:00Z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11 Jan 2005 p 115-33</vt:lpwstr>
  </property>
  <property fmtid="{D5CDD505-2E9C-101B-9397-08002B2CF9AE}" pid="3" name="CommencementDate">
    <vt:lpwstr>20130405</vt:lpwstr>
  </property>
  <property fmtid="{D5CDD505-2E9C-101B-9397-08002B2CF9AE}" pid="4" name="OwlsUID">
    <vt:i4>34331</vt:i4>
  </property>
  <property fmtid="{D5CDD505-2E9C-101B-9397-08002B2CF9AE}" pid="5" name="AsAtDate">
    <vt:lpwstr>05 Apr 2013</vt:lpwstr>
  </property>
  <property fmtid="{D5CDD505-2E9C-101B-9397-08002B2CF9AE}" pid="6" name="Suffix">
    <vt:lpwstr>01-00-01</vt:lpwstr>
  </property>
  <property fmtid="{D5CDD505-2E9C-101B-9397-08002B2CF9AE}" pid="7" name="DocumentType">
    <vt:lpwstr>Reg</vt:lpwstr>
  </property>
  <property fmtid="{D5CDD505-2E9C-101B-9397-08002B2CF9AE}" pid="8" name="ReprintNo">
    <vt:lpwstr>1</vt:lpwstr>
  </property>
  <property fmtid="{D5CDD505-2E9C-101B-9397-08002B2CF9AE}" pid="9" name="ReprintedAsAt">
    <vt:filetime>2013-04-04T16:00:00Z</vt:filetime>
  </property>
</Properties>
</file>