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right="-113"/>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Waterways Conservation Act 1976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April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_Toc165699355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_Toc165699356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_Toc165699357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_Toc165699358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_Toc165699359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_Toc165699360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_Toc165699361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_Toc165699362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_Toc165699363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_Toc165699364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Rivers and Estuaries Council</w:t>
      </w:r>
      <w:r>
        <w:tab/>
      </w:r>
      <w:r>
        <w:fldChar w:fldCharType="begin"/>
      </w:r>
      <w:r>
        <w:instrText xml:space="preserve"> PAGEREF _Toc165699365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Functions of the Council</w:t>
      </w:r>
      <w:r>
        <w:tab/>
      </w:r>
      <w:r>
        <w:fldChar w:fldCharType="begin"/>
      </w:r>
      <w:r>
        <w:instrText xml:space="preserve"> PAGEREF _Toc165699366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Administration of this Act</w:t>
      </w:r>
      <w:r>
        <w:tab/>
      </w:r>
      <w:r>
        <w:fldChar w:fldCharType="begin"/>
      </w:r>
      <w:r>
        <w:instrText xml:space="preserve"> PAGEREF _Toc165699367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Management Authorities</w:t>
      </w:r>
      <w:r>
        <w:tab/>
      </w:r>
      <w:r>
        <w:fldChar w:fldCharType="begin"/>
      </w:r>
      <w:r>
        <w:instrText xml:space="preserve"> PAGEREF _Toc165699368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Disputes</w:t>
      </w:r>
      <w:r>
        <w:tab/>
      </w:r>
      <w:r>
        <w:fldChar w:fldCharType="begin"/>
      </w:r>
      <w:r>
        <w:instrText xml:space="preserve"> PAGEREF _Toc165699369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Tenure of office</w:t>
      </w:r>
      <w:r>
        <w:tab/>
      </w:r>
      <w:r>
        <w:fldChar w:fldCharType="begin"/>
      </w:r>
      <w:r>
        <w:instrText xml:space="preserve"> PAGEREF _Toc165699370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Disqualifications</w:t>
      </w:r>
      <w:r>
        <w:tab/>
      </w:r>
      <w:r>
        <w:fldChar w:fldCharType="begin"/>
      </w:r>
      <w:r>
        <w:instrText xml:space="preserve"> PAGEREF _Toc165699371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Remuneration of Authority members</w:t>
      </w:r>
      <w:r>
        <w:tab/>
      </w:r>
      <w:r>
        <w:fldChar w:fldCharType="begin"/>
      </w:r>
      <w:r>
        <w:instrText xml:space="preserve"> PAGEREF _Toc165699372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Deputies and acting members</w:t>
      </w:r>
      <w:r>
        <w:tab/>
      </w:r>
      <w:r>
        <w:fldChar w:fldCharType="begin"/>
      </w:r>
      <w:r>
        <w:instrText xml:space="preserve"> PAGEREF _Toc165699373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_Toc165699374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Committees</w:t>
      </w:r>
      <w:r>
        <w:tab/>
      </w:r>
      <w:r>
        <w:fldChar w:fldCharType="begin"/>
      </w:r>
      <w:r>
        <w:instrText xml:space="preserve"> PAGEREF _Toc165699375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Delegation</w:t>
      </w:r>
      <w:r>
        <w:tab/>
      </w:r>
      <w:r>
        <w:fldChar w:fldCharType="begin"/>
      </w:r>
      <w:r>
        <w:instrText xml:space="preserve"> PAGEREF _Toc165699376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Duty of the Commission</w:t>
      </w:r>
      <w:r>
        <w:tab/>
      </w:r>
      <w:r>
        <w:fldChar w:fldCharType="begin"/>
      </w:r>
      <w:r>
        <w:instrText xml:space="preserve"> PAGEREF _Toc165699377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Functions of the Commission</w:t>
      </w:r>
      <w:r>
        <w:tab/>
      </w:r>
      <w:r>
        <w:fldChar w:fldCharType="begin"/>
      </w:r>
      <w:r>
        <w:instrText xml:space="preserve"> PAGEREF _Toc165699378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Powers of the Commission</w:t>
      </w:r>
      <w:r>
        <w:tab/>
      </w:r>
      <w:r>
        <w:fldChar w:fldCharType="begin"/>
      </w:r>
      <w:r>
        <w:instrText xml:space="preserve"> PAGEREF _Toc165699379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Duty of a Management Authority</w:t>
      </w:r>
      <w:r>
        <w:tab/>
      </w:r>
      <w:r>
        <w:fldChar w:fldCharType="begin"/>
      </w:r>
      <w:r>
        <w:instrText xml:space="preserve"> PAGEREF _Toc165699380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Functions of a Management Authority</w:t>
      </w:r>
      <w:r>
        <w:tab/>
      </w:r>
      <w:r>
        <w:fldChar w:fldCharType="begin"/>
      </w:r>
      <w:r>
        <w:instrText xml:space="preserve"> PAGEREF _Toc165699381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of a Management Authority</w:t>
      </w:r>
      <w:r>
        <w:tab/>
      </w:r>
      <w:r>
        <w:fldChar w:fldCharType="begin"/>
      </w:r>
      <w:r>
        <w:instrText xml:space="preserve"> PAGEREF _Toc165699382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Suspension of an Authority, and effect of dissolution and reconstitution</w:t>
      </w:r>
      <w:r>
        <w:tab/>
      </w:r>
      <w:r>
        <w:fldChar w:fldCharType="begin"/>
      </w:r>
      <w:r>
        <w:instrText xml:space="preserve"> PAGEREF _Toc165699383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Continuity of administration</w:t>
      </w:r>
      <w:r>
        <w:tab/>
      </w:r>
      <w:r>
        <w:fldChar w:fldCharType="begin"/>
      </w:r>
      <w:r>
        <w:instrText xml:space="preserve"> PAGEREF _Toc165699384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_Toc165699385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Commission</w:t>
      </w:r>
      <w:r>
        <w:tab/>
      </w:r>
      <w:r>
        <w:fldChar w:fldCharType="begin"/>
      </w:r>
      <w:r>
        <w:instrText xml:space="preserve"> PAGEREF _Toc165699386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_Toc165699387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Agreements for joint action</w:t>
      </w:r>
      <w:r>
        <w:tab/>
      </w:r>
      <w:r>
        <w:fldChar w:fldCharType="begin"/>
      </w:r>
      <w:r>
        <w:instrText xml:space="preserve"> PAGEREF _Toc165699388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_Toc165699389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_Toc165699390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_Toc165699391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_Toc165699392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Staff</w:t>
      </w:r>
      <w:r>
        <w:tab/>
      </w:r>
      <w:r>
        <w:fldChar w:fldCharType="begin"/>
      </w:r>
      <w:r>
        <w:instrText xml:space="preserve"> PAGEREF _Toc165699393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Funds of the Management Authorities</w:t>
      </w:r>
      <w:r>
        <w:tab/>
      </w:r>
      <w:r>
        <w:fldChar w:fldCharType="begin"/>
      </w:r>
      <w:r>
        <w:instrText xml:space="preserve"> PAGEREF _Toc165699394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 xml:space="preserve">Financial </w:t>
      </w:r>
      <w:r>
        <w:rPr>
          <w:i/>
          <w:iCs/>
          <w:szCs w:val="24"/>
        </w:rPr>
        <w:t>Management Act 2006</w:t>
      </w:r>
      <w:r>
        <w:tab/>
      </w:r>
      <w:r>
        <w:fldChar w:fldCharType="begin"/>
      </w:r>
      <w:r>
        <w:instrText xml:space="preserve"> PAGEREF _Toc165699395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Exemption from personal liability</w:t>
      </w:r>
      <w:r>
        <w:tab/>
      </w:r>
      <w:r>
        <w:fldChar w:fldCharType="begin"/>
      </w:r>
      <w:r>
        <w:instrText xml:space="preserve"> PAGEREF _Toc165699396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_Toc165699397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_Toc165699398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_Toc165699399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_Toc165699400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_Toc165699401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_Toc165699402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_Toc165699403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_Toc165699404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By</w:t>
      </w:r>
      <w:r>
        <w:rPr>
          <w:snapToGrid w:val="0"/>
          <w:szCs w:val="24"/>
        </w:rPr>
        <w:noBreakHyphen/>
        <w:t>laws</w:t>
      </w:r>
      <w:r>
        <w:tab/>
      </w:r>
      <w:r>
        <w:fldChar w:fldCharType="begin"/>
      </w:r>
      <w:r>
        <w:instrText xml:space="preserve"> PAGEREF _Toc165699405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_Toc165699406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_Toc165699407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_Toc165699408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Revocation of by</w:t>
      </w:r>
      <w:r>
        <w:rPr>
          <w:snapToGrid w:val="0"/>
          <w:szCs w:val="24"/>
        </w:rPr>
        <w:noBreakHyphen/>
        <w:t>laws</w:t>
      </w:r>
      <w:r>
        <w:tab/>
      </w:r>
      <w:r>
        <w:fldChar w:fldCharType="begin"/>
      </w:r>
      <w:r>
        <w:instrText xml:space="preserve"> PAGEREF _Toc165699409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Public consultation</w:t>
      </w:r>
      <w:r>
        <w:tab/>
      </w:r>
      <w:r>
        <w:fldChar w:fldCharType="begin"/>
      </w:r>
      <w:r>
        <w:instrText xml:space="preserve"> PAGEREF _Toc165699410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_Toc165699411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_Toc165699412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_Toc165699413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_Toc165699414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_Toc165699415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Secrecy</w:t>
      </w:r>
      <w:r>
        <w:tab/>
      </w:r>
      <w:r>
        <w:fldChar w:fldCharType="begin"/>
      </w:r>
      <w:r>
        <w:instrText xml:space="preserve"> PAGEREF _Toc165699416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Appropriation of penalties</w:t>
      </w:r>
      <w:r>
        <w:tab/>
      </w:r>
      <w:r>
        <w:fldChar w:fldCharType="begin"/>
      </w:r>
      <w:r>
        <w:instrText xml:space="preserve"> PAGEREF _Toc165699417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_Toc165699418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_Toc165699419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_Toc165699420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_Toc165699421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_Toc165699422 \h </w:instrText>
      </w:r>
      <w:r>
        <w:fldChar w:fldCharType="separate"/>
      </w:r>
      <w:r>
        <w:t>62</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_Toc165699423 \h </w:instrText>
      </w:r>
      <w:r>
        <w:fldChar w:fldCharType="separate"/>
      </w:r>
      <w:r>
        <w:t>62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_Toc165699424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_Toc165699425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Regulations</w:t>
      </w:r>
      <w:r>
        <w:tab/>
      </w:r>
      <w:r>
        <w:fldChar w:fldCharType="begin"/>
      </w:r>
      <w:r>
        <w:instrText xml:space="preserve"> PAGEREF _Toc165699426 \h </w:instrText>
      </w:r>
      <w:r>
        <w:fldChar w:fldCharType="separate"/>
      </w:r>
      <w:r>
        <w:t>67</w:t>
      </w:r>
      <w:r>
        <w:fldChar w:fldCharType="end"/>
      </w:r>
    </w:p>
    <w:p>
      <w:pPr>
        <w:pStyle w:val="TOC2"/>
        <w:tabs>
          <w:tab w:val="right" w:leader="dot" w:pos="7086"/>
        </w:tabs>
        <w:rPr>
          <w:b w:val="0"/>
          <w:sz w:val="24"/>
          <w:szCs w:val="24"/>
        </w:rPr>
      </w:pPr>
      <w:r>
        <w:rPr>
          <w:bCs/>
          <w:szCs w:val="28"/>
        </w:rPr>
        <w:t>Schedule</w:t>
      </w:r>
    </w:p>
    <w:p>
      <w:pPr>
        <w:pStyle w:val="TOC8"/>
        <w:rPr>
          <w:sz w:val="24"/>
          <w:szCs w:val="24"/>
        </w:rPr>
      </w:pPr>
      <w:r>
        <w:rPr>
          <w:szCs w:val="22"/>
        </w:rPr>
        <w:t>1</w:t>
      </w:r>
      <w:r>
        <w:rPr>
          <w:snapToGrid w:val="0"/>
          <w:szCs w:val="22"/>
        </w:rPr>
        <w:t>.</w:t>
      </w:r>
      <w:r>
        <w:rPr>
          <w:snapToGrid w:val="0"/>
          <w:szCs w:val="22"/>
        </w:rPr>
        <w:tab/>
        <w:t>Chairman</w:t>
      </w:r>
      <w:r>
        <w:tab/>
      </w:r>
      <w:r>
        <w:fldChar w:fldCharType="begin"/>
      </w:r>
      <w:r>
        <w:instrText xml:space="preserve"> PAGEREF _Toc165699428 \h </w:instrText>
      </w:r>
      <w:r>
        <w:fldChar w:fldCharType="separate"/>
      </w:r>
      <w:r>
        <w:t>69</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_Toc165699429 \h </w:instrText>
      </w:r>
      <w:r>
        <w:fldChar w:fldCharType="separate"/>
      </w:r>
      <w:r>
        <w:t>69</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_Toc165699430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Voting</w:t>
      </w:r>
      <w:r>
        <w:tab/>
      </w:r>
      <w:r>
        <w:fldChar w:fldCharType="begin"/>
      </w:r>
      <w:r>
        <w:instrText xml:space="preserve"> PAGEREF _Toc165699431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Records</w:t>
      </w:r>
      <w:r>
        <w:tab/>
      </w:r>
      <w:r>
        <w:fldChar w:fldCharType="begin"/>
      </w:r>
      <w:r>
        <w:instrText xml:space="preserve"> PAGEREF _Toc165699432 \h </w:instrText>
      </w:r>
      <w:r>
        <w:fldChar w:fldCharType="separate"/>
      </w:r>
      <w:r>
        <w:t>70</w:t>
      </w:r>
      <w:r>
        <w:fldChar w:fldCharType="end"/>
      </w:r>
    </w:p>
    <w:p>
      <w:pPr>
        <w:pStyle w:val="TOC8"/>
        <w:rPr>
          <w:sz w:val="24"/>
          <w:szCs w:val="24"/>
        </w:rPr>
      </w:pPr>
      <w:r>
        <w:rPr>
          <w:szCs w:val="22"/>
        </w:rPr>
        <w:t>6</w:t>
      </w:r>
      <w:r>
        <w:rPr>
          <w:snapToGrid w:val="0"/>
          <w:szCs w:val="22"/>
        </w:rPr>
        <w:t>.</w:t>
      </w:r>
      <w:r>
        <w:rPr>
          <w:snapToGrid w:val="0"/>
          <w:szCs w:val="22"/>
        </w:rPr>
        <w:tab/>
        <w:t>Validity of proceedings</w:t>
      </w:r>
      <w:r>
        <w:tab/>
      </w:r>
      <w:r>
        <w:fldChar w:fldCharType="begin"/>
      </w:r>
      <w:r>
        <w:instrText xml:space="preserve"> PAGEREF _Toc165699433 \h </w:instrText>
      </w:r>
      <w:r>
        <w:fldChar w:fldCharType="separate"/>
      </w:r>
      <w:r>
        <w:t>70</w:t>
      </w:r>
      <w:r>
        <w:fldChar w:fldCharType="end"/>
      </w:r>
    </w:p>
    <w:p>
      <w:pPr>
        <w:pStyle w:val="TOC8"/>
        <w:rPr>
          <w:sz w:val="24"/>
          <w:szCs w:val="24"/>
        </w:rPr>
      </w:pPr>
      <w:r>
        <w:rPr>
          <w:szCs w:val="22"/>
        </w:rPr>
        <w:t>7</w:t>
      </w:r>
      <w:r>
        <w:rPr>
          <w:snapToGrid w:val="0"/>
          <w:szCs w:val="22"/>
        </w:rPr>
        <w:t>.</w:t>
      </w:r>
      <w:r>
        <w:rPr>
          <w:snapToGrid w:val="0"/>
          <w:szCs w:val="22"/>
        </w:rPr>
        <w:tab/>
        <w:t>Interests</w:t>
      </w:r>
      <w:r>
        <w:tab/>
      </w:r>
      <w:r>
        <w:fldChar w:fldCharType="begin"/>
      </w:r>
      <w:r>
        <w:instrText xml:space="preserve"> PAGEREF _Toc165699434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Disputes</w:t>
      </w:r>
      <w:r>
        <w:tab/>
      </w:r>
      <w:r>
        <w:fldChar w:fldCharType="begin"/>
      </w:r>
      <w:r>
        <w:instrText xml:space="preserve"> PAGEREF _Toc165699435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Procedure</w:t>
      </w:r>
      <w:r>
        <w:tab/>
      </w:r>
      <w:r>
        <w:fldChar w:fldCharType="begin"/>
      </w:r>
      <w:r>
        <w:instrText xml:space="preserve"> PAGEREF _Toc165699436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_Toc165699438 \h </w:instrText>
      </w:r>
      <w:r>
        <w:fldChar w:fldCharType="separate"/>
      </w:r>
      <w:r>
        <w:t>71</w:t>
      </w:r>
      <w:r>
        <w:fldChar w:fldCharType="end"/>
      </w:r>
    </w:p>
    <w:p>
      <w:pPr>
        <w:pStyle w:val="TOC8"/>
        <w:rPr>
          <w:sz w:val="24"/>
        </w:rPr>
      </w:pPr>
      <w:r>
        <w:rPr>
          <w:snapToGrid w:val="0"/>
        </w:rPr>
        <w:tab/>
        <w:t>Provisions that have not come into operation</w:t>
      </w:r>
      <w:r>
        <w:tab/>
      </w:r>
      <w:r>
        <w:fldChar w:fldCharType="begin"/>
      </w:r>
      <w:r>
        <w:instrText xml:space="preserve"> PAGEREF _Toc165699439 \h </w:instrText>
      </w:r>
      <w:r>
        <w:fldChar w:fldCharType="separate"/>
      </w:r>
      <w:r>
        <w:t>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April 2007</w:t>
            </w:r>
          </w:p>
        </w:tc>
      </w:tr>
    </w:tbl>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2" w:name="_Toc13120132"/>
      <w:bookmarkStart w:id="3" w:name="_Toc131480262"/>
      <w:bookmarkStart w:id="4" w:name="_Toc16569935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5" w:name="_Toc13120133"/>
      <w:bookmarkStart w:id="6" w:name="_Toc131480263"/>
      <w:bookmarkStart w:id="7" w:name="_Toc16569935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13120134"/>
      <w:bookmarkStart w:id="9" w:name="_Toc131480264"/>
      <w:bookmarkStart w:id="10" w:name="_Toc165699357"/>
      <w:r>
        <w:rPr>
          <w:rStyle w:val="CharSectno"/>
        </w:rPr>
        <w:t>3</w:t>
      </w:r>
      <w:r>
        <w:rPr>
          <w:snapToGrid w:val="0"/>
        </w:rPr>
        <w:t>.</w:t>
      </w:r>
      <w:r>
        <w:rPr>
          <w:snapToGrid w:val="0"/>
        </w:rPr>
        <w:tab/>
      </w:r>
      <w:bookmarkEnd w:id="8"/>
      <w:bookmarkEnd w:id="9"/>
      <w:r>
        <w:rPr>
          <w:snapToGrid w:val="0"/>
        </w:rPr>
        <w:t>Terms used in this Act</w:t>
      </w:r>
      <w:bookmarkEnd w:id="10"/>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w:t>
      </w:r>
    </w:p>
    <w:p>
      <w:pPr>
        <w:pStyle w:val="Heading5"/>
        <w:tabs>
          <w:tab w:val="left" w:pos="1440"/>
          <w:tab w:val="left" w:pos="2160"/>
          <w:tab w:val="left" w:pos="2880"/>
          <w:tab w:val="left" w:pos="3600"/>
          <w:tab w:val="left" w:pos="4320"/>
          <w:tab w:val="left" w:pos="5760"/>
        </w:tabs>
        <w:rPr>
          <w:snapToGrid w:val="0"/>
        </w:rPr>
      </w:pPr>
      <w:bookmarkStart w:id="11" w:name="_Toc13120135"/>
      <w:bookmarkStart w:id="12" w:name="_Toc131480265"/>
      <w:bookmarkStart w:id="13" w:name="_Toc165699358"/>
      <w:r>
        <w:rPr>
          <w:rStyle w:val="CharSectno"/>
        </w:rPr>
        <w:t>4</w:t>
      </w:r>
      <w:r>
        <w:rPr>
          <w:snapToGrid w:val="0"/>
        </w:rPr>
        <w:t>.</w:t>
      </w:r>
      <w:r>
        <w:rPr>
          <w:snapToGrid w:val="0"/>
        </w:rPr>
        <w:tab/>
        <w:t>Repeal and transitional provisions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4" w:name="_Toc13120136"/>
      <w:bookmarkStart w:id="15" w:name="_Toc131480266"/>
      <w:bookmarkStart w:id="16" w:name="_Toc165699359"/>
      <w:r>
        <w:rPr>
          <w:rStyle w:val="CharSectno"/>
        </w:rPr>
        <w:t>5</w:t>
      </w:r>
      <w:r>
        <w:rPr>
          <w:snapToGrid w:val="0"/>
        </w:rPr>
        <w:t>.</w:t>
      </w:r>
      <w:r>
        <w:rPr>
          <w:snapToGrid w:val="0"/>
        </w:rPr>
        <w:tab/>
        <w:t>Construction of this Act</w:t>
      </w:r>
      <w:bookmarkEnd w:id="14"/>
      <w:bookmarkEnd w:id="15"/>
      <w:bookmarkEnd w:id="1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7" w:name="_Toc13120137"/>
      <w:bookmarkStart w:id="18" w:name="_Toc131480267"/>
      <w:bookmarkStart w:id="19" w:name="_Toc165699360"/>
      <w:r>
        <w:rPr>
          <w:rStyle w:val="CharSectno"/>
        </w:rPr>
        <w:t>6</w:t>
      </w:r>
      <w:r>
        <w:rPr>
          <w:snapToGrid w:val="0"/>
        </w:rPr>
        <w:t>.</w:t>
      </w:r>
      <w:r>
        <w:rPr>
          <w:snapToGrid w:val="0"/>
        </w:rPr>
        <w:tab/>
        <w:t>Crown bound</w:t>
      </w:r>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13120138"/>
      <w:bookmarkStart w:id="21" w:name="_Toc131480268"/>
      <w:bookmarkStart w:id="22" w:name="_Toc165699361"/>
      <w:r>
        <w:rPr>
          <w:rStyle w:val="CharSectno"/>
        </w:rPr>
        <w:t>7</w:t>
      </w:r>
      <w:r>
        <w:rPr>
          <w:snapToGrid w:val="0"/>
        </w:rPr>
        <w:t>.</w:t>
      </w:r>
      <w:r>
        <w:rPr>
          <w:snapToGrid w:val="0"/>
        </w:rPr>
        <w:tab/>
        <w:t>Saving of rights at law</w:t>
      </w:r>
      <w:bookmarkEnd w:id="20"/>
      <w:bookmarkEnd w:id="21"/>
      <w:bookmarkEnd w:id="2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3" w:name="_Toc13120139"/>
      <w:bookmarkStart w:id="24" w:name="_Toc131480269"/>
      <w:bookmarkStart w:id="25" w:name="_Toc165699362"/>
      <w:r>
        <w:rPr>
          <w:rStyle w:val="CharSectno"/>
        </w:rPr>
        <w:t>8</w:t>
      </w:r>
      <w:r>
        <w:rPr>
          <w:snapToGrid w:val="0"/>
        </w:rPr>
        <w:t>.</w:t>
      </w:r>
      <w:r>
        <w:rPr>
          <w:snapToGrid w:val="0"/>
        </w:rPr>
        <w:tab/>
        <w:t>Exemptions</w:t>
      </w:r>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6" w:name="_Toc13120140"/>
      <w:bookmarkStart w:id="27" w:name="_Toc131480270"/>
      <w:bookmarkStart w:id="28" w:name="_Toc165699363"/>
      <w:r>
        <w:rPr>
          <w:rStyle w:val="CharSectno"/>
        </w:rPr>
        <w:t>9</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9" w:name="_Toc13120141"/>
      <w:bookmarkStart w:id="30" w:name="_Toc131480271"/>
      <w:bookmarkStart w:id="31" w:name="_Toc165699364"/>
      <w:r>
        <w:rPr>
          <w:rStyle w:val="CharSectno"/>
        </w:rPr>
        <w:t>10</w:t>
      </w:r>
      <w:r>
        <w:rPr>
          <w:snapToGrid w:val="0"/>
        </w:rPr>
        <w:t>.</w:t>
      </w:r>
      <w:r>
        <w:rPr>
          <w:snapToGrid w:val="0"/>
        </w:rPr>
        <w:tab/>
        <w:t>Management areas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32" w:name="_Toc13120142"/>
      <w:bookmarkStart w:id="33" w:name="_Toc131480272"/>
      <w:bookmarkStart w:id="34" w:name="_Toc165699365"/>
      <w:r>
        <w:rPr>
          <w:rStyle w:val="CharSectno"/>
        </w:rPr>
        <w:t>11</w:t>
      </w:r>
      <w:r>
        <w:rPr>
          <w:snapToGrid w:val="0"/>
        </w:rPr>
        <w:t>.</w:t>
      </w:r>
      <w:r>
        <w:rPr>
          <w:snapToGrid w:val="0"/>
        </w:rPr>
        <w:tab/>
        <w:t>Rivers and Estuaries Council</w:t>
      </w:r>
      <w:bookmarkEnd w:id="32"/>
      <w:bookmarkEnd w:id="33"/>
      <w:bookmarkEnd w:id="34"/>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5" w:name="_Toc13120143"/>
      <w:bookmarkStart w:id="36" w:name="_Toc131480273"/>
      <w:bookmarkStart w:id="37" w:name="_Toc165699366"/>
      <w:r>
        <w:rPr>
          <w:rStyle w:val="CharSectno"/>
        </w:rPr>
        <w:t>11A</w:t>
      </w:r>
      <w:r>
        <w:rPr>
          <w:snapToGrid w:val="0"/>
        </w:rPr>
        <w:t>.</w:t>
      </w:r>
      <w:r>
        <w:rPr>
          <w:snapToGrid w:val="0"/>
        </w:rPr>
        <w:tab/>
        <w:t>Functions of the Council</w:t>
      </w:r>
      <w:bookmarkEnd w:id="35"/>
      <w:bookmarkEnd w:id="36"/>
      <w:bookmarkEnd w:id="37"/>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8" w:name="_Toc13120144"/>
      <w:bookmarkStart w:id="39" w:name="_Toc131480274"/>
      <w:bookmarkStart w:id="40" w:name="_Toc165699367"/>
      <w:r>
        <w:rPr>
          <w:rStyle w:val="CharSectno"/>
        </w:rPr>
        <w:t>12</w:t>
      </w:r>
      <w:r>
        <w:rPr>
          <w:snapToGrid w:val="0"/>
        </w:rPr>
        <w:t>.</w:t>
      </w:r>
      <w:r>
        <w:rPr>
          <w:snapToGrid w:val="0"/>
        </w:rPr>
        <w:tab/>
        <w:t>Administration of this Act</w:t>
      </w:r>
      <w:bookmarkEnd w:id="38"/>
      <w:bookmarkEnd w:id="39"/>
      <w:bookmarkEnd w:id="40"/>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1" w:name="_Toc13120145"/>
      <w:bookmarkStart w:id="42" w:name="_Toc131480275"/>
      <w:bookmarkStart w:id="43" w:name="_Toc165699368"/>
      <w:r>
        <w:rPr>
          <w:rStyle w:val="CharSectno"/>
        </w:rPr>
        <w:t>14</w:t>
      </w:r>
      <w:r>
        <w:rPr>
          <w:snapToGrid w:val="0"/>
        </w:rPr>
        <w:t>.</w:t>
      </w:r>
      <w:r>
        <w:rPr>
          <w:snapToGrid w:val="0"/>
        </w:rPr>
        <w:tab/>
        <w:t>Management Authorities</w:t>
      </w:r>
      <w:bookmarkEnd w:id="41"/>
      <w:bookmarkEnd w:id="42"/>
      <w:bookmarkEnd w:id="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4" w:name="_Toc13120146"/>
      <w:bookmarkStart w:id="45" w:name="_Toc131480276"/>
      <w:bookmarkStart w:id="46" w:name="_Toc165699369"/>
      <w:r>
        <w:rPr>
          <w:rStyle w:val="CharSectno"/>
        </w:rPr>
        <w:t>15</w:t>
      </w:r>
      <w:r>
        <w:rPr>
          <w:snapToGrid w:val="0"/>
        </w:rPr>
        <w:t>.</w:t>
      </w:r>
      <w:r>
        <w:rPr>
          <w:snapToGrid w:val="0"/>
        </w:rPr>
        <w:tab/>
        <w:t>Disputes</w:t>
      </w:r>
      <w:bookmarkEnd w:id="44"/>
      <w:bookmarkEnd w:id="45"/>
      <w:bookmarkEnd w:id="46"/>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7" w:name="_Toc13120147"/>
      <w:bookmarkStart w:id="48" w:name="_Toc131480277"/>
      <w:bookmarkStart w:id="49" w:name="_Toc165699370"/>
      <w:r>
        <w:rPr>
          <w:rStyle w:val="CharSectno"/>
        </w:rPr>
        <w:t>16</w:t>
      </w:r>
      <w:r>
        <w:rPr>
          <w:snapToGrid w:val="0"/>
        </w:rPr>
        <w:t>.</w:t>
      </w:r>
      <w:r>
        <w:rPr>
          <w:snapToGrid w:val="0"/>
        </w:rPr>
        <w:tab/>
        <w:t>Tenure of office</w:t>
      </w:r>
      <w:bookmarkEnd w:id="47"/>
      <w:bookmarkEnd w:id="48"/>
      <w:bookmarkEnd w:id="49"/>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50" w:name="_Toc13120148"/>
      <w:bookmarkStart w:id="51" w:name="_Toc131480278"/>
      <w:bookmarkStart w:id="52" w:name="_Toc165699371"/>
      <w:r>
        <w:rPr>
          <w:rStyle w:val="CharSectno"/>
        </w:rPr>
        <w:t>17</w:t>
      </w:r>
      <w:r>
        <w:rPr>
          <w:snapToGrid w:val="0"/>
        </w:rPr>
        <w:t>.</w:t>
      </w:r>
      <w:r>
        <w:rPr>
          <w:snapToGrid w:val="0"/>
        </w:rPr>
        <w:tab/>
        <w:t>Disqualifications</w:t>
      </w:r>
      <w:bookmarkEnd w:id="50"/>
      <w:bookmarkEnd w:id="51"/>
      <w:bookmarkEnd w:id="52"/>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3" w:name="_Toc13120149"/>
      <w:bookmarkStart w:id="54" w:name="_Toc131480279"/>
      <w:bookmarkStart w:id="55" w:name="_Toc165699372"/>
      <w:r>
        <w:rPr>
          <w:rStyle w:val="CharSectno"/>
        </w:rPr>
        <w:t>18</w:t>
      </w:r>
      <w:r>
        <w:rPr>
          <w:snapToGrid w:val="0"/>
        </w:rPr>
        <w:t>.</w:t>
      </w:r>
      <w:r>
        <w:rPr>
          <w:snapToGrid w:val="0"/>
        </w:rPr>
        <w:tab/>
        <w:t>Remuneration of Authority members</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6" w:name="_Toc13120150"/>
      <w:bookmarkStart w:id="57" w:name="_Toc131480280"/>
      <w:bookmarkStart w:id="58" w:name="_Toc165699373"/>
      <w:r>
        <w:rPr>
          <w:rStyle w:val="CharSectno"/>
        </w:rPr>
        <w:t>19</w:t>
      </w:r>
      <w:r>
        <w:rPr>
          <w:snapToGrid w:val="0"/>
        </w:rPr>
        <w:t>.</w:t>
      </w:r>
      <w:r>
        <w:rPr>
          <w:snapToGrid w:val="0"/>
        </w:rPr>
        <w:tab/>
        <w:t>Deputies and acting members</w:t>
      </w:r>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9" w:name="_Toc13120151"/>
      <w:bookmarkStart w:id="60" w:name="_Toc131480281"/>
      <w:bookmarkStart w:id="61" w:name="_Toc165699374"/>
      <w:r>
        <w:rPr>
          <w:rStyle w:val="CharSectno"/>
        </w:rPr>
        <w:t>20</w:t>
      </w:r>
      <w:r>
        <w:rPr>
          <w:snapToGrid w:val="0"/>
        </w:rPr>
        <w:t>.</w:t>
      </w:r>
      <w:r>
        <w:rPr>
          <w:snapToGrid w:val="0"/>
        </w:rPr>
        <w:tab/>
        <w:t xml:space="preserve">Application of </w:t>
      </w:r>
      <w:r>
        <w:rPr>
          <w:i/>
          <w:snapToGrid w:val="0"/>
        </w:rPr>
        <w:t>Public Sector Management Act 1994</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2" w:name="_Toc13120152"/>
      <w:bookmarkStart w:id="63" w:name="_Toc131480282"/>
      <w:bookmarkStart w:id="64" w:name="_Toc165699375"/>
      <w:r>
        <w:rPr>
          <w:rStyle w:val="CharSectno"/>
        </w:rPr>
        <w:t>21</w:t>
      </w:r>
      <w:r>
        <w:rPr>
          <w:snapToGrid w:val="0"/>
        </w:rPr>
        <w:t>.</w:t>
      </w:r>
      <w:r>
        <w:rPr>
          <w:snapToGrid w:val="0"/>
        </w:rPr>
        <w:tab/>
        <w:t>Committees</w:t>
      </w:r>
      <w:bookmarkEnd w:id="62"/>
      <w:bookmarkEnd w:id="63"/>
      <w:bookmarkEnd w:id="64"/>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5" w:name="_Toc13120153"/>
      <w:bookmarkStart w:id="66" w:name="_Toc131480283"/>
      <w:bookmarkStart w:id="67" w:name="_Toc165699376"/>
      <w:r>
        <w:rPr>
          <w:rStyle w:val="CharSectno"/>
        </w:rPr>
        <w:t>22</w:t>
      </w:r>
      <w:r>
        <w:rPr>
          <w:snapToGrid w:val="0"/>
        </w:rPr>
        <w:t>.</w:t>
      </w:r>
      <w:r>
        <w:rPr>
          <w:snapToGrid w:val="0"/>
        </w:rPr>
        <w:tab/>
        <w:t>Delegation</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8" w:name="_Toc13120154"/>
      <w:bookmarkStart w:id="69" w:name="_Toc131480284"/>
      <w:bookmarkStart w:id="70" w:name="_Toc165699377"/>
      <w:r>
        <w:rPr>
          <w:rStyle w:val="CharSectno"/>
        </w:rPr>
        <w:t>23</w:t>
      </w:r>
      <w:r>
        <w:rPr>
          <w:snapToGrid w:val="0"/>
        </w:rPr>
        <w:t>.</w:t>
      </w:r>
      <w:r>
        <w:rPr>
          <w:snapToGrid w:val="0"/>
        </w:rPr>
        <w:tab/>
        <w:t>Duty of the Commission</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71" w:name="_Toc13120155"/>
      <w:bookmarkStart w:id="72" w:name="_Toc131480285"/>
      <w:bookmarkStart w:id="73" w:name="_Toc165699378"/>
      <w:r>
        <w:rPr>
          <w:rStyle w:val="CharSectno"/>
        </w:rPr>
        <w:t>24</w:t>
      </w:r>
      <w:r>
        <w:rPr>
          <w:snapToGrid w:val="0"/>
        </w:rPr>
        <w:t>.</w:t>
      </w:r>
      <w:r>
        <w:rPr>
          <w:snapToGrid w:val="0"/>
        </w:rPr>
        <w:tab/>
        <w:t>Functions of the Commission</w:t>
      </w:r>
      <w:bookmarkEnd w:id="71"/>
      <w:bookmarkEnd w:id="72"/>
      <w:bookmarkEnd w:id="73"/>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4" w:name="_Toc13120156"/>
      <w:bookmarkStart w:id="75" w:name="_Toc131480286"/>
      <w:bookmarkStart w:id="76" w:name="_Toc165699379"/>
      <w:r>
        <w:rPr>
          <w:rStyle w:val="CharSectno"/>
        </w:rPr>
        <w:t>25</w:t>
      </w:r>
      <w:r>
        <w:rPr>
          <w:snapToGrid w:val="0"/>
        </w:rPr>
        <w:t>.</w:t>
      </w:r>
      <w:r>
        <w:rPr>
          <w:snapToGrid w:val="0"/>
        </w:rPr>
        <w:tab/>
        <w:t>Powers of the Commission</w:t>
      </w:r>
      <w:bookmarkEnd w:id="74"/>
      <w:bookmarkEnd w:id="75"/>
      <w:bookmarkEnd w:id="76"/>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7" w:name="_Toc13120157"/>
      <w:bookmarkStart w:id="78" w:name="_Toc131480287"/>
      <w:bookmarkStart w:id="79" w:name="_Toc165699380"/>
      <w:r>
        <w:rPr>
          <w:rStyle w:val="CharSectno"/>
        </w:rPr>
        <w:t>26</w:t>
      </w:r>
      <w:r>
        <w:rPr>
          <w:snapToGrid w:val="0"/>
        </w:rPr>
        <w:t>.</w:t>
      </w:r>
      <w:r>
        <w:rPr>
          <w:snapToGrid w:val="0"/>
        </w:rPr>
        <w:tab/>
        <w:t>Duty of a Management Authority</w:t>
      </w:r>
      <w:bookmarkEnd w:id="77"/>
      <w:bookmarkEnd w:id="78"/>
      <w:bookmarkEnd w:id="79"/>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80" w:name="_Toc13120158"/>
      <w:bookmarkStart w:id="81" w:name="_Toc131480288"/>
      <w:bookmarkStart w:id="82" w:name="_Toc165699381"/>
      <w:r>
        <w:rPr>
          <w:rStyle w:val="CharSectno"/>
        </w:rPr>
        <w:t>27</w:t>
      </w:r>
      <w:r>
        <w:rPr>
          <w:snapToGrid w:val="0"/>
        </w:rPr>
        <w:t>.</w:t>
      </w:r>
      <w:r>
        <w:rPr>
          <w:snapToGrid w:val="0"/>
        </w:rPr>
        <w:tab/>
        <w:t>Functions of a Management Authority</w:t>
      </w:r>
      <w:bookmarkEnd w:id="80"/>
      <w:bookmarkEnd w:id="81"/>
      <w:bookmarkEnd w:id="82"/>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3" w:name="_Toc13120159"/>
      <w:bookmarkStart w:id="84" w:name="_Toc131480289"/>
      <w:bookmarkStart w:id="85" w:name="_Toc165699382"/>
      <w:r>
        <w:rPr>
          <w:rStyle w:val="CharSectno"/>
        </w:rPr>
        <w:t>28</w:t>
      </w:r>
      <w:r>
        <w:rPr>
          <w:snapToGrid w:val="0"/>
        </w:rPr>
        <w:t>.</w:t>
      </w:r>
      <w:r>
        <w:rPr>
          <w:snapToGrid w:val="0"/>
        </w:rPr>
        <w:tab/>
        <w:t>Powers of a Management Authority</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6" w:name="_Toc13120160"/>
      <w:bookmarkStart w:id="87" w:name="_Toc131480290"/>
      <w:bookmarkStart w:id="88" w:name="_Toc165699383"/>
      <w:r>
        <w:rPr>
          <w:rStyle w:val="CharSectno"/>
        </w:rPr>
        <w:t>29</w:t>
      </w:r>
      <w:r>
        <w:rPr>
          <w:snapToGrid w:val="0"/>
        </w:rPr>
        <w:t>.</w:t>
      </w:r>
      <w:r>
        <w:rPr>
          <w:snapToGrid w:val="0"/>
        </w:rPr>
        <w:tab/>
        <w:t>Suspension of an Authority, and effect of dissolution and reconstitution</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89" w:name="_Toc13120161"/>
      <w:bookmarkStart w:id="90" w:name="_Toc131480291"/>
      <w:bookmarkStart w:id="91" w:name="_Toc165699384"/>
      <w:r>
        <w:rPr>
          <w:rStyle w:val="CharSectno"/>
        </w:rPr>
        <w:t>30</w:t>
      </w:r>
      <w:r>
        <w:rPr>
          <w:snapToGrid w:val="0"/>
        </w:rPr>
        <w:t>.</w:t>
      </w:r>
      <w:r>
        <w:rPr>
          <w:snapToGrid w:val="0"/>
        </w:rPr>
        <w:tab/>
        <w:t>Continuity of administration</w:t>
      </w:r>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92" w:name="_Toc13120162"/>
      <w:bookmarkStart w:id="93" w:name="_Toc131480292"/>
      <w:bookmarkStart w:id="94" w:name="_Toc165699385"/>
      <w:r>
        <w:rPr>
          <w:rStyle w:val="CharSectno"/>
        </w:rPr>
        <w:t>31</w:t>
      </w:r>
      <w:r>
        <w:rPr>
          <w:snapToGrid w:val="0"/>
        </w:rPr>
        <w:t>.</w:t>
      </w:r>
      <w:r>
        <w:rPr>
          <w:snapToGrid w:val="0"/>
        </w:rPr>
        <w:tab/>
        <w:t>Agreements as to private land</w:t>
      </w:r>
      <w:bookmarkEnd w:id="92"/>
      <w:bookmarkEnd w:id="93"/>
      <w:bookmarkEnd w:id="94"/>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5" w:name="_Toc13120163"/>
      <w:bookmarkStart w:id="96" w:name="_Toc131480293"/>
      <w:bookmarkStart w:id="97" w:name="_Toc165699386"/>
      <w:r>
        <w:rPr>
          <w:rStyle w:val="CharSectno"/>
        </w:rPr>
        <w:t>32</w:t>
      </w:r>
      <w:r>
        <w:rPr>
          <w:snapToGrid w:val="0"/>
        </w:rPr>
        <w:t>.</w:t>
      </w:r>
      <w:r>
        <w:rPr>
          <w:snapToGrid w:val="0"/>
        </w:rPr>
        <w:tab/>
        <w:t>Reserves may be placed under the control of the Commission</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8" w:name="_Toc13120164"/>
      <w:bookmarkStart w:id="99" w:name="_Toc131480294"/>
      <w:bookmarkStart w:id="100" w:name="_Toc165699387"/>
      <w:r>
        <w:rPr>
          <w:rStyle w:val="CharSectno"/>
        </w:rPr>
        <w:t>33</w:t>
      </w:r>
      <w:r>
        <w:rPr>
          <w:snapToGrid w:val="0"/>
        </w:rPr>
        <w:t>.</w:t>
      </w:r>
      <w:r>
        <w:rPr>
          <w:snapToGrid w:val="0"/>
        </w:rPr>
        <w:tab/>
        <w:t>Local government consultations, and initiatives</w:t>
      </w:r>
      <w:bookmarkEnd w:id="98"/>
      <w:bookmarkEnd w:id="99"/>
      <w:bookmarkEnd w:id="100"/>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1" w:name="_Toc13120165"/>
      <w:bookmarkStart w:id="102" w:name="_Toc131480295"/>
      <w:bookmarkStart w:id="103" w:name="_Toc165699388"/>
      <w:r>
        <w:rPr>
          <w:rStyle w:val="CharSectno"/>
        </w:rPr>
        <w:t>34</w:t>
      </w:r>
      <w:r>
        <w:rPr>
          <w:snapToGrid w:val="0"/>
        </w:rPr>
        <w:t>.</w:t>
      </w:r>
      <w:r>
        <w:rPr>
          <w:snapToGrid w:val="0"/>
        </w:rPr>
        <w:tab/>
        <w:t>Agreements for joint action</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04" w:name="_Toc13120166"/>
      <w:bookmarkStart w:id="105" w:name="_Toc131480296"/>
      <w:bookmarkStart w:id="106" w:name="_Toc165699389"/>
      <w:r>
        <w:rPr>
          <w:rStyle w:val="CharSectno"/>
        </w:rPr>
        <w:t>35</w:t>
      </w:r>
      <w:r>
        <w:rPr>
          <w:snapToGrid w:val="0"/>
        </w:rPr>
        <w:t>.</w:t>
      </w:r>
      <w:r>
        <w:rPr>
          <w:snapToGrid w:val="0"/>
        </w:rPr>
        <w:tab/>
        <w:t>Management programmes</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07" w:name="_Toc13120167"/>
      <w:bookmarkStart w:id="108" w:name="_Toc131480297"/>
      <w:bookmarkStart w:id="109" w:name="_Toc165699390"/>
      <w:r>
        <w:rPr>
          <w:rStyle w:val="CharSectno"/>
        </w:rPr>
        <w:t>36</w:t>
      </w:r>
      <w:r>
        <w:rPr>
          <w:snapToGrid w:val="0"/>
        </w:rPr>
        <w:t>.</w:t>
      </w:r>
      <w:r>
        <w:rPr>
          <w:snapToGrid w:val="0"/>
        </w:rPr>
        <w:tab/>
        <w:t>Town planning referrals</w:t>
      </w:r>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10" w:name="_Toc13120168"/>
      <w:bookmarkStart w:id="111" w:name="_Toc131480298"/>
      <w:bookmarkStart w:id="112" w:name="_Toc165699391"/>
      <w:r>
        <w:rPr>
          <w:rStyle w:val="CharSectno"/>
        </w:rPr>
        <w:t>37</w:t>
      </w:r>
      <w:r>
        <w:rPr>
          <w:snapToGrid w:val="0"/>
        </w:rPr>
        <w:t>.</w:t>
      </w:r>
      <w:r>
        <w:rPr>
          <w:snapToGrid w:val="0"/>
        </w:rPr>
        <w:tab/>
        <w:t>Ministerial referrals</w:t>
      </w:r>
      <w:bookmarkEnd w:id="110"/>
      <w:bookmarkEnd w:id="111"/>
      <w:bookmarkEnd w:id="112"/>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3" w:name="_Toc13120169"/>
      <w:bookmarkStart w:id="114" w:name="_Toc131480299"/>
      <w:bookmarkStart w:id="115" w:name="_Toc165699392"/>
      <w:r>
        <w:rPr>
          <w:rStyle w:val="CharSectno"/>
        </w:rPr>
        <w:t>38</w:t>
      </w:r>
      <w:r>
        <w:rPr>
          <w:snapToGrid w:val="0"/>
        </w:rPr>
        <w:t>.</w:t>
      </w:r>
      <w:r>
        <w:rPr>
          <w:snapToGrid w:val="0"/>
        </w:rPr>
        <w:tab/>
        <w:t>Public referrals</w:t>
      </w:r>
      <w:bookmarkEnd w:id="113"/>
      <w:bookmarkEnd w:id="114"/>
      <w:bookmarkEnd w:id="115"/>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6" w:name="_Toc13120170"/>
      <w:bookmarkStart w:id="117" w:name="_Toc131480300"/>
      <w:bookmarkStart w:id="118" w:name="_Toc165699393"/>
      <w:r>
        <w:rPr>
          <w:rStyle w:val="CharSectno"/>
        </w:rPr>
        <w:t>39</w:t>
      </w:r>
      <w:r>
        <w:rPr>
          <w:snapToGrid w:val="0"/>
        </w:rPr>
        <w:t>.</w:t>
      </w:r>
      <w:r>
        <w:rPr>
          <w:snapToGrid w:val="0"/>
        </w:rPr>
        <w:tab/>
        <w:t>Staff</w:t>
      </w:r>
      <w:bookmarkEnd w:id="116"/>
      <w:bookmarkEnd w:id="117"/>
      <w:bookmarkEnd w:id="1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19" w:name="_Toc13120171"/>
      <w:bookmarkStart w:id="120" w:name="_Toc131480301"/>
      <w:bookmarkStart w:id="121" w:name="_Toc165699394"/>
      <w:r>
        <w:rPr>
          <w:rStyle w:val="CharSectno"/>
        </w:rPr>
        <w:t>42</w:t>
      </w:r>
      <w:r>
        <w:rPr>
          <w:snapToGrid w:val="0"/>
        </w:rPr>
        <w:t>.</w:t>
      </w:r>
      <w:r>
        <w:rPr>
          <w:snapToGrid w:val="0"/>
        </w:rPr>
        <w:tab/>
        <w:t>Funds of the Management Authorities</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2" w:name="_Toc13120172"/>
      <w:bookmarkStart w:id="123" w:name="_Toc131480302"/>
      <w:bookmarkStart w:id="124" w:name="_Toc165699395"/>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22"/>
      <w:bookmarkEnd w:id="123"/>
      <w:bookmarkEnd w:id="124"/>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25" w:name="_Toc13120173"/>
      <w:bookmarkStart w:id="126" w:name="_Toc131480303"/>
      <w:bookmarkStart w:id="127" w:name="_Toc165699396"/>
      <w:r>
        <w:rPr>
          <w:rStyle w:val="CharSectno"/>
        </w:rPr>
        <w:t>45</w:t>
      </w:r>
      <w:r>
        <w:rPr>
          <w:snapToGrid w:val="0"/>
        </w:rPr>
        <w:t>.</w:t>
      </w:r>
      <w:r>
        <w:rPr>
          <w:snapToGrid w:val="0"/>
        </w:rPr>
        <w:tab/>
        <w:t>Exemption from personal liability</w:t>
      </w:r>
      <w:bookmarkEnd w:id="125"/>
      <w:bookmarkEnd w:id="126"/>
      <w:bookmarkEnd w:id="127"/>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8" w:name="_Toc13120174"/>
      <w:bookmarkStart w:id="129" w:name="_Toc131480304"/>
      <w:bookmarkStart w:id="130" w:name="_Toc165699397"/>
      <w:r>
        <w:rPr>
          <w:rStyle w:val="CharSectno"/>
        </w:rPr>
        <w:t>46</w:t>
      </w:r>
      <w:r>
        <w:rPr>
          <w:snapToGrid w:val="0"/>
        </w:rPr>
        <w:t>.</w:t>
      </w:r>
      <w:r>
        <w:rPr>
          <w:snapToGrid w:val="0"/>
        </w:rPr>
        <w:tab/>
        <w:t>Licences</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131" w:name="_Toc13120175"/>
      <w:bookmarkStart w:id="132" w:name="_Toc131480305"/>
      <w:bookmarkStart w:id="133" w:name="_Toc165699398"/>
      <w:r>
        <w:rPr>
          <w:rStyle w:val="CharSectno"/>
        </w:rPr>
        <w:t>47</w:t>
      </w:r>
      <w:r>
        <w:rPr>
          <w:snapToGrid w:val="0"/>
        </w:rPr>
        <w:t>.</w:t>
      </w:r>
      <w:r>
        <w:rPr>
          <w:snapToGrid w:val="0"/>
        </w:rPr>
        <w:tab/>
        <w:t>Disposal licences</w:t>
      </w:r>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134" w:name="_Toc13120176"/>
      <w:bookmarkStart w:id="135" w:name="_Toc131480306"/>
      <w:bookmarkStart w:id="136" w:name="_Toc165699399"/>
      <w:r>
        <w:rPr>
          <w:rStyle w:val="CharSectno"/>
        </w:rPr>
        <w:t>48</w:t>
      </w:r>
      <w:r>
        <w:rPr>
          <w:snapToGrid w:val="0"/>
        </w:rPr>
        <w:t>.</w:t>
      </w:r>
      <w:r>
        <w:rPr>
          <w:snapToGrid w:val="0"/>
        </w:rPr>
        <w:tab/>
        <w:t>Control of pollution, and the use of waters</w:t>
      </w:r>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7" w:name="_Toc13120177"/>
      <w:bookmarkStart w:id="138" w:name="_Toc131480307"/>
      <w:bookmarkStart w:id="139" w:name="_Toc165699400"/>
      <w:r>
        <w:rPr>
          <w:rStyle w:val="CharSectno"/>
        </w:rPr>
        <w:t>49</w:t>
      </w:r>
      <w:r>
        <w:rPr>
          <w:snapToGrid w:val="0"/>
        </w:rPr>
        <w:t>.</w:t>
      </w:r>
      <w:r>
        <w:rPr>
          <w:snapToGrid w:val="0"/>
        </w:rPr>
        <w:tab/>
        <w:t>Injunctions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40" w:name="_Toc13120178"/>
      <w:bookmarkStart w:id="141" w:name="_Toc131480308"/>
      <w:bookmarkStart w:id="142" w:name="_Toc165699401"/>
      <w:r>
        <w:rPr>
          <w:rStyle w:val="CharSectno"/>
        </w:rPr>
        <w:t>50</w:t>
      </w:r>
      <w:r>
        <w:rPr>
          <w:snapToGrid w:val="0"/>
        </w:rPr>
        <w:t>.</w:t>
      </w:r>
      <w:r>
        <w:rPr>
          <w:snapToGrid w:val="0"/>
        </w:rPr>
        <w:tab/>
        <w:t>Orders</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3" w:name="_Toc13120179"/>
      <w:bookmarkStart w:id="144" w:name="_Toc131480309"/>
      <w:bookmarkStart w:id="145" w:name="_Toc165699402"/>
      <w:r>
        <w:rPr>
          <w:rStyle w:val="CharSectno"/>
        </w:rPr>
        <w:t>51</w:t>
      </w:r>
      <w:r>
        <w:rPr>
          <w:snapToGrid w:val="0"/>
        </w:rPr>
        <w:t>.</w:t>
      </w:r>
      <w:r>
        <w:rPr>
          <w:snapToGrid w:val="0"/>
        </w:rPr>
        <w:tab/>
        <w:t>Removal of structures</w:t>
      </w:r>
      <w:bookmarkEnd w:id="143"/>
      <w:bookmarkEnd w:id="144"/>
      <w:bookmarkEnd w:id="145"/>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6" w:name="_Toc13120180"/>
      <w:bookmarkStart w:id="147" w:name="_Toc131480310"/>
      <w:bookmarkStart w:id="148" w:name="_Toc165699403"/>
      <w:r>
        <w:rPr>
          <w:rStyle w:val="CharSectno"/>
        </w:rPr>
        <w:t>52</w:t>
      </w:r>
      <w:r>
        <w:rPr>
          <w:snapToGrid w:val="0"/>
        </w:rPr>
        <w:t>.</w:t>
      </w:r>
      <w:r>
        <w:rPr>
          <w:snapToGrid w:val="0"/>
        </w:rPr>
        <w:tab/>
        <w:t>Remedial works</w:t>
      </w:r>
      <w:bookmarkEnd w:id="146"/>
      <w:bookmarkEnd w:id="147"/>
      <w:bookmarkEnd w:id="148"/>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9" w:name="_Toc13120181"/>
      <w:bookmarkStart w:id="150" w:name="_Toc131480311"/>
      <w:bookmarkStart w:id="151" w:name="_Toc165699404"/>
      <w:r>
        <w:rPr>
          <w:rStyle w:val="CharSectno"/>
        </w:rPr>
        <w:t>53</w:t>
      </w:r>
      <w:r>
        <w:rPr>
          <w:snapToGrid w:val="0"/>
        </w:rPr>
        <w:t>.</w:t>
      </w:r>
      <w:r>
        <w:rPr>
          <w:snapToGrid w:val="0"/>
        </w:rPr>
        <w:tab/>
        <w:t>Recovery of expenses</w:t>
      </w:r>
      <w:bookmarkEnd w:id="149"/>
      <w:bookmarkEnd w:id="150"/>
      <w:bookmarkEnd w:id="15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2" w:name="_Toc13120182"/>
      <w:bookmarkStart w:id="153" w:name="_Toc131480312"/>
      <w:bookmarkStart w:id="154" w:name="_Toc165699405"/>
      <w:r>
        <w:rPr>
          <w:rStyle w:val="CharSectno"/>
        </w:rPr>
        <w:t>54</w:t>
      </w:r>
      <w:r>
        <w:rPr>
          <w:snapToGrid w:val="0"/>
        </w:rPr>
        <w:t>.</w:t>
      </w:r>
      <w:r>
        <w:rPr>
          <w:snapToGrid w:val="0"/>
        </w:rPr>
        <w:tab/>
        <w:t>By</w:t>
      </w:r>
      <w:r>
        <w:rPr>
          <w:snapToGrid w:val="0"/>
        </w:rPr>
        <w:noBreakHyphen/>
        <w:t>laws</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5" w:name="_Toc13120183"/>
      <w:bookmarkStart w:id="156" w:name="_Toc131480313"/>
      <w:bookmarkStart w:id="157" w:name="_Toc165699406"/>
      <w:r>
        <w:rPr>
          <w:rStyle w:val="CharSectno"/>
        </w:rPr>
        <w:t>55</w:t>
      </w:r>
      <w:r>
        <w:rPr>
          <w:snapToGrid w:val="0"/>
        </w:rPr>
        <w:t>.</w:t>
      </w:r>
      <w:r>
        <w:rPr>
          <w:snapToGrid w:val="0"/>
        </w:rPr>
        <w:tab/>
        <w:t>General provisions relating to by</w:t>
      </w:r>
      <w:r>
        <w:rPr>
          <w:snapToGrid w:val="0"/>
        </w:rPr>
        <w:noBreakHyphen/>
        <w:t>laws</w:t>
      </w:r>
      <w:bookmarkEnd w:id="155"/>
      <w:bookmarkEnd w:id="156"/>
      <w:bookmarkEnd w:id="157"/>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58" w:name="_Toc13120184"/>
      <w:bookmarkStart w:id="159" w:name="_Toc131480314"/>
      <w:bookmarkStart w:id="160" w:name="_Toc165699407"/>
      <w:r>
        <w:rPr>
          <w:rStyle w:val="CharSectno"/>
        </w:rPr>
        <w:t>56</w:t>
      </w:r>
      <w:r>
        <w:rPr>
          <w:snapToGrid w:val="0"/>
        </w:rPr>
        <w:t>.</w:t>
      </w:r>
      <w:r>
        <w:rPr>
          <w:snapToGrid w:val="0"/>
        </w:rPr>
        <w:tab/>
        <w:t>Local laws</w:t>
      </w:r>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spacing w:before="240"/>
        <w:rPr>
          <w:snapToGrid w:val="0"/>
        </w:rPr>
      </w:pPr>
      <w:bookmarkStart w:id="161" w:name="_Toc13120185"/>
      <w:bookmarkStart w:id="162" w:name="_Toc131480315"/>
      <w:bookmarkStart w:id="163" w:name="_Toc165699408"/>
      <w:r>
        <w:rPr>
          <w:rStyle w:val="CharSectno"/>
        </w:rPr>
        <w:t>57</w:t>
      </w:r>
      <w:r>
        <w:rPr>
          <w:snapToGrid w:val="0"/>
        </w:rPr>
        <w:t>.</w:t>
      </w:r>
      <w:r>
        <w:rPr>
          <w:snapToGrid w:val="0"/>
        </w:rPr>
        <w:tab/>
        <w:t>Inconsistency of by</w:t>
      </w:r>
      <w:r>
        <w:rPr>
          <w:snapToGrid w:val="0"/>
        </w:rPr>
        <w:noBreakHyphen/>
        <w:t>laws with regulations</w:t>
      </w:r>
      <w:bookmarkEnd w:id="161"/>
      <w:bookmarkEnd w:id="162"/>
      <w:bookmarkEnd w:id="163"/>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4" w:name="_Toc13120186"/>
      <w:bookmarkStart w:id="165" w:name="_Toc131480316"/>
      <w:bookmarkStart w:id="166" w:name="_Toc165699409"/>
      <w:r>
        <w:rPr>
          <w:rStyle w:val="CharSectno"/>
        </w:rPr>
        <w:t>58</w:t>
      </w:r>
      <w:r>
        <w:rPr>
          <w:snapToGrid w:val="0"/>
        </w:rPr>
        <w:t>.</w:t>
      </w:r>
      <w:r>
        <w:rPr>
          <w:snapToGrid w:val="0"/>
        </w:rPr>
        <w:tab/>
        <w:t>Revocation of by</w:t>
      </w:r>
      <w:r>
        <w:rPr>
          <w:snapToGrid w:val="0"/>
        </w:rPr>
        <w:noBreakHyphen/>
        <w:t>laws</w:t>
      </w:r>
      <w:bookmarkEnd w:id="164"/>
      <w:bookmarkEnd w:id="165"/>
      <w:bookmarkEnd w:id="166"/>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167" w:name="_Toc13120187"/>
      <w:bookmarkStart w:id="168" w:name="_Toc131480317"/>
      <w:bookmarkStart w:id="169" w:name="_Toc165699410"/>
      <w:r>
        <w:rPr>
          <w:rStyle w:val="CharSectno"/>
        </w:rPr>
        <w:t>59</w:t>
      </w:r>
      <w:r>
        <w:rPr>
          <w:snapToGrid w:val="0"/>
        </w:rPr>
        <w:t>.</w:t>
      </w:r>
      <w:r>
        <w:rPr>
          <w:snapToGrid w:val="0"/>
        </w:rPr>
        <w:tab/>
        <w:t>Public consultation</w:t>
      </w:r>
      <w:bookmarkEnd w:id="167"/>
      <w:bookmarkEnd w:id="168"/>
      <w:bookmarkEnd w:id="169"/>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70" w:name="_Toc13120188"/>
      <w:bookmarkStart w:id="171" w:name="_Toc131480318"/>
      <w:bookmarkStart w:id="172" w:name="_Toc165699411"/>
      <w:r>
        <w:rPr>
          <w:rStyle w:val="CharSectno"/>
        </w:rPr>
        <w:t>61</w:t>
      </w:r>
      <w:r>
        <w:rPr>
          <w:snapToGrid w:val="0"/>
        </w:rPr>
        <w:t>.</w:t>
      </w:r>
      <w:r>
        <w:rPr>
          <w:snapToGrid w:val="0"/>
        </w:rPr>
        <w:tab/>
        <w:t>Inspectors</w:t>
      </w:r>
      <w:bookmarkEnd w:id="170"/>
      <w:bookmarkEnd w:id="171"/>
      <w:bookmarkEnd w:id="172"/>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rPr>
          <w:snapToGrid w:val="0"/>
        </w:rPr>
      </w:pPr>
      <w:bookmarkStart w:id="173" w:name="_Toc13120189"/>
      <w:bookmarkStart w:id="174" w:name="_Toc131480319"/>
      <w:bookmarkStart w:id="175" w:name="_Toc165699412"/>
      <w:r>
        <w:rPr>
          <w:rStyle w:val="CharSectno"/>
        </w:rPr>
        <w:t>62</w:t>
      </w:r>
      <w:r>
        <w:rPr>
          <w:snapToGrid w:val="0"/>
        </w:rPr>
        <w:t>.</w:t>
      </w:r>
      <w:r>
        <w:rPr>
          <w:snapToGrid w:val="0"/>
        </w:rPr>
        <w:tab/>
        <w:t>Honorary wardens</w:t>
      </w:r>
      <w:bookmarkEnd w:id="173"/>
      <w:bookmarkEnd w:id="174"/>
      <w:bookmarkEnd w:id="175"/>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spacing w:before="240"/>
        <w:rPr>
          <w:snapToGrid w:val="0"/>
        </w:rPr>
      </w:pPr>
      <w:bookmarkStart w:id="176" w:name="_Toc13120190"/>
      <w:bookmarkStart w:id="177" w:name="_Toc131480320"/>
      <w:bookmarkStart w:id="178" w:name="_Toc165699413"/>
      <w:r>
        <w:rPr>
          <w:rStyle w:val="CharSectno"/>
        </w:rPr>
        <w:t>63</w:t>
      </w:r>
      <w:r>
        <w:rPr>
          <w:snapToGrid w:val="0"/>
        </w:rPr>
        <w:t>.</w:t>
      </w:r>
      <w:r>
        <w:rPr>
          <w:snapToGrid w:val="0"/>
        </w:rPr>
        <w:tab/>
        <w:t>Powers of inspectors, etc.</w:t>
      </w:r>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9" w:name="_Toc13120191"/>
      <w:bookmarkStart w:id="180" w:name="_Toc131480321"/>
      <w:bookmarkStart w:id="181" w:name="_Toc165699414"/>
      <w:r>
        <w:rPr>
          <w:rStyle w:val="CharSectno"/>
        </w:rPr>
        <w:t>64</w:t>
      </w:r>
      <w:r>
        <w:rPr>
          <w:snapToGrid w:val="0"/>
        </w:rPr>
        <w:t>.</w:t>
      </w:r>
      <w:r>
        <w:rPr>
          <w:snapToGrid w:val="0"/>
        </w:rPr>
        <w:tab/>
        <w:t>Duty of police officers etc.</w:t>
      </w:r>
      <w:bookmarkEnd w:id="179"/>
      <w:bookmarkEnd w:id="180"/>
      <w:bookmarkEnd w:id="181"/>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2" w:name="_Toc13120192"/>
      <w:bookmarkStart w:id="183" w:name="_Toc131480322"/>
      <w:bookmarkStart w:id="184" w:name="_Toc165699415"/>
      <w:r>
        <w:rPr>
          <w:rStyle w:val="CharSectno"/>
        </w:rPr>
        <w:t>65</w:t>
      </w:r>
      <w:r>
        <w:rPr>
          <w:snapToGrid w:val="0"/>
        </w:rPr>
        <w:t>.</w:t>
      </w:r>
      <w:r>
        <w:rPr>
          <w:snapToGrid w:val="0"/>
        </w:rPr>
        <w:tab/>
        <w:t>Persons obstructing execution of this Act</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5" w:name="_Toc13120193"/>
      <w:bookmarkStart w:id="186" w:name="_Toc131480323"/>
      <w:bookmarkStart w:id="187" w:name="_Toc165699416"/>
      <w:r>
        <w:rPr>
          <w:rStyle w:val="CharSectno"/>
        </w:rPr>
        <w:t>66</w:t>
      </w:r>
      <w:r>
        <w:rPr>
          <w:snapToGrid w:val="0"/>
        </w:rPr>
        <w:t>.</w:t>
      </w:r>
      <w:r>
        <w:rPr>
          <w:snapToGrid w:val="0"/>
        </w:rPr>
        <w:tab/>
        <w:t>Secrecy</w:t>
      </w:r>
      <w:bookmarkEnd w:id="185"/>
      <w:bookmarkEnd w:id="186"/>
      <w:bookmarkEnd w:id="187"/>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8" w:name="_Toc13120194"/>
      <w:bookmarkStart w:id="189" w:name="_Toc131480324"/>
      <w:bookmarkStart w:id="190" w:name="_Toc165699417"/>
      <w:r>
        <w:rPr>
          <w:rStyle w:val="CharSectno"/>
        </w:rPr>
        <w:t>67</w:t>
      </w:r>
      <w:r>
        <w:rPr>
          <w:snapToGrid w:val="0"/>
        </w:rPr>
        <w:t>.</w:t>
      </w:r>
      <w:r>
        <w:rPr>
          <w:snapToGrid w:val="0"/>
        </w:rPr>
        <w:tab/>
        <w:t>Appropriation of penalties</w:t>
      </w:r>
      <w:bookmarkEnd w:id="188"/>
      <w:bookmarkEnd w:id="189"/>
      <w:bookmarkEnd w:id="190"/>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1" w:name="_Toc13120195"/>
      <w:bookmarkStart w:id="192" w:name="_Toc131480325"/>
      <w:bookmarkStart w:id="193" w:name="_Toc165699418"/>
      <w:r>
        <w:rPr>
          <w:rStyle w:val="CharSectno"/>
        </w:rPr>
        <w:t>68</w:t>
      </w:r>
      <w:r>
        <w:rPr>
          <w:snapToGrid w:val="0"/>
        </w:rPr>
        <w:t>.</w:t>
      </w:r>
      <w:r>
        <w:rPr>
          <w:snapToGrid w:val="0"/>
        </w:rPr>
        <w:tab/>
        <w:t>Prosecution expenses</w:t>
      </w:r>
      <w:bookmarkEnd w:id="191"/>
      <w:bookmarkEnd w:id="192"/>
      <w:bookmarkEnd w:id="193"/>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4" w:name="_Toc13120196"/>
      <w:bookmarkStart w:id="195" w:name="_Toc131480326"/>
      <w:bookmarkStart w:id="196" w:name="_Toc165699419"/>
      <w:r>
        <w:rPr>
          <w:rStyle w:val="CharSectno"/>
        </w:rPr>
        <w:t>69</w:t>
      </w:r>
      <w:r>
        <w:rPr>
          <w:snapToGrid w:val="0"/>
        </w:rPr>
        <w:t>.</w:t>
      </w:r>
      <w:r>
        <w:rPr>
          <w:snapToGrid w:val="0"/>
        </w:rPr>
        <w:tab/>
        <w:t>Offences generally</w:t>
      </w:r>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7" w:name="_Toc13120197"/>
      <w:bookmarkStart w:id="198" w:name="_Toc131480327"/>
      <w:bookmarkStart w:id="199" w:name="_Toc165699420"/>
      <w:r>
        <w:rPr>
          <w:rStyle w:val="CharSectno"/>
        </w:rPr>
        <w:t>70</w:t>
      </w:r>
      <w:r>
        <w:rPr>
          <w:snapToGrid w:val="0"/>
        </w:rPr>
        <w:t>.</w:t>
      </w:r>
      <w:r>
        <w:rPr>
          <w:snapToGrid w:val="0"/>
        </w:rPr>
        <w:tab/>
        <w:t>General penalty</w:t>
      </w:r>
      <w:bookmarkEnd w:id="197"/>
      <w:bookmarkEnd w:id="198"/>
      <w:bookmarkEnd w:id="19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0" w:name="_Toc13120198"/>
      <w:bookmarkStart w:id="201" w:name="_Toc131480328"/>
      <w:bookmarkStart w:id="202" w:name="_Toc165699421"/>
      <w:r>
        <w:rPr>
          <w:rStyle w:val="CharSectno"/>
        </w:rPr>
        <w:t>71</w:t>
      </w:r>
      <w:r>
        <w:rPr>
          <w:snapToGrid w:val="0"/>
        </w:rPr>
        <w:t>.</w:t>
      </w:r>
      <w:r>
        <w:rPr>
          <w:snapToGrid w:val="0"/>
        </w:rPr>
        <w:tab/>
        <w:t>Proceedings</w:t>
      </w:r>
      <w:bookmarkEnd w:id="200"/>
      <w:bookmarkEnd w:id="201"/>
      <w:bookmarkEnd w:id="20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3" w:name="_Toc13120199"/>
      <w:bookmarkStart w:id="204" w:name="_Toc131480329"/>
      <w:bookmarkStart w:id="205" w:name="_Toc165699422"/>
      <w:r>
        <w:rPr>
          <w:rStyle w:val="CharSectno"/>
        </w:rPr>
        <w:t>72</w:t>
      </w:r>
      <w:r>
        <w:rPr>
          <w:snapToGrid w:val="0"/>
        </w:rPr>
        <w:t>.</w:t>
      </w:r>
      <w:r>
        <w:rPr>
          <w:snapToGrid w:val="0"/>
        </w:rPr>
        <w:tab/>
        <w:t>Liability for the acts of others, etc.</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6" w:name="_Toc13120200"/>
      <w:bookmarkStart w:id="207" w:name="_Toc131480330"/>
      <w:bookmarkStart w:id="208" w:name="_Toc165699423"/>
      <w:r>
        <w:rPr>
          <w:rStyle w:val="CharSectno"/>
        </w:rPr>
        <w:t>73</w:t>
      </w:r>
      <w:r>
        <w:rPr>
          <w:snapToGrid w:val="0"/>
        </w:rPr>
        <w:t>.</w:t>
      </w:r>
      <w:r>
        <w:rPr>
          <w:snapToGrid w:val="0"/>
        </w:rPr>
        <w:tab/>
        <w:t>Offences by bodies corporate</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9" w:name="_Toc13120201"/>
      <w:bookmarkStart w:id="210" w:name="_Toc131480331"/>
      <w:bookmarkStart w:id="211" w:name="_Toc165699424"/>
      <w:r>
        <w:rPr>
          <w:rStyle w:val="CharSectno"/>
        </w:rPr>
        <w:t>74</w:t>
      </w:r>
      <w:r>
        <w:rPr>
          <w:snapToGrid w:val="0"/>
        </w:rPr>
        <w:t>.</w:t>
      </w:r>
      <w:r>
        <w:rPr>
          <w:snapToGrid w:val="0"/>
        </w:rPr>
        <w:tab/>
        <w:t>Recovery of penalty and costs paid</w:t>
      </w:r>
      <w:bookmarkEnd w:id="209"/>
      <w:bookmarkEnd w:id="210"/>
      <w:bookmarkEnd w:id="211"/>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2" w:name="_Toc13120202"/>
      <w:bookmarkStart w:id="213" w:name="_Toc131480332"/>
      <w:bookmarkStart w:id="214" w:name="_Toc165699425"/>
      <w:r>
        <w:rPr>
          <w:rStyle w:val="CharSectno"/>
        </w:rPr>
        <w:t>75</w:t>
      </w:r>
      <w:r>
        <w:rPr>
          <w:snapToGrid w:val="0"/>
        </w:rPr>
        <w:t>.</w:t>
      </w:r>
      <w:r>
        <w:rPr>
          <w:snapToGrid w:val="0"/>
        </w:rPr>
        <w:tab/>
        <w:t>Evidentiary provisions</w:t>
      </w:r>
      <w:bookmarkEnd w:id="212"/>
      <w:bookmarkEnd w:id="213"/>
      <w:bookmarkEnd w:id="214"/>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5" w:name="_Toc13120203"/>
      <w:bookmarkStart w:id="216" w:name="_Toc131480333"/>
      <w:bookmarkStart w:id="217" w:name="_Toc165699426"/>
      <w:r>
        <w:rPr>
          <w:rStyle w:val="CharSectno"/>
        </w:rPr>
        <w:t>76</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218" w:name="_Toc165699427"/>
      <w:r>
        <w:rPr>
          <w:rStyle w:val="CharSchNo"/>
          <w:bCs/>
        </w:rPr>
        <w:t>Schedule</w:t>
      </w:r>
      <w:bookmarkEnd w:id="218"/>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219" w:name="_Toc131480335"/>
      <w:bookmarkStart w:id="220" w:name="_Toc165699428"/>
      <w:r>
        <w:rPr>
          <w:rStyle w:val="CharSClsNo"/>
        </w:rPr>
        <w:t>1</w:t>
      </w:r>
      <w:r>
        <w:rPr>
          <w:snapToGrid w:val="0"/>
        </w:rPr>
        <w:t>.</w:t>
      </w:r>
      <w:r>
        <w:rPr>
          <w:snapToGrid w:val="0"/>
        </w:rPr>
        <w:tab/>
        <w:t>Chairman</w:t>
      </w:r>
      <w:bookmarkEnd w:id="219"/>
      <w:bookmarkEnd w:id="220"/>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221" w:name="_Toc131480336"/>
      <w:bookmarkStart w:id="222" w:name="_Toc165699429"/>
      <w:r>
        <w:rPr>
          <w:rStyle w:val="CharSClsNo"/>
        </w:rPr>
        <w:t>2</w:t>
      </w:r>
      <w:r>
        <w:rPr>
          <w:snapToGrid w:val="0"/>
        </w:rPr>
        <w:t>.</w:t>
      </w:r>
      <w:r>
        <w:rPr>
          <w:snapToGrid w:val="0"/>
        </w:rPr>
        <w:tab/>
        <w:t>Quorum</w:t>
      </w:r>
      <w:bookmarkEnd w:id="221"/>
      <w:bookmarkEnd w:id="222"/>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223" w:name="_Toc131480337"/>
      <w:bookmarkStart w:id="224" w:name="_Toc165699430"/>
      <w:r>
        <w:rPr>
          <w:rStyle w:val="CharSClsNo"/>
        </w:rPr>
        <w:t>3</w:t>
      </w:r>
      <w:r>
        <w:rPr>
          <w:snapToGrid w:val="0"/>
        </w:rPr>
        <w:t>.</w:t>
      </w:r>
      <w:r>
        <w:rPr>
          <w:snapToGrid w:val="0"/>
        </w:rPr>
        <w:tab/>
        <w:t>Meetings</w:t>
      </w:r>
      <w:bookmarkEnd w:id="223"/>
      <w:bookmarkEnd w:id="224"/>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225" w:name="_Toc131480338"/>
      <w:bookmarkStart w:id="226" w:name="_Toc165699431"/>
      <w:r>
        <w:rPr>
          <w:rStyle w:val="CharSClsNo"/>
        </w:rPr>
        <w:t>4</w:t>
      </w:r>
      <w:r>
        <w:rPr>
          <w:snapToGrid w:val="0"/>
        </w:rPr>
        <w:t>.</w:t>
      </w:r>
      <w:r>
        <w:rPr>
          <w:snapToGrid w:val="0"/>
        </w:rPr>
        <w:tab/>
        <w:t>Voting</w:t>
      </w:r>
      <w:bookmarkEnd w:id="225"/>
      <w:bookmarkEnd w:id="226"/>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227" w:name="_Toc131480339"/>
      <w:bookmarkStart w:id="228" w:name="_Toc165699432"/>
      <w:r>
        <w:rPr>
          <w:rStyle w:val="CharSClsNo"/>
        </w:rPr>
        <w:t>5</w:t>
      </w:r>
      <w:r>
        <w:rPr>
          <w:snapToGrid w:val="0"/>
        </w:rPr>
        <w:t>.</w:t>
      </w:r>
      <w:r>
        <w:rPr>
          <w:snapToGrid w:val="0"/>
        </w:rPr>
        <w:tab/>
        <w:t>Records</w:t>
      </w:r>
      <w:bookmarkEnd w:id="227"/>
      <w:bookmarkEnd w:id="228"/>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229" w:name="_Toc131480340"/>
      <w:bookmarkStart w:id="230" w:name="_Toc165699433"/>
      <w:r>
        <w:rPr>
          <w:rStyle w:val="CharSClsNo"/>
        </w:rPr>
        <w:t>6</w:t>
      </w:r>
      <w:r>
        <w:rPr>
          <w:snapToGrid w:val="0"/>
        </w:rPr>
        <w:t>.</w:t>
      </w:r>
      <w:r>
        <w:rPr>
          <w:snapToGrid w:val="0"/>
        </w:rPr>
        <w:tab/>
        <w:t>Validity of proceedings</w:t>
      </w:r>
      <w:bookmarkEnd w:id="229"/>
      <w:bookmarkEnd w:id="230"/>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231" w:name="_Toc131480341"/>
      <w:bookmarkStart w:id="232" w:name="_Toc165699434"/>
      <w:r>
        <w:rPr>
          <w:rStyle w:val="CharSClsNo"/>
        </w:rPr>
        <w:t>7</w:t>
      </w:r>
      <w:r>
        <w:rPr>
          <w:snapToGrid w:val="0"/>
        </w:rPr>
        <w:t>.</w:t>
      </w:r>
      <w:r>
        <w:rPr>
          <w:snapToGrid w:val="0"/>
        </w:rPr>
        <w:tab/>
        <w:t>Interests</w:t>
      </w:r>
      <w:bookmarkEnd w:id="231"/>
      <w:bookmarkEnd w:id="232"/>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233" w:name="_Toc131480342"/>
      <w:bookmarkStart w:id="234" w:name="_Toc165699435"/>
      <w:r>
        <w:rPr>
          <w:rStyle w:val="CharSClsNo"/>
        </w:rPr>
        <w:t>8</w:t>
      </w:r>
      <w:r>
        <w:rPr>
          <w:snapToGrid w:val="0"/>
        </w:rPr>
        <w:t>.</w:t>
      </w:r>
      <w:r>
        <w:rPr>
          <w:snapToGrid w:val="0"/>
        </w:rPr>
        <w:tab/>
        <w:t>Disputes</w:t>
      </w:r>
      <w:bookmarkEnd w:id="233"/>
      <w:bookmarkEnd w:id="234"/>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235" w:name="_Toc131480343"/>
      <w:bookmarkStart w:id="236" w:name="_Toc165699436"/>
      <w:r>
        <w:rPr>
          <w:rStyle w:val="CharSClsNo"/>
        </w:rPr>
        <w:t>9</w:t>
      </w:r>
      <w:r>
        <w:rPr>
          <w:snapToGrid w:val="0"/>
        </w:rPr>
        <w:t>.</w:t>
      </w:r>
      <w:r>
        <w:rPr>
          <w:snapToGrid w:val="0"/>
        </w:rPr>
        <w:tab/>
        <w:t>Procedure</w:t>
      </w:r>
      <w:bookmarkEnd w:id="235"/>
      <w:bookmarkEnd w:id="236"/>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237" w:name="_Toc89768444"/>
      <w:bookmarkStart w:id="238" w:name="_Toc89768542"/>
      <w:bookmarkStart w:id="239" w:name="_Toc92790389"/>
      <w:bookmarkStart w:id="240" w:name="_Toc92790474"/>
      <w:bookmarkStart w:id="241" w:name="_Toc96506753"/>
      <w:bookmarkStart w:id="242" w:name="_Toc102452658"/>
      <w:bookmarkStart w:id="243" w:name="_Toc103064391"/>
      <w:bookmarkStart w:id="244" w:name="_Toc122839844"/>
      <w:bookmarkStart w:id="245" w:name="_Toc131480344"/>
      <w:bookmarkStart w:id="246" w:name="_Toc148347399"/>
      <w:bookmarkStart w:id="247" w:name="_Toc148419041"/>
      <w:bookmarkStart w:id="248" w:name="_Toc148419126"/>
      <w:bookmarkStart w:id="249" w:name="_Toc161716143"/>
      <w:bookmarkStart w:id="250" w:name="_Toc161806401"/>
    </w:p>
    <w:p>
      <w:pPr>
        <w:pStyle w:val="nHeading2"/>
      </w:pPr>
      <w:bookmarkStart w:id="251" w:name="_Toc163028747"/>
      <w:bookmarkStart w:id="252" w:name="_Toc163277152"/>
      <w:bookmarkStart w:id="253" w:name="_Toc163277544"/>
      <w:bookmarkStart w:id="254" w:name="_Toc163382721"/>
      <w:bookmarkStart w:id="255" w:name="_Toc164144395"/>
      <w:bookmarkStart w:id="256" w:name="_Toc165699437"/>
      <w:r>
        <w:t>Notes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Waterways Conservation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7" w:name="_Toc165699438"/>
      <w:r>
        <w:rPr>
          <w:snapToGrid w:val="0"/>
        </w:rPr>
        <w:t>Compilation table</w:t>
      </w:r>
      <w:bookmarkEnd w:id="2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58" w:name="_Hlt507390729"/>
      <w:bookmarkEnd w:id="25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59" w:name="_Toc534778309"/>
      <w:bookmarkStart w:id="260" w:name="_Toc7405063"/>
      <w:bookmarkStart w:id="261" w:name="_Toc165699439"/>
      <w:r>
        <w:rPr>
          <w:snapToGrid w:val="0"/>
        </w:rPr>
        <w:t>Provisions that have not come into operation</w:t>
      </w:r>
      <w:bookmarkEnd w:id="259"/>
      <w:bookmarkEnd w:id="260"/>
      <w:bookmarkEnd w:id="261"/>
    </w:p>
    <w:tbl>
      <w:tblPr>
        <w:tblW w:w="7139"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Before w:val="1"/>
          <w:wBefore w:w="52"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52" w:type="dxa"/>
        </w:trPr>
        <w:tc>
          <w:tcPr>
            <w:tcW w:w="2268" w:type="dxa"/>
            <w:gridSpan w:val="2"/>
            <w:tcBorders>
              <w:bottom w:val="single" w:sz="8" w:space="0" w:color="auto"/>
            </w:tcBorders>
          </w:tcPr>
          <w:p>
            <w:pPr>
              <w:pStyle w:val="nTable"/>
              <w:spacing w:after="40"/>
              <w:rPr>
                <w:i/>
                <w:noProof/>
                <w:snapToGrid w:val="0"/>
                <w:sz w:val="19"/>
                <w:vertAlign w:val="superscript"/>
              </w:rPr>
            </w:pPr>
            <w:r>
              <w:rPr>
                <w:i/>
                <w:iCs/>
                <w:snapToGrid w:val="0"/>
                <w:sz w:val="19"/>
                <w:lang w:val="en-US"/>
              </w:rPr>
              <w:t xml:space="preserve">Swan and Canning Rivers (Consequential and Transitional Provisions) Act 2006 </w:t>
            </w:r>
            <w:r>
              <w:rPr>
                <w:snapToGrid w:val="0"/>
                <w:sz w:val="19"/>
                <w:lang w:val="en-US"/>
              </w:rPr>
              <w:t>s. 6 </w:t>
            </w:r>
            <w:r>
              <w:rPr>
                <w:snapToGrid w:val="0"/>
                <w:sz w:val="19"/>
                <w:vertAlign w:val="superscript"/>
                <w:lang w:val="en-US"/>
              </w:rPr>
              <w:t>10</w:t>
            </w:r>
          </w:p>
        </w:tc>
        <w:tc>
          <w:tcPr>
            <w:tcW w:w="1134" w:type="dxa"/>
            <w:gridSpan w:val="2"/>
            <w:tcBorders>
              <w:bottom w:val="single" w:sz="8" w:space="0" w:color="auto"/>
            </w:tcBorders>
          </w:tcPr>
          <w:p>
            <w:pPr>
              <w:pStyle w:val="nTable"/>
              <w:spacing w:after="40"/>
              <w:rPr>
                <w:sz w:val="19"/>
              </w:rPr>
            </w:pPr>
            <w:r>
              <w:rPr>
                <w:snapToGrid w:val="0"/>
                <w:sz w:val="19"/>
                <w:lang w:val="en-US"/>
              </w:rPr>
              <w:t>52 of 2006</w:t>
            </w:r>
          </w:p>
        </w:tc>
        <w:tc>
          <w:tcPr>
            <w:tcW w:w="1134" w:type="dxa"/>
            <w:gridSpan w:val="2"/>
            <w:tcBorders>
              <w:bottom w:val="single" w:sz="8" w:space="0" w:color="auto"/>
            </w:tcBorders>
          </w:tcPr>
          <w:p>
            <w:pPr>
              <w:pStyle w:val="nTable"/>
              <w:spacing w:after="40"/>
              <w:rPr>
                <w:sz w:val="19"/>
              </w:rPr>
            </w:pPr>
            <w:r>
              <w:rPr>
                <w:snapToGrid w:val="0"/>
                <w:sz w:val="19"/>
                <w:lang w:val="en-US"/>
              </w:rPr>
              <w:t>6 Oct 2006</w:t>
            </w:r>
          </w:p>
        </w:tc>
        <w:tc>
          <w:tcPr>
            <w:tcW w:w="2551" w:type="dxa"/>
            <w:gridSpan w:val="2"/>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10</w:t>
      </w:r>
      <w:r>
        <w:rPr>
          <w:snapToGrid w:val="0"/>
        </w:rPr>
        <w:tab/>
        <w:t xml:space="preserve">On the date as at which this reprint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62" w:name="_Toc88281034"/>
      <w:bookmarkStart w:id="263" w:name="_Toc119214816"/>
      <w:bookmarkStart w:id="264" w:name="_Toc119381442"/>
      <w:bookmarkStart w:id="265" w:name="_Toc147724981"/>
      <w:bookmarkStart w:id="266" w:name="_Toc148155129"/>
      <w:r>
        <w:rPr>
          <w:rStyle w:val="CharSectno"/>
        </w:rPr>
        <w:t>6</w:t>
      </w:r>
      <w:r>
        <w:t>.</w:t>
      </w:r>
      <w:r>
        <w:tab/>
        <w:t>Acts in Schedule </w:t>
      </w:r>
      <w:bookmarkEnd w:id="262"/>
      <w:r>
        <w:t>1: consequential amendments</w:t>
      </w:r>
      <w:bookmarkEnd w:id="263"/>
      <w:bookmarkEnd w:id="264"/>
      <w:bookmarkEnd w:id="265"/>
      <w:bookmarkEnd w:id="266"/>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8 reads as follows:</w:t>
      </w:r>
    </w:p>
    <w:p>
      <w:pPr>
        <w:pStyle w:val="nSubsection"/>
        <w:rPr>
          <w:snapToGrid w:val="0"/>
        </w:rPr>
      </w:pPr>
      <w:r>
        <w:rPr>
          <w:snapToGrid w:val="0"/>
        </w:rPr>
        <w:t>“</w:t>
      </w:r>
    </w:p>
    <w:p>
      <w:pPr>
        <w:pStyle w:val="nzHeading2"/>
      </w:pPr>
      <w:bookmarkStart w:id="267" w:name="_Toc119401169"/>
      <w:bookmarkStart w:id="268" w:name="_Toc119402465"/>
      <w:bookmarkStart w:id="269" w:name="_Toc119403311"/>
      <w:bookmarkStart w:id="270" w:name="_Toc119472271"/>
      <w:bookmarkStart w:id="271" w:name="_Toc119486418"/>
      <w:bookmarkStart w:id="272" w:name="_Toc146519496"/>
      <w:bookmarkStart w:id="273" w:name="_Toc146519676"/>
      <w:bookmarkStart w:id="274" w:name="_Toc147625552"/>
      <w:bookmarkStart w:id="275" w:name="_Toc147724593"/>
      <w:bookmarkStart w:id="276" w:name="_Toc147725001"/>
      <w:bookmarkStart w:id="277" w:name="_Toc148155149"/>
      <w:r>
        <w:rPr>
          <w:rStyle w:val="CharSchNo"/>
        </w:rPr>
        <w:t>Schedule 1</w:t>
      </w:r>
      <w:r>
        <w:rPr>
          <w:rStyle w:val="CharSDivNo"/>
        </w:rPr>
        <w:t> </w:t>
      </w:r>
      <w:r>
        <w:t>—</w:t>
      </w:r>
      <w:bookmarkStart w:id="278" w:name="AutoSch"/>
      <w:bookmarkEnd w:id="278"/>
      <w:r>
        <w:rPr>
          <w:rStyle w:val="CharSDivText"/>
        </w:rPr>
        <w:t> </w:t>
      </w:r>
      <w:r>
        <w:rPr>
          <w:rStyle w:val="CharSchText"/>
        </w:rPr>
        <w:t>Consequential amendments</w:t>
      </w:r>
      <w:bookmarkEnd w:id="267"/>
      <w:bookmarkEnd w:id="268"/>
      <w:bookmarkEnd w:id="269"/>
      <w:bookmarkEnd w:id="270"/>
      <w:bookmarkEnd w:id="271"/>
      <w:bookmarkEnd w:id="272"/>
      <w:bookmarkEnd w:id="273"/>
      <w:bookmarkEnd w:id="274"/>
      <w:bookmarkEnd w:id="275"/>
      <w:bookmarkEnd w:id="276"/>
      <w:bookmarkEnd w:id="277"/>
    </w:p>
    <w:p>
      <w:pPr>
        <w:pStyle w:val="nzMiscellaneousBody"/>
        <w:jc w:val="right"/>
      </w:pPr>
      <w:r>
        <w:t>[s. 6]</w:t>
      </w:r>
    </w:p>
    <w:p>
      <w:pPr>
        <w:pStyle w:val="nzHeading5"/>
      </w:pPr>
      <w:bookmarkStart w:id="279" w:name="_Toc88281065"/>
      <w:bookmarkStart w:id="280" w:name="_Toc119214846"/>
      <w:bookmarkStart w:id="281" w:name="_Toc119381473"/>
      <w:bookmarkStart w:id="282" w:name="_Toc70998640"/>
      <w:bookmarkStart w:id="283" w:name="_Toc147725009"/>
      <w:bookmarkStart w:id="284" w:name="_Toc148155157"/>
      <w:r>
        <w:rPr>
          <w:rStyle w:val="CharSClsNo"/>
        </w:rPr>
        <w:t>8</w:t>
      </w:r>
      <w:r>
        <w:t>.</w:t>
      </w:r>
      <w:r>
        <w:tab/>
      </w:r>
      <w:r>
        <w:rPr>
          <w:i/>
          <w:iCs/>
        </w:rPr>
        <w:t>Waterways Conservation Act 1976</w:t>
      </w:r>
      <w:r>
        <w:t xml:space="preserve"> amended</w:t>
      </w:r>
      <w:bookmarkEnd w:id="279"/>
      <w:bookmarkEnd w:id="280"/>
      <w:bookmarkEnd w:id="281"/>
      <w:bookmarkEnd w:id="282"/>
      <w:bookmarkEnd w:id="283"/>
      <w:bookmarkEnd w:id="284"/>
    </w:p>
    <w:p>
      <w:pPr>
        <w:pStyle w:val="nzSubsection"/>
      </w:pPr>
      <w:r>
        <w:tab/>
        <w:t>(1)</w:t>
      </w:r>
      <w:r>
        <w:tab/>
        <w:t xml:space="preserve">The amendments in this clause are to the </w:t>
      </w:r>
      <w:r>
        <w:rPr>
          <w:i/>
          <w:iCs/>
        </w:rPr>
        <w:t>Waterways Conservation Act 1976.</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r>
      <w:r>
        <w:rPr>
          <w:b/>
          <w:bCs/>
        </w:rPr>
        <w:t>“development control area”</w:t>
      </w:r>
      <w:r>
        <w:t xml:space="preserve"> has the meaning given by the Swan and Canning Rivers Management Act 2006;</w:t>
      </w:r>
    </w:p>
    <w:p>
      <w:pPr>
        <w:pStyle w:val="nzDefstart"/>
      </w:pPr>
      <w:r>
        <w:tab/>
      </w:r>
      <w:r>
        <w:rPr>
          <w:b/>
          <w:bCs/>
        </w:rPr>
        <w:t>“Riverpark”</w:t>
      </w:r>
      <w:r>
        <w:t xml:space="preserve"> has the meaning given by the Swan and Canning Rivers Management</w:t>
      </w:r>
      <w:r>
        <w:rPr>
          <w:i/>
          <w:iCs/>
        </w:rPr>
        <w:t xml:space="preserve"> Act 2006</w:t>
      </w:r>
      <w:r>
        <w:t>;</w:t>
      </w:r>
    </w:p>
    <w:p>
      <w:pPr>
        <w:pStyle w:val="MiscClose"/>
      </w:pPr>
      <w:r>
        <w:t xml:space="preserve">    ”.</w:t>
      </w:r>
    </w:p>
    <w:p>
      <w:pPr>
        <w:pStyle w:val="nzSubsection"/>
      </w:pPr>
      <w:r>
        <w:tab/>
        <w:t>(3)</w:t>
      </w:r>
      <w:r>
        <w:tab/>
        <w:t xml:space="preserve">Section 9(1a) is repealed and the following subsection is inserted instead — </w:t>
      </w:r>
    </w:p>
    <w:p>
      <w:pPr>
        <w:pStyle w:val="MiscOpen"/>
        <w:ind w:left="600"/>
      </w:pPr>
      <w:r>
        <w:t xml:space="preserve">“    </w:t>
      </w:r>
    </w:p>
    <w:p>
      <w:pPr>
        <w:pStyle w:val="nzSubsection"/>
      </w:pPr>
      <w:r>
        <w:tab/>
        <w:t>(1a)</w:t>
      </w:r>
      <w:r>
        <w:tab/>
        <w:t>This Act does not apply in respect of the development control area or the Riverpark.</w:t>
      </w:r>
    </w:p>
    <w:p>
      <w:pPr>
        <w:pStyle w:val="MiscClose"/>
      </w:pPr>
      <w:r>
        <w:t xml:space="preserve">    ”.</w:t>
      </w:r>
    </w:p>
    <w:p>
      <w:pPr>
        <w:pStyle w:val="nzSubsection"/>
        <w:keepNext/>
      </w:pPr>
      <w:r>
        <w:tab/>
        <w:t>(4)</w:t>
      </w:r>
      <w:r>
        <w:tab/>
        <w:t xml:space="preserve">Section 10(6) is repealed and the following subsection is inserted instead — </w:t>
      </w:r>
    </w:p>
    <w:p>
      <w:pPr>
        <w:pStyle w:val="MiscOpen"/>
        <w:ind w:left="600"/>
      </w:pPr>
      <w:r>
        <w:t xml:space="preserve">“    </w:t>
      </w:r>
    </w:p>
    <w:p>
      <w:pPr>
        <w:pStyle w:val="nzSubsection"/>
      </w:pPr>
      <w:r>
        <w:tab/>
        <w:t>(6)</w:t>
      </w:r>
      <w:r>
        <w:tab/>
        <w:t>This section does not apply in respect of the development control area or the Riverpark.</w:t>
      </w:r>
    </w:p>
    <w:p>
      <w:pPr>
        <w:pStyle w:val="MiscClose"/>
      </w:pPr>
      <w:r>
        <w:t xml:space="preserve">    ”.</w:t>
      </w:r>
    </w:p>
    <w:p>
      <w:pPr>
        <w:pStyle w:val="nzSubsection"/>
      </w:pPr>
      <w:r>
        <w:tab/>
        <w:t>(5)</w:t>
      </w:r>
      <w:r>
        <w:tab/>
        <w:t xml:space="preserve">Section 56(1a) is repealed and the following subsection is inserted instead — </w:t>
      </w:r>
    </w:p>
    <w:p>
      <w:pPr>
        <w:pStyle w:val="MiscOpen"/>
        <w:ind w:left="600"/>
      </w:pPr>
      <w:r>
        <w:t xml:space="preserve">“    </w:t>
      </w:r>
    </w:p>
    <w:p>
      <w:pPr>
        <w:pStyle w:val="nzSubsection"/>
      </w:pPr>
      <w:r>
        <w:tab/>
        <w:t>(1a)</w:t>
      </w:r>
      <w:r>
        <w:tab/>
        <w:t>Local laws must not be made under this section to have effect in the development control area or the Riverpark.</w:t>
      </w:r>
    </w:p>
    <w:p>
      <w:pPr>
        <w:pStyle w:val="MiscClose"/>
      </w:pPr>
      <w:r>
        <w:t xml:space="preserve">    ”.</w:t>
      </w:r>
    </w:p>
    <w:p>
      <w:pPr>
        <w:pStyle w:val="nzSubsection"/>
      </w:pPr>
      <w:r>
        <w:tab/>
        <w:t>(6)</w:t>
      </w:r>
      <w:r>
        <w:tab/>
        <w:t xml:space="preserve">Section 61(2) is repealed and the following subsection is inserted instead — </w:t>
      </w:r>
    </w:p>
    <w:p>
      <w:pPr>
        <w:pStyle w:val="MiscOpen"/>
        <w:ind w:left="600"/>
      </w:pPr>
      <w:r>
        <w:t xml:space="preserve">“    </w:t>
      </w:r>
    </w:p>
    <w:p>
      <w:pPr>
        <w:pStyle w:val="nz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nzSubsection"/>
      </w:pPr>
      <w:r>
        <w:tab/>
        <w:t>(7)</w:t>
      </w:r>
      <w:r>
        <w:tab/>
        <w:t xml:space="preserve">Section 62(2) is repealed and the following subsection is inserted instead — </w:t>
      </w:r>
    </w:p>
    <w:p>
      <w:pPr>
        <w:pStyle w:val="MiscOpen"/>
        <w:ind w:left="600"/>
      </w:pPr>
      <w:r>
        <w:t xml:space="preserve">“    </w:t>
      </w:r>
    </w:p>
    <w:p>
      <w:pPr>
        <w:pStyle w:val="nz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Procedural matters common to meetings of the Council, a Management Authority, or a committee</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fldSimple w:instr=" styleref CharSchText ">
            <w:r>
              <w:rPr>
                <w:noProof/>
              </w:rPr>
              <w:t>Procedural matters common to meetings of the Council, a Management Authority, or a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23930</Words>
  <Characters>114629</Characters>
  <Application>Microsoft Office Word</Application>
  <DocSecurity>0</DocSecurity>
  <Lines>3016</Lines>
  <Paragraphs>1345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137214</CharactersWithSpaces>
  <SharedDoc>false</SharedDoc>
  <HLinks>
    <vt:vector size="12" baseType="variant">
      <vt:variant>
        <vt:i4>3014716</vt:i4>
      </vt:variant>
      <vt:variant>
        <vt:i4>6562</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1976 - 03-a0-02</dc:title>
  <dc:subject/>
  <dc:creator/>
  <cp:keywords/>
  <dc:description/>
  <cp:lastModifiedBy>svcMRProcess</cp:lastModifiedBy>
  <cp:revision>4</cp:revision>
  <cp:lastPrinted>2007-04-12T04:34:00Z</cp:lastPrinted>
  <dcterms:created xsi:type="dcterms:W3CDTF">2018-09-09T15:26:00Z</dcterms:created>
  <dcterms:modified xsi:type="dcterms:W3CDTF">2018-09-09T15:26:00Z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20070406</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06 Apr 2007</vt:lpwstr>
  </property>
  <property fmtid="{D5CDD505-2E9C-101B-9397-08002B2CF9AE}" pid="9" name="Suffix">
    <vt:lpwstr>03-a0-02</vt:lpwstr>
  </property>
</Properties>
</file>