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2" name="Picture 2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PrincipalActReg"/>
        <w:spacing w:before="2600" w:after="0"/>
      </w:pPr>
      <w:r>
        <w:rPr>
          <w:snapToGrid w:val="0"/>
        </w:rPr>
        <w:t>Liquor Control Act 1988</w:t>
      </w:r>
    </w:p>
    <w:p>
      <w:pPr>
        <w:pStyle w:val="NameofActRegPage1"/>
        <w:spacing w:before="19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Liquor Control Regulations 1989</w:t>
      </w:r>
      <w:r>
        <w:rPr>
          <w:sz w:val="48"/>
        </w:rPr>
        <w:fldChar w:fldCharType="end"/>
      </w:r>
    </w:p>
    <w:p>
      <w:pPr>
        <w:jc w:val="center"/>
        <w:rPr>
          <w:b/>
        </w:rPr>
        <w:sectPr>
          <w:headerReference w:type="even" r:id="rId10"/>
          <w:headerReference w:type="default" r:id="rId11"/>
          <w:footerReference w:type="even" r:id="rId12"/>
          <w:footerReference w:type="default" r:id="rId13"/>
          <w:headerReference w:type="first" r:id="rId14"/>
          <w:footerReference w:type="first" r:id="rId15"/>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Liquor Control Regulations 1989</w:t>
      </w:r>
      <w:r>
        <w:fldChar w:fldCharType="end"/>
      </w:r>
    </w:p>
    <w:p>
      <w:pPr>
        <w:pStyle w:val="Arrangement"/>
        <w:pBdr>
          <w:top w:val="none" w:sz="0" w:space="0" w:color="auto"/>
          <w:bottom w:val="none" w:sz="0" w:space="0" w:color="auto"/>
        </w:pBdr>
        <w:spacing w:after="240"/>
        <w:ind w:left="2302" w:right="2302"/>
        <w:rPr>
          <w:b/>
        </w:rPr>
      </w:pPr>
      <w:r>
        <w:rPr>
          <w:b/>
        </w:rPr>
        <w:t>Contents</w:t>
      </w:r>
    </w:p>
    <w:p>
      <w:pPr>
        <w:pStyle w:val="TOC8"/>
        <w:rPr>
          <w:rFonts w:asciiTheme="minorHAnsi" w:eastAsiaTheme="minorEastAsia" w:hAnsiTheme="minorHAnsi" w:cstheme="minorBidi"/>
          <w:szCs w:val="22"/>
          <w:lang w:eastAsia="en-AU"/>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t>1</w:t>
      </w:r>
      <w:r>
        <w:rPr>
          <w:snapToGrid w:val="0"/>
        </w:rPr>
        <w:t>.</w:t>
      </w:r>
      <w:r>
        <w:rPr>
          <w:snapToGrid w:val="0"/>
        </w:rPr>
        <w:tab/>
        <w:t>Citation</w:t>
      </w:r>
      <w:r>
        <w:tab/>
      </w:r>
      <w:r>
        <w:fldChar w:fldCharType="begin"/>
      </w:r>
      <w:r>
        <w:instrText xml:space="preserve"> PAGEREF _Toc357698805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rPr>
          <w:snapToGrid w:val="0"/>
        </w:rPr>
        <w:t>.</w:t>
      </w:r>
      <w:r>
        <w:rPr>
          <w:snapToGrid w:val="0"/>
        </w:rPr>
        <w:tab/>
        <w:t>Commencement</w:t>
      </w:r>
      <w:r>
        <w:tab/>
      </w:r>
      <w:r>
        <w:fldChar w:fldCharType="begin"/>
      </w:r>
      <w:r>
        <w:instrText xml:space="preserve"> PAGEREF _Toc357698806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rPr>
          <w:snapToGrid w:val="0"/>
        </w:rPr>
        <w:t>.</w:t>
      </w:r>
      <w:r>
        <w:rPr>
          <w:snapToGrid w:val="0"/>
        </w:rPr>
        <w:tab/>
        <w:t>Forms prescribed etc. (Sch. 1)</w:t>
      </w:r>
      <w:r>
        <w:tab/>
      </w:r>
      <w:r>
        <w:fldChar w:fldCharType="begin"/>
      </w:r>
      <w:r>
        <w:instrText xml:space="preserve"> PAGEREF _Toc357698807 \h </w:instrText>
      </w:r>
      <w:r>
        <w:fldChar w:fldCharType="separate"/>
      </w:r>
      <w:r>
        <w:t>1</w:t>
      </w:r>
      <w:r>
        <w:fldChar w:fldCharType="end"/>
      </w:r>
    </w:p>
    <w:p>
      <w:pPr>
        <w:pStyle w:val="TOC8"/>
        <w:rPr>
          <w:rFonts w:asciiTheme="minorHAnsi" w:eastAsiaTheme="minorEastAsia" w:hAnsiTheme="minorHAnsi" w:cstheme="minorBidi"/>
          <w:szCs w:val="22"/>
          <w:lang w:eastAsia="en-AU"/>
        </w:rPr>
      </w:pPr>
      <w:r>
        <w:t>3A</w:t>
      </w:r>
      <w:r>
        <w:rPr>
          <w:snapToGrid w:val="0"/>
        </w:rPr>
        <w:t>.</w:t>
      </w:r>
      <w:r>
        <w:rPr>
          <w:snapToGrid w:val="0"/>
        </w:rPr>
        <w:tab/>
        <w:t>Terms used</w:t>
      </w:r>
      <w:r>
        <w:tab/>
      </w:r>
      <w:r>
        <w:fldChar w:fldCharType="begin"/>
      </w:r>
      <w:r>
        <w:instrText xml:space="preserve"> PAGEREF _Toc357698808 \h </w:instrText>
      </w:r>
      <w:r>
        <w:fldChar w:fldCharType="separate"/>
      </w:r>
      <w:r>
        <w:t>2</w:t>
      </w:r>
      <w:r>
        <w:fldChar w:fldCharType="end"/>
      </w:r>
    </w:p>
    <w:p>
      <w:pPr>
        <w:pStyle w:val="TOC8"/>
        <w:rPr>
          <w:rFonts w:asciiTheme="minorHAnsi" w:eastAsiaTheme="minorEastAsia" w:hAnsiTheme="minorHAnsi" w:cstheme="minorBidi"/>
          <w:szCs w:val="22"/>
          <w:lang w:eastAsia="en-AU"/>
        </w:rPr>
      </w:pPr>
      <w:r>
        <w:t>3AB.</w:t>
      </w:r>
      <w:r>
        <w:tab/>
        <w:t xml:space="preserve">Kind of liquor prescribed (mist containing ethanol) (Act s. 3(1) </w:t>
      </w:r>
      <w:r>
        <w:rPr>
          <w:i/>
        </w:rPr>
        <w:t>kind</w:t>
      </w:r>
      <w:r>
        <w:t>)</w:t>
      </w:r>
      <w:r>
        <w:tab/>
      </w:r>
      <w:r>
        <w:fldChar w:fldCharType="begin"/>
      </w:r>
      <w:r>
        <w:instrText xml:space="preserve"> PAGEREF _Toc357698809 \h </w:instrText>
      </w:r>
      <w:r>
        <w:fldChar w:fldCharType="separate"/>
      </w:r>
      <w:r>
        <w:t>3</w:t>
      </w:r>
      <w:r>
        <w:fldChar w:fldCharType="end"/>
      </w:r>
    </w:p>
    <w:p>
      <w:pPr>
        <w:pStyle w:val="TOC8"/>
        <w:rPr>
          <w:rFonts w:asciiTheme="minorHAnsi" w:eastAsiaTheme="minorEastAsia" w:hAnsiTheme="minorHAnsi" w:cstheme="minorBidi"/>
          <w:szCs w:val="22"/>
          <w:lang w:eastAsia="en-AU"/>
        </w:rPr>
      </w:pPr>
      <w:r>
        <w:t>3AC.</w:t>
      </w:r>
      <w:r>
        <w:tab/>
        <w:t xml:space="preserve">Kind of liquor prescribed (aerosol containing ethanol) (Act s. 3(1) </w:t>
      </w:r>
      <w:r>
        <w:rPr>
          <w:i/>
        </w:rPr>
        <w:t>kind</w:t>
      </w:r>
      <w:r>
        <w:t>)</w:t>
      </w:r>
      <w:r>
        <w:tab/>
      </w:r>
      <w:r>
        <w:fldChar w:fldCharType="begin"/>
      </w:r>
      <w:r>
        <w:instrText xml:space="preserve"> PAGEREF _Toc357698810 \h </w:instrText>
      </w:r>
      <w:r>
        <w:fldChar w:fldCharType="separate"/>
      </w:r>
      <w:r>
        <w:t>3</w:t>
      </w:r>
      <w:r>
        <w:fldChar w:fldCharType="end"/>
      </w:r>
    </w:p>
    <w:p>
      <w:pPr>
        <w:pStyle w:val="TOC8"/>
        <w:rPr>
          <w:rFonts w:asciiTheme="minorHAnsi" w:eastAsiaTheme="minorEastAsia" w:hAnsiTheme="minorHAnsi" w:cstheme="minorBidi"/>
          <w:szCs w:val="22"/>
          <w:lang w:eastAsia="en-AU"/>
        </w:rPr>
      </w:pPr>
      <w:r>
        <w:t>4</w:t>
      </w:r>
      <w:r>
        <w:rPr>
          <w:snapToGrid w:val="0"/>
        </w:rPr>
        <w:t>.</w:t>
      </w:r>
      <w:r>
        <w:rPr>
          <w:snapToGrid w:val="0"/>
        </w:rPr>
        <w:tab/>
        <w:t xml:space="preserve">Level prescribed </w:t>
      </w:r>
      <w:r>
        <w:t xml:space="preserve">(Act s. 3(1) </w:t>
      </w:r>
      <w:r>
        <w:rPr>
          <w:i/>
        </w:rPr>
        <w:t>low alcohol liquor</w:t>
      </w:r>
      <w:r>
        <w:t>)</w:t>
      </w:r>
      <w:r>
        <w:tab/>
      </w:r>
      <w:r>
        <w:fldChar w:fldCharType="begin"/>
      </w:r>
      <w:r>
        <w:instrText xml:space="preserve"> PAGEREF _Toc357698811 \h </w:instrText>
      </w:r>
      <w:r>
        <w:fldChar w:fldCharType="separate"/>
      </w:r>
      <w:r>
        <w:t>4</w:t>
      </w:r>
      <w:r>
        <w:fldChar w:fldCharType="end"/>
      </w:r>
    </w:p>
    <w:p>
      <w:pPr>
        <w:pStyle w:val="TOC8"/>
        <w:rPr>
          <w:rFonts w:asciiTheme="minorHAnsi" w:eastAsiaTheme="minorEastAsia" w:hAnsiTheme="minorHAnsi" w:cstheme="minorBidi"/>
          <w:szCs w:val="22"/>
          <w:lang w:eastAsia="en-AU"/>
        </w:rPr>
      </w:pPr>
      <w:r>
        <w:t>4AA</w:t>
      </w:r>
      <w:r>
        <w:rPr>
          <w:snapToGrid w:val="0"/>
        </w:rPr>
        <w:t>.</w:t>
      </w:r>
      <w:r>
        <w:rPr>
          <w:snapToGrid w:val="0"/>
        </w:rPr>
        <w:tab/>
      </w:r>
      <w:r>
        <w:t>P</w:t>
      </w:r>
      <w:r>
        <w:rPr>
          <w:snapToGrid w:val="0"/>
        </w:rPr>
        <w:t xml:space="preserve">roportion of ethanol prescribed </w:t>
      </w:r>
      <w:r>
        <w:t xml:space="preserve">(Act s. 3(1) </w:t>
      </w:r>
      <w:r>
        <w:rPr>
          <w:i/>
        </w:rPr>
        <w:t>liquor</w:t>
      </w:r>
      <w:r>
        <w:t>)</w:t>
      </w:r>
      <w:r>
        <w:tab/>
      </w:r>
      <w:r>
        <w:fldChar w:fldCharType="begin"/>
      </w:r>
      <w:r>
        <w:instrText xml:space="preserve"> PAGEREF _Toc357698812 \h </w:instrText>
      </w:r>
      <w:r>
        <w:fldChar w:fldCharType="separate"/>
      </w:r>
      <w:r>
        <w:t>4</w:t>
      </w:r>
      <w:r>
        <w:fldChar w:fldCharType="end"/>
      </w:r>
    </w:p>
    <w:p>
      <w:pPr>
        <w:pStyle w:val="TOC8"/>
        <w:rPr>
          <w:rFonts w:asciiTheme="minorHAnsi" w:eastAsiaTheme="minorEastAsia" w:hAnsiTheme="minorHAnsi" w:cstheme="minorBidi"/>
          <w:szCs w:val="22"/>
          <w:lang w:eastAsia="en-AU"/>
        </w:rPr>
      </w:pPr>
      <w:r>
        <w:t>4A</w:t>
      </w:r>
      <w:r>
        <w:rPr>
          <w:snapToGrid w:val="0"/>
        </w:rPr>
        <w:t>.</w:t>
      </w:r>
      <w:r>
        <w:rPr>
          <w:snapToGrid w:val="0"/>
        </w:rPr>
        <w:tab/>
        <w:t xml:space="preserve">Substances prescribed (food items) </w:t>
      </w:r>
      <w:r>
        <w:t xml:space="preserve">(Act s. 3(1) </w:t>
      </w:r>
      <w:r>
        <w:rPr>
          <w:i/>
        </w:rPr>
        <w:t>liquor</w:t>
      </w:r>
      <w:r>
        <w:t>)</w:t>
      </w:r>
      <w:r>
        <w:tab/>
      </w:r>
      <w:r>
        <w:fldChar w:fldCharType="begin"/>
      </w:r>
      <w:r>
        <w:instrText xml:space="preserve"> PAGEREF _Toc357698813 \h </w:instrText>
      </w:r>
      <w:r>
        <w:fldChar w:fldCharType="separate"/>
      </w:r>
      <w:r>
        <w:t>4</w:t>
      </w:r>
      <w:r>
        <w:fldChar w:fldCharType="end"/>
      </w:r>
    </w:p>
    <w:p>
      <w:pPr>
        <w:pStyle w:val="TOC8"/>
        <w:rPr>
          <w:rFonts w:asciiTheme="minorHAnsi" w:eastAsiaTheme="minorEastAsia" w:hAnsiTheme="minorHAnsi" w:cstheme="minorBidi"/>
          <w:szCs w:val="22"/>
          <w:lang w:eastAsia="en-AU"/>
        </w:rPr>
      </w:pPr>
      <w:r>
        <w:t>4AB.</w:t>
      </w:r>
      <w:r>
        <w:tab/>
        <w:t>Substance prescribed (mist containing ethanol) (Act s. 3(1) </w:t>
      </w:r>
      <w:r>
        <w:rPr>
          <w:i/>
        </w:rPr>
        <w:t>liquor</w:t>
      </w:r>
      <w:r>
        <w:t>)</w:t>
      </w:r>
      <w:r>
        <w:tab/>
      </w:r>
      <w:r>
        <w:fldChar w:fldCharType="begin"/>
      </w:r>
      <w:r>
        <w:instrText xml:space="preserve"> PAGEREF _Toc357698814 \h </w:instrText>
      </w:r>
      <w:r>
        <w:fldChar w:fldCharType="separate"/>
      </w:r>
      <w:r>
        <w:t>5</w:t>
      </w:r>
      <w:r>
        <w:fldChar w:fldCharType="end"/>
      </w:r>
    </w:p>
    <w:p>
      <w:pPr>
        <w:pStyle w:val="TOC8"/>
        <w:rPr>
          <w:rFonts w:asciiTheme="minorHAnsi" w:eastAsiaTheme="minorEastAsia" w:hAnsiTheme="minorHAnsi" w:cstheme="minorBidi"/>
          <w:szCs w:val="22"/>
          <w:lang w:eastAsia="en-AU"/>
        </w:rPr>
      </w:pPr>
      <w:r>
        <w:t>4AC.</w:t>
      </w:r>
      <w:r>
        <w:tab/>
        <w:t xml:space="preserve">Substance prescribed (aerosol containing ethanol) (Act s. 3(1) </w:t>
      </w:r>
      <w:r>
        <w:rPr>
          <w:i/>
        </w:rPr>
        <w:t>liquor</w:t>
      </w:r>
      <w:r>
        <w:t>)</w:t>
      </w:r>
      <w:r>
        <w:tab/>
      </w:r>
      <w:r>
        <w:fldChar w:fldCharType="begin"/>
      </w:r>
      <w:r>
        <w:instrText xml:space="preserve"> PAGEREF _Toc357698815 \h </w:instrText>
      </w:r>
      <w:r>
        <w:fldChar w:fldCharType="separate"/>
      </w:r>
      <w:r>
        <w:t>5</w:t>
      </w:r>
      <w:r>
        <w:fldChar w:fldCharType="end"/>
      </w:r>
    </w:p>
    <w:p>
      <w:pPr>
        <w:pStyle w:val="TOC8"/>
        <w:rPr>
          <w:rFonts w:asciiTheme="minorHAnsi" w:eastAsiaTheme="minorEastAsia" w:hAnsiTheme="minorHAnsi" w:cstheme="minorBidi"/>
          <w:szCs w:val="22"/>
          <w:lang w:eastAsia="en-AU"/>
        </w:rPr>
      </w:pPr>
      <w:r>
        <w:t>5</w:t>
      </w:r>
      <w:r>
        <w:rPr>
          <w:snapToGrid w:val="0"/>
        </w:rPr>
        <w:t>.</w:t>
      </w:r>
      <w:r>
        <w:rPr>
          <w:snapToGrid w:val="0"/>
        </w:rPr>
        <w:tab/>
      </w:r>
      <w:r>
        <w:t>Sources of information prescribed</w:t>
      </w:r>
      <w:r>
        <w:rPr>
          <w:snapToGrid w:val="0"/>
        </w:rPr>
        <w:t xml:space="preserve"> (Act s. 3(1) </w:t>
      </w:r>
      <w:r>
        <w:rPr>
          <w:i/>
          <w:snapToGrid w:val="0"/>
        </w:rPr>
        <w:t>record</w:t>
      </w:r>
      <w:r>
        <w:rPr>
          <w:snapToGrid w:val="0"/>
        </w:rPr>
        <w:t>)</w:t>
      </w:r>
      <w:r>
        <w:tab/>
      </w:r>
      <w:r>
        <w:fldChar w:fldCharType="begin"/>
      </w:r>
      <w:r>
        <w:instrText xml:space="preserve"> PAGEREF _Toc357698816 \h </w:instrText>
      </w:r>
      <w:r>
        <w:fldChar w:fldCharType="separate"/>
      </w:r>
      <w:r>
        <w:t>6</w:t>
      </w:r>
      <w:r>
        <w:fldChar w:fldCharType="end"/>
      </w:r>
    </w:p>
    <w:p>
      <w:pPr>
        <w:pStyle w:val="TOC8"/>
        <w:rPr>
          <w:rFonts w:asciiTheme="minorHAnsi" w:eastAsiaTheme="minorEastAsia" w:hAnsiTheme="minorHAnsi" w:cstheme="minorBidi"/>
          <w:szCs w:val="22"/>
          <w:lang w:eastAsia="en-AU"/>
        </w:rPr>
      </w:pPr>
      <w:r>
        <w:t>5A.</w:t>
      </w:r>
      <w:r>
        <w:tab/>
        <w:t xml:space="preserve">Quantities prescribed </w:t>
      </w:r>
      <w:r>
        <w:rPr>
          <w:snapToGrid w:val="0"/>
        </w:rPr>
        <w:t>(Act s.</w:t>
      </w:r>
      <w:r>
        <w:t xml:space="preserve"> 3(1) </w:t>
      </w:r>
      <w:r>
        <w:rPr>
          <w:i/>
        </w:rPr>
        <w:t>sample</w:t>
      </w:r>
      <w:r>
        <w:t>)</w:t>
      </w:r>
      <w:r>
        <w:tab/>
      </w:r>
      <w:r>
        <w:fldChar w:fldCharType="begin"/>
      </w:r>
      <w:r>
        <w:instrText xml:space="preserve"> PAGEREF _Toc357698817 \h </w:instrText>
      </w:r>
      <w:r>
        <w:fldChar w:fldCharType="separate"/>
      </w:r>
      <w:r>
        <w:t>7</w:t>
      </w:r>
      <w:r>
        <w:fldChar w:fldCharType="end"/>
      </w:r>
    </w:p>
    <w:p>
      <w:pPr>
        <w:pStyle w:val="TOC8"/>
        <w:rPr>
          <w:rFonts w:asciiTheme="minorHAnsi" w:eastAsiaTheme="minorEastAsia" w:hAnsiTheme="minorHAnsi" w:cstheme="minorBidi"/>
          <w:szCs w:val="22"/>
          <w:lang w:eastAsia="en-AU"/>
        </w:rPr>
      </w:pPr>
      <w:r>
        <w:t>5B.</w:t>
      </w:r>
      <w:r>
        <w:tab/>
        <w:t xml:space="preserve">Positions of authority in body corporate prescribed </w:t>
      </w:r>
      <w:r>
        <w:rPr>
          <w:snapToGrid w:val="0"/>
        </w:rPr>
        <w:t>(Act s.</w:t>
      </w:r>
      <w:r>
        <w:t> 3(4)(d))</w:t>
      </w:r>
      <w:r>
        <w:tab/>
      </w:r>
      <w:r>
        <w:fldChar w:fldCharType="begin"/>
      </w:r>
      <w:r>
        <w:instrText xml:space="preserve"> PAGEREF _Toc357698818 \h </w:instrText>
      </w:r>
      <w:r>
        <w:fldChar w:fldCharType="separate"/>
      </w:r>
      <w:r>
        <w:t>8</w:t>
      </w:r>
      <w:r>
        <w:fldChar w:fldCharType="end"/>
      </w:r>
    </w:p>
    <w:p>
      <w:pPr>
        <w:pStyle w:val="TOC8"/>
        <w:rPr>
          <w:rFonts w:asciiTheme="minorHAnsi" w:eastAsiaTheme="minorEastAsia" w:hAnsiTheme="minorHAnsi" w:cstheme="minorBidi"/>
          <w:szCs w:val="22"/>
          <w:lang w:eastAsia="en-AU"/>
        </w:rPr>
      </w:pPr>
      <w:r>
        <w:t>7</w:t>
      </w:r>
      <w:r>
        <w:rPr>
          <w:snapToGrid w:val="0"/>
        </w:rPr>
        <w:t>.</w:t>
      </w:r>
      <w:r>
        <w:rPr>
          <w:snapToGrid w:val="0"/>
        </w:rPr>
        <w:tab/>
        <w:t>Approved courses (Act s. 6(1)(c))</w:t>
      </w:r>
      <w:r>
        <w:tab/>
      </w:r>
      <w:r>
        <w:fldChar w:fldCharType="begin"/>
      </w:r>
      <w:r>
        <w:instrText xml:space="preserve"> PAGEREF _Toc357698819 \h </w:instrText>
      </w:r>
      <w:r>
        <w:fldChar w:fldCharType="separate"/>
      </w:r>
      <w:r>
        <w:t>9</w:t>
      </w:r>
      <w:r>
        <w:fldChar w:fldCharType="end"/>
      </w:r>
    </w:p>
    <w:p>
      <w:pPr>
        <w:pStyle w:val="TOC8"/>
        <w:rPr>
          <w:rFonts w:asciiTheme="minorHAnsi" w:eastAsiaTheme="minorEastAsia" w:hAnsiTheme="minorHAnsi" w:cstheme="minorBidi"/>
          <w:szCs w:val="22"/>
          <w:lang w:eastAsia="en-AU"/>
        </w:rPr>
      </w:pPr>
      <w:r>
        <w:t>8</w:t>
      </w:r>
      <w:r>
        <w:rPr>
          <w:snapToGrid w:val="0"/>
        </w:rPr>
        <w:t>.</w:t>
      </w:r>
      <w:r>
        <w:rPr>
          <w:snapToGrid w:val="0"/>
        </w:rPr>
        <w:tab/>
        <w:t>Exemption from Act, certain sales etc.</w:t>
      </w:r>
      <w:r>
        <w:tab/>
      </w:r>
      <w:r>
        <w:fldChar w:fldCharType="begin"/>
      </w:r>
      <w:r>
        <w:instrText xml:space="preserve"> PAGEREF _Toc357698820 \h </w:instrText>
      </w:r>
      <w:r>
        <w:fldChar w:fldCharType="separate"/>
      </w:r>
      <w:r>
        <w:t>9</w:t>
      </w:r>
      <w:r>
        <w:fldChar w:fldCharType="end"/>
      </w:r>
    </w:p>
    <w:p>
      <w:pPr>
        <w:pStyle w:val="TOC8"/>
        <w:rPr>
          <w:rFonts w:asciiTheme="minorHAnsi" w:eastAsiaTheme="minorEastAsia" w:hAnsiTheme="minorHAnsi" w:cstheme="minorBidi"/>
          <w:szCs w:val="22"/>
          <w:lang w:eastAsia="en-AU"/>
        </w:rPr>
      </w:pPr>
      <w:r>
        <w:t>8A.</w:t>
      </w:r>
      <w:r>
        <w:tab/>
        <w:t>Exemption from Act, consumption at live entertainment venues</w:t>
      </w:r>
      <w:r>
        <w:tab/>
      </w:r>
      <w:r>
        <w:fldChar w:fldCharType="begin"/>
      </w:r>
      <w:r>
        <w:instrText xml:space="preserve"> PAGEREF _Toc357698821 \h </w:instrText>
      </w:r>
      <w:r>
        <w:fldChar w:fldCharType="separate"/>
      </w:r>
      <w:r>
        <w:t>12</w:t>
      </w:r>
      <w:r>
        <w:fldChar w:fldCharType="end"/>
      </w:r>
    </w:p>
    <w:p>
      <w:pPr>
        <w:pStyle w:val="TOC8"/>
        <w:rPr>
          <w:rFonts w:asciiTheme="minorHAnsi" w:eastAsiaTheme="minorEastAsia" w:hAnsiTheme="minorHAnsi" w:cstheme="minorBidi"/>
          <w:szCs w:val="22"/>
          <w:lang w:eastAsia="en-AU"/>
        </w:rPr>
      </w:pPr>
      <w:r>
        <w:t>8B.</w:t>
      </w:r>
      <w:r>
        <w:tab/>
        <w:t>Exemption from Act, sales etc. at certain functions</w:t>
      </w:r>
      <w:r>
        <w:tab/>
      </w:r>
      <w:r>
        <w:fldChar w:fldCharType="begin"/>
      </w:r>
      <w:r>
        <w:instrText xml:space="preserve"> PAGEREF _Toc357698822 \h </w:instrText>
      </w:r>
      <w:r>
        <w:fldChar w:fldCharType="separate"/>
      </w:r>
      <w:r>
        <w:t>18</w:t>
      </w:r>
      <w:r>
        <w:fldChar w:fldCharType="end"/>
      </w:r>
    </w:p>
    <w:p>
      <w:pPr>
        <w:pStyle w:val="TOC8"/>
        <w:rPr>
          <w:rFonts w:asciiTheme="minorHAnsi" w:eastAsiaTheme="minorEastAsia" w:hAnsiTheme="minorHAnsi" w:cstheme="minorBidi"/>
          <w:szCs w:val="22"/>
          <w:lang w:eastAsia="en-AU"/>
        </w:rPr>
      </w:pPr>
      <w:r>
        <w:t>8C.</w:t>
      </w:r>
      <w:r>
        <w:tab/>
        <w:t>Exemption from Act, complimentary supply by business</w:t>
      </w:r>
      <w:r>
        <w:tab/>
      </w:r>
      <w:r>
        <w:fldChar w:fldCharType="begin"/>
      </w:r>
      <w:r>
        <w:instrText xml:space="preserve"> PAGEREF _Toc357698823 \h </w:instrText>
      </w:r>
      <w:r>
        <w:fldChar w:fldCharType="separate"/>
      </w:r>
      <w:r>
        <w:t>19</w:t>
      </w:r>
      <w:r>
        <w:fldChar w:fldCharType="end"/>
      </w:r>
    </w:p>
    <w:p>
      <w:pPr>
        <w:pStyle w:val="TOC8"/>
        <w:rPr>
          <w:rFonts w:asciiTheme="minorHAnsi" w:eastAsiaTheme="minorEastAsia" w:hAnsiTheme="minorHAnsi" w:cstheme="minorBidi"/>
          <w:szCs w:val="22"/>
          <w:lang w:eastAsia="en-AU"/>
        </w:rPr>
      </w:pPr>
      <w:r>
        <w:t>8D.</w:t>
      </w:r>
      <w:r>
        <w:tab/>
        <w:t>Exemption from Act, sales etc. at farmers’ markets</w:t>
      </w:r>
      <w:r>
        <w:tab/>
      </w:r>
      <w:r>
        <w:fldChar w:fldCharType="begin"/>
      </w:r>
      <w:r>
        <w:instrText xml:space="preserve"> PAGEREF _Toc357698824 \h </w:instrText>
      </w:r>
      <w:r>
        <w:fldChar w:fldCharType="separate"/>
      </w:r>
      <w:r>
        <w:t>20</w:t>
      </w:r>
      <w:r>
        <w:fldChar w:fldCharType="end"/>
      </w:r>
    </w:p>
    <w:p>
      <w:pPr>
        <w:pStyle w:val="TOC8"/>
        <w:rPr>
          <w:rFonts w:asciiTheme="minorHAnsi" w:eastAsiaTheme="minorEastAsia" w:hAnsiTheme="minorHAnsi" w:cstheme="minorBidi"/>
          <w:szCs w:val="22"/>
          <w:lang w:eastAsia="en-AU"/>
        </w:rPr>
      </w:pPr>
      <w:r>
        <w:t>8E.</w:t>
      </w:r>
      <w:r>
        <w:tab/>
        <w:t>Exemption from Act, sales etc. at functions on licensed premises</w:t>
      </w:r>
      <w:r>
        <w:tab/>
      </w:r>
      <w:r>
        <w:fldChar w:fldCharType="begin"/>
      </w:r>
      <w:r>
        <w:instrText xml:space="preserve"> PAGEREF _Toc357698825 \h </w:instrText>
      </w:r>
      <w:r>
        <w:fldChar w:fldCharType="separate"/>
      </w:r>
      <w:r>
        <w:t>21</w:t>
      </w:r>
      <w:r>
        <w:fldChar w:fldCharType="end"/>
      </w:r>
    </w:p>
    <w:p>
      <w:pPr>
        <w:pStyle w:val="TOC8"/>
        <w:rPr>
          <w:rFonts w:asciiTheme="minorHAnsi" w:eastAsiaTheme="minorEastAsia" w:hAnsiTheme="minorHAnsi" w:cstheme="minorBidi"/>
          <w:szCs w:val="22"/>
          <w:lang w:eastAsia="en-AU"/>
        </w:rPr>
      </w:pPr>
      <w:r>
        <w:t>8F.</w:t>
      </w:r>
      <w:r>
        <w:tab/>
        <w:t>Exemption from Act, consumption in certain charter vehicles</w:t>
      </w:r>
      <w:r>
        <w:tab/>
      </w:r>
      <w:r>
        <w:fldChar w:fldCharType="begin"/>
      </w:r>
      <w:r>
        <w:instrText xml:space="preserve"> PAGEREF _Toc357698826 \h </w:instrText>
      </w:r>
      <w:r>
        <w:fldChar w:fldCharType="separate"/>
      </w:r>
      <w:r>
        <w:t>22</w:t>
      </w:r>
      <w:r>
        <w:fldChar w:fldCharType="end"/>
      </w:r>
    </w:p>
    <w:p>
      <w:pPr>
        <w:pStyle w:val="TOC8"/>
        <w:rPr>
          <w:rFonts w:asciiTheme="minorHAnsi" w:eastAsiaTheme="minorEastAsia" w:hAnsiTheme="minorHAnsi" w:cstheme="minorBidi"/>
          <w:szCs w:val="22"/>
          <w:lang w:eastAsia="en-AU"/>
        </w:rPr>
      </w:pPr>
      <w:r>
        <w:t>9</w:t>
      </w:r>
      <w:r>
        <w:rPr>
          <w:snapToGrid w:val="0"/>
        </w:rPr>
        <w:t>.</w:t>
      </w:r>
      <w:r>
        <w:rPr>
          <w:snapToGrid w:val="0"/>
        </w:rPr>
        <w:tab/>
        <w:t>Persons prescribed (to take etc. oaths etc.) (Act s. 18(3)(c))</w:t>
      </w:r>
      <w:r>
        <w:tab/>
      </w:r>
      <w:r>
        <w:fldChar w:fldCharType="begin"/>
      </w:r>
      <w:r>
        <w:instrText xml:space="preserve"> PAGEREF _Toc357698827 \h </w:instrText>
      </w:r>
      <w:r>
        <w:fldChar w:fldCharType="separate"/>
      </w:r>
      <w:r>
        <w:t>24</w:t>
      </w:r>
      <w:r>
        <w:fldChar w:fldCharType="end"/>
      </w:r>
    </w:p>
    <w:p>
      <w:pPr>
        <w:pStyle w:val="TOC8"/>
        <w:rPr>
          <w:rFonts w:asciiTheme="minorHAnsi" w:eastAsiaTheme="minorEastAsia" w:hAnsiTheme="minorHAnsi" w:cstheme="minorBidi"/>
          <w:szCs w:val="22"/>
          <w:lang w:eastAsia="en-AU"/>
        </w:rPr>
      </w:pPr>
      <w:r>
        <w:t>9AA.</w:t>
      </w:r>
      <w:r>
        <w:tab/>
        <w:t xml:space="preserve">Distance prescribed </w:t>
      </w:r>
      <w:r>
        <w:rPr>
          <w:snapToGrid w:val="0"/>
        </w:rPr>
        <w:t>(Act s.</w:t>
      </w:r>
      <w:r>
        <w:t> 36A(2)(b))</w:t>
      </w:r>
      <w:r>
        <w:tab/>
      </w:r>
      <w:r>
        <w:fldChar w:fldCharType="begin"/>
      </w:r>
      <w:r>
        <w:instrText xml:space="preserve"> PAGEREF _Toc357698828 \h </w:instrText>
      </w:r>
      <w:r>
        <w:fldChar w:fldCharType="separate"/>
      </w:r>
      <w:r>
        <w:t>24</w:t>
      </w:r>
      <w:r>
        <w:fldChar w:fldCharType="end"/>
      </w:r>
    </w:p>
    <w:p>
      <w:pPr>
        <w:pStyle w:val="TOC8"/>
        <w:rPr>
          <w:rFonts w:asciiTheme="minorHAnsi" w:eastAsiaTheme="minorEastAsia" w:hAnsiTheme="minorHAnsi" w:cstheme="minorBidi"/>
          <w:szCs w:val="22"/>
          <w:lang w:eastAsia="en-AU"/>
        </w:rPr>
      </w:pPr>
      <w:r>
        <w:t>9A.</w:t>
      </w:r>
      <w:r>
        <w:tab/>
      </w:r>
      <w:r>
        <w:rPr>
          <w:snapToGrid w:val="0"/>
        </w:rPr>
        <w:t>Special facility licence, purposes for which may be granted</w:t>
      </w:r>
      <w:r>
        <w:tab/>
      </w:r>
      <w:r>
        <w:fldChar w:fldCharType="begin"/>
      </w:r>
      <w:r>
        <w:instrText xml:space="preserve"> PAGEREF _Toc357698829 \h </w:instrText>
      </w:r>
      <w:r>
        <w:fldChar w:fldCharType="separate"/>
      </w:r>
      <w:r>
        <w:t>24</w:t>
      </w:r>
      <w:r>
        <w:fldChar w:fldCharType="end"/>
      </w:r>
    </w:p>
    <w:p>
      <w:pPr>
        <w:pStyle w:val="TOC8"/>
        <w:rPr>
          <w:rFonts w:asciiTheme="minorHAnsi" w:eastAsiaTheme="minorEastAsia" w:hAnsiTheme="minorHAnsi" w:cstheme="minorBidi"/>
          <w:szCs w:val="22"/>
          <w:lang w:eastAsia="en-AU"/>
        </w:rPr>
      </w:pPr>
      <w:r>
        <w:t>9AB.</w:t>
      </w:r>
      <w:r>
        <w:tab/>
        <w:t xml:space="preserve">Kind of extended trading permit prescribed </w:t>
      </w:r>
      <w:r>
        <w:rPr>
          <w:snapToGrid w:val="0"/>
        </w:rPr>
        <w:t>(Act s.</w:t>
      </w:r>
      <w:r>
        <w:t> 25(5a))</w:t>
      </w:r>
      <w:r>
        <w:tab/>
      </w:r>
      <w:r>
        <w:fldChar w:fldCharType="begin"/>
      </w:r>
      <w:r>
        <w:instrText xml:space="preserve"> PAGEREF _Toc357698830 \h </w:instrText>
      </w:r>
      <w:r>
        <w:fldChar w:fldCharType="separate"/>
      </w:r>
      <w:r>
        <w:t>31</w:t>
      </w:r>
      <w:r>
        <w:fldChar w:fldCharType="end"/>
      </w:r>
    </w:p>
    <w:p>
      <w:pPr>
        <w:pStyle w:val="TOC8"/>
        <w:rPr>
          <w:rFonts w:asciiTheme="minorHAnsi" w:eastAsiaTheme="minorEastAsia" w:hAnsiTheme="minorHAnsi" w:cstheme="minorBidi"/>
          <w:szCs w:val="22"/>
          <w:lang w:eastAsia="en-AU"/>
        </w:rPr>
      </w:pPr>
      <w:r>
        <w:t>9B</w:t>
      </w:r>
      <w:r>
        <w:rPr>
          <w:snapToGrid w:val="0"/>
        </w:rPr>
        <w:t>.</w:t>
      </w:r>
      <w:r>
        <w:rPr>
          <w:snapToGrid w:val="0"/>
        </w:rPr>
        <w:tab/>
        <w:t>Special facility licence, effect of as to sale of packaged liquor</w:t>
      </w:r>
      <w:r>
        <w:tab/>
      </w:r>
      <w:r>
        <w:fldChar w:fldCharType="begin"/>
      </w:r>
      <w:r>
        <w:instrText xml:space="preserve"> PAGEREF _Toc357698831 \h </w:instrText>
      </w:r>
      <w:r>
        <w:fldChar w:fldCharType="separate"/>
      </w:r>
      <w:r>
        <w:t>31</w:t>
      </w:r>
      <w:r>
        <w:fldChar w:fldCharType="end"/>
      </w:r>
    </w:p>
    <w:p>
      <w:pPr>
        <w:pStyle w:val="TOC8"/>
        <w:rPr>
          <w:rFonts w:asciiTheme="minorHAnsi" w:eastAsiaTheme="minorEastAsia" w:hAnsiTheme="minorHAnsi" w:cstheme="minorBidi"/>
          <w:szCs w:val="22"/>
          <w:lang w:eastAsia="en-AU"/>
        </w:rPr>
      </w:pPr>
      <w:r>
        <w:t>9C</w:t>
      </w:r>
      <w:r>
        <w:rPr>
          <w:snapToGrid w:val="0"/>
        </w:rPr>
        <w:t>.</w:t>
      </w:r>
      <w:r>
        <w:rPr>
          <w:snapToGrid w:val="0"/>
        </w:rPr>
        <w:tab/>
        <w:t>Types of special facility licence prescribed (Act s. 46(6))</w:t>
      </w:r>
      <w:r>
        <w:tab/>
      </w:r>
      <w:r>
        <w:fldChar w:fldCharType="begin"/>
      </w:r>
      <w:r>
        <w:instrText xml:space="preserve"> PAGEREF _Toc357698832 \h </w:instrText>
      </w:r>
      <w:r>
        <w:fldChar w:fldCharType="separate"/>
      </w:r>
      <w:r>
        <w:t>32</w:t>
      </w:r>
      <w:r>
        <w:fldChar w:fldCharType="end"/>
      </w:r>
    </w:p>
    <w:p>
      <w:pPr>
        <w:pStyle w:val="TOC8"/>
        <w:rPr>
          <w:rFonts w:asciiTheme="minorHAnsi" w:eastAsiaTheme="minorEastAsia" w:hAnsiTheme="minorHAnsi" w:cstheme="minorBidi"/>
          <w:szCs w:val="22"/>
          <w:lang w:eastAsia="en-AU"/>
        </w:rPr>
      </w:pPr>
      <w:r>
        <w:t>9D.</w:t>
      </w:r>
      <w:r>
        <w:tab/>
      </w:r>
      <w:r>
        <w:rPr>
          <w:snapToGrid w:val="0"/>
        </w:rPr>
        <w:t>Act s.</w:t>
      </w:r>
      <w:r>
        <w:t> 33(6b) modified as to occasional licences</w:t>
      </w:r>
      <w:r>
        <w:tab/>
      </w:r>
      <w:r>
        <w:fldChar w:fldCharType="begin"/>
      </w:r>
      <w:r>
        <w:instrText xml:space="preserve"> PAGEREF _Toc357698833 \h </w:instrText>
      </w:r>
      <w:r>
        <w:fldChar w:fldCharType="separate"/>
      </w:r>
      <w:r>
        <w:t>32</w:t>
      </w:r>
      <w:r>
        <w:fldChar w:fldCharType="end"/>
      </w:r>
    </w:p>
    <w:p>
      <w:pPr>
        <w:pStyle w:val="TOC8"/>
        <w:rPr>
          <w:rFonts w:asciiTheme="minorHAnsi" w:eastAsiaTheme="minorEastAsia" w:hAnsiTheme="minorHAnsi" w:cstheme="minorBidi"/>
          <w:szCs w:val="22"/>
          <w:lang w:eastAsia="en-AU"/>
        </w:rPr>
      </w:pPr>
      <w:r>
        <w:t>9E.</w:t>
      </w:r>
      <w:r>
        <w:tab/>
        <w:t>Period prescribed (Act s. 33(6D)(b))</w:t>
      </w:r>
      <w:r>
        <w:tab/>
      </w:r>
      <w:r>
        <w:fldChar w:fldCharType="begin"/>
      </w:r>
      <w:r>
        <w:instrText xml:space="preserve"> PAGEREF _Toc357698834 \h </w:instrText>
      </w:r>
      <w:r>
        <w:fldChar w:fldCharType="separate"/>
      </w:r>
      <w:r>
        <w:t>33</w:t>
      </w:r>
      <w:r>
        <w:fldChar w:fldCharType="end"/>
      </w:r>
    </w:p>
    <w:p>
      <w:pPr>
        <w:pStyle w:val="TOC8"/>
        <w:rPr>
          <w:rFonts w:asciiTheme="minorHAnsi" w:eastAsiaTheme="minorEastAsia" w:hAnsiTheme="minorHAnsi" w:cstheme="minorBidi"/>
          <w:szCs w:val="22"/>
          <w:lang w:eastAsia="en-AU"/>
        </w:rPr>
      </w:pPr>
      <w:r>
        <w:t>9F.</w:t>
      </w:r>
      <w:r>
        <w:tab/>
        <w:t>Kinds of permit prescribed (Act s. 38(1)(b))</w:t>
      </w:r>
      <w:r>
        <w:tab/>
      </w:r>
      <w:r>
        <w:fldChar w:fldCharType="begin"/>
      </w:r>
      <w:r>
        <w:instrText xml:space="preserve"> PAGEREF _Toc357698835 \h </w:instrText>
      </w:r>
      <w:r>
        <w:fldChar w:fldCharType="separate"/>
      </w:r>
      <w:r>
        <w:t>33</w:t>
      </w:r>
      <w:r>
        <w:fldChar w:fldCharType="end"/>
      </w:r>
    </w:p>
    <w:p>
      <w:pPr>
        <w:pStyle w:val="TOC8"/>
        <w:rPr>
          <w:rFonts w:asciiTheme="minorHAnsi" w:eastAsiaTheme="minorEastAsia" w:hAnsiTheme="minorHAnsi" w:cstheme="minorBidi"/>
          <w:szCs w:val="22"/>
          <w:lang w:eastAsia="en-AU"/>
        </w:rPr>
      </w:pPr>
      <w:r>
        <w:t>9G.</w:t>
      </w:r>
      <w:r>
        <w:tab/>
        <w:t xml:space="preserve">Reciprocal arrangements for club membership, requirements for </w:t>
      </w:r>
      <w:r>
        <w:rPr>
          <w:snapToGrid w:val="0"/>
        </w:rPr>
        <w:t>(Act s.</w:t>
      </w:r>
      <w:r>
        <w:t> 49(3)(c)(iv))</w:t>
      </w:r>
      <w:r>
        <w:tab/>
      </w:r>
      <w:r>
        <w:fldChar w:fldCharType="begin"/>
      </w:r>
      <w:r>
        <w:instrText xml:space="preserve"> PAGEREF _Toc357698836 \h </w:instrText>
      </w:r>
      <w:r>
        <w:fldChar w:fldCharType="separate"/>
      </w:r>
      <w:r>
        <w:t>34</w:t>
      </w:r>
      <w:r>
        <w:fldChar w:fldCharType="end"/>
      </w:r>
    </w:p>
    <w:p>
      <w:pPr>
        <w:pStyle w:val="TOC8"/>
        <w:rPr>
          <w:rFonts w:asciiTheme="minorHAnsi" w:eastAsiaTheme="minorEastAsia" w:hAnsiTheme="minorHAnsi" w:cstheme="minorBidi"/>
          <w:szCs w:val="22"/>
          <w:lang w:eastAsia="en-AU"/>
        </w:rPr>
      </w:pPr>
      <w:r>
        <w:t>10</w:t>
      </w:r>
      <w:r>
        <w:rPr>
          <w:snapToGrid w:val="0"/>
        </w:rPr>
        <w:t>.</w:t>
      </w:r>
      <w:r>
        <w:rPr>
          <w:snapToGrid w:val="0"/>
        </w:rPr>
        <w:tab/>
        <w:t>Requirements prescribed (Act s. </w:t>
      </w:r>
      <w:r>
        <w:t>57(2)(d)</w:t>
      </w:r>
      <w:r>
        <w:rPr>
          <w:snapToGrid w:val="0"/>
        </w:rPr>
        <w:t>)</w:t>
      </w:r>
      <w:r>
        <w:tab/>
      </w:r>
      <w:r>
        <w:fldChar w:fldCharType="begin"/>
      </w:r>
      <w:r>
        <w:instrText xml:space="preserve"> PAGEREF _Toc357698837 \h </w:instrText>
      </w:r>
      <w:r>
        <w:fldChar w:fldCharType="separate"/>
      </w:r>
      <w:r>
        <w:t>34</w:t>
      </w:r>
      <w:r>
        <w:fldChar w:fldCharType="end"/>
      </w:r>
    </w:p>
    <w:p>
      <w:pPr>
        <w:pStyle w:val="TOC8"/>
        <w:rPr>
          <w:rFonts w:asciiTheme="minorHAnsi" w:eastAsiaTheme="minorEastAsia" w:hAnsiTheme="minorHAnsi" w:cstheme="minorBidi"/>
          <w:szCs w:val="22"/>
          <w:lang w:eastAsia="en-AU"/>
        </w:rPr>
      </w:pPr>
      <w:r>
        <w:t>10A</w:t>
      </w:r>
      <w:r>
        <w:rPr>
          <w:snapToGrid w:val="0"/>
        </w:rPr>
        <w:t>.</w:t>
      </w:r>
      <w:r>
        <w:rPr>
          <w:snapToGrid w:val="0"/>
        </w:rPr>
        <w:tab/>
        <w:t>Condition prescribed (Act s. 55(2))</w:t>
      </w:r>
      <w:r>
        <w:tab/>
      </w:r>
      <w:r>
        <w:fldChar w:fldCharType="begin"/>
      </w:r>
      <w:r>
        <w:instrText xml:space="preserve"> PAGEREF _Toc357698838 \h </w:instrText>
      </w:r>
      <w:r>
        <w:fldChar w:fldCharType="separate"/>
      </w:r>
      <w:r>
        <w:t>35</w:t>
      </w:r>
      <w:r>
        <w:fldChar w:fldCharType="end"/>
      </w:r>
    </w:p>
    <w:p>
      <w:pPr>
        <w:pStyle w:val="TOC8"/>
        <w:rPr>
          <w:rFonts w:asciiTheme="minorHAnsi" w:eastAsiaTheme="minorEastAsia" w:hAnsiTheme="minorHAnsi" w:cstheme="minorBidi"/>
          <w:szCs w:val="22"/>
          <w:lang w:eastAsia="en-AU"/>
        </w:rPr>
      </w:pPr>
      <w:r>
        <w:t>11</w:t>
      </w:r>
      <w:r>
        <w:rPr>
          <w:snapToGrid w:val="0"/>
        </w:rPr>
        <w:t>.</w:t>
      </w:r>
      <w:r>
        <w:rPr>
          <w:snapToGrid w:val="0"/>
        </w:rPr>
        <w:tab/>
        <w:t>Plans and specifications, requirements for (Act s. 66(4) and (5))</w:t>
      </w:r>
      <w:r>
        <w:tab/>
      </w:r>
      <w:r>
        <w:fldChar w:fldCharType="begin"/>
      </w:r>
      <w:r>
        <w:instrText xml:space="preserve"> PAGEREF _Toc357698839 \h </w:instrText>
      </w:r>
      <w:r>
        <w:fldChar w:fldCharType="separate"/>
      </w:r>
      <w:r>
        <w:t>35</w:t>
      </w:r>
      <w:r>
        <w:fldChar w:fldCharType="end"/>
      </w:r>
    </w:p>
    <w:p>
      <w:pPr>
        <w:pStyle w:val="TOC8"/>
        <w:rPr>
          <w:rFonts w:asciiTheme="minorHAnsi" w:eastAsiaTheme="minorEastAsia" w:hAnsiTheme="minorHAnsi" w:cstheme="minorBidi"/>
          <w:szCs w:val="22"/>
          <w:lang w:eastAsia="en-AU"/>
        </w:rPr>
      </w:pPr>
      <w:r>
        <w:t>13</w:t>
      </w:r>
      <w:r>
        <w:rPr>
          <w:snapToGrid w:val="0"/>
        </w:rPr>
        <w:t>.</w:t>
      </w:r>
      <w:r>
        <w:rPr>
          <w:snapToGrid w:val="0"/>
        </w:rPr>
        <w:tab/>
        <w:t>Records as to applicant, requirements for (Act s. 68(1)(b))</w:t>
      </w:r>
      <w:r>
        <w:tab/>
      </w:r>
      <w:r>
        <w:fldChar w:fldCharType="begin"/>
      </w:r>
      <w:r>
        <w:instrText xml:space="preserve"> PAGEREF _Toc357698840 \h </w:instrText>
      </w:r>
      <w:r>
        <w:fldChar w:fldCharType="separate"/>
      </w:r>
      <w:r>
        <w:t>37</w:t>
      </w:r>
      <w:r>
        <w:fldChar w:fldCharType="end"/>
      </w:r>
    </w:p>
    <w:p>
      <w:pPr>
        <w:pStyle w:val="TOC8"/>
        <w:rPr>
          <w:rFonts w:asciiTheme="minorHAnsi" w:eastAsiaTheme="minorEastAsia" w:hAnsiTheme="minorHAnsi" w:cstheme="minorBidi"/>
          <w:szCs w:val="22"/>
          <w:lang w:eastAsia="en-AU"/>
        </w:rPr>
      </w:pPr>
      <w:r>
        <w:t>14A.</w:t>
      </w:r>
      <w:r>
        <w:tab/>
        <w:t xml:space="preserve">Types etc. of premises prescribed </w:t>
      </w:r>
      <w:r>
        <w:rPr>
          <w:snapToGrid w:val="0"/>
        </w:rPr>
        <w:t>(Act s. 77(5a)(b))</w:t>
      </w:r>
      <w:r>
        <w:tab/>
      </w:r>
      <w:r>
        <w:fldChar w:fldCharType="begin"/>
      </w:r>
      <w:r>
        <w:instrText xml:space="preserve"> PAGEREF _Toc357698841 \h </w:instrText>
      </w:r>
      <w:r>
        <w:fldChar w:fldCharType="separate"/>
      </w:r>
      <w:r>
        <w:t>38</w:t>
      </w:r>
      <w:r>
        <w:fldChar w:fldCharType="end"/>
      </w:r>
    </w:p>
    <w:p>
      <w:pPr>
        <w:pStyle w:val="TOC8"/>
        <w:rPr>
          <w:rFonts w:asciiTheme="minorHAnsi" w:eastAsiaTheme="minorEastAsia" w:hAnsiTheme="minorHAnsi" w:cstheme="minorBidi"/>
          <w:szCs w:val="22"/>
          <w:lang w:eastAsia="en-AU"/>
        </w:rPr>
      </w:pPr>
      <w:r>
        <w:t>14AB.</w:t>
      </w:r>
      <w:r>
        <w:tab/>
        <w:t xml:space="preserve">Requirement for lodgment of application prescribed </w:t>
      </w:r>
      <w:r>
        <w:rPr>
          <w:snapToGrid w:val="0"/>
        </w:rPr>
        <w:t>(Act s. </w:t>
      </w:r>
      <w:r>
        <w:t>75(1)(b))</w:t>
      </w:r>
      <w:r>
        <w:tab/>
      </w:r>
      <w:r>
        <w:fldChar w:fldCharType="begin"/>
      </w:r>
      <w:r>
        <w:instrText xml:space="preserve"> PAGEREF _Toc357698842 \h </w:instrText>
      </w:r>
      <w:r>
        <w:fldChar w:fldCharType="separate"/>
      </w:r>
      <w:r>
        <w:t>38</w:t>
      </w:r>
      <w:r>
        <w:fldChar w:fldCharType="end"/>
      </w:r>
    </w:p>
    <w:p>
      <w:pPr>
        <w:pStyle w:val="TOC8"/>
        <w:rPr>
          <w:rFonts w:asciiTheme="minorHAnsi" w:eastAsiaTheme="minorEastAsia" w:hAnsiTheme="minorHAnsi" w:cstheme="minorBidi"/>
          <w:szCs w:val="22"/>
          <w:lang w:eastAsia="en-AU"/>
        </w:rPr>
      </w:pPr>
      <w:r>
        <w:t>14AC.</w:t>
      </w:r>
      <w:r>
        <w:tab/>
        <w:t xml:space="preserve">Requirement for lodgment of application prescribed </w:t>
      </w:r>
      <w:r>
        <w:rPr>
          <w:snapToGrid w:val="0"/>
        </w:rPr>
        <w:t>(Act s. </w:t>
      </w:r>
      <w:r>
        <w:t>76(1)(b))</w:t>
      </w:r>
      <w:r>
        <w:tab/>
      </w:r>
      <w:r>
        <w:fldChar w:fldCharType="begin"/>
      </w:r>
      <w:r>
        <w:instrText xml:space="preserve"> PAGEREF _Toc357698843 \h </w:instrText>
      </w:r>
      <w:r>
        <w:fldChar w:fldCharType="separate"/>
      </w:r>
      <w:r>
        <w:t>39</w:t>
      </w:r>
      <w:r>
        <w:fldChar w:fldCharType="end"/>
      </w:r>
    </w:p>
    <w:p>
      <w:pPr>
        <w:pStyle w:val="TOC8"/>
        <w:rPr>
          <w:rFonts w:asciiTheme="minorHAnsi" w:eastAsiaTheme="minorEastAsia" w:hAnsiTheme="minorHAnsi" w:cstheme="minorBidi"/>
          <w:szCs w:val="22"/>
          <w:lang w:eastAsia="en-AU"/>
        </w:rPr>
      </w:pPr>
      <w:r>
        <w:t>14ADA.</w:t>
      </w:r>
      <w:r>
        <w:tab/>
        <w:t>Manager’s approval, application for (Act s. 102B)</w:t>
      </w:r>
      <w:r>
        <w:tab/>
      </w:r>
      <w:r>
        <w:fldChar w:fldCharType="begin"/>
      </w:r>
      <w:r>
        <w:instrText xml:space="preserve"> PAGEREF _Toc357698844 \h </w:instrText>
      </w:r>
      <w:r>
        <w:fldChar w:fldCharType="separate"/>
      </w:r>
      <w:r>
        <w:t>39</w:t>
      </w:r>
      <w:r>
        <w:fldChar w:fldCharType="end"/>
      </w:r>
    </w:p>
    <w:p>
      <w:pPr>
        <w:pStyle w:val="TOC8"/>
        <w:rPr>
          <w:rFonts w:asciiTheme="minorHAnsi" w:eastAsiaTheme="minorEastAsia" w:hAnsiTheme="minorHAnsi" w:cstheme="minorBidi"/>
          <w:szCs w:val="22"/>
          <w:lang w:eastAsia="en-AU"/>
        </w:rPr>
      </w:pPr>
      <w:r>
        <w:t>14ADB.</w:t>
      </w:r>
      <w:r>
        <w:tab/>
        <w:t>Manager’s approval, conditions on (Act s. 102C)</w:t>
      </w:r>
      <w:r>
        <w:tab/>
      </w:r>
      <w:r>
        <w:fldChar w:fldCharType="begin"/>
      </w:r>
      <w:r>
        <w:instrText xml:space="preserve"> PAGEREF _Toc357698845 \h </w:instrText>
      </w:r>
      <w:r>
        <w:fldChar w:fldCharType="separate"/>
      </w:r>
      <w:r>
        <w:t>40</w:t>
      </w:r>
      <w:r>
        <w:fldChar w:fldCharType="end"/>
      </w:r>
    </w:p>
    <w:p>
      <w:pPr>
        <w:pStyle w:val="TOC8"/>
        <w:rPr>
          <w:rFonts w:asciiTheme="minorHAnsi" w:eastAsiaTheme="minorEastAsia" w:hAnsiTheme="minorHAnsi" w:cstheme="minorBidi"/>
          <w:szCs w:val="22"/>
          <w:lang w:eastAsia="en-AU"/>
        </w:rPr>
      </w:pPr>
      <w:r>
        <w:t>14ADC.</w:t>
      </w:r>
      <w:r>
        <w:tab/>
        <w:t>Manager’s approval, duration of (Act s. 102D)</w:t>
      </w:r>
      <w:r>
        <w:tab/>
      </w:r>
      <w:r>
        <w:fldChar w:fldCharType="begin"/>
      </w:r>
      <w:r>
        <w:instrText xml:space="preserve"> PAGEREF _Toc357698846 \h </w:instrText>
      </w:r>
      <w:r>
        <w:fldChar w:fldCharType="separate"/>
      </w:r>
      <w:r>
        <w:t>41</w:t>
      </w:r>
      <w:r>
        <w:fldChar w:fldCharType="end"/>
      </w:r>
    </w:p>
    <w:p>
      <w:pPr>
        <w:pStyle w:val="TOC8"/>
        <w:rPr>
          <w:rFonts w:asciiTheme="minorHAnsi" w:eastAsiaTheme="minorEastAsia" w:hAnsiTheme="minorHAnsi" w:cstheme="minorBidi"/>
          <w:szCs w:val="22"/>
          <w:lang w:eastAsia="en-AU"/>
        </w:rPr>
      </w:pPr>
      <w:r>
        <w:t>14ADD.</w:t>
      </w:r>
      <w:r>
        <w:tab/>
        <w:t>Manager’s approval, renewal of (Act s. 102E)</w:t>
      </w:r>
      <w:r>
        <w:tab/>
      </w:r>
      <w:r>
        <w:fldChar w:fldCharType="begin"/>
      </w:r>
      <w:r>
        <w:instrText xml:space="preserve"> PAGEREF _Toc357698847 \h </w:instrText>
      </w:r>
      <w:r>
        <w:fldChar w:fldCharType="separate"/>
      </w:r>
      <w:r>
        <w:t>41</w:t>
      </w:r>
      <w:r>
        <w:fldChar w:fldCharType="end"/>
      </w:r>
    </w:p>
    <w:p>
      <w:pPr>
        <w:pStyle w:val="TOC8"/>
        <w:rPr>
          <w:rFonts w:asciiTheme="minorHAnsi" w:eastAsiaTheme="minorEastAsia" w:hAnsiTheme="minorHAnsi" w:cstheme="minorBidi"/>
          <w:szCs w:val="22"/>
          <w:lang w:eastAsia="en-AU"/>
        </w:rPr>
      </w:pPr>
      <w:r>
        <w:t>14ADE.</w:t>
      </w:r>
      <w:r>
        <w:tab/>
        <w:t>Approved manager, identification card for</w:t>
      </w:r>
      <w:r>
        <w:tab/>
      </w:r>
      <w:r>
        <w:fldChar w:fldCharType="begin"/>
      </w:r>
      <w:r>
        <w:instrText xml:space="preserve"> PAGEREF _Toc357698848 \h </w:instrText>
      </w:r>
      <w:r>
        <w:fldChar w:fldCharType="separate"/>
      </w:r>
      <w:r>
        <w:t>42</w:t>
      </w:r>
      <w:r>
        <w:fldChar w:fldCharType="end"/>
      </w:r>
    </w:p>
    <w:p>
      <w:pPr>
        <w:pStyle w:val="TOC8"/>
        <w:rPr>
          <w:rFonts w:asciiTheme="minorHAnsi" w:eastAsiaTheme="minorEastAsia" w:hAnsiTheme="minorHAnsi" w:cstheme="minorBidi"/>
          <w:szCs w:val="22"/>
          <w:lang w:eastAsia="en-AU"/>
        </w:rPr>
      </w:pPr>
      <w:r>
        <w:t>14ADF.</w:t>
      </w:r>
      <w:r>
        <w:tab/>
        <w:t>Lost etc. identification card, replacement of</w:t>
      </w:r>
      <w:r>
        <w:tab/>
      </w:r>
      <w:r>
        <w:fldChar w:fldCharType="begin"/>
      </w:r>
      <w:r>
        <w:instrText xml:space="preserve"> PAGEREF _Toc357698849 \h </w:instrText>
      </w:r>
      <w:r>
        <w:fldChar w:fldCharType="separate"/>
      </w:r>
      <w:r>
        <w:t>43</w:t>
      </w:r>
      <w:r>
        <w:fldChar w:fldCharType="end"/>
      </w:r>
    </w:p>
    <w:p>
      <w:pPr>
        <w:pStyle w:val="TOC8"/>
        <w:rPr>
          <w:rFonts w:asciiTheme="minorHAnsi" w:eastAsiaTheme="minorEastAsia" w:hAnsiTheme="minorHAnsi" w:cstheme="minorBidi"/>
          <w:szCs w:val="22"/>
          <w:lang w:eastAsia="en-AU"/>
        </w:rPr>
      </w:pPr>
      <w:r>
        <w:t>14ADG.</w:t>
      </w:r>
      <w:r>
        <w:tab/>
        <w:t>Transitioned approvals (Act Sch. 1B)</w:t>
      </w:r>
      <w:r>
        <w:tab/>
      </w:r>
      <w:r>
        <w:fldChar w:fldCharType="begin"/>
      </w:r>
      <w:r>
        <w:instrText xml:space="preserve"> PAGEREF _Toc357698850 \h </w:instrText>
      </w:r>
      <w:r>
        <w:fldChar w:fldCharType="separate"/>
      </w:r>
      <w:r>
        <w:t>43</w:t>
      </w:r>
      <w:r>
        <w:fldChar w:fldCharType="end"/>
      </w:r>
    </w:p>
    <w:p>
      <w:pPr>
        <w:pStyle w:val="TOC8"/>
        <w:rPr>
          <w:rFonts w:asciiTheme="minorHAnsi" w:eastAsiaTheme="minorEastAsia" w:hAnsiTheme="minorHAnsi" w:cstheme="minorBidi"/>
          <w:szCs w:val="22"/>
          <w:lang w:eastAsia="en-AU"/>
        </w:rPr>
      </w:pPr>
      <w:r>
        <w:t>14AD.</w:t>
      </w:r>
      <w:r>
        <w:tab/>
        <w:t xml:space="preserve">Responsible practices in selling etc. liquor, courses on required </w:t>
      </w:r>
      <w:r>
        <w:rPr>
          <w:snapToGrid w:val="0"/>
        </w:rPr>
        <w:t>(Act s. </w:t>
      </w:r>
      <w:r>
        <w:t>103A(1)(a))</w:t>
      </w:r>
      <w:r>
        <w:tab/>
      </w:r>
      <w:r>
        <w:fldChar w:fldCharType="begin"/>
      </w:r>
      <w:r>
        <w:instrText xml:space="preserve"> PAGEREF _Toc357698851 \h </w:instrText>
      </w:r>
      <w:r>
        <w:fldChar w:fldCharType="separate"/>
      </w:r>
      <w:r>
        <w:t>44</w:t>
      </w:r>
      <w:r>
        <w:fldChar w:fldCharType="end"/>
      </w:r>
    </w:p>
    <w:p>
      <w:pPr>
        <w:pStyle w:val="TOC8"/>
        <w:rPr>
          <w:rFonts w:asciiTheme="minorHAnsi" w:eastAsiaTheme="minorEastAsia" w:hAnsiTheme="minorHAnsi" w:cstheme="minorBidi"/>
          <w:szCs w:val="22"/>
          <w:lang w:eastAsia="en-AU"/>
        </w:rPr>
      </w:pPr>
      <w:r>
        <w:t>14AE.</w:t>
      </w:r>
      <w:r>
        <w:tab/>
        <w:t>Offences for r. 14AD</w:t>
      </w:r>
      <w:r>
        <w:tab/>
      </w:r>
      <w:r>
        <w:fldChar w:fldCharType="begin"/>
      </w:r>
      <w:r>
        <w:instrText xml:space="preserve"> PAGEREF _Toc357698852 \h </w:instrText>
      </w:r>
      <w:r>
        <w:fldChar w:fldCharType="separate"/>
      </w:r>
      <w:r>
        <w:t>45</w:t>
      </w:r>
      <w:r>
        <w:fldChar w:fldCharType="end"/>
      </w:r>
    </w:p>
    <w:p>
      <w:pPr>
        <w:pStyle w:val="TOC8"/>
        <w:rPr>
          <w:rFonts w:asciiTheme="minorHAnsi" w:eastAsiaTheme="minorEastAsia" w:hAnsiTheme="minorHAnsi" w:cstheme="minorBidi"/>
          <w:szCs w:val="22"/>
          <w:lang w:eastAsia="en-AU"/>
        </w:rPr>
      </w:pPr>
      <w:r>
        <w:t>14AF.</w:t>
      </w:r>
      <w:r>
        <w:tab/>
        <w:t>Transitional provisions for r. 14AD</w:t>
      </w:r>
      <w:r>
        <w:tab/>
      </w:r>
      <w:r>
        <w:fldChar w:fldCharType="begin"/>
      </w:r>
      <w:r>
        <w:instrText xml:space="preserve"> PAGEREF _Toc357698853 \h </w:instrText>
      </w:r>
      <w:r>
        <w:fldChar w:fldCharType="separate"/>
      </w:r>
      <w:r>
        <w:t>46</w:t>
      </w:r>
      <w:r>
        <w:fldChar w:fldCharType="end"/>
      </w:r>
    </w:p>
    <w:p>
      <w:pPr>
        <w:pStyle w:val="TOC8"/>
        <w:rPr>
          <w:rFonts w:asciiTheme="minorHAnsi" w:eastAsiaTheme="minorEastAsia" w:hAnsiTheme="minorHAnsi" w:cstheme="minorBidi"/>
          <w:szCs w:val="22"/>
          <w:lang w:eastAsia="en-AU"/>
        </w:rPr>
      </w:pPr>
      <w:r>
        <w:t>14AG.</w:t>
      </w:r>
      <w:r>
        <w:tab/>
        <w:t>Licensee to maintain register </w:t>
      </w:r>
      <w:r>
        <w:rPr>
          <w:snapToGrid w:val="0"/>
        </w:rPr>
        <w:t>(Act s. </w:t>
      </w:r>
      <w:r>
        <w:t>103A(1)(b))</w:t>
      </w:r>
      <w:r>
        <w:tab/>
      </w:r>
      <w:r>
        <w:fldChar w:fldCharType="begin"/>
      </w:r>
      <w:r>
        <w:instrText xml:space="preserve"> PAGEREF _Toc357698854 \h </w:instrText>
      </w:r>
      <w:r>
        <w:fldChar w:fldCharType="separate"/>
      </w:r>
      <w:r>
        <w:t>46</w:t>
      </w:r>
      <w:r>
        <w:fldChar w:fldCharType="end"/>
      </w:r>
    </w:p>
    <w:p>
      <w:pPr>
        <w:pStyle w:val="TOC8"/>
        <w:rPr>
          <w:rFonts w:asciiTheme="minorHAnsi" w:eastAsiaTheme="minorEastAsia" w:hAnsiTheme="minorHAnsi" w:cstheme="minorBidi"/>
          <w:szCs w:val="22"/>
          <w:lang w:eastAsia="en-AU"/>
        </w:rPr>
      </w:pPr>
      <w:r>
        <w:t>16</w:t>
      </w:r>
      <w:r>
        <w:rPr>
          <w:snapToGrid w:val="0"/>
        </w:rPr>
        <w:t>.</w:t>
      </w:r>
      <w:r>
        <w:rPr>
          <w:snapToGrid w:val="0"/>
        </w:rPr>
        <w:tab/>
        <w:t>Amount of liability prescribed (Act s. 107)</w:t>
      </w:r>
      <w:r>
        <w:tab/>
      </w:r>
      <w:r>
        <w:fldChar w:fldCharType="begin"/>
      </w:r>
      <w:r>
        <w:instrText xml:space="preserve"> PAGEREF _Toc357698855 \h </w:instrText>
      </w:r>
      <w:r>
        <w:fldChar w:fldCharType="separate"/>
      </w:r>
      <w:r>
        <w:t>47</w:t>
      </w:r>
      <w:r>
        <w:fldChar w:fldCharType="end"/>
      </w:r>
    </w:p>
    <w:p>
      <w:pPr>
        <w:pStyle w:val="TOC8"/>
        <w:rPr>
          <w:rFonts w:asciiTheme="minorHAnsi" w:eastAsiaTheme="minorEastAsia" w:hAnsiTheme="minorHAnsi" w:cstheme="minorBidi"/>
          <w:szCs w:val="22"/>
          <w:lang w:eastAsia="en-AU"/>
        </w:rPr>
      </w:pPr>
      <w:r>
        <w:t>17A.</w:t>
      </w:r>
      <w:r>
        <w:tab/>
        <w:t xml:space="preserve">Sports arenas prescribed (Act s. 110(4B) </w:t>
      </w:r>
      <w:r>
        <w:rPr>
          <w:i/>
        </w:rPr>
        <w:t>sports arena</w:t>
      </w:r>
      <w:r>
        <w:t>)</w:t>
      </w:r>
      <w:r>
        <w:tab/>
      </w:r>
      <w:r>
        <w:fldChar w:fldCharType="begin"/>
      </w:r>
      <w:r>
        <w:instrText xml:space="preserve"> PAGEREF _Toc357698856 \h </w:instrText>
      </w:r>
      <w:r>
        <w:fldChar w:fldCharType="separate"/>
      </w:r>
      <w:r>
        <w:t>47</w:t>
      </w:r>
      <w:r>
        <w:fldChar w:fldCharType="end"/>
      </w:r>
    </w:p>
    <w:p>
      <w:pPr>
        <w:pStyle w:val="TOC8"/>
        <w:rPr>
          <w:rFonts w:asciiTheme="minorHAnsi" w:eastAsiaTheme="minorEastAsia" w:hAnsiTheme="minorHAnsi" w:cstheme="minorBidi"/>
          <w:szCs w:val="22"/>
          <w:lang w:eastAsia="en-AU"/>
        </w:rPr>
      </w:pPr>
      <w:r>
        <w:t>17</w:t>
      </w:r>
      <w:r>
        <w:rPr>
          <w:snapToGrid w:val="0"/>
        </w:rPr>
        <w:t>.</w:t>
      </w:r>
      <w:r>
        <w:rPr>
          <w:snapToGrid w:val="0"/>
        </w:rPr>
        <w:tab/>
        <w:t>Out of bounds area, notice for (Act s. 121(6))</w:t>
      </w:r>
      <w:r>
        <w:tab/>
      </w:r>
      <w:r>
        <w:fldChar w:fldCharType="begin"/>
      </w:r>
      <w:r>
        <w:instrText xml:space="preserve"> PAGEREF _Toc357698857 \h </w:instrText>
      </w:r>
      <w:r>
        <w:fldChar w:fldCharType="separate"/>
      </w:r>
      <w:r>
        <w:t>48</w:t>
      </w:r>
      <w:r>
        <w:fldChar w:fldCharType="end"/>
      </w:r>
    </w:p>
    <w:p>
      <w:pPr>
        <w:pStyle w:val="TOC8"/>
        <w:rPr>
          <w:rFonts w:asciiTheme="minorHAnsi" w:eastAsiaTheme="minorEastAsia" w:hAnsiTheme="minorHAnsi" w:cstheme="minorBidi"/>
          <w:szCs w:val="22"/>
          <w:lang w:eastAsia="en-AU"/>
        </w:rPr>
      </w:pPr>
      <w:r>
        <w:t>18.</w:t>
      </w:r>
      <w:r>
        <w:tab/>
        <w:t>Premises prescribed to be regulated premises (Act s. 122(1)(f))</w:t>
      </w:r>
      <w:r>
        <w:tab/>
      </w:r>
      <w:r>
        <w:fldChar w:fldCharType="begin"/>
      </w:r>
      <w:r>
        <w:instrText xml:space="preserve"> PAGEREF _Toc357698858 \h </w:instrText>
      </w:r>
      <w:r>
        <w:fldChar w:fldCharType="separate"/>
      </w:r>
      <w:r>
        <w:t>48</w:t>
      </w:r>
      <w:r>
        <w:fldChar w:fldCharType="end"/>
      </w:r>
    </w:p>
    <w:p>
      <w:pPr>
        <w:pStyle w:val="TOC8"/>
        <w:rPr>
          <w:rFonts w:asciiTheme="minorHAnsi" w:eastAsiaTheme="minorEastAsia" w:hAnsiTheme="minorHAnsi" w:cstheme="minorBidi"/>
          <w:szCs w:val="22"/>
          <w:lang w:eastAsia="en-AU"/>
        </w:rPr>
      </w:pPr>
      <w:r>
        <w:t>18A</w:t>
      </w:r>
      <w:r>
        <w:rPr>
          <w:snapToGrid w:val="0"/>
        </w:rPr>
        <w:t>.</w:t>
      </w:r>
      <w:r>
        <w:rPr>
          <w:snapToGrid w:val="0"/>
        </w:rPr>
        <w:tab/>
        <w:t>Documents prescribed as evidence of age etc. (Act s. 126(1)(b)(i)(III) and s. 160(1))</w:t>
      </w:r>
      <w:r>
        <w:tab/>
      </w:r>
      <w:r>
        <w:fldChar w:fldCharType="begin"/>
      </w:r>
      <w:r>
        <w:instrText xml:space="preserve"> PAGEREF _Toc357698859 \h </w:instrText>
      </w:r>
      <w:r>
        <w:fldChar w:fldCharType="separate"/>
      </w:r>
      <w:r>
        <w:t>49</w:t>
      </w:r>
      <w:r>
        <w:fldChar w:fldCharType="end"/>
      </w:r>
    </w:p>
    <w:p>
      <w:pPr>
        <w:pStyle w:val="TOC8"/>
        <w:rPr>
          <w:rFonts w:asciiTheme="minorHAnsi" w:eastAsiaTheme="minorEastAsia" w:hAnsiTheme="minorHAnsi" w:cstheme="minorBidi"/>
          <w:szCs w:val="22"/>
          <w:lang w:eastAsia="en-AU"/>
        </w:rPr>
      </w:pPr>
      <w:r>
        <w:t>18B</w:t>
      </w:r>
      <w:r>
        <w:rPr>
          <w:snapToGrid w:val="0"/>
        </w:rPr>
        <w:t>.</w:t>
      </w:r>
      <w:r>
        <w:rPr>
          <w:snapToGrid w:val="0"/>
        </w:rPr>
        <w:tab/>
        <w:t>Proof of age card, issue of etc.</w:t>
      </w:r>
      <w:r>
        <w:tab/>
      </w:r>
      <w:r>
        <w:fldChar w:fldCharType="begin"/>
      </w:r>
      <w:r>
        <w:instrText xml:space="preserve"> PAGEREF _Toc357698860 \h </w:instrText>
      </w:r>
      <w:r>
        <w:fldChar w:fldCharType="separate"/>
      </w:r>
      <w:r>
        <w:t>50</w:t>
      </w:r>
      <w:r>
        <w:fldChar w:fldCharType="end"/>
      </w:r>
    </w:p>
    <w:p>
      <w:pPr>
        <w:pStyle w:val="TOC8"/>
        <w:rPr>
          <w:rFonts w:asciiTheme="minorHAnsi" w:eastAsiaTheme="minorEastAsia" w:hAnsiTheme="minorHAnsi" w:cstheme="minorBidi"/>
          <w:szCs w:val="22"/>
          <w:lang w:eastAsia="en-AU"/>
        </w:rPr>
      </w:pPr>
      <w:r>
        <w:t>18C</w:t>
      </w:r>
      <w:r>
        <w:rPr>
          <w:snapToGrid w:val="0"/>
        </w:rPr>
        <w:t>.</w:t>
      </w:r>
      <w:r>
        <w:rPr>
          <w:snapToGrid w:val="0"/>
        </w:rPr>
        <w:tab/>
        <w:t>Proof of age card, form etc. of (r. 18B)</w:t>
      </w:r>
      <w:r>
        <w:tab/>
      </w:r>
      <w:r>
        <w:fldChar w:fldCharType="begin"/>
      </w:r>
      <w:r>
        <w:instrText xml:space="preserve"> PAGEREF _Toc357698861 \h </w:instrText>
      </w:r>
      <w:r>
        <w:fldChar w:fldCharType="separate"/>
      </w:r>
      <w:r>
        <w:t>51</w:t>
      </w:r>
      <w:r>
        <w:fldChar w:fldCharType="end"/>
      </w:r>
    </w:p>
    <w:p>
      <w:pPr>
        <w:pStyle w:val="TOC8"/>
        <w:rPr>
          <w:rFonts w:asciiTheme="minorHAnsi" w:eastAsiaTheme="minorEastAsia" w:hAnsiTheme="minorHAnsi" w:cstheme="minorBidi"/>
          <w:szCs w:val="22"/>
          <w:lang w:eastAsia="en-AU"/>
        </w:rPr>
      </w:pPr>
      <w:r>
        <w:t>18D</w:t>
      </w:r>
      <w:r>
        <w:rPr>
          <w:snapToGrid w:val="0"/>
        </w:rPr>
        <w:t>.</w:t>
      </w:r>
      <w:r>
        <w:rPr>
          <w:snapToGrid w:val="0"/>
        </w:rPr>
        <w:tab/>
        <w:t>Lost etc. proof of age card, replacement of</w:t>
      </w:r>
      <w:r>
        <w:tab/>
      </w:r>
      <w:r>
        <w:fldChar w:fldCharType="begin"/>
      </w:r>
      <w:r>
        <w:instrText xml:space="preserve"> PAGEREF _Toc357698862 \h </w:instrText>
      </w:r>
      <w:r>
        <w:fldChar w:fldCharType="separate"/>
      </w:r>
      <w:r>
        <w:t>51</w:t>
      </w:r>
      <w:r>
        <w:fldChar w:fldCharType="end"/>
      </w:r>
    </w:p>
    <w:p>
      <w:pPr>
        <w:pStyle w:val="TOC8"/>
        <w:rPr>
          <w:rFonts w:asciiTheme="minorHAnsi" w:eastAsiaTheme="minorEastAsia" w:hAnsiTheme="minorHAnsi" w:cstheme="minorBidi"/>
          <w:szCs w:val="22"/>
          <w:lang w:eastAsia="en-AU"/>
        </w:rPr>
      </w:pPr>
      <w:r>
        <w:t>18E</w:t>
      </w:r>
      <w:r>
        <w:rPr>
          <w:snapToGrid w:val="0"/>
        </w:rPr>
        <w:t>.</w:t>
      </w:r>
      <w:r>
        <w:rPr>
          <w:snapToGrid w:val="0"/>
        </w:rPr>
        <w:tab/>
        <w:t>Agreement or arrangement prescribed (Act s. 104(2))</w:t>
      </w:r>
      <w:r>
        <w:tab/>
      </w:r>
      <w:r>
        <w:fldChar w:fldCharType="begin"/>
      </w:r>
      <w:r>
        <w:instrText xml:space="preserve"> PAGEREF _Toc357698863 \h </w:instrText>
      </w:r>
      <w:r>
        <w:fldChar w:fldCharType="separate"/>
      </w:r>
      <w:r>
        <w:t>51</w:t>
      </w:r>
      <w:r>
        <w:fldChar w:fldCharType="end"/>
      </w:r>
    </w:p>
    <w:p>
      <w:pPr>
        <w:pStyle w:val="TOC8"/>
        <w:rPr>
          <w:rFonts w:asciiTheme="minorHAnsi" w:eastAsiaTheme="minorEastAsia" w:hAnsiTheme="minorHAnsi" w:cstheme="minorBidi"/>
          <w:szCs w:val="22"/>
          <w:lang w:eastAsia="en-AU"/>
        </w:rPr>
      </w:pPr>
      <w:r>
        <w:t>18EA.</w:t>
      </w:r>
      <w:r>
        <w:tab/>
        <w:t>Information prescribed for websites (Act s. 113A)</w:t>
      </w:r>
      <w:r>
        <w:tab/>
      </w:r>
      <w:r>
        <w:fldChar w:fldCharType="begin"/>
      </w:r>
      <w:r>
        <w:instrText xml:space="preserve"> PAGEREF _Toc357698864 \h </w:instrText>
      </w:r>
      <w:r>
        <w:fldChar w:fldCharType="separate"/>
      </w:r>
      <w:r>
        <w:t>52</w:t>
      </w:r>
      <w:r>
        <w:fldChar w:fldCharType="end"/>
      </w:r>
    </w:p>
    <w:p>
      <w:pPr>
        <w:pStyle w:val="TOC8"/>
        <w:rPr>
          <w:rFonts w:asciiTheme="minorHAnsi" w:eastAsiaTheme="minorEastAsia" w:hAnsiTheme="minorHAnsi" w:cstheme="minorBidi"/>
          <w:szCs w:val="22"/>
          <w:lang w:eastAsia="en-AU"/>
        </w:rPr>
      </w:pPr>
      <w:r>
        <w:t>18EBA.</w:t>
      </w:r>
      <w:r>
        <w:tab/>
        <w:t xml:space="preserve">Persons prescribed (Act s. 115AC(1A) </w:t>
      </w:r>
      <w:r>
        <w:rPr>
          <w:i/>
        </w:rPr>
        <w:t>secure webpage</w:t>
      </w:r>
      <w:r>
        <w:t>)</w:t>
      </w:r>
      <w:r>
        <w:tab/>
      </w:r>
      <w:r>
        <w:fldChar w:fldCharType="begin"/>
      </w:r>
      <w:r>
        <w:instrText xml:space="preserve"> PAGEREF _Toc357698865 \h </w:instrText>
      </w:r>
      <w:r>
        <w:fldChar w:fldCharType="separate"/>
      </w:r>
      <w:r>
        <w:t>53</w:t>
      </w:r>
      <w:r>
        <w:fldChar w:fldCharType="end"/>
      </w:r>
    </w:p>
    <w:p>
      <w:pPr>
        <w:pStyle w:val="TOC8"/>
        <w:rPr>
          <w:rFonts w:asciiTheme="minorHAnsi" w:eastAsiaTheme="minorEastAsia" w:hAnsiTheme="minorHAnsi" w:cstheme="minorBidi"/>
          <w:szCs w:val="22"/>
          <w:lang w:eastAsia="en-AU"/>
        </w:rPr>
      </w:pPr>
      <w:r>
        <w:t>18EB.</w:t>
      </w:r>
      <w:r>
        <w:tab/>
        <w:t>Incidents and information prescribed for register (Act s. 116A)</w:t>
      </w:r>
      <w:r>
        <w:tab/>
      </w:r>
      <w:r>
        <w:fldChar w:fldCharType="begin"/>
      </w:r>
      <w:r>
        <w:instrText xml:space="preserve"> PAGEREF _Toc357698866 \h </w:instrText>
      </w:r>
      <w:r>
        <w:fldChar w:fldCharType="separate"/>
      </w:r>
      <w:r>
        <w:t>53</w:t>
      </w:r>
      <w:r>
        <w:fldChar w:fldCharType="end"/>
      </w:r>
    </w:p>
    <w:p>
      <w:pPr>
        <w:pStyle w:val="TOC8"/>
        <w:rPr>
          <w:rFonts w:asciiTheme="minorHAnsi" w:eastAsiaTheme="minorEastAsia" w:hAnsiTheme="minorHAnsi" w:cstheme="minorBidi"/>
          <w:szCs w:val="22"/>
          <w:lang w:eastAsia="en-AU"/>
        </w:rPr>
      </w:pPr>
      <w:r>
        <w:t>18F.</w:t>
      </w:r>
      <w:r>
        <w:tab/>
        <w:t>Training courses prescribed (Act s. 121(11)(d))</w:t>
      </w:r>
      <w:r>
        <w:tab/>
      </w:r>
      <w:r>
        <w:fldChar w:fldCharType="begin"/>
      </w:r>
      <w:r>
        <w:instrText xml:space="preserve"> PAGEREF _Toc357698867 \h </w:instrText>
      </w:r>
      <w:r>
        <w:fldChar w:fldCharType="separate"/>
      </w:r>
      <w:r>
        <w:t>55</w:t>
      </w:r>
      <w:r>
        <w:fldChar w:fldCharType="end"/>
      </w:r>
    </w:p>
    <w:p>
      <w:pPr>
        <w:pStyle w:val="TOC8"/>
        <w:rPr>
          <w:rFonts w:asciiTheme="minorHAnsi" w:eastAsiaTheme="minorEastAsia" w:hAnsiTheme="minorHAnsi" w:cstheme="minorBidi"/>
          <w:szCs w:val="22"/>
          <w:lang w:eastAsia="en-AU"/>
        </w:rPr>
      </w:pPr>
      <w:r>
        <w:t>18G.</w:t>
      </w:r>
      <w:r>
        <w:tab/>
        <w:t>Confiscated document, how to be dealt with (Act s. 126(2b))</w:t>
      </w:r>
      <w:r>
        <w:tab/>
      </w:r>
      <w:r>
        <w:fldChar w:fldCharType="begin"/>
      </w:r>
      <w:r>
        <w:instrText xml:space="preserve"> PAGEREF _Toc357698868 \h </w:instrText>
      </w:r>
      <w:r>
        <w:fldChar w:fldCharType="separate"/>
      </w:r>
      <w:r>
        <w:t>56</w:t>
      </w:r>
      <w:r>
        <w:fldChar w:fldCharType="end"/>
      </w:r>
    </w:p>
    <w:p>
      <w:pPr>
        <w:pStyle w:val="TOC8"/>
        <w:rPr>
          <w:rFonts w:asciiTheme="minorHAnsi" w:eastAsiaTheme="minorEastAsia" w:hAnsiTheme="minorHAnsi" w:cstheme="minorBidi"/>
          <w:szCs w:val="22"/>
          <w:lang w:eastAsia="en-AU"/>
        </w:rPr>
      </w:pPr>
      <w:r>
        <w:t>18H.</w:t>
      </w:r>
      <w:r>
        <w:tab/>
        <w:t>Provisions prescribed (Act s. 126E(4))</w:t>
      </w:r>
      <w:r>
        <w:tab/>
      </w:r>
      <w:r>
        <w:fldChar w:fldCharType="begin"/>
      </w:r>
      <w:r>
        <w:instrText xml:space="preserve"> PAGEREF _Toc357698869 \h </w:instrText>
      </w:r>
      <w:r>
        <w:fldChar w:fldCharType="separate"/>
      </w:r>
      <w:r>
        <w:t>56</w:t>
      </w:r>
      <w:r>
        <w:fldChar w:fldCharType="end"/>
      </w:r>
    </w:p>
    <w:p>
      <w:pPr>
        <w:pStyle w:val="TOC8"/>
        <w:rPr>
          <w:rFonts w:asciiTheme="minorHAnsi" w:eastAsiaTheme="minorEastAsia" w:hAnsiTheme="minorHAnsi" w:cstheme="minorBidi"/>
          <w:szCs w:val="22"/>
          <w:lang w:eastAsia="en-AU"/>
        </w:rPr>
      </w:pPr>
      <w:r>
        <w:t>19</w:t>
      </w:r>
      <w:r>
        <w:rPr>
          <w:snapToGrid w:val="0"/>
        </w:rPr>
        <w:t>.</w:t>
      </w:r>
      <w:r>
        <w:rPr>
          <w:snapToGrid w:val="0"/>
        </w:rPr>
        <w:tab/>
        <w:t>Subsidy, application for</w:t>
      </w:r>
      <w:r>
        <w:tab/>
      </w:r>
      <w:r>
        <w:fldChar w:fldCharType="begin"/>
      </w:r>
      <w:r>
        <w:instrText xml:space="preserve"> PAGEREF _Toc357698870 \h </w:instrText>
      </w:r>
      <w:r>
        <w:fldChar w:fldCharType="separate"/>
      </w:r>
      <w:r>
        <w:t>56</w:t>
      </w:r>
      <w:r>
        <w:fldChar w:fldCharType="end"/>
      </w:r>
    </w:p>
    <w:p>
      <w:pPr>
        <w:pStyle w:val="TOC8"/>
        <w:rPr>
          <w:rFonts w:asciiTheme="minorHAnsi" w:eastAsiaTheme="minorEastAsia" w:hAnsiTheme="minorHAnsi" w:cstheme="minorBidi"/>
          <w:szCs w:val="22"/>
          <w:lang w:eastAsia="en-AU"/>
        </w:rPr>
      </w:pPr>
      <w:r>
        <w:t>20</w:t>
      </w:r>
      <w:r>
        <w:rPr>
          <w:snapToGrid w:val="0"/>
        </w:rPr>
        <w:t>.</w:t>
      </w:r>
      <w:r>
        <w:rPr>
          <w:snapToGrid w:val="0"/>
        </w:rPr>
        <w:tab/>
        <w:t xml:space="preserve">Persons prescribed (Act s. 129 </w:t>
      </w:r>
      <w:r>
        <w:rPr>
          <w:i/>
          <w:snapToGrid w:val="0"/>
        </w:rPr>
        <w:t>wholesaler</w:t>
      </w:r>
      <w:r>
        <w:rPr>
          <w:snapToGrid w:val="0"/>
        </w:rPr>
        <w:t>)</w:t>
      </w:r>
      <w:r>
        <w:tab/>
      </w:r>
      <w:r>
        <w:fldChar w:fldCharType="begin"/>
      </w:r>
      <w:r>
        <w:instrText xml:space="preserve"> PAGEREF _Toc357698871 \h </w:instrText>
      </w:r>
      <w:r>
        <w:fldChar w:fldCharType="separate"/>
      </w:r>
      <w:r>
        <w:t>56</w:t>
      </w:r>
      <w:r>
        <w:fldChar w:fldCharType="end"/>
      </w:r>
    </w:p>
    <w:p>
      <w:pPr>
        <w:pStyle w:val="TOC8"/>
        <w:rPr>
          <w:rFonts w:asciiTheme="minorHAnsi" w:eastAsiaTheme="minorEastAsia" w:hAnsiTheme="minorHAnsi" w:cstheme="minorBidi"/>
          <w:szCs w:val="22"/>
          <w:lang w:eastAsia="en-AU"/>
        </w:rPr>
      </w:pPr>
      <w:r>
        <w:t>21.</w:t>
      </w:r>
      <w:r>
        <w:tab/>
        <w:t>Wholesaler, subsidy for (Act s. 130)</w:t>
      </w:r>
      <w:r>
        <w:tab/>
      </w:r>
      <w:r>
        <w:fldChar w:fldCharType="begin"/>
      </w:r>
      <w:r>
        <w:instrText xml:space="preserve"> PAGEREF _Toc357698872 \h </w:instrText>
      </w:r>
      <w:r>
        <w:fldChar w:fldCharType="separate"/>
      </w:r>
      <w:r>
        <w:t>57</w:t>
      </w:r>
      <w:r>
        <w:fldChar w:fldCharType="end"/>
      </w:r>
    </w:p>
    <w:p>
      <w:pPr>
        <w:pStyle w:val="TOC8"/>
        <w:rPr>
          <w:rFonts w:asciiTheme="minorHAnsi" w:eastAsiaTheme="minorEastAsia" w:hAnsiTheme="minorHAnsi" w:cstheme="minorBidi"/>
          <w:szCs w:val="22"/>
          <w:lang w:eastAsia="en-AU"/>
        </w:rPr>
      </w:pPr>
      <w:r>
        <w:t>21A.</w:t>
      </w:r>
      <w:r>
        <w:tab/>
        <w:t>Wine producer, subsidy for (Act s. 130)</w:t>
      </w:r>
      <w:r>
        <w:tab/>
      </w:r>
      <w:r>
        <w:fldChar w:fldCharType="begin"/>
      </w:r>
      <w:r>
        <w:instrText xml:space="preserve"> PAGEREF _Toc357698873 \h </w:instrText>
      </w:r>
      <w:r>
        <w:fldChar w:fldCharType="separate"/>
      </w:r>
      <w:r>
        <w:t>58</w:t>
      </w:r>
      <w:r>
        <w:fldChar w:fldCharType="end"/>
      </w:r>
    </w:p>
    <w:p>
      <w:pPr>
        <w:pStyle w:val="TOC8"/>
        <w:rPr>
          <w:rFonts w:asciiTheme="minorHAnsi" w:eastAsiaTheme="minorEastAsia" w:hAnsiTheme="minorHAnsi" w:cstheme="minorBidi"/>
          <w:szCs w:val="22"/>
          <w:lang w:eastAsia="en-AU"/>
        </w:rPr>
      </w:pPr>
      <w:r>
        <w:t>21AC</w:t>
      </w:r>
      <w:r>
        <w:rPr>
          <w:snapToGrid w:val="0"/>
        </w:rPr>
        <w:t>.</w:t>
      </w:r>
      <w:r>
        <w:rPr>
          <w:snapToGrid w:val="0"/>
        </w:rPr>
        <w:tab/>
        <w:t>Subsidy payable once in respect of sale of liquor</w:t>
      </w:r>
      <w:r>
        <w:tab/>
      </w:r>
      <w:r>
        <w:fldChar w:fldCharType="begin"/>
      </w:r>
      <w:r>
        <w:instrText xml:space="preserve"> PAGEREF _Toc357698874 \h </w:instrText>
      </w:r>
      <w:r>
        <w:fldChar w:fldCharType="separate"/>
      </w:r>
      <w:r>
        <w:t>59</w:t>
      </w:r>
      <w:r>
        <w:fldChar w:fldCharType="end"/>
      </w:r>
    </w:p>
    <w:p>
      <w:pPr>
        <w:pStyle w:val="TOC8"/>
        <w:rPr>
          <w:rFonts w:asciiTheme="minorHAnsi" w:eastAsiaTheme="minorEastAsia" w:hAnsiTheme="minorHAnsi" w:cstheme="minorBidi"/>
          <w:szCs w:val="22"/>
          <w:lang w:eastAsia="en-AU"/>
        </w:rPr>
      </w:pPr>
      <w:r>
        <w:t>21B</w:t>
      </w:r>
      <w:r>
        <w:rPr>
          <w:snapToGrid w:val="0"/>
        </w:rPr>
        <w:t>.</w:t>
      </w:r>
      <w:r>
        <w:rPr>
          <w:snapToGrid w:val="0"/>
        </w:rPr>
        <w:tab/>
        <w:t xml:space="preserve">Subsidy, conditions imposed by Director as to </w:t>
      </w:r>
      <w:r>
        <w:t>(Act s. 130(2))</w:t>
      </w:r>
      <w:r>
        <w:tab/>
      </w:r>
      <w:r>
        <w:fldChar w:fldCharType="begin"/>
      </w:r>
      <w:r>
        <w:instrText xml:space="preserve"> PAGEREF _Toc357698875 \h </w:instrText>
      </w:r>
      <w:r>
        <w:fldChar w:fldCharType="separate"/>
      </w:r>
      <w:r>
        <w:t>59</w:t>
      </w:r>
      <w:r>
        <w:fldChar w:fldCharType="end"/>
      </w:r>
    </w:p>
    <w:p>
      <w:pPr>
        <w:pStyle w:val="TOC8"/>
        <w:rPr>
          <w:rFonts w:asciiTheme="minorHAnsi" w:eastAsiaTheme="minorEastAsia" w:hAnsiTheme="minorHAnsi" w:cstheme="minorBidi"/>
          <w:szCs w:val="22"/>
          <w:lang w:eastAsia="en-AU"/>
        </w:rPr>
      </w:pPr>
      <w:r>
        <w:t>21C</w:t>
      </w:r>
      <w:r>
        <w:rPr>
          <w:snapToGrid w:val="0"/>
        </w:rPr>
        <w:t>.</w:t>
      </w:r>
      <w:r>
        <w:rPr>
          <w:snapToGrid w:val="0"/>
        </w:rPr>
        <w:tab/>
        <w:t>Licensees prescribed </w:t>
      </w:r>
      <w:r>
        <w:t>(Act s. </w:t>
      </w:r>
      <w:r>
        <w:rPr>
          <w:snapToGrid w:val="0"/>
        </w:rPr>
        <w:t>145(1))</w:t>
      </w:r>
      <w:r>
        <w:tab/>
      </w:r>
      <w:r>
        <w:fldChar w:fldCharType="begin"/>
      </w:r>
      <w:r>
        <w:instrText xml:space="preserve"> PAGEREF _Toc357698876 \h </w:instrText>
      </w:r>
      <w:r>
        <w:fldChar w:fldCharType="separate"/>
      </w:r>
      <w:r>
        <w:t>59</w:t>
      </w:r>
      <w:r>
        <w:fldChar w:fldCharType="end"/>
      </w:r>
    </w:p>
    <w:p>
      <w:pPr>
        <w:pStyle w:val="TOC8"/>
        <w:rPr>
          <w:rFonts w:asciiTheme="minorHAnsi" w:eastAsiaTheme="minorEastAsia" w:hAnsiTheme="minorHAnsi" w:cstheme="minorBidi"/>
          <w:szCs w:val="22"/>
          <w:lang w:eastAsia="en-AU"/>
        </w:rPr>
      </w:pPr>
      <w:r>
        <w:t>22</w:t>
      </w:r>
      <w:r>
        <w:rPr>
          <w:snapToGrid w:val="0"/>
        </w:rPr>
        <w:t>.</w:t>
      </w:r>
      <w:r>
        <w:rPr>
          <w:snapToGrid w:val="0"/>
        </w:rPr>
        <w:tab/>
        <w:t xml:space="preserve">Records prescribed etc. </w:t>
      </w:r>
      <w:r>
        <w:t>(Act s. </w:t>
      </w:r>
      <w:r>
        <w:rPr>
          <w:snapToGrid w:val="0"/>
        </w:rPr>
        <w:t>145)</w:t>
      </w:r>
      <w:r>
        <w:tab/>
      </w:r>
      <w:r>
        <w:fldChar w:fldCharType="begin"/>
      </w:r>
      <w:r>
        <w:instrText xml:space="preserve"> PAGEREF _Toc357698877 \h </w:instrText>
      </w:r>
      <w:r>
        <w:fldChar w:fldCharType="separate"/>
      </w:r>
      <w:r>
        <w:t>60</w:t>
      </w:r>
      <w:r>
        <w:fldChar w:fldCharType="end"/>
      </w:r>
    </w:p>
    <w:p>
      <w:pPr>
        <w:pStyle w:val="TOC8"/>
        <w:rPr>
          <w:rFonts w:asciiTheme="minorHAnsi" w:eastAsiaTheme="minorEastAsia" w:hAnsiTheme="minorHAnsi" w:cstheme="minorBidi"/>
          <w:szCs w:val="22"/>
          <w:lang w:eastAsia="en-AU"/>
        </w:rPr>
      </w:pPr>
      <w:r>
        <w:t>23</w:t>
      </w:r>
      <w:r>
        <w:rPr>
          <w:snapToGrid w:val="0"/>
        </w:rPr>
        <w:t>.</w:t>
      </w:r>
      <w:r>
        <w:rPr>
          <w:snapToGrid w:val="0"/>
        </w:rPr>
        <w:tab/>
        <w:t xml:space="preserve">Returns, verification and lodgment of </w:t>
      </w:r>
      <w:r>
        <w:t>(Act s. 146)</w:t>
      </w:r>
      <w:r>
        <w:tab/>
      </w:r>
      <w:r>
        <w:fldChar w:fldCharType="begin"/>
      </w:r>
      <w:r>
        <w:instrText xml:space="preserve"> PAGEREF _Toc357698878 \h </w:instrText>
      </w:r>
      <w:r>
        <w:fldChar w:fldCharType="separate"/>
      </w:r>
      <w:r>
        <w:t>62</w:t>
      </w:r>
      <w:r>
        <w:fldChar w:fldCharType="end"/>
      </w:r>
    </w:p>
    <w:p>
      <w:pPr>
        <w:pStyle w:val="TOC8"/>
        <w:rPr>
          <w:rFonts w:asciiTheme="minorHAnsi" w:eastAsiaTheme="minorEastAsia" w:hAnsiTheme="minorHAnsi" w:cstheme="minorBidi"/>
          <w:szCs w:val="22"/>
          <w:lang w:eastAsia="en-AU"/>
        </w:rPr>
      </w:pPr>
      <w:r>
        <w:t>24</w:t>
      </w:r>
      <w:r>
        <w:rPr>
          <w:snapToGrid w:val="0"/>
        </w:rPr>
        <w:t>.</w:t>
      </w:r>
      <w:r>
        <w:rPr>
          <w:snapToGrid w:val="0"/>
        </w:rPr>
        <w:tab/>
        <w:t xml:space="preserve">Return of information required etc. </w:t>
      </w:r>
      <w:r>
        <w:t>(Act s. 145)</w:t>
      </w:r>
      <w:r>
        <w:tab/>
      </w:r>
      <w:r>
        <w:fldChar w:fldCharType="begin"/>
      </w:r>
      <w:r>
        <w:instrText xml:space="preserve"> PAGEREF _Toc357698879 \h </w:instrText>
      </w:r>
      <w:r>
        <w:fldChar w:fldCharType="separate"/>
      </w:r>
      <w:r>
        <w:t>63</w:t>
      </w:r>
      <w:r>
        <w:fldChar w:fldCharType="end"/>
      </w:r>
    </w:p>
    <w:p>
      <w:pPr>
        <w:pStyle w:val="TOC8"/>
        <w:rPr>
          <w:rFonts w:asciiTheme="minorHAnsi" w:eastAsiaTheme="minorEastAsia" w:hAnsiTheme="minorHAnsi" w:cstheme="minorBidi"/>
          <w:szCs w:val="22"/>
          <w:lang w:eastAsia="en-AU"/>
        </w:rPr>
      </w:pPr>
      <w:r>
        <w:t>25A.</w:t>
      </w:r>
      <w:r>
        <w:tab/>
        <w:t>Class of persons prescribed (Act s. 152P(4)(b))</w:t>
      </w:r>
      <w:r>
        <w:tab/>
      </w:r>
      <w:r>
        <w:fldChar w:fldCharType="begin"/>
      </w:r>
      <w:r>
        <w:instrText xml:space="preserve"> PAGEREF _Toc357698880 \h </w:instrText>
      </w:r>
      <w:r>
        <w:fldChar w:fldCharType="separate"/>
      </w:r>
      <w:r>
        <w:t>66</w:t>
      </w:r>
      <w:r>
        <w:fldChar w:fldCharType="end"/>
      </w:r>
    </w:p>
    <w:p>
      <w:pPr>
        <w:pStyle w:val="TOC8"/>
        <w:rPr>
          <w:rFonts w:asciiTheme="minorHAnsi" w:eastAsiaTheme="minorEastAsia" w:hAnsiTheme="minorHAnsi" w:cstheme="minorBidi"/>
          <w:szCs w:val="22"/>
          <w:lang w:eastAsia="en-AU"/>
        </w:rPr>
      </w:pPr>
      <w:r>
        <w:t>25</w:t>
      </w:r>
      <w:r>
        <w:rPr>
          <w:snapToGrid w:val="0"/>
        </w:rPr>
        <w:t>.</w:t>
      </w:r>
      <w:r>
        <w:rPr>
          <w:snapToGrid w:val="0"/>
        </w:rPr>
        <w:tab/>
        <w:t>Money payable under Act, how payable</w:t>
      </w:r>
      <w:r>
        <w:tab/>
      </w:r>
      <w:r>
        <w:fldChar w:fldCharType="begin"/>
      </w:r>
      <w:r>
        <w:instrText xml:space="preserve"> PAGEREF _Toc357698881 \h </w:instrText>
      </w:r>
      <w:r>
        <w:fldChar w:fldCharType="separate"/>
      </w:r>
      <w:r>
        <w:t>66</w:t>
      </w:r>
      <w:r>
        <w:fldChar w:fldCharType="end"/>
      </w:r>
    </w:p>
    <w:p>
      <w:pPr>
        <w:pStyle w:val="TOC8"/>
        <w:rPr>
          <w:rFonts w:asciiTheme="minorHAnsi" w:eastAsiaTheme="minorEastAsia" w:hAnsiTheme="minorHAnsi" w:cstheme="minorBidi"/>
          <w:szCs w:val="22"/>
          <w:lang w:eastAsia="en-AU"/>
        </w:rPr>
      </w:pPr>
      <w:r>
        <w:t>26</w:t>
      </w:r>
      <w:r>
        <w:rPr>
          <w:snapToGrid w:val="0"/>
        </w:rPr>
        <w:t>.</w:t>
      </w:r>
      <w:r>
        <w:rPr>
          <w:snapToGrid w:val="0"/>
        </w:rPr>
        <w:tab/>
        <w:t>Fees generally (Sch. 3)</w:t>
      </w:r>
      <w:r>
        <w:tab/>
      </w:r>
      <w:r>
        <w:fldChar w:fldCharType="begin"/>
      </w:r>
      <w:r>
        <w:instrText xml:space="preserve"> PAGEREF _Toc357698882 \h </w:instrText>
      </w:r>
      <w:r>
        <w:fldChar w:fldCharType="separate"/>
      </w:r>
      <w:r>
        <w:t>66</w:t>
      </w:r>
      <w:r>
        <w:fldChar w:fldCharType="end"/>
      </w:r>
    </w:p>
    <w:p>
      <w:pPr>
        <w:pStyle w:val="TOC8"/>
        <w:rPr>
          <w:rFonts w:asciiTheme="minorHAnsi" w:eastAsiaTheme="minorEastAsia" w:hAnsiTheme="minorHAnsi" w:cstheme="minorBidi"/>
          <w:szCs w:val="22"/>
          <w:lang w:eastAsia="en-AU"/>
        </w:rPr>
      </w:pPr>
      <w:r>
        <w:t>27</w:t>
      </w:r>
      <w:r>
        <w:rPr>
          <w:snapToGrid w:val="0"/>
        </w:rPr>
        <w:t>.</w:t>
      </w:r>
      <w:r>
        <w:rPr>
          <w:snapToGrid w:val="0"/>
        </w:rPr>
        <w:tab/>
        <w:t>Infringement notices, forms etc. prescribed for (Act s. 167)</w:t>
      </w:r>
      <w:r>
        <w:tab/>
      </w:r>
      <w:r>
        <w:fldChar w:fldCharType="begin"/>
      </w:r>
      <w:r>
        <w:instrText xml:space="preserve"> PAGEREF _Toc357698883 \h </w:instrText>
      </w:r>
      <w:r>
        <w:fldChar w:fldCharType="separate"/>
      </w:r>
      <w:r>
        <w:t>68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1</w:t>
      </w:r>
    </w:p>
    <w:p>
      <w:pPr>
        <w:pStyle w:val="TOC2"/>
        <w:tabs>
          <w:tab w:val="right" w:leader="dot" w:pos="7086"/>
        </w:tabs>
        <w:rPr>
          <w:rFonts w:asciiTheme="minorHAnsi" w:eastAsiaTheme="minorEastAsia" w:hAnsiTheme="minorHAnsi" w:cstheme="minorBidi"/>
          <w:b w:val="0"/>
          <w:sz w:val="22"/>
          <w:szCs w:val="22"/>
          <w:lang w:eastAsia="en-AU"/>
        </w:rPr>
      </w:pPr>
      <w:r>
        <w:t>Forms</w:t>
      </w:r>
    </w:p>
    <w:p>
      <w:pPr>
        <w:pStyle w:val="TOC2"/>
        <w:tabs>
          <w:tab w:val="right" w:leader="dot" w:pos="7086"/>
        </w:tabs>
        <w:rPr>
          <w:rFonts w:asciiTheme="minorHAnsi" w:eastAsiaTheme="minorEastAsia" w:hAnsiTheme="minorHAnsi" w:cstheme="minorBidi"/>
          <w:b w:val="0"/>
          <w:sz w:val="22"/>
          <w:szCs w:val="22"/>
          <w:lang w:eastAsia="en-AU"/>
        </w:rPr>
      </w:pPr>
      <w:r>
        <w:t>Schedule 2</w:t>
      </w:r>
    </w:p>
    <w:p>
      <w:pPr>
        <w:pStyle w:val="TOC2"/>
        <w:tabs>
          <w:tab w:val="right" w:leader="dot" w:pos="7086"/>
        </w:tabs>
        <w:rPr>
          <w:rFonts w:asciiTheme="minorHAnsi" w:eastAsiaTheme="minorEastAsia" w:hAnsiTheme="minorHAnsi" w:cstheme="minorBidi"/>
          <w:b w:val="0"/>
          <w:sz w:val="22"/>
          <w:szCs w:val="22"/>
          <w:lang w:eastAsia="en-AU"/>
        </w:rPr>
      </w:pPr>
      <w:r>
        <w:t>Details of applicant</w:t>
      </w:r>
    </w:p>
    <w:p>
      <w:pPr>
        <w:pStyle w:val="TOC2"/>
        <w:tabs>
          <w:tab w:val="right" w:leader="dot" w:pos="7086"/>
        </w:tabs>
        <w:rPr>
          <w:rFonts w:asciiTheme="minorHAnsi" w:eastAsiaTheme="minorEastAsia" w:hAnsiTheme="minorHAnsi" w:cstheme="minorBidi"/>
          <w:b w:val="0"/>
          <w:sz w:val="22"/>
          <w:szCs w:val="22"/>
          <w:lang w:eastAsia="en-AU"/>
        </w:rPr>
      </w:pPr>
      <w:r>
        <w:t>Schedule 3 — Fees</w:t>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rPr>
          <w:snapToGrid w:val="0"/>
        </w:rPr>
        <w:tab/>
        <w:t>Compilation table</w:t>
      </w:r>
      <w:r>
        <w:tab/>
      </w:r>
      <w:r>
        <w:fldChar w:fldCharType="begin"/>
      </w:r>
      <w:r>
        <w:instrText xml:space="preserve"> PAGEREF _Toc357698890 \h </w:instrText>
      </w:r>
      <w:r>
        <w:fldChar w:fldCharType="separate"/>
      </w:r>
      <w:r>
        <w:t>89</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Defined terms</w:t>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6"/>
          <w:headerReference w:type="default" r:id="rId17"/>
          <w:footerReference w:type="even" r:id="rId18"/>
          <w:footerReference w:type="defaul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Liquor Control Act 1988</w:t>
      </w:r>
    </w:p>
    <w:p>
      <w:pPr>
        <w:pStyle w:val="NameofActReg"/>
      </w:pPr>
      <w:r>
        <w:t>Liquor Control Regulations 1989</w:t>
      </w:r>
    </w:p>
    <w:p>
      <w:pPr>
        <w:pStyle w:val="Heading5"/>
        <w:rPr>
          <w:snapToGrid w:val="0"/>
        </w:rPr>
      </w:pPr>
      <w:bookmarkStart w:id="1" w:name="_Toc460808695"/>
      <w:bookmarkStart w:id="2" w:name="_Toc519934557"/>
      <w:bookmarkStart w:id="3" w:name="_Toc534780020"/>
      <w:bookmarkStart w:id="4" w:name="_Toc3352027"/>
      <w:bookmarkStart w:id="5" w:name="_Toc3352102"/>
      <w:bookmarkStart w:id="6" w:name="_Toc22966204"/>
      <w:bookmarkStart w:id="7" w:name="_Toc66263810"/>
      <w:bookmarkStart w:id="8" w:name="_Toc119294051"/>
      <w:bookmarkStart w:id="9" w:name="_Toc123633144"/>
      <w:bookmarkStart w:id="10" w:name="_Toc172713898"/>
      <w:bookmarkStart w:id="11" w:name="_Toc264018242"/>
      <w:bookmarkStart w:id="12" w:name="_Toc303323129"/>
      <w:bookmarkStart w:id="13" w:name="_Toc357698805"/>
      <w:r>
        <w:rPr>
          <w:rStyle w:val="CharSectno"/>
        </w:rPr>
        <w:t>1</w:t>
      </w:r>
      <w:r>
        <w:rPr>
          <w:snapToGrid w:val="0"/>
        </w:rPr>
        <w:t>.</w:t>
      </w:r>
      <w:r>
        <w:rPr>
          <w:snapToGrid w:val="0"/>
        </w:rPr>
        <w:tab/>
        <w:t>Citation</w:t>
      </w:r>
      <w:bookmarkEnd w:id="1"/>
      <w:bookmarkEnd w:id="2"/>
      <w:bookmarkEnd w:id="3"/>
      <w:bookmarkEnd w:id="4"/>
      <w:bookmarkEnd w:id="5"/>
      <w:bookmarkEnd w:id="6"/>
      <w:bookmarkEnd w:id="7"/>
      <w:bookmarkEnd w:id="8"/>
      <w:bookmarkEnd w:id="9"/>
      <w:bookmarkEnd w:id="10"/>
      <w:bookmarkEnd w:id="11"/>
      <w:bookmarkEnd w:id="12"/>
      <w:bookmarkEnd w:id="13"/>
    </w:p>
    <w:p>
      <w:pPr>
        <w:pStyle w:val="Subsection"/>
        <w:rPr>
          <w:snapToGrid w:val="0"/>
        </w:rPr>
      </w:pPr>
      <w:r>
        <w:rPr>
          <w:snapToGrid w:val="0"/>
        </w:rPr>
        <w:tab/>
      </w:r>
      <w:r>
        <w:rPr>
          <w:snapToGrid w:val="0"/>
        </w:rPr>
        <w:tab/>
        <w:t xml:space="preserve">These regulations may be cited as the </w:t>
      </w:r>
      <w:r>
        <w:rPr>
          <w:i/>
          <w:snapToGrid w:val="0"/>
        </w:rPr>
        <w:t xml:space="preserve">Liquor </w:t>
      </w:r>
      <w:r>
        <w:rPr>
          <w:i/>
          <w:iCs/>
        </w:rPr>
        <w:t xml:space="preserve">Control </w:t>
      </w:r>
      <w:r>
        <w:rPr>
          <w:i/>
          <w:snapToGrid w:val="0"/>
        </w:rPr>
        <w:t>Regulations 1989</w:t>
      </w:r>
      <w:r>
        <w:rPr>
          <w:snapToGrid w:val="0"/>
        </w:rPr>
        <w:t xml:space="preserve"> </w:t>
      </w:r>
      <w:r>
        <w:rPr>
          <w:snapToGrid w:val="0"/>
          <w:vertAlign w:val="superscript"/>
        </w:rPr>
        <w:t>1</w:t>
      </w:r>
      <w:r>
        <w:rPr>
          <w:snapToGrid w:val="0"/>
        </w:rPr>
        <w:t>.</w:t>
      </w:r>
    </w:p>
    <w:p>
      <w:pPr>
        <w:pStyle w:val="Footnotesection"/>
      </w:pPr>
      <w:r>
        <w:tab/>
        <w:t>[Regulation 1 amended in Gazette 1 May 2007 p. 1864.]</w:t>
      </w:r>
    </w:p>
    <w:p>
      <w:pPr>
        <w:pStyle w:val="Heading5"/>
        <w:rPr>
          <w:snapToGrid w:val="0"/>
        </w:rPr>
      </w:pPr>
      <w:bookmarkStart w:id="14" w:name="_Toc460808696"/>
      <w:bookmarkStart w:id="15" w:name="_Toc519934558"/>
      <w:bookmarkStart w:id="16" w:name="_Toc534780021"/>
      <w:bookmarkStart w:id="17" w:name="_Toc3352028"/>
      <w:bookmarkStart w:id="18" w:name="_Toc3352103"/>
      <w:bookmarkStart w:id="19" w:name="_Toc22966205"/>
      <w:bookmarkStart w:id="20" w:name="_Toc66263811"/>
      <w:bookmarkStart w:id="21" w:name="_Toc119294052"/>
      <w:bookmarkStart w:id="22" w:name="_Toc123633145"/>
      <w:bookmarkStart w:id="23" w:name="_Toc172713899"/>
      <w:bookmarkStart w:id="24" w:name="_Toc264018243"/>
      <w:bookmarkStart w:id="25" w:name="_Toc303323130"/>
      <w:bookmarkStart w:id="26" w:name="_Toc357698806"/>
      <w:r>
        <w:rPr>
          <w:rStyle w:val="CharSectno"/>
        </w:rPr>
        <w:t>2</w:t>
      </w:r>
      <w:r>
        <w:rPr>
          <w:snapToGrid w:val="0"/>
        </w:rPr>
        <w:t>.</w:t>
      </w:r>
      <w:r>
        <w:rPr>
          <w:snapToGrid w:val="0"/>
        </w:rPr>
        <w:tab/>
        <w:t>Commencement</w:t>
      </w:r>
      <w:bookmarkEnd w:id="14"/>
      <w:bookmarkEnd w:id="15"/>
      <w:bookmarkEnd w:id="16"/>
      <w:bookmarkEnd w:id="17"/>
      <w:bookmarkEnd w:id="18"/>
      <w:bookmarkEnd w:id="19"/>
      <w:bookmarkEnd w:id="20"/>
      <w:bookmarkEnd w:id="21"/>
      <w:bookmarkEnd w:id="22"/>
      <w:bookmarkEnd w:id="23"/>
      <w:bookmarkEnd w:id="24"/>
      <w:bookmarkEnd w:id="25"/>
      <w:bookmarkEnd w:id="26"/>
    </w:p>
    <w:p>
      <w:pPr>
        <w:pStyle w:val="Subsection"/>
        <w:rPr>
          <w:snapToGrid w:val="0"/>
        </w:rPr>
      </w:pPr>
      <w:r>
        <w:rPr>
          <w:snapToGrid w:val="0"/>
        </w:rPr>
        <w:tab/>
      </w:r>
      <w:r>
        <w:rPr>
          <w:snapToGrid w:val="0"/>
        </w:rPr>
        <w:tab/>
        <w:t xml:space="preserve">These regulations shall come into operation on the day on which the </w:t>
      </w:r>
      <w:r>
        <w:rPr>
          <w:i/>
          <w:snapToGrid w:val="0"/>
        </w:rPr>
        <w:t>Liquor Control Act 1988</w:t>
      </w:r>
      <w:r>
        <w:rPr>
          <w:snapToGrid w:val="0"/>
          <w:vertAlign w:val="superscript"/>
        </w:rPr>
        <w:t xml:space="preserve"> 2</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27" w:name="_Toc460808697"/>
      <w:bookmarkStart w:id="28" w:name="_Toc519934559"/>
      <w:bookmarkStart w:id="29" w:name="_Toc534780022"/>
      <w:bookmarkStart w:id="30" w:name="_Toc3352029"/>
      <w:bookmarkStart w:id="31" w:name="_Toc3352104"/>
      <w:bookmarkStart w:id="32" w:name="_Toc3352306"/>
      <w:bookmarkStart w:id="33" w:name="_Toc22966206"/>
      <w:bookmarkStart w:id="34" w:name="_Toc66263812"/>
      <w:bookmarkStart w:id="35" w:name="_Toc119294053"/>
      <w:bookmarkStart w:id="36" w:name="_Toc123633146"/>
      <w:bookmarkStart w:id="37" w:name="_Toc172713900"/>
      <w:bookmarkStart w:id="38" w:name="_Toc264018244"/>
      <w:bookmarkStart w:id="39" w:name="_Toc303323131"/>
      <w:bookmarkStart w:id="40" w:name="_Toc357698807"/>
      <w:r>
        <w:rPr>
          <w:rStyle w:val="CharSectno"/>
        </w:rPr>
        <w:t>3</w:t>
      </w:r>
      <w:r>
        <w:rPr>
          <w:snapToGrid w:val="0"/>
        </w:rPr>
        <w:t>.</w:t>
      </w:r>
      <w:r>
        <w:rPr>
          <w:snapToGrid w:val="0"/>
        </w:rPr>
        <w:tab/>
        <w:t>Forms</w:t>
      </w:r>
      <w:bookmarkEnd w:id="27"/>
      <w:bookmarkEnd w:id="28"/>
      <w:bookmarkEnd w:id="29"/>
      <w:bookmarkEnd w:id="30"/>
      <w:bookmarkEnd w:id="31"/>
      <w:bookmarkEnd w:id="32"/>
      <w:bookmarkEnd w:id="33"/>
      <w:bookmarkEnd w:id="34"/>
      <w:bookmarkEnd w:id="35"/>
      <w:bookmarkEnd w:id="36"/>
      <w:bookmarkEnd w:id="37"/>
      <w:bookmarkEnd w:id="38"/>
      <w:bookmarkEnd w:id="39"/>
      <w:r>
        <w:rPr>
          <w:snapToGrid w:val="0"/>
        </w:rPr>
        <w:t xml:space="preserve"> prescribed etc. (Sch. 1)</w:t>
      </w:r>
      <w:bookmarkEnd w:id="40"/>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rPr>
          <w:snapToGrid w:val="0"/>
        </w:rPr>
      </w:pPr>
      <w:r>
        <w:rPr>
          <w:snapToGrid w:val="0"/>
        </w:rPr>
        <w:tab/>
        <w:t>(3)</w:t>
      </w:r>
      <w:r>
        <w:rPr>
          <w:snapToGrid w:val="0"/>
        </w:rPr>
        <w:tab/>
        <w:t>All applications and accompanying documents, other than plans, shall be on paper of A4 size.</w:t>
      </w:r>
    </w:p>
    <w:p>
      <w:pPr>
        <w:pStyle w:val="Subsection"/>
        <w:keepNext/>
      </w:pPr>
      <w:bookmarkStart w:id="41" w:name="_Toc460808698"/>
      <w:bookmarkStart w:id="42" w:name="_Toc519934560"/>
      <w:bookmarkStart w:id="43" w:name="_Toc534780023"/>
      <w:bookmarkStart w:id="44" w:name="_Toc3352030"/>
      <w:bookmarkStart w:id="45" w:name="_Toc3352105"/>
      <w:bookmarkStart w:id="46" w:name="_Toc22966207"/>
      <w:bookmarkStart w:id="47" w:name="_Toc66263813"/>
      <w:bookmarkStart w:id="48" w:name="_Toc119294054"/>
      <w:bookmarkStart w:id="49" w:name="_Toc123633147"/>
      <w:bookmarkStart w:id="50" w:name="_Toc172713901"/>
      <w:bookmarkStart w:id="51" w:name="_Toc264018245"/>
      <w:r>
        <w:tab/>
        <w:t>(4)</w:t>
      </w:r>
      <w:r>
        <w:tab/>
        <w:t>Subregulation (3) does not apply to applications and accompanying documents that are lodged by an electronic means acceptable to the Director.</w:t>
      </w:r>
    </w:p>
    <w:p>
      <w:pPr>
        <w:pStyle w:val="Footnotesection"/>
        <w:ind w:left="890" w:hanging="890"/>
      </w:pPr>
      <w:r>
        <w:tab/>
        <w:t>[Regulation 3 amended in Gazette 3 Jun 2011 p. 1999.]</w:t>
      </w:r>
    </w:p>
    <w:p>
      <w:pPr>
        <w:pStyle w:val="Heading5"/>
        <w:rPr>
          <w:snapToGrid w:val="0"/>
        </w:rPr>
      </w:pPr>
      <w:bookmarkStart w:id="52" w:name="_Toc303323132"/>
      <w:bookmarkStart w:id="53" w:name="_Toc357698808"/>
      <w:r>
        <w:rPr>
          <w:rStyle w:val="CharSectno"/>
        </w:rPr>
        <w:t>3A</w:t>
      </w:r>
      <w:r>
        <w:rPr>
          <w:snapToGrid w:val="0"/>
        </w:rPr>
        <w:t>.</w:t>
      </w:r>
      <w:r>
        <w:rPr>
          <w:snapToGrid w:val="0"/>
        </w:rPr>
        <w:tab/>
      </w:r>
      <w:bookmarkEnd w:id="41"/>
      <w:bookmarkEnd w:id="42"/>
      <w:bookmarkEnd w:id="43"/>
      <w:bookmarkEnd w:id="44"/>
      <w:bookmarkEnd w:id="45"/>
      <w:bookmarkEnd w:id="46"/>
      <w:bookmarkEnd w:id="47"/>
      <w:bookmarkEnd w:id="48"/>
      <w:bookmarkEnd w:id="49"/>
      <w:r>
        <w:rPr>
          <w:snapToGrid w:val="0"/>
        </w:rPr>
        <w:t>Terms used</w:t>
      </w:r>
      <w:bookmarkEnd w:id="50"/>
      <w:bookmarkEnd w:id="51"/>
      <w:bookmarkEnd w:id="52"/>
      <w:bookmarkEnd w:id="53"/>
    </w:p>
    <w:p>
      <w:pPr>
        <w:pStyle w:val="Subsection"/>
        <w:rPr>
          <w:snapToGrid w:val="0"/>
        </w:rPr>
      </w:pPr>
      <w:r>
        <w:rPr>
          <w:snapToGrid w:val="0"/>
        </w:rPr>
        <w:tab/>
        <w:t>(1)</w:t>
      </w:r>
      <w:r>
        <w:rPr>
          <w:snapToGrid w:val="0"/>
        </w:rPr>
        <w:tab/>
        <w:t>In these regulations, unless the contrary intention appears —</w:t>
      </w:r>
    </w:p>
    <w:p>
      <w:pPr>
        <w:pStyle w:val="Defstart"/>
      </w:pPr>
      <w:r>
        <w:tab/>
      </w:r>
      <w:r>
        <w:rPr>
          <w:rStyle w:val="CharDefText"/>
        </w:rPr>
        <w:t>anticipated number of patrons</w:t>
      </w:r>
      <w:r>
        <w:t>, in relation to an application for an occasional licence, means the sum of the maximum number of patrons for each day of the period to which the application relates;</w:t>
      </w:r>
    </w:p>
    <w:p>
      <w:pPr>
        <w:pStyle w:val="Defstart"/>
      </w:pPr>
      <w:r>
        <w:tab/>
      </w:r>
      <w:r>
        <w:rPr>
          <w:rStyle w:val="CharDefText"/>
        </w:rPr>
        <w:t>approved manager</w:t>
      </w:r>
      <w:r>
        <w:t xml:space="preserve"> has the meaning given in section 102A;</w:t>
      </w:r>
    </w:p>
    <w:p>
      <w:pPr>
        <w:pStyle w:val="Defstart"/>
      </w:pPr>
      <w:r>
        <w:tab/>
      </w:r>
      <w:r>
        <w:rPr>
          <w:rStyle w:val="CharDefText"/>
        </w:rPr>
        <w:t>higher education course</w:t>
      </w:r>
      <w:r>
        <w:t xml:space="preserve"> has the meaning given in the </w:t>
      </w:r>
      <w:r>
        <w:rPr>
          <w:i/>
          <w:iCs/>
        </w:rPr>
        <w:t>Higher Education Act 2004</w:t>
      </w:r>
      <w:r>
        <w:t xml:space="preserve"> section 3;</w:t>
      </w:r>
    </w:p>
    <w:p>
      <w:pPr>
        <w:pStyle w:val="Defstart"/>
      </w:pPr>
      <w:r>
        <w:tab/>
      </w:r>
      <w:r>
        <w:rPr>
          <w:rStyle w:val="CharDefText"/>
        </w:rPr>
        <w:t xml:space="preserve">higher education institution </w:t>
      </w:r>
      <w:r>
        <w:t xml:space="preserve">means an education institution as defined in the </w:t>
      </w:r>
      <w:r>
        <w:rPr>
          <w:i/>
          <w:iCs/>
        </w:rPr>
        <w:t>Higher Education Act 2004</w:t>
      </w:r>
      <w:r>
        <w:t xml:space="preserve"> section 3 that provides a higher education course;</w:t>
      </w:r>
    </w:p>
    <w:p>
      <w:pPr>
        <w:pStyle w:val="Defstart"/>
      </w:pPr>
      <w:r>
        <w:tab/>
      </w:r>
      <w:r>
        <w:rPr>
          <w:rStyle w:val="CharDefText"/>
        </w:rPr>
        <w:t>manager’s approval</w:t>
      </w:r>
      <w:r>
        <w:t xml:space="preserve"> has the meaning given in section 102A;</w:t>
      </w:r>
    </w:p>
    <w:p>
      <w:pPr>
        <w:pStyle w:val="Defstart"/>
      </w:pPr>
      <w:r>
        <w:tab/>
      </w:r>
      <w:r>
        <w:rPr>
          <w:rStyle w:val="CharDefText"/>
        </w:rPr>
        <w:t>maximum number of patrons</w:t>
      </w:r>
      <w:r>
        <w:t>, in relation to a day of the period to which an application for an occasional licence relates, means the maximum number of patrons that the person making the application reasonably expects to be in the licensed area at any one time on that day;</w:t>
      </w:r>
    </w:p>
    <w:p>
      <w:pPr>
        <w:pStyle w:val="Defstart"/>
      </w:pPr>
      <w:r>
        <w:tab/>
      </w:r>
      <w:r>
        <w:rPr>
          <w:rStyle w:val="CharDefText"/>
        </w:rPr>
        <w:t>notional wholesale selling price</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w:t>
      </w:r>
    </w:p>
    <w:p>
      <w:pPr>
        <w:pStyle w:val="Defstart"/>
      </w:pPr>
      <w:r>
        <w:rPr>
          <w:b/>
        </w:rPr>
        <w:tab/>
      </w:r>
      <w:r>
        <w:rPr>
          <w:rStyle w:val="CharDefText"/>
        </w:rPr>
        <w:t>producer</w:t>
      </w:r>
      <w:r>
        <w:t xml:space="preserve"> has the meaning given in section 129;</w:t>
      </w:r>
    </w:p>
    <w:p>
      <w:pPr>
        <w:pStyle w:val="Defstart"/>
      </w:pPr>
      <w:r>
        <w:tab/>
      </w:r>
      <w:r>
        <w:rPr>
          <w:rStyle w:val="CharDefText"/>
        </w:rPr>
        <w:t>tax period</w:t>
      </w:r>
      <w:r>
        <w:t xml:space="preserve"> has the meaning given by section 195</w:t>
      </w:r>
      <w:r>
        <w:noBreakHyphen/>
        <w:t xml:space="preserve">1 of the Commonwealth </w:t>
      </w:r>
      <w:r>
        <w:rPr>
          <w:i/>
        </w:rPr>
        <w:t>A New Tax System (Goods and Services Tax) Act 1999</w:t>
      </w:r>
      <w:r>
        <w:t>;</w:t>
      </w:r>
    </w:p>
    <w:p>
      <w:pPr>
        <w:pStyle w:val="Defstart"/>
        <w:rPr>
          <w:iCs/>
        </w:rPr>
      </w:pPr>
      <w:r>
        <w:rPr>
          <w:b/>
        </w:rPr>
        <w:tab/>
      </w:r>
      <w:r>
        <w:rPr>
          <w:rStyle w:val="CharDefText"/>
        </w:rPr>
        <w:t>vocational education and training institution</w:t>
      </w:r>
      <w:r>
        <w:t xml:space="preserve"> means a college or other vocational education and training institution established under the </w:t>
      </w:r>
      <w:r>
        <w:rPr>
          <w:i/>
          <w:iCs/>
        </w:rPr>
        <w:t>Vocational Education and Training Act 1996</w:t>
      </w:r>
      <w:r>
        <w:rPr>
          <w:iCs/>
        </w:rPr>
        <w:t>;</w:t>
      </w:r>
    </w:p>
    <w:p>
      <w:pPr>
        <w:pStyle w:val="Defstart"/>
      </w:pPr>
      <w:r>
        <w:rPr>
          <w:b/>
        </w:rPr>
        <w:tab/>
      </w:r>
      <w:r>
        <w:rPr>
          <w:rStyle w:val="CharDefText"/>
        </w:rPr>
        <w:t>WET</w:t>
      </w:r>
      <w:r>
        <w:t xml:space="preserve"> has the meaning given to </w:t>
      </w:r>
      <w:r>
        <w:rPr>
          <w:b/>
          <w:bCs/>
          <w:i/>
          <w:iCs/>
        </w:rPr>
        <w:t>wine tax</w:t>
      </w:r>
      <w:r>
        <w:t xml:space="preserve"> in section 33</w:t>
      </w:r>
      <w:r>
        <w:noBreakHyphen/>
        <w:t xml:space="preserve">1 of the Commonwealth </w:t>
      </w:r>
      <w:r>
        <w:rPr>
          <w:i/>
        </w:rPr>
        <w:t>A New Tax System (Wine Equalisation Tax) Act 1999</w:t>
      </w:r>
      <w:r>
        <w:t>;</w:t>
      </w:r>
    </w:p>
    <w:p>
      <w:pPr>
        <w:pStyle w:val="Defstart"/>
      </w:pPr>
      <w:r>
        <w:rPr>
          <w:b/>
        </w:rPr>
        <w:tab/>
      </w:r>
      <w:r>
        <w:rPr>
          <w:rStyle w:val="CharDefText"/>
        </w:rPr>
        <w:t>wholesaler</w:t>
      </w:r>
      <w:r>
        <w:t xml:space="preserve"> has the meaning given in section 129.</w:t>
      </w:r>
    </w:p>
    <w:p>
      <w:pPr>
        <w:pStyle w:val="Subsection"/>
        <w:spacing w:before="200"/>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6; 10 Aug 2004 p. 3186; 1 May 2007 p. 1864 and 1888; 15 Jan 2010 p. 70</w:t>
      </w:r>
      <w:r>
        <w:noBreakHyphen/>
        <w:t>1; 22 Oct 2010 p. 5225; 3 Jun 2011 p. 1994.]</w:t>
      </w:r>
    </w:p>
    <w:p>
      <w:pPr>
        <w:pStyle w:val="Heading5"/>
        <w:keepLines w:val="0"/>
      </w:pPr>
      <w:bookmarkStart w:id="54" w:name="_Toc119294055"/>
      <w:bookmarkStart w:id="55" w:name="_Toc123633148"/>
      <w:bookmarkStart w:id="56" w:name="_Toc172713902"/>
      <w:bookmarkStart w:id="57" w:name="_Toc264018246"/>
      <w:bookmarkStart w:id="58" w:name="_Toc303323133"/>
      <w:bookmarkStart w:id="59" w:name="_Toc357698809"/>
      <w:bookmarkStart w:id="60" w:name="_Toc460808699"/>
      <w:bookmarkStart w:id="61" w:name="_Toc519934561"/>
      <w:bookmarkStart w:id="62" w:name="_Toc534780024"/>
      <w:bookmarkStart w:id="63" w:name="_Toc3352031"/>
      <w:bookmarkStart w:id="64" w:name="_Toc3352106"/>
      <w:bookmarkStart w:id="65" w:name="_Toc22966208"/>
      <w:bookmarkStart w:id="66" w:name="_Toc66263814"/>
      <w:r>
        <w:rPr>
          <w:rStyle w:val="CharSectno"/>
        </w:rPr>
        <w:t>3AB</w:t>
      </w:r>
      <w:r>
        <w:t>.</w:t>
      </w:r>
      <w:r>
        <w:tab/>
      </w:r>
      <w:bookmarkEnd w:id="54"/>
      <w:bookmarkEnd w:id="55"/>
      <w:bookmarkEnd w:id="56"/>
      <w:r>
        <w:t xml:space="preserve">Kind of liquor prescribed (mist containing ethanol) (Act s. 3(1) </w:t>
      </w:r>
      <w:r>
        <w:rPr>
          <w:i/>
        </w:rPr>
        <w:t>kind</w:t>
      </w:r>
      <w:r>
        <w:t>)</w:t>
      </w:r>
      <w:bookmarkEnd w:id="57"/>
      <w:bookmarkEnd w:id="58"/>
      <w:bookmarkEnd w:id="59"/>
    </w:p>
    <w:p>
      <w:pPr>
        <w:pStyle w:val="Subsection"/>
      </w:pPr>
      <w:r>
        <w:tab/>
      </w:r>
      <w:r>
        <w:tab/>
        <w:t xml:space="preserve">For the purposes of paragraph (e) of the definition of </w:t>
      </w:r>
      <w:r>
        <w:rPr>
          <w:bCs/>
          <w:iCs/>
        </w:rPr>
        <w:t xml:space="preserve">a </w:t>
      </w:r>
      <w:r>
        <w:rPr>
          <w:b/>
          <w:bCs/>
          <w:i/>
          <w:iCs/>
        </w:rPr>
        <w:t>kind</w:t>
      </w:r>
      <w:r>
        <w:t xml:space="preserve"> in section 3(1), a substance that regulation 4AB prescribes as being liquor is prescribed as being a kind of liquor.</w:t>
      </w:r>
    </w:p>
    <w:p>
      <w:pPr>
        <w:pStyle w:val="Footnotesection"/>
        <w:keepLines w:val="0"/>
        <w:spacing w:before="80"/>
        <w:ind w:left="890" w:hanging="890"/>
      </w:pPr>
      <w:r>
        <w:tab/>
        <w:t>[Regulation 3AB inserted in Gazette 11 Jan 2005 p. 98; amended in Gazette 1 May 2007 p. 1888.]</w:t>
      </w:r>
    </w:p>
    <w:p>
      <w:pPr>
        <w:pStyle w:val="Heading5"/>
        <w:keepLines w:val="0"/>
      </w:pPr>
      <w:bookmarkStart w:id="67" w:name="_Toc119294056"/>
      <w:bookmarkStart w:id="68" w:name="_Toc123633149"/>
      <w:bookmarkStart w:id="69" w:name="_Toc172713903"/>
      <w:bookmarkStart w:id="70" w:name="_Toc264018247"/>
      <w:bookmarkStart w:id="71" w:name="_Toc303323134"/>
      <w:bookmarkStart w:id="72" w:name="_Toc357698810"/>
      <w:r>
        <w:rPr>
          <w:rStyle w:val="CharSectno"/>
        </w:rPr>
        <w:t>3AC</w:t>
      </w:r>
      <w:r>
        <w:t>.</w:t>
      </w:r>
      <w:r>
        <w:tab/>
        <w:t>Kind of liquor</w:t>
      </w:r>
      <w:bookmarkEnd w:id="67"/>
      <w:bookmarkEnd w:id="68"/>
      <w:bookmarkEnd w:id="69"/>
      <w:r>
        <w:t xml:space="preserve"> prescribed (aerosol containing ethanol) (Act s. 3(1) </w:t>
      </w:r>
      <w:r>
        <w:rPr>
          <w:i/>
        </w:rPr>
        <w:t>kind</w:t>
      </w:r>
      <w:r>
        <w:t>)</w:t>
      </w:r>
      <w:bookmarkEnd w:id="70"/>
      <w:bookmarkEnd w:id="71"/>
      <w:bookmarkEnd w:id="72"/>
    </w:p>
    <w:p>
      <w:pPr>
        <w:pStyle w:val="Subsection"/>
      </w:pPr>
      <w:r>
        <w:tab/>
      </w:r>
      <w:r>
        <w:tab/>
        <w:t xml:space="preserve">For the purposes of paragraph (e) of the definition of </w:t>
      </w:r>
      <w:r>
        <w:rPr>
          <w:bCs/>
          <w:iCs/>
        </w:rPr>
        <w:t xml:space="preserve">a </w:t>
      </w:r>
      <w:r>
        <w:rPr>
          <w:b/>
          <w:bCs/>
          <w:i/>
          <w:iCs/>
        </w:rPr>
        <w:t>kind</w:t>
      </w:r>
      <w:r>
        <w:t xml:space="preserve"> in section 3(1), a substance that regulation 4AC prescribes as being liquor is prescribed as being a kind of liquor.</w:t>
      </w:r>
    </w:p>
    <w:p>
      <w:pPr>
        <w:pStyle w:val="Footnotesection"/>
        <w:keepLines w:val="0"/>
        <w:spacing w:before="80"/>
        <w:ind w:left="890" w:hanging="890"/>
      </w:pPr>
      <w:r>
        <w:tab/>
        <w:t>[Regulation 3AC inserted in Gazette 11 Jan 2005 p. 98; amended in Gazette 1 May 2007 p. 1888.]</w:t>
      </w:r>
    </w:p>
    <w:p>
      <w:pPr>
        <w:pStyle w:val="Heading5"/>
        <w:keepLines w:val="0"/>
        <w:rPr>
          <w:snapToGrid w:val="0"/>
        </w:rPr>
      </w:pPr>
      <w:bookmarkStart w:id="73" w:name="_Toc119294057"/>
      <w:bookmarkStart w:id="74" w:name="_Toc123633150"/>
      <w:bookmarkStart w:id="75" w:name="_Toc172713904"/>
      <w:bookmarkStart w:id="76" w:name="_Toc264018248"/>
      <w:bookmarkStart w:id="77" w:name="_Toc303323135"/>
      <w:bookmarkStart w:id="78" w:name="_Toc357698811"/>
      <w:r>
        <w:rPr>
          <w:rStyle w:val="CharSectno"/>
        </w:rPr>
        <w:t>4</w:t>
      </w:r>
      <w:r>
        <w:rPr>
          <w:snapToGrid w:val="0"/>
        </w:rPr>
        <w:t>.</w:t>
      </w:r>
      <w:r>
        <w:rPr>
          <w:snapToGrid w:val="0"/>
        </w:rPr>
        <w:tab/>
      </w:r>
      <w:bookmarkEnd w:id="60"/>
      <w:bookmarkEnd w:id="61"/>
      <w:bookmarkEnd w:id="62"/>
      <w:bookmarkEnd w:id="63"/>
      <w:bookmarkEnd w:id="64"/>
      <w:bookmarkEnd w:id="65"/>
      <w:bookmarkEnd w:id="66"/>
      <w:bookmarkEnd w:id="73"/>
      <w:bookmarkEnd w:id="74"/>
      <w:bookmarkEnd w:id="75"/>
      <w:r>
        <w:rPr>
          <w:snapToGrid w:val="0"/>
        </w:rPr>
        <w:t xml:space="preserve">Level prescribed </w:t>
      </w:r>
      <w:r>
        <w:t xml:space="preserve">(Act s. 3(1) </w:t>
      </w:r>
      <w:r>
        <w:rPr>
          <w:i/>
        </w:rPr>
        <w:t>low alcohol liquor</w:t>
      </w:r>
      <w:r>
        <w:t>)</w:t>
      </w:r>
      <w:bookmarkEnd w:id="76"/>
      <w:bookmarkEnd w:id="77"/>
      <w:bookmarkEnd w:id="78"/>
    </w:p>
    <w:p>
      <w:pPr>
        <w:pStyle w:val="Subsection"/>
        <w:rPr>
          <w:snapToGrid w:val="0"/>
        </w:rPr>
      </w:pPr>
      <w:r>
        <w:rPr>
          <w:snapToGrid w:val="0"/>
        </w:rPr>
        <w:tab/>
      </w:r>
      <w:r>
        <w:rPr>
          <w:snapToGrid w:val="0"/>
        </w:rPr>
        <w:tab/>
        <w:t xml:space="preserve">For the purposes of the definition of </w:t>
      </w:r>
      <w:r>
        <w:rPr>
          <w:b/>
          <w:bCs/>
          <w:i/>
          <w:iCs/>
          <w:snapToGrid w:val="0"/>
        </w:rPr>
        <w:t>low alcohol liquor</w:t>
      </w:r>
      <w:r>
        <w:rPr>
          <w:snapToGrid w:val="0"/>
        </w:rPr>
        <w:t xml:space="preserve"> in section 3(1), the prescribed concentration of ethanol in liquor is 3.5% </w:t>
      </w:r>
      <w:r>
        <w:t>at 20°C</w:t>
      </w:r>
      <w:r>
        <w:rPr>
          <w:snapToGrid w:val="0"/>
        </w:rPr>
        <w:t>.</w:t>
      </w:r>
    </w:p>
    <w:p>
      <w:pPr>
        <w:pStyle w:val="Footnotesection"/>
        <w:keepLines w:val="0"/>
        <w:spacing w:before="80"/>
        <w:ind w:left="890" w:hanging="890"/>
      </w:pPr>
      <w:r>
        <w:tab/>
        <w:t>[Regulation 4 inserted in Gazette 22 May 1998 p. 2940; amended in Gazette 28 Jul 2000 p. 4029; 1 May 2007 p. 1888.]</w:t>
      </w:r>
    </w:p>
    <w:p>
      <w:pPr>
        <w:pStyle w:val="Heading5"/>
        <w:spacing w:before="280"/>
        <w:rPr>
          <w:snapToGrid w:val="0"/>
        </w:rPr>
      </w:pPr>
      <w:bookmarkStart w:id="79" w:name="_Toc460808700"/>
      <w:bookmarkStart w:id="80" w:name="_Toc519934562"/>
      <w:bookmarkStart w:id="81" w:name="_Toc534780025"/>
      <w:bookmarkStart w:id="82" w:name="_Toc3352032"/>
      <w:bookmarkStart w:id="83" w:name="_Toc3352107"/>
      <w:bookmarkStart w:id="84" w:name="_Toc22966209"/>
      <w:bookmarkStart w:id="85" w:name="_Toc66263815"/>
      <w:bookmarkStart w:id="86" w:name="_Toc119294058"/>
      <w:bookmarkStart w:id="87" w:name="_Toc123633151"/>
      <w:bookmarkStart w:id="88" w:name="_Toc172713905"/>
      <w:bookmarkStart w:id="89" w:name="_Toc264018249"/>
      <w:bookmarkStart w:id="90" w:name="_Toc303323136"/>
      <w:bookmarkStart w:id="91" w:name="_Toc357698812"/>
      <w:r>
        <w:rPr>
          <w:rStyle w:val="CharSectno"/>
        </w:rPr>
        <w:t>4AA</w:t>
      </w:r>
      <w:r>
        <w:rPr>
          <w:snapToGrid w:val="0"/>
        </w:rPr>
        <w:t>.</w:t>
      </w:r>
      <w:r>
        <w:rPr>
          <w:snapToGrid w:val="0"/>
        </w:rPr>
        <w:tab/>
      </w:r>
      <w:r>
        <w:t>P</w:t>
      </w:r>
      <w:r>
        <w:rPr>
          <w:snapToGrid w:val="0"/>
        </w:rPr>
        <w:t>roportion of ethanol</w:t>
      </w:r>
      <w:bookmarkEnd w:id="79"/>
      <w:bookmarkEnd w:id="80"/>
      <w:bookmarkEnd w:id="81"/>
      <w:bookmarkEnd w:id="82"/>
      <w:bookmarkEnd w:id="83"/>
      <w:bookmarkEnd w:id="84"/>
      <w:bookmarkEnd w:id="85"/>
      <w:bookmarkEnd w:id="86"/>
      <w:bookmarkEnd w:id="87"/>
      <w:bookmarkEnd w:id="88"/>
      <w:r>
        <w:rPr>
          <w:snapToGrid w:val="0"/>
        </w:rPr>
        <w:t xml:space="preserve"> prescribed </w:t>
      </w:r>
      <w:r>
        <w:t xml:space="preserve">(Act s. 3(1) </w:t>
      </w:r>
      <w:r>
        <w:rPr>
          <w:i/>
        </w:rPr>
        <w:t>liquor</w:t>
      </w:r>
      <w:r>
        <w:t>)</w:t>
      </w:r>
      <w:bookmarkEnd w:id="89"/>
      <w:bookmarkEnd w:id="90"/>
      <w:bookmarkEnd w:id="91"/>
    </w:p>
    <w:p>
      <w:pPr>
        <w:pStyle w:val="Subsection"/>
        <w:keepNext/>
        <w:keepLines/>
        <w:rPr>
          <w:snapToGrid w:val="0"/>
        </w:rPr>
      </w:pPr>
      <w:r>
        <w:rPr>
          <w:snapToGrid w:val="0"/>
        </w:rPr>
        <w:tab/>
      </w:r>
      <w:r>
        <w:rPr>
          <w:snapToGrid w:val="0"/>
        </w:rPr>
        <w:tab/>
        <w:t xml:space="preserve">For the purposes of paragraph (a) of the definition of </w:t>
      </w:r>
      <w:r>
        <w:rPr>
          <w:b/>
          <w:bCs/>
          <w:i/>
          <w:iCs/>
          <w:snapToGrid w:val="0"/>
        </w:rPr>
        <w:t>liquor</w:t>
      </w:r>
      <w:r>
        <w:rPr>
          <w:snapToGrid w:val="0"/>
        </w:rPr>
        <w:t xml:space="preserve"> in section 3(1), 0.5% ethanol by volume is prescribed as the proportion of a beverage which at 20°C is liquor.</w:t>
      </w:r>
    </w:p>
    <w:p>
      <w:pPr>
        <w:pStyle w:val="Footnotesection"/>
        <w:keepLines w:val="0"/>
        <w:spacing w:before="80"/>
        <w:ind w:left="890" w:hanging="890"/>
      </w:pPr>
      <w:r>
        <w:tab/>
        <w:t>[Regulation 4AA inserted in Gazette 22 May 1998 p. 2940; amended in Gazette 6 Oct 1998 p. 5564; 1 May 2007 p. 1888.]</w:t>
      </w:r>
    </w:p>
    <w:p>
      <w:pPr>
        <w:pStyle w:val="Heading5"/>
        <w:spacing w:before="280"/>
        <w:rPr>
          <w:b w:val="0"/>
          <w:bCs/>
          <w:snapToGrid w:val="0"/>
        </w:rPr>
      </w:pPr>
      <w:bookmarkStart w:id="92" w:name="_Toc460808701"/>
      <w:bookmarkStart w:id="93" w:name="_Toc519934563"/>
      <w:bookmarkStart w:id="94" w:name="_Toc534780026"/>
      <w:bookmarkStart w:id="95" w:name="_Toc3352033"/>
      <w:bookmarkStart w:id="96" w:name="_Toc3352108"/>
      <w:bookmarkStart w:id="97" w:name="_Toc22966210"/>
      <w:bookmarkStart w:id="98" w:name="_Toc66263816"/>
      <w:bookmarkStart w:id="99" w:name="_Toc119294059"/>
      <w:bookmarkStart w:id="100" w:name="_Toc123633152"/>
      <w:bookmarkStart w:id="101" w:name="_Toc172713906"/>
      <w:bookmarkStart w:id="102" w:name="_Toc264018250"/>
      <w:bookmarkStart w:id="103" w:name="_Toc303323137"/>
      <w:bookmarkStart w:id="104" w:name="_Toc357698813"/>
      <w:r>
        <w:rPr>
          <w:rStyle w:val="CharSectno"/>
        </w:rPr>
        <w:t>4A</w:t>
      </w:r>
      <w:r>
        <w:rPr>
          <w:snapToGrid w:val="0"/>
        </w:rPr>
        <w:t>.</w:t>
      </w:r>
      <w:r>
        <w:rPr>
          <w:snapToGrid w:val="0"/>
        </w:rPr>
        <w:tab/>
        <w:t>Substance</w:t>
      </w:r>
      <w:bookmarkEnd w:id="92"/>
      <w:bookmarkEnd w:id="93"/>
      <w:bookmarkEnd w:id="94"/>
      <w:bookmarkEnd w:id="95"/>
      <w:bookmarkEnd w:id="96"/>
      <w:bookmarkEnd w:id="97"/>
      <w:bookmarkEnd w:id="98"/>
      <w:bookmarkEnd w:id="99"/>
      <w:bookmarkEnd w:id="100"/>
      <w:bookmarkEnd w:id="101"/>
      <w:r>
        <w:rPr>
          <w:snapToGrid w:val="0"/>
        </w:rPr>
        <w:t xml:space="preserve">s prescribed (food items) </w:t>
      </w:r>
      <w:r>
        <w:t xml:space="preserve">(Act s. 3(1) </w:t>
      </w:r>
      <w:r>
        <w:rPr>
          <w:i/>
        </w:rPr>
        <w:t>liquor</w:t>
      </w:r>
      <w:r>
        <w:t>)</w:t>
      </w:r>
      <w:bookmarkEnd w:id="102"/>
      <w:bookmarkEnd w:id="103"/>
      <w:bookmarkEnd w:id="104"/>
    </w:p>
    <w:p>
      <w:pPr>
        <w:pStyle w:val="Subsection"/>
      </w:pPr>
      <w:r>
        <w:tab/>
        <w:t>(1)</w:t>
      </w:r>
      <w:r>
        <w:tab/>
        <w:t xml:space="preserve">The following substances are prescribed under paragraph (b) of the definition of </w:t>
      </w:r>
      <w:r>
        <w:rPr>
          <w:b/>
          <w:bCs/>
          <w:i/>
          <w:iCs/>
        </w:rPr>
        <w:t>liquor</w:t>
      </w:r>
      <w:r>
        <w:t xml:space="preserve"> in section 3(1) as being liquor for the purposes of the Act —</w:t>
      </w:r>
    </w:p>
    <w:p>
      <w:pPr>
        <w:pStyle w:val="Indenta"/>
        <w:spacing w:before="100"/>
      </w:pPr>
      <w:r>
        <w:tab/>
        <w:t>(a)</w:t>
      </w:r>
      <w:r>
        <w:tab/>
        <w:t>an alcohol based food essence that is sold by way of retail sale;</w:t>
      </w:r>
    </w:p>
    <w:p>
      <w:pPr>
        <w:pStyle w:val="Indenta"/>
        <w:spacing w:before="100"/>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w:t>
      </w:r>
    </w:p>
    <w:p>
      <w:pPr>
        <w:pStyle w:val="Defstart"/>
        <w:spacing w:before="100"/>
      </w:pPr>
      <w:r>
        <w:rPr>
          <w:b/>
        </w:rPr>
        <w:tab/>
      </w:r>
      <w:r>
        <w:rPr>
          <w:rStyle w:val="CharDefText"/>
        </w:rPr>
        <w:t>alcohol based food essence</w:t>
      </w:r>
      <w:r>
        <w:t xml:space="preserve"> means a preparation of flavouring substance in liquid form with a concentration of ethanol exceeding 1.15% by volume in a container that has a volume exceeding —</w:t>
      </w:r>
    </w:p>
    <w:p>
      <w:pPr>
        <w:pStyle w:val="Defpara"/>
        <w:spacing w:before="100"/>
      </w:pPr>
      <w:r>
        <w:tab/>
        <w:t>(a)</w:t>
      </w:r>
      <w:r>
        <w:tab/>
        <w:t>100 ml, in the case of natural vanilla essence; or</w:t>
      </w:r>
    </w:p>
    <w:p>
      <w:pPr>
        <w:pStyle w:val="Defpara"/>
        <w:spacing w:before="100"/>
      </w:pPr>
      <w:r>
        <w:tab/>
        <w:t>(b)</w:t>
      </w:r>
      <w:r>
        <w:tab/>
        <w:t>50 ml, in any other case;</w:t>
      </w:r>
    </w:p>
    <w:p>
      <w:pPr>
        <w:pStyle w:val="Defstart"/>
        <w:spacing w:before="100"/>
      </w:pPr>
      <w:r>
        <w:tab/>
      </w:r>
      <w:r>
        <w:rPr>
          <w:rStyle w:val="CharDefText"/>
        </w:rPr>
        <w:t>alcohol based novelty food item</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r>
      <w:r>
        <w:rPr>
          <w:rStyle w:val="CharDefText"/>
        </w:rPr>
        <w:t>retail sale</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1.]</w:t>
      </w:r>
    </w:p>
    <w:p>
      <w:pPr>
        <w:pStyle w:val="Heading5"/>
      </w:pPr>
      <w:bookmarkStart w:id="105" w:name="_Toc119294060"/>
      <w:bookmarkStart w:id="106" w:name="_Toc123633153"/>
      <w:bookmarkStart w:id="107" w:name="_Toc172713907"/>
      <w:bookmarkStart w:id="108" w:name="_Toc264018251"/>
      <w:bookmarkStart w:id="109" w:name="_Toc303323138"/>
      <w:bookmarkStart w:id="110" w:name="_Toc357698814"/>
      <w:bookmarkStart w:id="111" w:name="_Toc460808702"/>
      <w:bookmarkStart w:id="112" w:name="_Toc519934564"/>
      <w:bookmarkStart w:id="113" w:name="_Toc534780027"/>
      <w:bookmarkStart w:id="114" w:name="_Toc3352034"/>
      <w:bookmarkStart w:id="115" w:name="_Toc3352109"/>
      <w:bookmarkStart w:id="116" w:name="_Toc22966211"/>
      <w:bookmarkStart w:id="117" w:name="_Toc66263817"/>
      <w:r>
        <w:rPr>
          <w:rStyle w:val="CharSectno"/>
        </w:rPr>
        <w:t>4AB</w:t>
      </w:r>
      <w:r>
        <w:t>.</w:t>
      </w:r>
      <w:r>
        <w:tab/>
        <w:t>Substance</w:t>
      </w:r>
      <w:bookmarkEnd w:id="105"/>
      <w:bookmarkEnd w:id="106"/>
      <w:bookmarkEnd w:id="107"/>
      <w:r>
        <w:t xml:space="preserve"> prescribed (mist containing ethanol) (Act s. 3(1) </w:t>
      </w:r>
      <w:r>
        <w:rPr>
          <w:i/>
        </w:rPr>
        <w:t>liquor</w:t>
      </w:r>
      <w:r>
        <w:t>)</w:t>
      </w:r>
      <w:bookmarkEnd w:id="108"/>
      <w:bookmarkEnd w:id="109"/>
      <w:bookmarkEnd w:id="110"/>
    </w:p>
    <w:p>
      <w:pPr>
        <w:pStyle w:val="Subsection"/>
      </w:pPr>
      <w:r>
        <w:tab/>
      </w:r>
      <w:r>
        <w:tab/>
        <w:t xml:space="preserve">For the purposes of paragraph (b) of the definition of </w:t>
      </w:r>
      <w:r>
        <w:rPr>
          <w:b/>
          <w:bCs/>
          <w:i/>
          <w:iCs/>
        </w:rPr>
        <w:t>liquor</w:t>
      </w:r>
      <w:r>
        <w:t xml:space="preserve"> in section 3(1), a substance that is a mist made up of —</w:t>
      </w:r>
    </w:p>
    <w:p>
      <w:pPr>
        <w:pStyle w:val="Indenta"/>
      </w:pPr>
      <w:r>
        <w:tab/>
        <w:t>(a)</w:t>
      </w:r>
      <w:r>
        <w:tab/>
        <w:t>a gas; and</w:t>
      </w:r>
    </w:p>
    <w:p>
      <w:pPr>
        <w:pStyle w:val="Indenta"/>
      </w:pPr>
      <w:r>
        <w:tab/>
        <w:t>(b)</w:t>
      </w:r>
      <w:r>
        <w:tab/>
        <w:t>droplets of a liquid that at 20°C contains more than 0.5% ethanol by volume,</w:t>
      </w:r>
    </w:p>
    <w:p>
      <w:pPr>
        <w:pStyle w:val="Subsection"/>
      </w:pPr>
      <w:r>
        <w:tab/>
      </w:r>
      <w:r>
        <w:tab/>
        <w:t>is prescribed as being liquor.</w:t>
      </w:r>
    </w:p>
    <w:p>
      <w:pPr>
        <w:pStyle w:val="Footnotesection"/>
      </w:pPr>
      <w:r>
        <w:tab/>
        <w:t>[Regulation 4AB inserted in Gazette 11 Jan 2005 p. 98</w:t>
      </w:r>
      <w:r>
        <w:noBreakHyphen/>
        <w:t>9; amended in Gazette 1 May 2007 p. 1888</w:t>
      </w:r>
      <w:r>
        <w:noBreakHyphen/>
        <w:t>9.]</w:t>
      </w:r>
    </w:p>
    <w:p>
      <w:pPr>
        <w:pStyle w:val="Heading5"/>
        <w:rPr>
          <w:b w:val="0"/>
          <w:bCs/>
        </w:rPr>
      </w:pPr>
      <w:bookmarkStart w:id="118" w:name="_Toc119294061"/>
      <w:bookmarkStart w:id="119" w:name="_Toc123633154"/>
      <w:bookmarkStart w:id="120" w:name="_Toc172713908"/>
      <w:bookmarkStart w:id="121" w:name="_Toc264018252"/>
      <w:bookmarkStart w:id="122" w:name="_Toc303323139"/>
      <w:bookmarkStart w:id="123" w:name="_Toc357698815"/>
      <w:r>
        <w:rPr>
          <w:rStyle w:val="CharSectno"/>
        </w:rPr>
        <w:t>4AC</w:t>
      </w:r>
      <w:r>
        <w:t>.</w:t>
      </w:r>
      <w:r>
        <w:tab/>
        <w:t>Substance</w:t>
      </w:r>
      <w:bookmarkEnd w:id="118"/>
      <w:bookmarkEnd w:id="119"/>
      <w:bookmarkEnd w:id="120"/>
      <w:r>
        <w:t xml:space="preserve"> prescribed (aerosol containing ethanol) (Act s. 3(1) </w:t>
      </w:r>
      <w:r>
        <w:rPr>
          <w:i/>
        </w:rPr>
        <w:t>liquor</w:t>
      </w:r>
      <w:r>
        <w:t>)</w:t>
      </w:r>
      <w:bookmarkEnd w:id="121"/>
      <w:bookmarkEnd w:id="122"/>
      <w:bookmarkEnd w:id="123"/>
    </w:p>
    <w:p>
      <w:pPr>
        <w:pStyle w:val="Subsection"/>
      </w:pPr>
      <w:r>
        <w:tab/>
      </w:r>
      <w:r>
        <w:tab/>
        <w:t xml:space="preserve">For the purposes of paragraph (b) of the definition of </w:t>
      </w:r>
      <w:r>
        <w:rPr>
          <w:b/>
          <w:bCs/>
          <w:i/>
          <w:iCs/>
        </w:rPr>
        <w:t>liquor</w:t>
      </w:r>
      <w:r>
        <w:t xml:space="preserve"> in section 3(1), a substance that —</w:t>
      </w:r>
    </w:p>
    <w:p>
      <w:pPr>
        <w:pStyle w:val="Indenta"/>
      </w:pPr>
      <w:r>
        <w:tab/>
        <w:t>(a)</w:t>
      </w:r>
      <w:r>
        <w:tab/>
        <w:t>is sold in an aerosol container; and</w:t>
      </w:r>
    </w:p>
    <w:p>
      <w:pPr>
        <w:pStyle w:val="Indenta"/>
      </w:pPr>
      <w:r>
        <w:tab/>
        <w:t>(b)</w:t>
      </w:r>
      <w:r>
        <w:tab/>
        <w:t>is intended to be inhaled by humans; and</w:t>
      </w:r>
    </w:p>
    <w:p>
      <w:pPr>
        <w:pStyle w:val="Indenta"/>
      </w:pPr>
      <w:r>
        <w:tab/>
        <w:t>(c)</w:t>
      </w:r>
      <w:r>
        <w:tab/>
        <w:t>at 20°C contains more than 0.5% ethanol by volume,</w:t>
      </w:r>
    </w:p>
    <w:p>
      <w:pPr>
        <w:pStyle w:val="Subsection"/>
      </w:pPr>
      <w:r>
        <w:tab/>
      </w:r>
      <w:r>
        <w:tab/>
        <w:t>is prescribed as being liquor.</w:t>
      </w:r>
    </w:p>
    <w:p>
      <w:pPr>
        <w:pStyle w:val="Footnotesection"/>
      </w:pPr>
      <w:r>
        <w:tab/>
        <w:t>[Regulation 4AC inserted in Gazette 11 Jan 2005 p. 99; amended in Gazette 1 May 2007 p. 1888</w:t>
      </w:r>
      <w:r>
        <w:noBreakHyphen/>
        <w:t>9.]</w:t>
      </w:r>
    </w:p>
    <w:p>
      <w:pPr>
        <w:pStyle w:val="Heading5"/>
        <w:rPr>
          <w:snapToGrid w:val="0"/>
        </w:rPr>
      </w:pPr>
      <w:bookmarkStart w:id="124" w:name="_Toc119294062"/>
      <w:bookmarkStart w:id="125" w:name="_Toc123633155"/>
      <w:bookmarkStart w:id="126" w:name="_Toc172713909"/>
      <w:bookmarkStart w:id="127" w:name="_Toc264018253"/>
      <w:bookmarkStart w:id="128" w:name="_Toc303323140"/>
      <w:bookmarkStart w:id="129" w:name="_Toc357698816"/>
      <w:r>
        <w:rPr>
          <w:rStyle w:val="CharSectno"/>
        </w:rPr>
        <w:t>5</w:t>
      </w:r>
      <w:r>
        <w:rPr>
          <w:snapToGrid w:val="0"/>
        </w:rPr>
        <w:t>.</w:t>
      </w:r>
      <w:r>
        <w:rPr>
          <w:snapToGrid w:val="0"/>
        </w:rPr>
        <w:tab/>
      </w:r>
      <w:r>
        <w:t>Sources of information prescribed</w:t>
      </w:r>
      <w:r>
        <w:rPr>
          <w:snapToGrid w:val="0"/>
        </w:rPr>
        <w:t xml:space="preserve"> (Act s. 3</w:t>
      </w:r>
      <w:bookmarkEnd w:id="111"/>
      <w:bookmarkEnd w:id="112"/>
      <w:bookmarkEnd w:id="113"/>
      <w:bookmarkEnd w:id="114"/>
      <w:bookmarkEnd w:id="115"/>
      <w:bookmarkEnd w:id="116"/>
      <w:bookmarkEnd w:id="117"/>
      <w:bookmarkEnd w:id="124"/>
      <w:bookmarkEnd w:id="125"/>
      <w:bookmarkEnd w:id="126"/>
      <w:r>
        <w:rPr>
          <w:snapToGrid w:val="0"/>
        </w:rPr>
        <w:t xml:space="preserve">(1) </w:t>
      </w:r>
      <w:r>
        <w:rPr>
          <w:i/>
          <w:snapToGrid w:val="0"/>
        </w:rPr>
        <w:t>record</w:t>
      </w:r>
      <w:r>
        <w:rPr>
          <w:snapToGrid w:val="0"/>
        </w:rPr>
        <w:t>)</w:t>
      </w:r>
      <w:bookmarkEnd w:id="127"/>
      <w:bookmarkEnd w:id="128"/>
      <w:bookmarkEnd w:id="129"/>
    </w:p>
    <w:p>
      <w:pPr>
        <w:pStyle w:val="Subsection"/>
        <w:keepNext/>
        <w:keepLines/>
        <w:rPr>
          <w:snapToGrid w:val="0"/>
        </w:rPr>
      </w:pPr>
      <w:r>
        <w:rPr>
          <w:snapToGrid w:val="0"/>
        </w:rPr>
        <w:tab/>
        <w:t>(1)</w:t>
      </w:r>
      <w:r>
        <w:rPr>
          <w:snapToGrid w:val="0"/>
        </w:rPr>
        <w:tab/>
        <w:t xml:space="preserve">For the purposes of the interpretation of the expression </w:t>
      </w:r>
      <w:r>
        <w:rPr>
          <w:b/>
          <w:bCs/>
          <w:i/>
          <w:iCs/>
          <w:snapToGrid w:val="0"/>
        </w:rPr>
        <w:t xml:space="preserve">record </w:t>
      </w:r>
      <w:r>
        <w:rPr>
          <w:snapToGrid w:val="0"/>
        </w:rPr>
        <w:t>in section 3(1) the following sources of information are prescribed —</w:t>
      </w:r>
    </w:p>
    <w:p>
      <w:pPr>
        <w:pStyle w:val="Indenta"/>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rPr>
          <w:snapToGrid w:val="0"/>
        </w:rPr>
      </w:pPr>
      <w:r>
        <w:rPr>
          <w:snapToGrid w:val="0"/>
        </w:rPr>
        <w:tab/>
        <w:t>(b)</w:t>
      </w:r>
      <w:r>
        <w:rPr>
          <w:snapToGrid w:val="0"/>
        </w:rPr>
        <w:tab/>
        <w:t>in respect of any transaction involving the sale or purchase of liquor, the original or a true copy of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w:t>
      </w:r>
    </w:p>
    <w:p>
      <w:pPr>
        <w:pStyle w:val="IndentI0"/>
        <w:rPr>
          <w:snapToGrid w:val="0"/>
        </w:rPr>
      </w:pPr>
      <w:r>
        <w:rPr>
          <w:snapToGrid w:val="0"/>
        </w:rPr>
        <w:tab/>
        <w:t>(A)</w:t>
      </w:r>
      <w:r>
        <w:rPr>
          <w:snapToGrid w:val="0"/>
        </w:rPr>
        <w:tab/>
        <w:t xml:space="preserve">the </w:t>
      </w:r>
      <w:r>
        <w:rPr>
          <w:i/>
          <w:snapToGrid w:val="0"/>
        </w:rPr>
        <w:t>Sales Tax Assessment Act (No. 1) 1930 </w:t>
      </w:r>
      <w:r>
        <w:rPr>
          <w:iCs/>
          <w:snapToGrid w:val="0"/>
          <w:vertAlign w:val="superscript"/>
        </w:rPr>
        <w:t>3</w:t>
      </w:r>
      <w:r>
        <w:rPr>
          <w:snapToGrid w:val="0"/>
        </w:rPr>
        <w:t>; or</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w:t>
      </w:r>
    </w:p>
    <w:p>
      <w:pPr>
        <w:pStyle w:val="IndentI0"/>
        <w:rPr>
          <w:snapToGrid w:val="0"/>
        </w:rPr>
      </w:pPr>
      <w:r>
        <w:rPr>
          <w:snapToGrid w:val="0"/>
        </w:rPr>
        <w:tab/>
        <w:t>(A)</w:t>
      </w:r>
      <w:r>
        <w:rPr>
          <w:snapToGrid w:val="0"/>
        </w:rPr>
        <w:tab/>
        <w:t>the sale or purchase of liquor by the licensee; or</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w:t>
      </w:r>
    </w:p>
    <w:p>
      <w:pPr>
        <w:pStyle w:val="Indenta"/>
        <w:rPr>
          <w:snapToGrid w:val="0"/>
        </w:rPr>
      </w:pPr>
      <w:r>
        <w:rPr>
          <w:snapToGrid w:val="0"/>
        </w:rPr>
        <w:tab/>
        <w:t>(a)</w:t>
      </w:r>
      <w:r>
        <w:rPr>
          <w:snapToGrid w:val="0"/>
        </w:rPr>
        <w:tab/>
        <w:t xml:space="preserve">to a </w:t>
      </w:r>
      <w:r>
        <w:rPr>
          <w:rStyle w:val="CharDefText"/>
        </w:rPr>
        <w:t>sale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rStyle w:val="CharDefText"/>
        </w:rPr>
        <w:t>purchase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acquisition of liquor.</w:t>
      </w:r>
    </w:p>
    <w:p>
      <w:pPr>
        <w:pStyle w:val="Footnotesection"/>
        <w:ind w:left="890" w:hanging="890"/>
      </w:pPr>
      <w:r>
        <w:tab/>
        <w:t>[Regulation 5 amended in Gazette 30 Jan 1998 p. 562.]</w:t>
      </w:r>
    </w:p>
    <w:p>
      <w:pPr>
        <w:pStyle w:val="Heading5"/>
      </w:pPr>
      <w:bookmarkStart w:id="130" w:name="_Toc172713910"/>
      <w:bookmarkStart w:id="131" w:name="_Toc264018254"/>
      <w:bookmarkStart w:id="132" w:name="_Toc303323141"/>
      <w:bookmarkStart w:id="133" w:name="_Toc357698817"/>
      <w:bookmarkStart w:id="134" w:name="_Toc66263818"/>
      <w:bookmarkStart w:id="135" w:name="_Toc119294063"/>
      <w:bookmarkStart w:id="136" w:name="_Toc123633156"/>
      <w:bookmarkStart w:id="137" w:name="_Toc460808704"/>
      <w:bookmarkStart w:id="138" w:name="_Toc519934566"/>
      <w:bookmarkStart w:id="139" w:name="_Toc534780029"/>
      <w:bookmarkStart w:id="140" w:name="_Toc3352036"/>
      <w:bookmarkStart w:id="141" w:name="_Toc3352111"/>
      <w:bookmarkStart w:id="142" w:name="_Toc22966213"/>
      <w:r>
        <w:rPr>
          <w:rStyle w:val="CharSectno"/>
        </w:rPr>
        <w:t>5A</w:t>
      </w:r>
      <w:r>
        <w:t>.</w:t>
      </w:r>
      <w:r>
        <w:tab/>
        <w:t xml:space="preserve">Quantities prescribed </w:t>
      </w:r>
      <w:r>
        <w:rPr>
          <w:snapToGrid w:val="0"/>
        </w:rPr>
        <w:t>(Act s.</w:t>
      </w:r>
      <w:r>
        <w:t> 3(1)</w:t>
      </w:r>
      <w:bookmarkEnd w:id="130"/>
      <w:r>
        <w:t xml:space="preserve"> </w:t>
      </w:r>
      <w:r>
        <w:rPr>
          <w:i/>
        </w:rPr>
        <w:t>sample</w:t>
      </w:r>
      <w:r>
        <w:t>)</w:t>
      </w:r>
      <w:bookmarkEnd w:id="131"/>
      <w:bookmarkEnd w:id="132"/>
      <w:bookmarkEnd w:id="133"/>
    </w:p>
    <w:p>
      <w:pPr>
        <w:pStyle w:val="Subsection"/>
      </w:pPr>
      <w:r>
        <w:tab/>
      </w:r>
      <w:r>
        <w:tab/>
        <w:t xml:space="preserve">For the purposes of the definition of </w:t>
      </w:r>
      <w:r>
        <w:rPr>
          <w:b/>
          <w:bCs/>
          <w:i/>
          <w:iCs/>
        </w:rPr>
        <w:t>sample</w:t>
      </w:r>
      <w:r>
        <w:t xml:space="preserve"> in section 3(1) —</w:t>
      </w:r>
    </w:p>
    <w:p>
      <w:pPr>
        <w:pStyle w:val="Indenta"/>
      </w:pPr>
      <w:r>
        <w:tab/>
        <w:t>(a)</w:t>
      </w:r>
      <w:r>
        <w:tab/>
        <w:t>the prescribed quantity of beer is 100 ml; and</w:t>
      </w:r>
    </w:p>
    <w:p>
      <w:pPr>
        <w:pStyle w:val="Indenta"/>
      </w:pPr>
      <w:r>
        <w:tab/>
        <w:t>(b)</w:t>
      </w:r>
      <w:r>
        <w:tab/>
        <w:t>the prescribed quantity of wine is 50 ml; and</w:t>
      </w:r>
    </w:p>
    <w:p>
      <w:pPr>
        <w:pStyle w:val="Indenta"/>
      </w:pPr>
      <w:r>
        <w:tab/>
        <w:t>(c)</w:t>
      </w:r>
      <w:r>
        <w:tab/>
        <w:t>the prescribed quantity of spirits is 15 ml.</w:t>
      </w:r>
    </w:p>
    <w:p>
      <w:pPr>
        <w:pStyle w:val="Footnotesection"/>
        <w:ind w:left="890" w:hanging="890"/>
      </w:pPr>
      <w:r>
        <w:tab/>
        <w:t>[Regulation 5A amended in Gazette 1 May 2007 p. 1865.]</w:t>
      </w:r>
    </w:p>
    <w:p>
      <w:pPr>
        <w:pStyle w:val="Heading5"/>
      </w:pPr>
      <w:bookmarkStart w:id="143" w:name="_Toc172713911"/>
      <w:bookmarkStart w:id="144" w:name="_Toc264018255"/>
      <w:bookmarkStart w:id="145" w:name="_Toc303323142"/>
      <w:bookmarkStart w:id="146" w:name="_Toc357698818"/>
      <w:r>
        <w:rPr>
          <w:rStyle w:val="CharSectno"/>
        </w:rPr>
        <w:t>5B</w:t>
      </w:r>
      <w:r>
        <w:t>.</w:t>
      </w:r>
      <w:r>
        <w:tab/>
        <w:t xml:space="preserve">Positions of authority in body corporate prescribed </w:t>
      </w:r>
      <w:r>
        <w:rPr>
          <w:snapToGrid w:val="0"/>
        </w:rPr>
        <w:t>(Act s.</w:t>
      </w:r>
      <w:r>
        <w:t> 3(4)(d)</w:t>
      </w:r>
      <w:bookmarkEnd w:id="143"/>
      <w:r>
        <w:t>)</w:t>
      </w:r>
      <w:bookmarkEnd w:id="144"/>
      <w:bookmarkEnd w:id="145"/>
      <w:bookmarkEnd w:id="146"/>
    </w:p>
    <w:p>
      <w:pPr>
        <w:pStyle w:val="Subsection"/>
      </w:pPr>
      <w:r>
        <w:tab/>
        <w:t>(1)</w:t>
      </w:r>
      <w:r>
        <w:tab/>
        <w:t>This regulation has effect for the purposes of section 3(4)(d).</w:t>
      </w:r>
    </w:p>
    <w:p>
      <w:pPr>
        <w:pStyle w:val="Subsection"/>
      </w:pPr>
      <w:r>
        <w:tab/>
        <w:t>(2)</w:t>
      </w:r>
      <w:r>
        <w:tab/>
        <w:t xml:space="preserve">A person occupies a position of authority in a body corporate that is a proprietary company (the </w:t>
      </w:r>
      <w:r>
        <w:rPr>
          <w:rStyle w:val="CharDefText"/>
        </w:rPr>
        <w:t>relevant body corporate</w:t>
      </w:r>
      <w:r>
        <w:t>) if the person is —</w:t>
      </w:r>
    </w:p>
    <w:p>
      <w:pPr>
        <w:pStyle w:val="Indenta"/>
      </w:pPr>
      <w:r>
        <w:tab/>
        <w:t>(a)</w:t>
      </w:r>
      <w:r>
        <w:tab/>
        <w:t xml:space="preserve">an ultimate holding company (as defined in the Commonwealth </w:t>
      </w:r>
      <w:r>
        <w:rPr>
          <w:i/>
          <w:iCs/>
        </w:rPr>
        <w:t xml:space="preserve">Corporations Act 2001 </w:t>
      </w:r>
      <w:r>
        <w:t>section 9) in relation to the relevant body corporate; or</w:t>
      </w:r>
    </w:p>
    <w:p>
      <w:pPr>
        <w:pStyle w:val="Indenta"/>
      </w:pPr>
      <w:r>
        <w:tab/>
        <w:t>(b)</w:t>
      </w:r>
      <w:r>
        <w:tab/>
        <w:t>a director of the ultimate holding company; or</w:t>
      </w:r>
    </w:p>
    <w:p>
      <w:pPr>
        <w:pStyle w:val="Indenta"/>
      </w:pPr>
      <w:r>
        <w:tab/>
        <w:t>(c)</w:t>
      </w:r>
      <w:r>
        <w:tab/>
        <w:t>if the ultimate holding company is a proprietary company, a director of or shareholder in the ultimate holding company.</w:t>
      </w:r>
    </w:p>
    <w:p>
      <w:pPr>
        <w:pStyle w:val="Subsection"/>
      </w:pPr>
      <w:r>
        <w:tab/>
        <w:t>(3)</w:t>
      </w:r>
      <w:r>
        <w:tab/>
        <w:t xml:space="preserve">A person occupies a position of authority in a body corporate that is a proprietary company (the </w:t>
      </w:r>
      <w:r>
        <w:rPr>
          <w:rStyle w:val="CharDefText"/>
        </w:rPr>
        <w:t>relevant body corporate</w:t>
      </w:r>
      <w:r>
        <w:t>) if —</w:t>
      </w:r>
    </w:p>
    <w:p>
      <w:pPr>
        <w:pStyle w:val="Indenta"/>
        <w:spacing w:before="70"/>
      </w:pPr>
      <w:r>
        <w:tab/>
        <w:t>(a)</w:t>
      </w:r>
      <w:r>
        <w:tab/>
        <w:t>the person is —</w:t>
      </w:r>
    </w:p>
    <w:p>
      <w:pPr>
        <w:pStyle w:val="Indenti"/>
        <w:spacing w:before="70"/>
      </w:pPr>
      <w:r>
        <w:tab/>
        <w:t>(i)</w:t>
      </w:r>
      <w:r>
        <w:tab/>
        <w:t>a director of a body corporate; or</w:t>
      </w:r>
    </w:p>
    <w:p>
      <w:pPr>
        <w:pStyle w:val="Indenti"/>
        <w:spacing w:before="70"/>
      </w:pPr>
      <w:r>
        <w:tab/>
        <w:t>(ii)</w:t>
      </w:r>
      <w:r>
        <w:tab/>
        <w:t>a director of or shareholder in a body corporate that is a proprietary company;</w:t>
      </w:r>
    </w:p>
    <w:p>
      <w:pPr>
        <w:pStyle w:val="Indenta"/>
        <w:spacing w:before="70"/>
      </w:pPr>
      <w:r>
        <w:tab/>
      </w:r>
      <w:r>
        <w:tab/>
        <w:t>and</w:t>
      </w:r>
    </w:p>
    <w:p>
      <w:pPr>
        <w:pStyle w:val="Indenta"/>
        <w:spacing w:before="70"/>
      </w:pPr>
      <w:r>
        <w:tab/>
        <w:t>(b)</w:t>
      </w:r>
      <w:r>
        <w:tab/>
        <w:t>the body corporate referred to in paragraph (a)(i) or (ii) is a shareholder in the relevant body corporate.</w:t>
      </w:r>
    </w:p>
    <w:p>
      <w:pPr>
        <w:pStyle w:val="Subsection"/>
      </w:pPr>
      <w:r>
        <w:tab/>
        <w:t>(4)</w:t>
      </w:r>
      <w:r>
        <w:tab/>
        <w:t>If —</w:t>
      </w:r>
    </w:p>
    <w:p>
      <w:pPr>
        <w:pStyle w:val="Indenta"/>
        <w:spacing w:before="70"/>
      </w:pPr>
      <w:r>
        <w:tab/>
        <w:t>(a)</w:t>
      </w:r>
      <w:r>
        <w:tab/>
        <w:t xml:space="preserve">a person occupies a position of authority in a body corporate that is a proprietary company (the </w:t>
      </w:r>
      <w:r>
        <w:rPr>
          <w:rStyle w:val="CharDefText"/>
        </w:rPr>
        <w:t>relevant body corporate</w:t>
      </w:r>
      <w:r>
        <w:t>) —</w:t>
      </w:r>
    </w:p>
    <w:p>
      <w:pPr>
        <w:pStyle w:val="Indenti"/>
        <w:spacing w:before="70"/>
      </w:pPr>
      <w:r>
        <w:tab/>
        <w:t>(i)</w:t>
      </w:r>
      <w:r>
        <w:tab/>
        <w:t>by the operation of this regulation (including by the operation of this subregulation); and</w:t>
      </w:r>
    </w:p>
    <w:p>
      <w:pPr>
        <w:pStyle w:val="Indenti"/>
        <w:spacing w:before="70"/>
      </w:pPr>
      <w:r>
        <w:tab/>
        <w:t>(ii)</w:t>
      </w:r>
      <w:r>
        <w:tab/>
        <w:t>because the person is a shareholder in another body corporate;</w:t>
      </w:r>
    </w:p>
    <w:p>
      <w:pPr>
        <w:pStyle w:val="Indenta"/>
        <w:spacing w:before="70"/>
      </w:pPr>
      <w:r>
        <w:tab/>
      </w:r>
      <w:r>
        <w:tab/>
        <w:t>and</w:t>
      </w:r>
    </w:p>
    <w:p>
      <w:pPr>
        <w:pStyle w:val="Indenta"/>
      </w:pPr>
      <w:r>
        <w:tab/>
        <w:t>(b)</w:t>
      </w:r>
      <w:r>
        <w:tab/>
        <w:t>the person is a body corporate,</w:t>
      </w:r>
    </w:p>
    <w:p>
      <w:pPr>
        <w:pStyle w:val="Subsection"/>
      </w:pPr>
      <w:r>
        <w:tab/>
      </w:r>
      <w:r>
        <w:tab/>
        <w:t>a person who is —</w:t>
      </w:r>
    </w:p>
    <w:p>
      <w:pPr>
        <w:pStyle w:val="Indenta"/>
      </w:pPr>
      <w:r>
        <w:tab/>
        <w:t>(c)</w:t>
      </w:r>
      <w:r>
        <w:tab/>
        <w:t>a director of the body corporate referred to in paragraph (b); or</w:t>
      </w:r>
    </w:p>
    <w:p>
      <w:pPr>
        <w:pStyle w:val="Indenta"/>
      </w:pPr>
      <w:r>
        <w:tab/>
        <w:t>(d)</w:t>
      </w:r>
      <w:r>
        <w:tab/>
        <w:t>if that body corporate is a proprietary company, a director of or shareholder in that body corporate,</w:t>
      </w:r>
    </w:p>
    <w:p>
      <w:pPr>
        <w:pStyle w:val="Subsection"/>
      </w:pPr>
      <w:r>
        <w:tab/>
      </w:r>
      <w:r>
        <w:tab/>
        <w:t>occupies a position of authority in the relevant body corporate.</w:t>
      </w:r>
    </w:p>
    <w:p>
      <w:pPr>
        <w:pStyle w:val="Footnotesection"/>
      </w:pPr>
      <w:r>
        <w:tab/>
        <w:t>[Regulation 5B amended in Gazette 1 May 2007 p. 1865</w:t>
      </w:r>
      <w:r>
        <w:noBreakHyphen/>
        <w:t>6.]</w:t>
      </w:r>
    </w:p>
    <w:p>
      <w:pPr>
        <w:pStyle w:val="Ednotesection"/>
        <w:spacing w:before="210"/>
      </w:pPr>
      <w:bookmarkStart w:id="147" w:name="_Toc66263819"/>
      <w:bookmarkStart w:id="148" w:name="_Toc119294064"/>
      <w:bookmarkStart w:id="149" w:name="_Toc123633157"/>
      <w:bookmarkEnd w:id="134"/>
      <w:bookmarkEnd w:id="135"/>
      <w:bookmarkEnd w:id="136"/>
      <w:r>
        <w:t>[</w:t>
      </w:r>
      <w:r>
        <w:rPr>
          <w:b/>
          <w:bCs/>
        </w:rPr>
        <w:t>6.</w:t>
      </w:r>
      <w:r>
        <w:tab/>
        <w:t>Deleted in Gazette 1 May 2007 p. 1867.]</w:t>
      </w:r>
    </w:p>
    <w:p>
      <w:pPr>
        <w:pStyle w:val="Heading5"/>
        <w:spacing w:before="210"/>
        <w:rPr>
          <w:snapToGrid w:val="0"/>
        </w:rPr>
      </w:pPr>
      <w:bookmarkStart w:id="150" w:name="_Toc172713912"/>
      <w:bookmarkStart w:id="151" w:name="_Toc264018256"/>
      <w:bookmarkStart w:id="152" w:name="_Toc303323143"/>
      <w:bookmarkStart w:id="153" w:name="_Toc357698819"/>
      <w:r>
        <w:rPr>
          <w:rStyle w:val="CharSectno"/>
        </w:rPr>
        <w:t>7</w:t>
      </w:r>
      <w:r>
        <w:rPr>
          <w:snapToGrid w:val="0"/>
        </w:rPr>
        <w:t>.</w:t>
      </w:r>
      <w:r>
        <w:rPr>
          <w:snapToGrid w:val="0"/>
        </w:rPr>
        <w:tab/>
        <w:t>Approved courses</w:t>
      </w:r>
      <w:bookmarkEnd w:id="137"/>
      <w:bookmarkEnd w:id="138"/>
      <w:bookmarkEnd w:id="139"/>
      <w:bookmarkEnd w:id="140"/>
      <w:bookmarkEnd w:id="141"/>
      <w:bookmarkEnd w:id="142"/>
      <w:bookmarkEnd w:id="147"/>
      <w:bookmarkEnd w:id="148"/>
      <w:bookmarkEnd w:id="149"/>
      <w:bookmarkEnd w:id="150"/>
      <w:r>
        <w:rPr>
          <w:snapToGrid w:val="0"/>
        </w:rPr>
        <w:t xml:space="preserve"> (Act s. 6(1)(c))</w:t>
      </w:r>
      <w:bookmarkEnd w:id="151"/>
      <w:bookmarkEnd w:id="152"/>
      <w:bookmarkEnd w:id="153"/>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if it is conducted —</w:t>
      </w:r>
    </w:p>
    <w:p>
      <w:pPr>
        <w:pStyle w:val="Indenta"/>
        <w:rPr>
          <w:snapToGrid w:val="0"/>
        </w:rPr>
      </w:pPr>
      <w:r>
        <w:rPr>
          <w:snapToGrid w:val="0"/>
        </w:rPr>
        <w:tab/>
        <w:t>(a)</w:t>
      </w:r>
      <w:r>
        <w:rPr>
          <w:snapToGrid w:val="0"/>
        </w:rPr>
        <w:tab/>
        <w:t xml:space="preserve">by a </w:t>
      </w:r>
      <w:r>
        <w:t xml:space="preserve">vocational education and training </w:t>
      </w:r>
      <w:r>
        <w:rPr>
          <w:snapToGrid w:val="0"/>
        </w:rPr>
        <w:t>institution; or</w:t>
      </w:r>
    </w:p>
    <w:p>
      <w:pPr>
        <w:pStyle w:val="Indenta"/>
      </w:pPr>
      <w:r>
        <w:tab/>
        <w:t>(ba)</w:t>
      </w:r>
      <w:r>
        <w:tab/>
        <w:t>by a higher education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[Regulation 7 inserted in Gazette 16 May 1995 p. 1859; amended in Gazette 1 May 2007 p. 1867 and 1888</w:t>
      </w:r>
      <w:r>
        <w:noBreakHyphen/>
        <w:t>9; 15 Jan 2010 p. 71.]</w:t>
      </w:r>
    </w:p>
    <w:p>
      <w:pPr>
        <w:pStyle w:val="Heading5"/>
        <w:rPr>
          <w:snapToGrid w:val="0"/>
        </w:rPr>
      </w:pPr>
      <w:bookmarkStart w:id="154" w:name="_Toc460808705"/>
      <w:bookmarkStart w:id="155" w:name="_Toc519934567"/>
      <w:bookmarkStart w:id="156" w:name="_Toc534780030"/>
      <w:bookmarkStart w:id="157" w:name="_Toc3352037"/>
      <w:bookmarkStart w:id="158" w:name="_Toc3352112"/>
      <w:bookmarkStart w:id="159" w:name="_Toc22966214"/>
      <w:bookmarkStart w:id="160" w:name="_Toc66263820"/>
      <w:bookmarkStart w:id="161" w:name="_Toc119294065"/>
      <w:bookmarkStart w:id="162" w:name="_Toc123633158"/>
      <w:bookmarkStart w:id="163" w:name="_Toc172713913"/>
      <w:bookmarkStart w:id="164" w:name="_Toc264018257"/>
      <w:bookmarkStart w:id="165" w:name="_Toc303323144"/>
      <w:bookmarkStart w:id="166" w:name="_Toc357698820"/>
      <w:r>
        <w:rPr>
          <w:rStyle w:val="CharSectno"/>
        </w:rPr>
        <w:t>8</w:t>
      </w:r>
      <w:r>
        <w:rPr>
          <w:snapToGrid w:val="0"/>
        </w:rPr>
        <w:t>.</w:t>
      </w:r>
      <w:r>
        <w:rPr>
          <w:snapToGrid w:val="0"/>
        </w:rPr>
        <w:tab/>
        <w:t>Exempt</w:t>
      </w:r>
      <w:bookmarkEnd w:id="154"/>
      <w:bookmarkEnd w:id="155"/>
      <w:bookmarkEnd w:id="156"/>
      <w:bookmarkEnd w:id="157"/>
      <w:bookmarkEnd w:id="158"/>
      <w:bookmarkEnd w:id="159"/>
      <w:bookmarkEnd w:id="160"/>
      <w:bookmarkEnd w:id="161"/>
      <w:bookmarkEnd w:id="162"/>
      <w:bookmarkEnd w:id="163"/>
      <w:bookmarkEnd w:id="164"/>
      <w:bookmarkEnd w:id="165"/>
      <w:r>
        <w:rPr>
          <w:snapToGrid w:val="0"/>
        </w:rPr>
        <w:t>ion from Act, certain sales etc.</w:t>
      </w:r>
      <w:bookmarkEnd w:id="166"/>
    </w:p>
    <w:p>
      <w:pPr>
        <w:pStyle w:val="Subsection"/>
        <w:rPr>
          <w:snapToGrid w:val="0"/>
        </w:rPr>
      </w:pPr>
      <w:r>
        <w:rPr>
          <w:snapToGrid w:val="0"/>
        </w:rPr>
        <w:tab/>
        <w:t>(1)</w:t>
      </w:r>
      <w:r>
        <w:rPr>
          <w:snapToGrid w:val="0"/>
        </w:rPr>
        <w:tab/>
        <w:t>The following sales are exempted from the application of the Act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Indenta"/>
        <w:rPr>
          <w:snapToGrid w:val="0"/>
        </w:rPr>
      </w:pPr>
      <w:r>
        <w:rPr>
          <w:snapToGrid w:val="0"/>
        </w:rPr>
        <w:tab/>
        <w:t>(b)</w:t>
      </w:r>
      <w:r>
        <w:rPr>
          <w:snapToGrid w:val="0"/>
        </w:rPr>
        <w:tab/>
        <w:t xml:space="preserve">the sale of liquor on a train in the course of an interstate rail passenger service to or from </w:t>
      </w:r>
      <w:smartTag w:uri="urn:schemas-microsoft-com:office:smarttags" w:element="place">
        <w:smartTag w:uri="urn:schemas-microsoft-com:office:smarttags" w:element="City">
          <w:r>
            <w:rPr>
              <w:snapToGrid w:val="0"/>
            </w:rPr>
            <w:t>Perth</w:t>
          </w:r>
        </w:smartTag>
      </w:smartTag>
      <w:r>
        <w:rPr>
          <w:snapToGrid w:val="0"/>
        </w:rPr>
        <w:t>;</w:t>
      </w:r>
    </w:p>
    <w:p>
      <w:pPr>
        <w:pStyle w:val="Indenta"/>
        <w:rPr>
          <w:snapToGrid w:val="0"/>
        </w:rPr>
      </w:pPr>
      <w:r>
        <w:rPr>
          <w:snapToGrid w:val="0"/>
        </w:rPr>
        <w:tab/>
        <w:t>(c)</w:t>
      </w:r>
      <w:r>
        <w:rPr>
          <w:snapToGrid w:val="0"/>
        </w:rPr>
        <w:tab/>
        <w:t>the sale or supply of liquor together with flowers, a food parcel or a gift hamper to be delivered by the vendor or supplier as a gift to a person other than the purchaser, vendor or supplier, where —</w:t>
      </w:r>
    </w:p>
    <w:p>
      <w:pPr>
        <w:pStyle w:val="Indenti"/>
        <w:rPr>
          <w:snapToGrid w:val="0"/>
        </w:rPr>
      </w:pPr>
      <w:r>
        <w:rPr>
          <w:snapToGrid w:val="0"/>
        </w:rPr>
        <w:tab/>
        <w:t>(i)</w:t>
      </w:r>
      <w:r>
        <w:rPr>
          <w:snapToGrid w:val="0"/>
        </w:rPr>
        <w:tab/>
        <w:t>the quantity of liquor sold or supplied does not exceed 2 L; and</w:t>
      </w:r>
    </w:p>
    <w:p>
      <w:pPr>
        <w:pStyle w:val="Indenti"/>
        <w:rPr>
          <w:snapToGrid w:val="0"/>
        </w:rPr>
      </w:pPr>
      <w:r>
        <w:rPr>
          <w:snapToGrid w:val="0"/>
        </w:rPr>
        <w:tab/>
        <w:t>(ii)</w:t>
      </w:r>
      <w:r>
        <w:rPr>
          <w:snapToGrid w:val="0"/>
        </w:rPr>
        <w:tab/>
        <w:t>that liquor was purchased by the vendor or supplier from the holder of a hotel licence or a liquor store licence;</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Ednotepara"/>
        <w:spacing w:before="80"/>
        <w:rPr>
          <w:snapToGrid w:val="0"/>
        </w:rPr>
      </w:pPr>
      <w:r>
        <w:rPr>
          <w:snapToGrid w:val="0"/>
        </w:rPr>
        <w:tab/>
        <w:t>[(f)</w:t>
      </w:r>
      <w:r>
        <w:rPr>
          <w:snapToGrid w:val="0"/>
        </w:rPr>
        <w:tab/>
        <w:t>deleted]</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rPr>
          <w:snapToGrid w:val="0"/>
        </w:rPr>
      </w:pPr>
      <w:r>
        <w:rPr>
          <w:snapToGrid w:val="0"/>
        </w:rPr>
        <w:tab/>
        <w:t>(h)</w:t>
      </w:r>
      <w:r>
        <w:rPr>
          <w:snapToGrid w:val="0"/>
        </w:rPr>
        <w:tab/>
        <w:t>the sale or supply of liquor —</w:t>
      </w:r>
    </w:p>
    <w:p>
      <w:pPr>
        <w:pStyle w:val="Indenti"/>
        <w:rPr>
          <w:snapToGrid w:val="0"/>
        </w:rPr>
      </w:pPr>
      <w:r>
        <w:rPr>
          <w:snapToGrid w:val="0"/>
        </w:rPr>
        <w:tab/>
        <w:t>(i)</w:t>
      </w:r>
      <w:r>
        <w:rPr>
          <w:snapToGrid w:val="0"/>
        </w:rPr>
        <w:tab/>
        <w:t xml:space="preserve">by a person who conducts or manages an approved nursing home, within the meaning of the </w:t>
      </w:r>
      <w:r>
        <w:rPr>
          <w:i/>
          <w:snapToGrid w:val="0"/>
        </w:rPr>
        <w:t>Hospitals and Health Services Act 1927</w:t>
      </w:r>
      <w:r>
        <w:rPr>
          <w:snapToGrid w:val="0"/>
        </w:rPr>
        <w:t>, to a person who is a patient and resident of the nursing home; or</w:t>
      </w:r>
    </w:p>
    <w:p>
      <w:pPr>
        <w:pStyle w:val="Indenti"/>
        <w:rPr>
          <w:snapToGrid w:val="0"/>
        </w:rPr>
      </w:pPr>
      <w:r>
        <w:tab/>
        <w:t>(ia)</w:t>
      </w:r>
      <w:r>
        <w:tab/>
        <w:t xml:space="preserve">by a person who conducts or manages a hospital, within the meaning of the </w:t>
      </w:r>
      <w:r>
        <w:rPr>
          <w:i/>
        </w:rPr>
        <w:t>Hospitals and Health Services Act 1927</w:t>
      </w:r>
      <w:r>
        <w:t>, to a patient of that hospital; or</w:t>
      </w:r>
    </w:p>
    <w:p>
      <w:pPr>
        <w:pStyle w:val="Indenti"/>
        <w:rPr>
          <w:snapToGrid w:val="0"/>
        </w:rPr>
      </w:pPr>
      <w:r>
        <w:rPr>
          <w:snapToGrid w:val="0"/>
        </w:rPr>
        <w:tab/>
        <w:t>(ii)</w:t>
      </w:r>
      <w:r>
        <w:rPr>
          <w:snapToGrid w:val="0"/>
        </w:rPr>
        <w:tab/>
        <w:t xml:space="preserve">by a person who conducts or manages an approved private psychiatric hostel, within the meaning of the </w:t>
      </w:r>
      <w:r>
        <w:rPr>
          <w:i/>
          <w:snapToGrid w:val="0"/>
        </w:rPr>
        <w:t>Hospitals and Health Services Act 1927</w:t>
      </w:r>
      <w:r>
        <w:rPr>
          <w:snapToGrid w:val="0"/>
        </w:rPr>
        <w:t>, to a person who is a resident of the private psychiatric hostel; or</w:t>
      </w:r>
    </w:p>
    <w:p>
      <w:pPr>
        <w:pStyle w:val="Indenti"/>
        <w:keepNext/>
        <w:rPr>
          <w:snapToGrid w:val="0"/>
        </w:rPr>
      </w:pPr>
      <w:r>
        <w:rPr>
          <w:snapToGrid w:val="0"/>
        </w:rPr>
        <w:tab/>
        <w:t>(iii)</w:t>
      </w:r>
      <w:r>
        <w:rPr>
          <w:snapToGrid w:val="0"/>
        </w:rPr>
        <w:tab/>
        <w:t>by a person —</w:t>
      </w:r>
    </w:p>
    <w:p>
      <w:pPr>
        <w:pStyle w:val="IndentI0"/>
        <w:rPr>
          <w:snapToGrid w:val="0"/>
        </w:rPr>
      </w:pPr>
      <w:r>
        <w:rPr>
          <w:snapToGrid w:val="0"/>
        </w:rPr>
        <w:tab/>
        <w:t>(I)</w:t>
      </w:r>
      <w:r>
        <w:rPr>
          <w:snapToGrid w:val="0"/>
        </w:rPr>
        <w:tab/>
        <w:t>who operates a hostel as; or</w:t>
      </w:r>
    </w:p>
    <w:p>
      <w:pPr>
        <w:pStyle w:val="IndentI0"/>
        <w:rPr>
          <w:snapToGrid w:val="0"/>
        </w:rPr>
      </w:pPr>
      <w:r>
        <w:rPr>
          <w:snapToGrid w:val="0"/>
        </w:rPr>
        <w:tab/>
        <w:t>(II)</w:t>
      </w:r>
      <w:r>
        <w:rPr>
          <w:snapToGrid w:val="0"/>
        </w:rPr>
        <w:tab/>
        <w:t>who manages a hostel on behalf of,</w:t>
      </w:r>
    </w:p>
    <w:p>
      <w:pPr>
        <w:pStyle w:val="Indenti"/>
        <w:rPr>
          <w:snapToGrid w:val="0"/>
        </w:rPr>
      </w:pPr>
      <w:r>
        <w:rPr>
          <w:snapToGrid w:val="0"/>
        </w:rPr>
        <w:tab/>
      </w:r>
      <w:r>
        <w:rPr>
          <w:snapToGrid w:val="0"/>
        </w:rPr>
        <w:tab/>
        <w:t>an approved operator of hostels, to an aged person or disabled person who is a resident of the hostel;</w:t>
      </w:r>
    </w:p>
    <w:p>
      <w:pPr>
        <w:pStyle w:val="Indenta"/>
      </w:pPr>
      <w:r>
        <w:tab/>
        <w:t>(i)</w:t>
      </w:r>
      <w:r>
        <w:tab/>
        <w:t>the sale of liquor on an aircraft in the course of a flight of the aircraft;</w:t>
      </w:r>
    </w:p>
    <w:p>
      <w:pPr>
        <w:pStyle w:val="Indenta"/>
      </w:pPr>
      <w:r>
        <w:tab/>
        <w:t>(ja)</w:t>
      </w:r>
      <w:r>
        <w:tab/>
        <w:t>the sale or supply of liquor on a commercial vessel in the course of an inter</w:t>
      </w:r>
      <w:r>
        <w:noBreakHyphen/>
        <w:t>State voyage or overseas voyage of the vessel;</w:t>
      </w:r>
    </w:p>
    <w:p>
      <w:pPr>
        <w:pStyle w:val="Indenta"/>
        <w:keepNext/>
        <w:keepLines/>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 and</w:t>
      </w:r>
    </w:p>
    <w:p>
      <w:pPr>
        <w:pStyle w:val="Indenti"/>
      </w:pPr>
      <w:r>
        <w:tab/>
        <w:t>(ii)</w:t>
      </w:r>
      <w:r>
        <w:tab/>
        <w:t>that supply of the liquor is at the facility; and</w:t>
      </w:r>
    </w:p>
    <w:p>
      <w:pPr>
        <w:pStyle w:val="Indenti"/>
      </w:pPr>
      <w:r>
        <w:tab/>
        <w:t>(iii)</w:t>
      </w:r>
      <w:r>
        <w:tab/>
        <w:t>that supply of the liquor is gratuitous; and</w:t>
      </w:r>
    </w:p>
    <w:p>
      <w:pPr>
        <w:pStyle w:val="Indenti"/>
      </w:pPr>
      <w:r>
        <w:tab/>
        <w:t>(iv)</w:t>
      </w:r>
      <w:r>
        <w:tab/>
        <w:t>that supply of the liquor does not exceed 1.5 L in quantity, either by itself or in aggregate with any other liquor supplied gratuitously by that person to that recipient during the period for which that recipient stays at the facility; and</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Subsection"/>
        <w:spacing w:before="200"/>
      </w:pPr>
      <w:r>
        <w:tab/>
        <w:t>(1a)</w:t>
      </w:r>
      <w:r>
        <w:tab/>
        <w:t>In subregulation (1)(e) —</w:t>
      </w:r>
    </w:p>
    <w:p>
      <w:pPr>
        <w:pStyle w:val="Defstart"/>
      </w:pPr>
      <w:r>
        <w:tab/>
      </w:r>
      <w:r>
        <w:rPr>
          <w:rStyle w:val="CharDefText"/>
        </w:rPr>
        <w:t>WA territorial seas</w:t>
      </w:r>
      <w:r>
        <w:t xml:space="preserve"> means 12 nautical miles of sea off the coast of the State, measured from baselines determined in accordance with Part II Section 2 of the United Nations Convention on the Law of the Sea done at </w:t>
      </w:r>
      <w:smartTag w:uri="urn:schemas-microsoft-com:office:smarttags" w:element="place">
        <w:r>
          <w:t>Montego Bay</w:t>
        </w:r>
      </w:smartTag>
      <w:r>
        <w:t xml:space="preserve"> on 10 December 1982.</w:t>
      </w:r>
    </w:p>
    <w:p>
      <w:pPr>
        <w:pStyle w:val="Subsection"/>
        <w:rPr>
          <w:snapToGrid w:val="0"/>
        </w:rPr>
      </w:pPr>
      <w:r>
        <w:rPr>
          <w:snapToGrid w:val="0"/>
        </w:rPr>
        <w:tab/>
        <w:t>(2)</w:t>
      </w:r>
      <w:r>
        <w:rPr>
          <w:snapToGrid w:val="0"/>
        </w:rPr>
        <w:tab/>
        <w:t xml:space="preserve">In subregulation (1)(h)(iii), </w:t>
      </w:r>
      <w:r>
        <w:rPr>
          <w:rStyle w:val="CharDefText"/>
        </w:rPr>
        <w:t>aged person</w:t>
      </w:r>
      <w:r>
        <w:rPr>
          <w:snapToGrid w:val="0"/>
        </w:rPr>
        <w:t xml:space="preserve">, </w:t>
      </w:r>
      <w:r>
        <w:rPr>
          <w:rStyle w:val="CharDefText"/>
        </w:rPr>
        <w:t>approved operator</w:t>
      </w:r>
      <w:r>
        <w:rPr>
          <w:snapToGrid w:val="0"/>
        </w:rPr>
        <w:t xml:space="preserve">, </w:t>
      </w:r>
      <w:r>
        <w:rPr>
          <w:rStyle w:val="CharDefText"/>
        </w:rPr>
        <w:t>disabled person</w:t>
      </w:r>
      <w:r>
        <w:rPr>
          <w:snapToGrid w:val="0"/>
        </w:rPr>
        <w:t xml:space="preserve"> and </w:t>
      </w:r>
      <w:r>
        <w:rPr>
          <w:rStyle w:val="CharDefText"/>
        </w:rPr>
        <w:t>hostel</w:t>
      </w:r>
      <w:r>
        <w:rPr>
          <w:snapToGrid w:val="0"/>
        </w:rPr>
        <w:t xml:space="preserve"> each has the same meaning as it has in the </w:t>
      </w:r>
      <w:r>
        <w:rPr>
          <w:i/>
          <w:snapToGrid w:val="0"/>
        </w:rPr>
        <w:t>Aged or Disabled Persons Care Act 1954</w:t>
      </w:r>
      <w:r>
        <w:rPr>
          <w:snapToGrid w:val="0"/>
        </w:rPr>
        <w:t xml:space="preserve"> of the Commonwealth</w:t>
      </w:r>
      <w:r>
        <w:rPr>
          <w:snapToGrid w:val="0"/>
          <w:vertAlign w:val="superscript"/>
        </w:rPr>
        <w:t> 4</w:t>
      </w:r>
      <w:r>
        <w:rPr>
          <w:snapToGrid w:val="0"/>
        </w:rPr>
        <w:t>.</w:t>
      </w:r>
    </w:p>
    <w:p>
      <w:pPr>
        <w:pStyle w:val="Subsection"/>
      </w:pPr>
      <w:r>
        <w:tab/>
        <w:t>(3)</w:t>
      </w:r>
      <w:r>
        <w:tab/>
        <w:t xml:space="preserve">In subregulation (1)(ja) — </w:t>
      </w:r>
    </w:p>
    <w:p>
      <w:pPr>
        <w:pStyle w:val="Defstart"/>
      </w:pPr>
      <w:r>
        <w:tab/>
      </w:r>
      <w:r>
        <w:rPr>
          <w:rStyle w:val="CharDefText"/>
        </w:rPr>
        <w:t>commercial vessel</w:t>
      </w:r>
      <w:r>
        <w:t xml:space="preserve"> has the meaning given in the </w:t>
      </w:r>
      <w:r>
        <w:rPr>
          <w:i/>
        </w:rPr>
        <w:t>Western Australian Marine Act 1982</w:t>
      </w:r>
      <w:r>
        <w:t xml:space="preserve"> section 3(1);</w:t>
      </w:r>
    </w:p>
    <w:p>
      <w:pPr>
        <w:pStyle w:val="Defstart"/>
      </w:pPr>
      <w:r>
        <w:tab/>
      </w:r>
      <w:r>
        <w:rPr>
          <w:rStyle w:val="CharDefText"/>
        </w:rPr>
        <w:t>inter</w:t>
      </w:r>
      <w:r>
        <w:rPr>
          <w:rStyle w:val="CharDefText"/>
        </w:rPr>
        <w:noBreakHyphen/>
        <w:t>State voyage</w:t>
      </w:r>
      <w:r>
        <w:t xml:space="preserve"> and</w:t>
      </w:r>
      <w:r>
        <w:rPr>
          <w:rStyle w:val="CharDefText"/>
          <w:b w:val="0"/>
          <w:i w:val="0"/>
        </w:rPr>
        <w:t xml:space="preserve"> </w:t>
      </w:r>
      <w:r>
        <w:rPr>
          <w:rStyle w:val="CharDefText"/>
        </w:rPr>
        <w:t>overseas voyage</w:t>
      </w:r>
      <w:r>
        <w:rPr>
          <w:rStyle w:val="CharDefText"/>
          <w:b w:val="0"/>
          <w:i w:val="0"/>
        </w:rPr>
        <w:t xml:space="preserve"> </w:t>
      </w:r>
      <w:r>
        <w:t xml:space="preserve">have the meanings given in the </w:t>
      </w:r>
      <w:r>
        <w:rPr>
          <w:i/>
        </w:rPr>
        <w:t>Navigation Act 1912</w:t>
      </w:r>
      <w:r>
        <w:t xml:space="preserve"> section 6 (Commonwealth).</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4; 1 May 2007 p. 1867</w:t>
      </w:r>
      <w:r>
        <w:noBreakHyphen/>
        <w:t>8; 15 Jul 2011 p. 2955.]</w:t>
      </w:r>
    </w:p>
    <w:p>
      <w:pPr>
        <w:pStyle w:val="Heading5"/>
      </w:pPr>
      <w:bookmarkStart w:id="167" w:name="_Toc303323145"/>
      <w:bookmarkStart w:id="168" w:name="_Toc357698821"/>
      <w:bookmarkStart w:id="169" w:name="_Toc460808706"/>
      <w:bookmarkStart w:id="170" w:name="_Toc519934568"/>
      <w:bookmarkStart w:id="171" w:name="_Toc534780031"/>
      <w:bookmarkStart w:id="172" w:name="_Toc3352038"/>
      <w:bookmarkStart w:id="173" w:name="_Toc3352113"/>
      <w:bookmarkStart w:id="174" w:name="_Toc22966215"/>
      <w:bookmarkStart w:id="175" w:name="_Toc66263821"/>
      <w:bookmarkStart w:id="176" w:name="_Toc119294066"/>
      <w:bookmarkStart w:id="177" w:name="_Toc123633159"/>
      <w:bookmarkStart w:id="178" w:name="_Toc172713914"/>
      <w:bookmarkStart w:id="179" w:name="_Toc264018258"/>
      <w:r>
        <w:rPr>
          <w:rStyle w:val="CharSectno"/>
        </w:rPr>
        <w:t>8A</w:t>
      </w:r>
      <w:r>
        <w:t>.</w:t>
      </w:r>
      <w:r>
        <w:tab/>
        <w:t>Exemption from Act, consumption at live entertainment venues</w:t>
      </w:r>
      <w:bookmarkEnd w:id="167"/>
      <w:bookmarkEnd w:id="168"/>
    </w:p>
    <w:p>
      <w:pPr>
        <w:pStyle w:val="Subsection"/>
      </w:pPr>
      <w:r>
        <w:tab/>
        <w:t>(1)</w:t>
      </w:r>
      <w:r>
        <w:tab/>
        <w:t xml:space="preserve">In this regulation — </w:t>
      </w:r>
    </w:p>
    <w:p>
      <w:pPr>
        <w:pStyle w:val="Defstart"/>
      </w:pPr>
      <w:r>
        <w:tab/>
      </w:r>
      <w:r>
        <w:rPr>
          <w:rStyle w:val="CharDefText"/>
        </w:rPr>
        <w:t>entertainment</w:t>
      </w:r>
      <w:r>
        <w:t xml:space="preserve"> — </w:t>
      </w:r>
    </w:p>
    <w:p>
      <w:pPr>
        <w:pStyle w:val="Defpara"/>
      </w:pPr>
      <w:r>
        <w:tab/>
        <w:t>(a)</w:t>
      </w:r>
      <w:r>
        <w:tab/>
        <w:t>means musical, theatrical, dance or comic entertainment; but</w:t>
      </w:r>
    </w:p>
    <w:p>
      <w:pPr>
        <w:pStyle w:val="Defpara"/>
      </w:pPr>
      <w:r>
        <w:tab/>
        <w:t>(b)</w:t>
      </w:r>
      <w:r>
        <w:tab/>
        <w:t>does not include a sporting contest;</w:t>
      </w:r>
    </w:p>
    <w:p>
      <w:pPr>
        <w:pStyle w:val="Defstart"/>
        <w:keepNext/>
      </w:pPr>
      <w:r>
        <w:tab/>
      </w:r>
      <w:r>
        <w:rPr>
          <w:rStyle w:val="CharDefText"/>
        </w:rPr>
        <w:t>live entertainment</w:t>
      </w:r>
      <w:r>
        <w:t xml:space="preserve"> — </w:t>
      </w:r>
    </w:p>
    <w:p>
      <w:pPr>
        <w:pStyle w:val="Defpara"/>
      </w:pPr>
      <w:r>
        <w:tab/>
        <w:t>(a)</w:t>
      </w:r>
      <w:r>
        <w:tab/>
        <w:t>means continuous entertainment provided by one or more persons present in person; but</w:t>
      </w:r>
    </w:p>
    <w:p>
      <w:pPr>
        <w:pStyle w:val="Defpara"/>
      </w:pPr>
      <w:r>
        <w:tab/>
        <w:t>(b)</w:t>
      </w:r>
      <w:r>
        <w:tab/>
        <w:t xml:space="preserve">does not include any of the following — </w:t>
      </w:r>
    </w:p>
    <w:p>
      <w:pPr>
        <w:pStyle w:val="Defsubpara"/>
        <w:keepLines w:val="0"/>
      </w:pPr>
      <w:r>
        <w:tab/>
        <w:t>(i)</w:t>
      </w:r>
      <w:r>
        <w:tab/>
        <w:t>entertainment provided by way of recorded music (including music videos), whether or not by a disk jockey, unless merely incidental to the continuous entertainment to which paragraph (a) applies;</w:t>
      </w:r>
    </w:p>
    <w:p>
      <w:pPr>
        <w:pStyle w:val="Defsubpara"/>
        <w:keepLines w:val="0"/>
      </w:pPr>
      <w:r>
        <w:tab/>
        <w:t>(ii)</w:t>
      </w:r>
      <w:r>
        <w:tab/>
        <w:t>the presentation, visually or acoustically (or both), of entertainment taking place at another venue, where what is presented is received from a broadcast or any other transmission (including Internet streaming) in real time or with a delay;</w:t>
      </w:r>
    </w:p>
    <w:p>
      <w:pPr>
        <w:pStyle w:val="Defstart"/>
      </w:pPr>
      <w:r>
        <w:tab/>
      </w:r>
      <w:r>
        <w:rPr>
          <w:rStyle w:val="CharDefText"/>
        </w:rPr>
        <w:t>negative determination</w:t>
      </w:r>
      <w:r>
        <w:t xml:space="preserve">, in relation to a person, means — </w:t>
      </w:r>
    </w:p>
    <w:p>
      <w:pPr>
        <w:pStyle w:val="Defpara"/>
      </w:pPr>
      <w:r>
        <w:tab/>
        <w:t>(a)</w:t>
      </w:r>
      <w:r>
        <w:tab/>
        <w:t xml:space="preserve">a refusal of an application under the Act for the grant of a licence, or for approval to the transfer of a licence, if the ground, or one of the grounds, for the refusal of the application was that the person — </w:t>
      </w:r>
    </w:p>
    <w:p>
      <w:pPr>
        <w:pStyle w:val="Defsubpara"/>
      </w:pPr>
      <w:r>
        <w:tab/>
        <w:t>(i)</w:t>
      </w:r>
      <w:r>
        <w:tab/>
        <w:t>was not a fit and proper person to be a licensee of the premises to which the application related; or</w:t>
      </w:r>
    </w:p>
    <w:p>
      <w:pPr>
        <w:pStyle w:val="Defsubpara"/>
      </w:pPr>
      <w:r>
        <w:tab/>
        <w:t>(ii)</w:t>
      </w:r>
      <w:r>
        <w:tab/>
        <w:t>was not a fit and proper person to occupy a position of authority in a body corporate that is a licensee of the premises to which the application related; or</w:t>
      </w:r>
    </w:p>
    <w:p>
      <w:pPr>
        <w:pStyle w:val="Defsubpara"/>
      </w:pPr>
      <w:r>
        <w:tab/>
        <w:t>(iii)</w:t>
      </w:r>
      <w:r>
        <w:tab/>
        <w:t>was not a fit and proper person to be directly or indirectly interested in the application or in the business, or the profits or proceeds of the business, to be carried on under the licence;</w:t>
      </w:r>
    </w:p>
    <w:p>
      <w:pPr>
        <w:pStyle w:val="Defpara"/>
      </w:pPr>
      <w:r>
        <w:tab/>
      </w:r>
      <w:r>
        <w:tab/>
        <w:t>or</w:t>
      </w:r>
    </w:p>
    <w:p>
      <w:pPr>
        <w:pStyle w:val="Defpara"/>
      </w:pPr>
      <w:r>
        <w:tab/>
        <w:t>(b)</w:t>
      </w:r>
      <w:r>
        <w:tab/>
        <w:t>a refusal of an application under the Act for the approval of a person to occupy a position of authority in a body corporate that holds a licence, if the ground, or one of the grounds, for the refusal of the application was that the person was not a fit and proper person to occupy that position in the body corporate; or</w:t>
      </w:r>
    </w:p>
    <w:p>
      <w:pPr>
        <w:pStyle w:val="Defpara"/>
      </w:pPr>
      <w:r>
        <w:tab/>
        <w:t>(c)</w:t>
      </w:r>
      <w:r>
        <w:tab/>
        <w:t>a refusal of an application under the Act for the approval of the person as a trustee to hold a licence, if the ground, or one of the grounds, for the refusal of the application was that the person was not a fit and proper person for the position; or</w:t>
      </w:r>
    </w:p>
    <w:p>
      <w:pPr>
        <w:pStyle w:val="Defpara"/>
      </w:pPr>
      <w:r>
        <w:tab/>
        <w:t>(d)</w:t>
      </w:r>
      <w:r>
        <w:tab/>
        <w:t xml:space="preserve">a refusal of an application under the Act for the approval of the person as an approved unrestricted manager or an approved restricted manager or (in the case of an application made before the day on which the </w:t>
      </w:r>
      <w:r>
        <w:rPr>
          <w:i/>
        </w:rPr>
        <w:t>Liquor Control Amendment Act 2010</w:t>
      </w:r>
      <w:r>
        <w:rPr>
          <w:vertAlign w:val="superscript"/>
        </w:rPr>
        <w:t> 1</w:t>
      </w:r>
      <w:r>
        <w:t xml:space="preserve"> Part 2 came into operation) as a manager of licensed premises, if the ground, or one of the grounds, for the refusal of the application was that the person was not a fit and proper person to be a manager of licensed premises; or</w:t>
      </w:r>
    </w:p>
    <w:p>
      <w:pPr>
        <w:pStyle w:val="Defpara"/>
      </w:pPr>
      <w:r>
        <w:tab/>
        <w:t>(e)</w:t>
      </w:r>
      <w:r>
        <w:tab/>
        <w:t>a refusal of an application under section 86 for the approval of the person to carry on the business of a licensee, if the ground, or one of the grounds, for the refusal of the application was that the person was not a fit and proper person to carry on the business of a licensee; or</w:t>
      </w:r>
    </w:p>
    <w:p>
      <w:pPr>
        <w:pStyle w:val="Defpara"/>
      </w:pPr>
      <w:r>
        <w:tab/>
        <w:t>(f)</w:t>
      </w:r>
      <w:r>
        <w:tab/>
        <w:t>a refusal of an application under section 87 for the grant of a protection order, if the ground, or one of the grounds, for the refusal of the application was that the person was not a fit and proper person to carry on the business of a licensee; or</w:t>
      </w:r>
    </w:p>
    <w:p>
      <w:pPr>
        <w:pStyle w:val="Defpara"/>
      </w:pPr>
      <w:r>
        <w:tab/>
        <w:t>(g)</w:t>
      </w:r>
      <w:r>
        <w:tab/>
        <w:t>a refusal of an application under section 104 for the approval of an agreement or arrangement, if the ground, or one of the grounds, for the refusal of the application was that the person was not a fit and proper person to act as an unlicensed agent; or</w:t>
      </w:r>
    </w:p>
    <w:p>
      <w:pPr>
        <w:pStyle w:val="Defpara"/>
        <w:keepLines/>
      </w:pPr>
      <w:r>
        <w:tab/>
        <w:t>(h)</w:t>
      </w:r>
      <w:r>
        <w:tab/>
        <w:t>a refusal of an application under section 119A for approval to conduct a non</w:t>
      </w:r>
      <w:r>
        <w:noBreakHyphen/>
        <w:t>liquor business on licensed premises, if the ground, or one of the grounds, for the refusal of the application was that the person was not a fit and proper person to conduct the non</w:t>
      </w:r>
      <w:r>
        <w:noBreakHyphen/>
        <w:t>liquor business on the premises;</w:t>
      </w:r>
    </w:p>
    <w:p>
      <w:pPr>
        <w:pStyle w:val="Defstart"/>
      </w:pPr>
      <w:r>
        <w:tab/>
      </w:r>
      <w:r>
        <w:rPr>
          <w:rStyle w:val="CharDefText"/>
        </w:rPr>
        <w:t>responsible adult</w:t>
      </w:r>
      <w:r>
        <w:t xml:space="preserve"> has the meaning given in section 125(2)(b);</w:t>
      </w:r>
    </w:p>
    <w:p>
      <w:pPr>
        <w:pStyle w:val="Defstart"/>
        <w:keepNext/>
      </w:pPr>
      <w:r>
        <w:tab/>
      </w:r>
      <w:r>
        <w:rPr>
          <w:rStyle w:val="CharDefText"/>
        </w:rPr>
        <w:t>restricted material</w:t>
      </w:r>
      <w:r>
        <w:t xml:space="preserve"> means — </w:t>
      </w:r>
    </w:p>
    <w:p>
      <w:pPr>
        <w:pStyle w:val="Defpara"/>
        <w:spacing w:before="70"/>
      </w:pPr>
      <w:r>
        <w:tab/>
        <w:t>(a)</w:t>
      </w:r>
      <w:r>
        <w:tab/>
        <w:t xml:space="preserve">a publication, within the meaning of the </w:t>
      </w:r>
      <w:r>
        <w:rPr>
          <w:i/>
        </w:rPr>
        <w:t>Classification (Publications, Films and Computer Games) Act 1995</w:t>
      </w:r>
      <w:r>
        <w:t xml:space="preserve"> (Commonwealth), that has been classified or reclassified </w:t>
      </w:r>
      <w:r>
        <w:rPr>
          <w:szCs w:val="24"/>
        </w:rPr>
        <w:t>RC (refused classification), Category 1 restricted or Category 2 restricted under that Act; or</w:t>
      </w:r>
    </w:p>
    <w:p>
      <w:pPr>
        <w:pStyle w:val="Defpara"/>
        <w:spacing w:before="70"/>
      </w:pPr>
      <w:r>
        <w:tab/>
        <w:t>(b)</w:t>
      </w:r>
      <w:r>
        <w:tab/>
        <w:t>a film, within the meaning of that Act, that has been classified or reclassified RC (refused classification), X 18+ or R 18+ under that Act; or</w:t>
      </w:r>
    </w:p>
    <w:p>
      <w:pPr>
        <w:pStyle w:val="Defpara"/>
        <w:spacing w:before="70"/>
      </w:pPr>
      <w:r>
        <w:tab/>
        <w:t>(c)</w:t>
      </w:r>
      <w:r>
        <w:tab/>
        <w:t>a computer game, within the meaning of that Act, that has been classified or reclassified RC (refused classification) under that Act.</w:t>
      </w:r>
    </w:p>
    <w:p>
      <w:pPr>
        <w:pStyle w:val="Subsection"/>
      </w:pPr>
      <w:r>
        <w:tab/>
        <w:t>(2)</w:t>
      </w:r>
      <w:r>
        <w:tab/>
        <w:t>For the purpose of determining whether or not entertainment is continuous, no account is to be taken of reasonable intervals between acts, or between the performances of persons, as long as substantial compliance with the requirement for continuity is observed.</w:t>
      </w:r>
    </w:p>
    <w:p>
      <w:pPr>
        <w:pStyle w:val="Subsection"/>
      </w:pPr>
      <w:r>
        <w:tab/>
        <w:t>(3)</w:t>
      </w:r>
      <w:r>
        <w:tab/>
        <w:t xml:space="preserve">For the purposes of subregulation (4)(e)(i), a person has a </w:t>
      </w:r>
      <w:r>
        <w:rPr>
          <w:rStyle w:val="CharDefText"/>
        </w:rPr>
        <w:t>current negative determination</w:t>
      </w:r>
      <w:r>
        <w:t xml:space="preserve"> if a negative determination has at any time been made in relation to that person, unless since that negative determination was made — </w:t>
      </w:r>
    </w:p>
    <w:p>
      <w:pPr>
        <w:pStyle w:val="Indenta"/>
        <w:spacing w:before="70"/>
      </w:pPr>
      <w:r>
        <w:tab/>
        <w:t>(a)</w:t>
      </w:r>
      <w:r>
        <w:tab/>
        <w:t xml:space="preserve">an application of any of the kinds mentioned in the definition of </w:t>
      </w:r>
      <w:r>
        <w:rPr>
          <w:b/>
          <w:i/>
        </w:rPr>
        <w:t>negative determination</w:t>
      </w:r>
      <w:r>
        <w:t xml:space="preserve"> in subregulation (1) has been made to the licensing authority; and</w:t>
      </w:r>
    </w:p>
    <w:p>
      <w:pPr>
        <w:pStyle w:val="Indenta"/>
        <w:keepLines/>
        <w:spacing w:before="70"/>
      </w:pPr>
      <w:r>
        <w:tab/>
        <w:t>(b)</w:t>
      </w:r>
      <w:r>
        <w:tab/>
        <w:t>the determination of the application required the licensing authority to determine whether or not the person was a fit and proper person in relation to a matter relevant to the application; and</w:t>
      </w:r>
    </w:p>
    <w:p>
      <w:pPr>
        <w:pStyle w:val="Indenta"/>
        <w:spacing w:before="70"/>
      </w:pPr>
      <w:r>
        <w:tab/>
        <w:t>(c)</w:t>
      </w:r>
      <w:r>
        <w:tab/>
        <w:t>the application was granted.</w:t>
      </w:r>
    </w:p>
    <w:p>
      <w:pPr>
        <w:pStyle w:val="Subsection"/>
      </w:pPr>
      <w:r>
        <w:tab/>
        <w:t>(4)</w:t>
      </w:r>
      <w:r>
        <w:tab/>
        <w:t xml:space="preserve">The consumption of liquor by a person who is at least 18 years of age is exempted from the application of the Act if — </w:t>
      </w:r>
    </w:p>
    <w:p>
      <w:pPr>
        <w:pStyle w:val="Indenta"/>
      </w:pPr>
      <w:r>
        <w:tab/>
        <w:t>(a)</w:t>
      </w:r>
      <w:r>
        <w:tab/>
        <w:t>the liquor is consumed on premises while live entertainment is being provided on the premises; and</w:t>
      </w:r>
    </w:p>
    <w:p>
      <w:pPr>
        <w:pStyle w:val="Indenta"/>
        <w:spacing w:before="100"/>
      </w:pPr>
      <w:r>
        <w:tab/>
        <w:t>(b)</w:t>
      </w:r>
      <w:r>
        <w:tab/>
        <w:t>the primary purpose of the premises is to facilitate the provision of live entertainment; and</w:t>
      </w:r>
    </w:p>
    <w:p>
      <w:pPr>
        <w:pStyle w:val="Indenta"/>
        <w:spacing w:before="100"/>
      </w:pPr>
      <w:r>
        <w:tab/>
        <w:t>(c)</w:t>
      </w:r>
      <w:r>
        <w:tab/>
        <w:t>the consumption of liquor on the premises is ancillary to the live entertainment being provided; and</w:t>
      </w:r>
    </w:p>
    <w:p>
      <w:pPr>
        <w:pStyle w:val="Indenta"/>
        <w:spacing w:before="100"/>
      </w:pPr>
      <w:r>
        <w:tab/>
        <w:t>(d)</w:t>
      </w:r>
      <w:r>
        <w:tab/>
        <w:t>the person in charge of the premises notifies the Director, in the form and manner approved by the Director and at least 14 days before that person first intends to rely on the exemption conferred by this regulation to permit the consumption of liquor on the premises, that liquor is to be consumed on the premises in reliance on the exemption conferred by this regulation; and</w:t>
      </w:r>
    </w:p>
    <w:p>
      <w:pPr>
        <w:pStyle w:val="Indenta"/>
        <w:spacing w:before="100"/>
      </w:pPr>
      <w:r>
        <w:tab/>
        <w:t>(e)</w:t>
      </w:r>
      <w:r>
        <w:tab/>
        <w:t xml:space="preserve">neither the person in charge of the premises, nor any person who is an employee, contractor or agent of that person and is providing services on the premises — </w:t>
      </w:r>
    </w:p>
    <w:p>
      <w:pPr>
        <w:pStyle w:val="Indenti"/>
        <w:spacing w:before="100"/>
      </w:pPr>
      <w:r>
        <w:tab/>
        <w:t>(i)</w:t>
      </w:r>
      <w:r>
        <w:tab/>
        <w:t>has a current negative determination; or</w:t>
      </w:r>
    </w:p>
    <w:p>
      <w:pPr>
        <w:pStyle w:val="Indenti"/>
        <w:spacing w:before="100"/>
      </w:pPr>
      <w:r>
        <w:tab/>
        <w:t>(ii)</w:t>
      </w:r>
      <w:r>
        <w:tab/>
        <w:t>is the holder of a licence or protection order the operation of which is suspended under section 96(1)(d) or (4); or</w:t>
      </w:r>
    </w:p>
    <w:p>
      <w:pPr>
        <w:pStyle w:val="Indenti"/>
        <w:spacing w:before="100"/>
      </w:pPr>
      <w:r>
        <w:tab/>
        <w:t>(iii)</w:t>
      </w:r>
      <w:r>
        <w:tab/>
        <w:t>has had a licence or protection order held by the person cancelled under section 96(1)(e) or (4), unless since that cancellation the person has been granted a licence or protection order; or</w:t>
      </w:r>
    </w:p>
    <w:p>
      <w:pPr>
        <w:pStyle w:val="Indenti"/>
        <w:keepNext/>
        <w:spacing w:before="100"/>
      </w:pPr>
      <w:r>
        <w:tab/>
        <w:t>(iv)</w:t>
      </w:r>
      <w:r>
        <w:tab/>
        <w:t>is disqualified under section 96(1)(f) from holding a licence; or</w:t>
      </w:r>
    </w:p>
    <w:p>
      <w:pPr>
        <w:pStyle w:val="Indenti"/>
        <w:spacing w:before="100"/>
      </w:pPr>
      <w:r>
        <w:tab/>
        <w:t>(v)</w:t>
      </w:r>
      <w:r>
        <w:tab/>
        <w:t>is disqualified under section 96(1)(g)(i) from being the holder of a position of authority in a body corporate that holds a licence; or</w:t>
      </w:r>
    </w:p>
    <w:p>
      <w:pPr>
        <w:pStyle w:val="Indenti"/>
        <w:spacing w:before="100"/>
      </w:pPr>
      <w:r>
        <w:tab/>
        <w:t>(vi)</w:t>
      </w:r>
      <w:r>
        <w:tab/>
        <w:t>is disqualified under section 96(1)(g)(ii) from being interested in, or in the profits or proceeds of, a business carried on under a licence; or</w:t>
      </w:r>
    </w:p>
    <w:p>
      <w:pPr>
        <w:pStyle w:val="Indenti"/>
        <w:spacing w:before="100"/>
      </w:pPr>
      <w:r>
        <w:tab/>
        <w:t>(vii)</w:t>
      </w:r>
      <w:r>
        <w:tab/>
        <w:t xml:space="preserve">has had the approval of the person as a manager revoked under section 102F(2)(a) or withdrawn (other than for a specified period) under the former section 35B (as in force immediately before its repeal by the </w:t>
      </w:r>
      <w:r>
        <w:rPr>
          <w:i/>
        </w:rPr>
        <w:t>Liquor Control Amendment Act 2010</w:t>
      </w:r>
      <w:r>
        <w:t xml:space="preserve"> section 8), unless since that revocation or withdrawal the person has been approved as a manager; or</w:t>
      </w:r>
    </w:p>
    <w:p>
      <w:pPr>
        <w:pStyle w:val="Indenti"/>
        <w:spacing w:before="100"/>
      </w:pPr>
      <w:r>
        <w:tab/>
        <w:t>(viii)</w:t>
      </w:r>
      <w:r>
        <w:tab/>
        <w:t>is an approved manager whose approval is suspended under section 102F(2)(b); or</w:t>
      </w:r>
    </w:p>
    <w:p>
      <w:pPr>
        <w:pStyle w:val="Indenti"/>
        <w:spacing w:before="100"/>
      </w:pPr>
      <w:r>
        <w:tab/>
        <w:t>(ix)</w:t>
      </w:r>
      <w:r>
        <w:tab/>
        <w:t>is the subject of a prohibition order made under section 152E;</w:t>
      </w:r>
    </w:p>
    <w:p>
      <w:pPr>
        <w:pStyle w:val="Indenta"/>
        <w:spacing w:before="100"/>
      </w:pPr>
      <w:r>
        <w:tab/>
      </w:r>
      <w:r>
        <w:tab/>
        <w:t>and</w:t>
      </w:r>
    </w:p>
    <w:p>
      <w:pPr>
        <w:pStyle w:val="Indenta"/>
        <w:spacing w:before="100"/>
      </w:pPr>
      <w:r>
        <w:tab/>
        <w:t>(f)</w:t>
      </w:r>
      <w:r>
        <w:tab/>
        <w:t>there are no more than 200 patrons on the premises at any one time; and</w:t>
      </w:r>
    </w:p>
    <w:p>
      <w:pPr>
        <w:pStyle w:val="Indenta"/>
        <w:spacing w:before="100"/>
      </w:pPr>
      <w:r>
        <w:tab/>
        <w:t>(g)</w:t>
      </w:r>
      <w:r>
        <w:tab/>
        <w:t>the person in charge of the premises is not a juvenile; and</w:t>
      </w:r>
    </w:p>
    <w:p>
      <w:pPr>
        <w:pStyle w:val="Indenta"/>
        <w:spacing w:before="100"/>
      </w:pPr>
      <w:r>
        <w:tab/>
        <w:t>(h)</w:t>
      </w:r>
      <w:r>
        <w:tab/>
        <w:t>juveniles (other than juveniles mentioned in subregulation (5)) are not allowed to enter or remain on the premises unless accompanied by, and under the supervision of, a responsible adult; and</w:t>
      </w:r>
    </w:p>
    <w:p>
      <w:pPr>
        <w:pStyle w:val="Indenta"/>
        <w:spacing w:before="100"/>
      </w:pPr>
      <w:r>
        <w:tab/>
        <w:t>(i)</w:t>
      </w:r>
      <w:r>
        <w:tab/>
        <w:t>water suitable for drinking is provided, free of charge, at all times when liquor is being consumed on the premises; and</w:t>
      </w:r>
    </w:p>
    <w:p>
      <w:pPr>
        <w:pStyle w:val="Indenta"/>
        <w:keepNext/>
        <w:spacing w:before="100"/>
      </w:pPr>
      <w:r>
        <w:tab/>
        <w:t>(j)</w:t>
      </w:r>
      <w:r>
        <w:tab/>
        <w:t>a drunk person is not allowed to consume liquor on the premises; and</w:t>
      </w:r>
    </w:p>
    <w:p>
      <w:pPr>
        <w:pStyle w:val="Indenta"/>
        <w:spacing w:before="100"/>
      </w:pPr>
      <w:r>
        <w:tab/>
        <w:t>(k)</w:t>
      </w:r>
      <w:r>
        <w:tab/>
        <w:t xml:space="preserve">neither the person in charge of the premises, nor any person who is an employee, contractor or agent of that person and is providing services on the premises, nor any person who is providing live entertainment on the premises — </w:t>
      </w:r>
    </w:p>
    <w:p>
      <w:pPr>
        <w:pStyle w:val="Indenti"/>
        <w:spacing w:before="100"/>
      </w:pPr>
      <w:r>
        <w:tab/>
        <w:t>(i)</w:t>
      </w:r>
      <w:r>
        <w:tab/>
        <w:t>is indecently dressed on the premises; or</w:t>
      </w:r>
    </w:p>
    <w:p>
      <w:pPr>
        <w:pStyle w:val="Indenti"/>
        <w:spacing w:before="100"/>
      </w:pPr>
      <w:r>
        <w:tab/>
        <w:t>(ii)</w:t>
      </w:r>
      <w:r>
        <w:tab/>
        <w:t>allows any other person to be indecently dressed on the premises; or</w:t>
      </w:r>
    </w:p>
    <w:p>
      <w:pPr>
        <w:pStyle w:val="Indenti"/>
        <w:keepNext/>
      </w:pPr>
      <w:r>
        <w:tab/>
        <w:t>(iii)</w:t>
      </w:r>
      <w:r>
        <w:tab/>
        <w:t>takes part in, or allows any other person to take part in, any activity on the premises in an indecent manner; or</w:t>
      </w:r>
    </w:p>
    <w:p>
      <w:pPr>
        <w:pStyle w:val="Indenti"/>
      </w:pPr>
      <w:r>
        <w:tab/>
        <w:t>(iv)</w:t>
      </w:r>
      <w:r>
        <w:tab/>
        <w:t>shows or allows to be shown on the premises any restricted material or any extract from restricted material.</w:t>
      </w:r>
    </w:p>
    <w:p>
      <w:pPr>
        <w:pStyle w:val="Subsection"/>
      </w:pPr>
      <w:r>
        <w:tab/>
        <w:t>(5)</w:t>
      </w:r>
      <w:r>
        <w:tab/>
        <w:t xml:space="preserve">The juveniles to which subregulation (4)(h) does not apply are as follows — </w:t>
      </w:r>
    </w:p>
    <w:p>
      <w:pPr>
        <w:pStyle w:val="Indenta"/>
      </w:pPr>
      <w:r>
        <w:tab/>
        <w:t>(a)</w:t>
      </w:r>
      <w:r>
        <w:tab/>
        <w:t>a juvenile who is providing services on the premises (such as serving food or providing security);</w:t>
      </w:r>
    </w:p>
    <w:p>
      <w:pPr>
        <w:pStyle w:val="Indenta"/>
      </w:pPr>
      <w:r>
        <w:tab/>
        <w:t>(b)</w:t>
      </w:r>
      <w:r>
        <w:tab/>
        <w:t>a juvenile who is providing live entertainment on the premises, or assisting a person who is providing such entertainment.</w:t>
      </w:r>
    </w:p>
    <w:p>
      <w:pPr>
        <w:pStyle w:val="Footnotesection"/>
      </w:pPr>
      <w:r>
        <w:tab/>
        <w:t>[Regulation 8A inserted in Gazette 15 Jul 2011 p. 2956</w:t>
      </w:r>
      <w:r>
        <w:noBreakHyphen/>
        <w:t>60.]</w:t>
      </w:r>
    </w:p>
    <w:p>
      <w:pPr>
        <w:pStyle w:val="Heading5"/>
      </w:pPr>
      <w:bookmarkStart w:id="180" w:name="_Toc303323146"/>
      <w:bookmarkStart w:id="181" w:name="_Toc357698822"/>
      <w:r>
        <w:rPr>
          <w:rStyle w:val="CharSectno"/>
        </w:rPr>
        <w:t>8B</w:t>
      </w:r>
      <w:r>
        <w:t>.</w:t>
      </w:r>
      <w:r>
        <w:tab/>
        <w:t xml:space="preserve">Exemption from Act, </w:t>
      </w:r>
      <w:bookmarkEnd w:id="180"/>
      <w:r>
        <w:t>sales etc. at certain functions</w:t>
      </w:r>
      <w:bookmarkEnd w:id="181"/>
    </w:p>
    <w:p>
      <w:pPr>
        <w:pStyle w:val="Subsection"/>
      </w:pPr>
      <w:r>
        <w:tab/>
        <w:t>(1)</w:t>
      </w:r>
      <w:r>
        <w:tab/>
        <w:t xml:space="preserve">The sale or supply of liquor to a person who is at least 18 years of age is exempted from the application of the Act if — </w:t>
      </w:r>
    </w:p>
    <w:p>
      <w:pPr>
        <w:pStyle w:val="Indenta"/>
      </w:pPr>
      <w:r>
        <w:tab/>
        <w:t>(a)</w:t>
      </w:r>
      <w:r>
        <w:tab/>
        <w:t>the liquor is supplied at a function; and</w:t>
      </w:r>
    </w:p>
    <w:p>
      <w:pPr>
        <w:pStyle w:val="Indenta"/>
      </w:pPr>
      <w:r>
        <w:tab/>
        <w:t>(b)</w:t>
      </w:r>
      <w:r>
        <w:tab/>
        <w:t>the supply of liquor at the function is ancillary to the function; and</w:t>
      </w:r>
    </w:p>
    <w:p>
      <w:pPr>
        <w:pStyle w:val="Indenta"/>
        <w:keepNext/>
      </w:pPr>
      <w:r>
        <w:tab/>
        <w:t>(c)</w:t>
      </w:r>
      <w:r>
        <w:tab/>
        <w:t>the function starts not earlier than 6 a.m. on any day, and finishes not later than 10 p.m. on the same day; and</w:t>
      </w:r>
    </w:p>
    <w:p>
      <w:pPr>
        <w:pStyle w:val="Indenta"/>
        <w:keepNext/>
      </w:pPr>
      <w:r>
        <w:tab/>
        <w:t>(d)</w:t>
      </w:r>
      <w:r>
        <w:tab/>
        <w:t xml:space="preserve">either — </w:t>
      </w:r>
    </w:p>
    <w:p>
      <w:pPr>
        <w:pStyle w:val="Indenti"/>
      </w:pPr>
      <w:r>
        <w:tab/>
        <w:t>(i)</w:t>
      </w:r>
      <w:r>
        <w:tab/>
        <w:t>the total number of attendees over the course of the function does not exceed 100, and liquor is served during one continuous period not exceeding 2 hours; or</w:t>
      </w:r>
    </w:p>
    <w:p>
      <w:pPr>
        <w:pStyle w:val="Indenti"/>
      </w:pPr>
      <w:r>
        <w:tab/>
        <w:t>(ii)</w:t>
      </w:r>
      <w:r>
        <w:tab/>
        <w:t>the total number of attendees over the course of the function does not exceed 75, and liquor is served during one continuous period not exceeding 4 hours;</w:t>
      </w:r>
    </w:p>
    <w:p>
      <w:pPr>
        <w:pStyle w:val="Indenta"/>
      </w:pPr>
      <w:r>
        <w:tab/>
      </w:r>
      <w:r>
        <w:tab/>
        <w:t>and</w:t>
      </w:r>
    </w:p>
    <w:p>
      <w:pPr>
        <w:pStyle w:val="Indenta"/>
      </w:pPr>
      <w:r>
        <w:tab/>
        <w:t>(e)</w:t>
      </w:r>
      <w:r>
        <w:tab/>
        <w:t>liquor is not supplied at the function to a drunk person; and</w:t>
      </w:r>
    </w:p>
    <w:p>
      <w:pPr>
        <w:pStyle w:val="Indenta"/>
      </w:pPr>
      <w:r>
        <w:tab/>
        <w:t>(f)</w:t>
      </w:r>
      <w:r>
        <w:tab/>
        <w:t>a drunk person is not allowed to consume liquor at the function.</w:t>
      </w:r>
    </w:p>
    <w:p>
      <w:pPr>
        <w:pStyle w:val="Subsection"/>
      </w:pPr>
      <w:r>
        <w:tab/>
        <w:t>(2)</w:t>
      </w:r>
      <w:r>
        <w:tab/>
        <w:t xml:space="preserve">For the purposes of subregulation (1)(d), an </w:t>
      </w:r>
      <w:r>
        <w:rPr>
          <w:rStyle w:val="CharDefText"/>
        </w:rPr>
        <w:t>attendee</w:t>
      </w:r>
      <w:r>
        <w:t xml:space="preserve"> does not include a person who is at a function for the sole or principal purpose of — </w:t>
      </w:r>
    </w:p>
    <w:p>
      <w:pPr>
        <w:pStyle w:val="Indenta"/>
      </w:pPr>
      <w:r>
        <w:tab/>
        <w:t>(a)</w:t>
      </w:r>
      <w:r>
        <w:tab/>
        <w:t>managing or supervising the function; or</w:t>
      </w:r>
    </w:p>
    <w:p>
      <w:pPr>
        <w:pStyle w:val="Indenta"/>
      </w:pPr>
      <w:r>
        <w:tab/>
        <w:t>(b)</w:t>
      </w:r>
      <w:r>
        <w:tab/>
        <w:t>providing services at the function (such as serving food or liquor, or providing security); or</w:t>
      </w:r>
    </w:p>
    <w:p>
      <w:pPr>
        <w:pStyle w:val="Indenta"/>
      </w:pPr>
      <w:r>
        <w:tab/>
        <w:t>(c)</w:t>
      </w:r>
      <w:r>
        <w:tab/>
        <w:t>providing entertainment at the function, or assisting a person who is providing such entertainment.</w:t>
      </w:r>
    </w:p>
    <w:p>
      <w:pPr>
        <w:pStyle w:val="Footnotesection"/>
      </w:pPr>
      <w:r>
        <w:tab/>
        <w:t>[Regulation 8B inserted in Gazette 15 Jul 2011 p. 2960</w:t>
      </w:r>
      <w:r>
        <w:noBreakHyphen/>
        <w:t>1.]</w:t>
      </w:r>
    </w:p>
    <w:p>
      <w:pPr>
        <w:pStyle w:val="Heading5"/>
      </w:pPr>
      <w:bookmarkStart w:id="182" w:name="_Toc303323147"/>
      <w:bookmarkStart w:id="183" w:name="_Toc357698823"/>
      <w:r>
        <w:rPr>
          <w:rStyle w:val="CharSectno"/>
        </w:rPr>
        <w:t>8C</w:t>
      </w:r>
      <w:r>
        <w:t>.</w:t>
      </w:r>
      <w:r>
        <w:tab/>
        <w:t>Exemption from Act, complimentary supply by business</w:t>
      </w:r>
      <w:bookmarkEnd w:id="182"/>
      <w:bookmarkEnd w:id="183"/>
    </w:p>
    <w:p>
      <w:pPr>
        <w:pStyle w:val="Subsection"/>
      </w:pPr>
      <w:r>
        <w:tab/>
        <w:t>(1)</w:t>
      </w:r>
      <w:r>
        <w:tab/>
        <w:t xml:space="preserve">In this regulation — </w:t>
      </w:r>
    </w:p>
    <w:p>
      <w:pPr>
        <w:pStyle w:val="Defstart"/>
      </w:pPr>
      <w:r>
        <w:tab/>
      </w:r>
      <w:r>
        <w:rPr>
          <w:rStyle w:val="CharDefText"/>
        </w:rPr>
        <w:t>standard drink</w:t>
      </w:r>
      <w:r>
        <w:t xml:space="preserve"> means a drink containing not more than 10 g of ethanol measured at 20°C.</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the liquor is supplied by a person who carries on a business, or by an employee, contractor or agent of such a person; and</w:t>
      </w:r>
    </w:p>
    <w:p>
      <w:pPr>
        <w:pStyle w:val="Indenta"/>
      </w:pPr>
      <w:r>
        <w:tab/>
        <w:t>(b)</w:t>
      </w:r>
      <w:r>
        <w:tab/>
        <w:t>the liquor is supplied to a customer of the business; and</w:t>
      </w:r>
    </w:p>
    <w:p>
      <w:pPr>
        <w:pStyle w:val="Indenta"/>
        <w:keepNext/>
      </w:pPr>
      <w:r>
        <w:tab/>
        <w:t>(c)</w:t>
      </w:r>
      <w:r>
        <w:tab/>
        <w:t xml:space="preserve">the supply of the liquor — </w:t>
      </w:r>
    </w:p>
    <w:p>
      <w:pPr>
        <w:pStyle w:val="Indenti"/>
      </w:pPr>
      <w:r>
        <w:tab/>
        <w:t>(i)</w:t>
      </w:r>
      <w:r>
        <w:tab/>
        <w:t>is ancillary to the business; and</w:t>
      </w:r>
    </w:p>
    <w:p>
      <w:pPr>
        <w:pStyle w:val="Indenti"/>
      </w:pPr>
      <w:r>
        <w:tab/>
        <w:t>(ii)</w:t>
      </w:r>
      <w:r>
        <w:tab/>
        <w:t>is without charge; and</w:t>
      </w:r>
    </w:p>
    <w:p>
      <w:pPr>
        <w:pStyle w:val="Indenti"/>
      </w:pPr>
      <w:r>
        <w:tab/>
        <w:t>(iii)</w:t>
      </w:r>
      <w:r>
        <w:tab/>
        <w:t>takes place on the business premises;</w:t>
      </w:r>
    </w:p>
    <w:p>
      <w:pPr>
        <w:pStyle w:val="Indenta"/>
      </w:pPr>
      <w:r>
        <w:tab/>
      </w:r>
      <w:r>
        <w:tab/>
        <w:t>and</w:t>
      </w:r>
    </w:p>
    <w:p>
      <w:pPr>
        <w:pStyle w:val="Indenta"/>
        <w:keepNext/>
        <w:spacing w:before="100"/>
      </w:pPr>
      <w:r>
        <w:tab/>
        <w:t>(d)</w:t>
      </w:r>
      <w:r>
        <w:tab/>
        <w:t xml:space="preserve">the quantity of liquor that is supplied to the customer on those business premises on any one day is either — </w:t>
      </w:r>
    </w:p>
    <w:p>
      <w:pPr>
        <w:pStyle w:val="Indenti"/>
        <w:spacing w:before="100"/>
      </w:pPr>
      <w:r>
        <w:tab/>
        <w:t>(i)</w:t>
      </w:r>
      <w:r>
        <w:tab/>
        <w:t>not more than 2 standard drinks for consumption by the customer on those premises; or</w:t>
      </w:r>
    </w:p>
    <w:p>
      <w:pPr>
        <w:pStyle w:val="Indenti"/>
        <w:spacing w:before="100"/>
      </w:pPr>
      <w:r>
        <w:tab/>
        <w:t>(ii)</w:t>
      </w:r>
      <w:r>
        <w:tab/>
        <w:t>not more than one litre in aggregate, in one or more sealed containers, for consumption off those premises;</w:t>
      </w:r>
    </w:p>
    <w:p>
      <w:pPr>
        <w:pStyle w:val="Indenta"/>
        <w:spacing w:before="100"/>
      </w:pPr>
      <w:r>
        <w:tab/>
      </w:r>
      <w:r>
        <w:tab/>
        <w:t>and</w:t>
      </w:r>
    </w:p>
    <w:p>
      <w:pPr>
        <w:pStyle w:val="Indenta"/>
        <w:spacing w:before="100"/>
      </w:pPr>
      <w:r>
        <w:tab/>
        <w:t>(e)</w:t>
      </w:r>
      <w:r>
        <w:tab/>
        <w:t>the liquor is not supplied to a drunk customer; and</w:t>
      </w:r>
    </w:p>
    <w:p>
      <w:pPr>
        <w:pStyle w:val="Indenta"/>
        <w:spacing w:before="100"/>
      </w:pPr>
      <w:r>
        <w:tab/>
        <w:t>(f)</w:t>
      </w:r>
      <w:r>
        <w:tab/>
        <w:t>a drunk customer is not allowed to consume the liquor on those business premises.</w:t>
      </w:r>
    </w:p>
    <w:p>
      <w:pPr>
        <w:pStyle w:val="Footnotesection"/>
      </w:pPr>
      <w:r>
        <w:tab/>
        <w:t>[Regulation 8C inserted in Gazette 15 Jul 2011 p. 2961</w:t>
      </w:r>
      <w:r>
        <w:noBreakHyphen/>
        <w:t>2.]</w:t>
      </w:r>
    </w:p>
    <w:p>
      <w:pPr>
        <w:pStyle w:val="Heading5"/>
      </w:pPr>
      <w:bookmarkStart w:id="184" w:name="_Toc303323148"/>
      <w:bookmarkStart w:id="185" w:name="_Toc357698824"/>
      <w:r>
        <w:rPr>
          <w:rStyle w:val="CharSectno"/>
        </w:rPr>
        <w:t>8D</w:t>
      </w:r>
      <w:r>
        <w:t>.</w:t>
      </w:r>
      <w:r>
        <w:tab/>
        <w:t>Exemption from Act, sales etc. at farmers’ markets</w:t>
      </w:r>
      <w:bookmarkEnd w:id="184"/>
      <w:bookmarkEnd w:id="185"/>
    </w:p>
    <w:p>
      <w:pPr>
        <w:pStyle w:val="Subsection"/>
      </w:pPr>
      <w:r>
        <w:tab/>
        <w:t>(1)</w:t>
      </w:r>
      <w:r>
        <w:tab/>
        <w:t xml:space="preserve">In this regulation — </w:t>
      </w:r>
    </w:p>
    <w:p>
      <w:pPr>
        <w:pStyle w:val="Defstart"/>
        <w:spacing w:before="100"/>
      </w:pPr>
      <w:r>
        <w:tab/>
      </w:r>
      <w:r>
        <w:rPr>
          <w:rStyle w:val="CharDefText"/>
        </w:rPr>
        <w:t>agricultural region</w:t>
      </w:r>
      <w:r>
        <w:t xml:space="preserve"> — </w:t>
      </w:r>
    </w:p>
    <w:p>
      <w:pPr>
        <w:pStyle w:val="Defpara"/>
        <w:spacing w:before="100"/>
      </w:pPr>
      <w:r>
        <w:tab/>
        <w:t>(a)</w:t>
      </w:r>
      <w:r>
        <w:tab/>
        <w:t>means an area of the State in which the land use is primarily for primary production; and</w:t>
      </w:r>
    </w:p>
    <w:p>
      <w:pPr>
        <w:pStyle w:val="Defpara"/>
        <w:spacing w:before="100"/>
      </w:pPr>
      <w:r>
        <w:tab/>
        <w:t>(b)</w:t>
      </w:r>
      <w:r>
        <w:tab/>
        <w:t>includes any townsite within an area of that kind;</w:t>
      </w:r>
    </w:p>
    <w:p>
      <w:pPr>
        <w:pStyle w:val="Defstart"/>
        <w:spacing w:before="100"/>
        <w:rPr>
          <w:lang w:val="en-US"/>
        </w:rPr>
      </w:pPr>
      <w:r>
        <w:tab/>
      </w:r>
      <w:r>
        <w:rPr>
          <w:rStyle w:val="CharDefText"/>
        </w:rPr>
        <w:t>farmers’ market</w:t>
      </w:r>
      <w:r>
        <w:t xml:space="preserve"> means a market or fair </w:t>
      </w:r>
      <w:r>
        <w:rPr>
          <w:lang w:val="en-US"/>
        </w:rPr>
        <w:t>at which primary producers display and sell their products directly to the public;</w:t>
      </w:r>
    </w:p>
    <w:p>
      <w:pPr>
        <w:pStyle w:val="Defstart"/>
        <w:spacing w:before="100"/>
      </w:pPr>
      <w:r>
        <w:tab/>
      </w:r>
      <w:r>
        <w:rPr>
          <w:rStyle w:val="CharDefText"/>
        </w:rPr>
        <w:t>primary production</w:t>
      </w:r>
      <w:r>
        <w:t xml:space="preserve"> means agriculture, pastoral pursuits, horticulture, grazing, dairy farming, bee</w:t>
      </w:r>
      <w:r>
        <w:noBreakHyphen/>
        <w:t>keeping, orcharding, viticulture, silviculture or other similar farming activities;</w:t>
      </w:r>
    </w:p>
    <w:p>
      <w:pPr>
        <w:pStyle w:val="Defstart"/>
        <w:spacing w:before="100"/>
      </w:pPr>
      <w:r>
        <w:tab/>
      </w:r>
      <w:r>
        <w:rPr>
          <w:rStyle w:val="CharDefText"/>
        </w:rPr>
        <w:t>producers’ association</w:t>
      </w:r>
      <w:r>
        <w:t xml:space="preserve"> means any society, body, organisation or association, whether incorporated or not, the purpose of which, or one of the purposes of which, is to represent or promote, whether generally or within a particular area, the interests of producers of liquor or producers of one or more particular kinds of liquor.</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the liquor is sold or supplied from a stall at a farmers’ market held in an agricultural region; and</w:t>
      </w:r>
    </w:p>
    <w:p>
      <w:pPr>
        <w:pStyle w:val="Indenta"/>
      </w:pPr>
      <w:r>
        <w:tab/>
        <w:t>(b)</w:t>
      </w:r>
      <w:r>
        <w:tab/>
        <w:t>the stall is provided by a producers’ association for the benefit of 2 or more producers of liquor; and</w:t>
      </w:r>
    </w:p>
    <w:p>
      <w:pPr>
        <w:pStyle w:val="Indenta"/>
      </w:pPr>
      <w:r>
        <w:tab/>
        <w:t>(c)</w:t>
      </w:r>
      <w:r>
        <w:tab/>
        <w:t>the liquor supplied or sold has been produced by the producers for whose benefit the stall is provided; and</w:t>
      </w:r>
    </w:p>
    <w:p>
      <w:pPr>
        <w:pStyle w:val="Indenta"/>
      </w:pPr>
      <w:r>
        <w:tab/>
        <w:t>(d)</w:t>
      </w:r>
      <w:r>
        <w:tab/>
        <w:t xml:space="preserve">the liquor is sold or supplied from the stall — </w:t>
      </w:r>
    </w:p>
    <w:p>
      <w:pPr>
        <w:pStyle w:val="Indenti"/>
      </w:pPr>
      <w:r>
        <w:tab/>
        <w:t>(i)</w:t>
      </w:r>
      <w:r>
        <w:tab/>
        <w:t>by way of free sample for consumption at the farmers’ market; or</w:t>
      </w:r>
    </w:p>
    <w:p>
      <w:pPr>
        <w:pStyle w:val="Indenti"/>
      </w:pPr>
      <w:r>
        <w:tab/>
        <w:t>(ii)</w:t>
      </w:r>
      <w:r>
        <w:tab/>
        <w:t>in an aggregate quantity of not more than 2.5 L to any one person on any one day, in one or more sealed containers, for consumption away from the farmers’ market; or</w:t>
      </w:r>
    </w:p>
    <w:p>
      <w:pPr>
        <w:pStyle w:val="Indenti"/>
      </w:pPr>
      <w:r>
        <w:tab/>
        <w:t>(iii)</w:t>
      </w:r>
      <w:r>
        <w:tab/>
        <w:t>by way of an order taken for the sale or supply of liquor at a future date;</w:t>
      </w:r>
    </w:p>
    <w:p>
      <w:pPr>
        <w:pStyle w:val="Indenta"/>
      </w:pPr>
      <w:r>
        <w:tab/>
      </w:r>
      <w:r>
        <w:tab/>
        <w:t>and</w:t>
      </w:r>
    </w:p>
    <w:p>
      <w:pPr>
        <w:pStyle w:val="Indenta"/>
      </w:pPr>
      <w:r>
        <w:tab/>
        <w:t>(e)</w:t>
      </w:r>
      <w:r>
        <w:tab/>
        <w:t>the liquor is not sold or supplied to a drunk person; and</w:t>
      </w:r>
    </w:p>
    <w:p>
      <w:pPr>
        <w:pStyle w:val="Indenta"/>
        <w:keepLines/>
      </w:pPr>
      <w:r>
        <w:tab/>
        <w:t>(f)</w:t>
      </w:r>
      <w:r>
        <w:tab/>
        <w:t>a drunk person is not allowed to consume the liquor in the area immediately surrounding the stall in which customers of the stall congregate to sample or purchase liquor from the stall.</w:t>
      </w:r>
    </w:p>
    <w:p>
      <w:pPr>
        <w:pStyle w:val="Footnotesection"/>
      </w:pPr>
      <w:r>
        <w:tab/>
        <w:t>[Regulation 8D inserted in Gazette 15 Jul 2011 p. 2962</w:t>
      </w:r>
      <w:r>
        <w:noBreakHyphen/>
        <w:t>3.]</w:t>
      </w:r>
    </w:p>
    <w:p>
      <w:pPr>
        <w:pStyle w:val="Heading5"/>
      </w:pPr>
      <w:bookmarkStart w:id="186" w:name="_Toc303323149"/>
      <w:bookmarkStart w:id="187" w:name="_Toc357698825"/>
      <w:r>
        <w:rPr>
          <w:rStyle w:val="CharSectno"/>
        </w:rPr>
        <w:t>8E</w:t>
      </w:r>
      <w:r>
        <w:t>.</w:t>
      </w:r>
      <w:r>
        <w:tab/>
        <w:t>Exemption from Act, sales etc. at functions on licensed premises</w:t>
      </w:r>
      <w:bookmarkEnd w:id="186"/>
      <w:bookmarkEnd w:id="187"/>
    </w:p>
    <w:p>
      <w:pPr>
        <w:pStyle w:val="Subsection"/>
      </w:pPr>
      <w:r>
        <w:tab/>
        <w:t>(1)</w:t>
      </w:r>
      <w:r>
        <w:tab/>
        <w:t xml:space="preserve">In this regulation — </w:t>
      </w:r>
    </w:p>
    <w:p>
      <w:pPr>
        <w:pStyle w:val="Defstart"/>
      </w:pPr>
      <w:r>
        <w:tab/>
      </w:r>
      <w:r>
        <w:rPr>
          <w:rStyle w:val="CharDefText"/>
        </w:rPr>
        <w:t>authorised arrangement</w:t>
      </w:r>
      <w:r>
        <w:t xml:space="preserve"> means an arrangement — </w:t>
      </w:r>
    </w:p>
    <w:p>
      <w:pPr>
        <w:pStyle w:val="Defpara"/>
      </w:pPr>
      <w:r>
        <w:tab/>
        <w:t>(a)</w:t>
      </w:r>
      <w:r>
        <w:tab/>
        <w:t>that is between the organiser of a function and the licensee of the licensed premises on which the function is to be held; and</w:t>
      </w:r>
    </w:p>
    <w:p>
      <w:pPr>
        <w:pStyle w:val="Defpara"/>
        <w:keepNext/>
      </w:pPr>
      <w:r>
        <w:tab/>
        <w:t>(b)</w:t>
      </w:r>
      <w:r>
        <w:tab/>
        <w:t xml:space="preserve">under which — </w:t>
      </w:r>
    </w:p>
    <w:p>
      <w:pPr>
        <w:pStyle w:val="Defsubpara"/>
      </w:pPr>
      <w:r>
        <w:tab/>
        <w:t>(i)</w:t>
      </w:r>
      <w:r>
        <w:tab/>
        <w:t>the licensee is to provide the venue, food and liquor for the function for a fixed price to the organiser; and</w:t>
      </w:r>
    </w:p>
    <w:p>
      <w:pPr>
        <w:pStyle w:val="Defsubpara"/>
      </w:pPr>
      <w:r>
        <w:tab/>
        <w:t>(ii)</w:t>
      </w:r>
      <w:r>
        <w:tab/>
        <w:t>the organiser is to arrange for the function to be advertised to the public and for the sale of tickets for the function;</w:t>
      </w:r>
    </w:p>
    <w:p>
      <w:pPr>
        <w:pStyle w:val="Defpara"/>
      </w:pPr>
      <w:r>
        <w:tab/>
      </w:r>
      <w:r>
        <w:tab/>
        <w:t>and</w:t>
      </w:r>
    </w:p>
    <w:p>
      <w:pPr>
        <w:pStyle w:val="Defpara"/>
      </w:pPr>
      <w:r>
        <w:tab/>
        <w:t>(c)</w:t>
      </w:r>
      <w:r>
        <w:tab/>
        <w:t>that is approved under section 104;</w:t>
      </w:r>
    </w:p>
    <w:p>
      <w:pPr>
        <w:pStyle w:val="Defstart"/>
      </w:pPr>
      <w:r>
        <w:tab/>
      </w:r>
      <w:r>
        <w:rPr>
          <w:rStyle w:val="CharDefText"/>
        </w:rPr>
        <w:t>organised function</w:t>
      </w:r>
      <w:r>
        <w:t xml:space="preserve"> means a function — </w:t>
      </w:r>
    </w:p>
    <w:p>
      <w:pPr>
        <w:pStyle w:val="Defpara"/>
      </w:pPr>
      <w:r>
        <w:tab/>
        <w:t>(a)</w:t>
      </w:r>
      <w:r>
        <w:tab/>
        <w:t>that is held on licensed premises (other than premises to which a club licence applies); and</w:t>
      </w:r>
    </w:p>
    <w:p>
      <w:pPr>
        <w:pStyle w:val="Defpara"/>
      </w:pPr>
      <w:r>
        <w:tab/>
        <w:t>(b)</w:t>
      </w:r>
      <w:r>
        <w:tab/>
        <w:t>that is held under an authorised arrangement; and</w:t>
      </w:r>
    </w:p>
    <w:p>
      <w:pPr>
        <w:pStyle w:val="Defpara"/>
      </w:pPr>
      <w:r>
        <w:tab/>
        <w:t>(c)</w:t>
      </w:r>
      <w:r>
        <w:tab/>
        <w:t>the price of a ticket for which includes admission to the function as well as the provision of liquor, food and entertainment during the function; and</w:t>
      </w:r>
    </w:p>
    <w:p>
      <w:pPr>
        <w:pStyle w:val="Defpara"/>
      </w:pPr>
      <w:r>
        <w:tab/>
        <w:t>(d)</w:t>
      </w:r>
      <w:r>
        <w:tab/>
        <w:t>all advertising for which includes a reference to the terms of the licence under which the supply of liquor at the function is authorised.</w:t>
      </w:r>
    </w:p>
    <w:p>
      <w:pPr>
        <w:pStyle w:val="Subsection"/>
      </w:pPr>
      <w:r>
        <w:tab/>
        <w:t>(2)</w:t>
      </w:r>
      <w:r>
        <w:tab/>
        <w:t>The sale or supply of liquor by the organiser of an organised function to a person who attends the function and is at least 18 years of age is exempted from the application of the Act.</w:t>
      </w:r>
    </w:p>
    <w:p>
      <w:pPr>
        <w:pStyle w:val="Footnotesection"/>
      </w:pPr>
      <w:r>
        <w:tab/>
        <w:t>[Regulation 8E inserted in Gazette 15 Jul 2011 p. 2963</w:t>
      </w:r>
      <w:r>
        <w:noBreakHyphen/>
        <w:t>4.]</w:t>
      </w:r>
    </w:p>
    <w:p>
      <w:pPr>
        <w:pStyle w:val="Heading5"/>
      </w:pPr>
      <w:bookmarkStart w:id="188" w:name="_Toc303323150"/>
      <w:bookmarkStart w:id="189" w:name="_Toc357698826"/>
      <w:r>
        <w:rPr>
          <w:rStyle w:val="CharSectno"/>
        </w:rPr>
        <w:t>8F</w:t>
      </w:r>
      <w:r>
        <w:t>.</w:t>
      </w:r>
      <w:r>
        <w:tab/>
        <w:t>Exemption from Act, consumption in certain charter vehicles</w:t>
      </w:r>
      <w:bookmarkEnd w:id="188"/>
      <w:bookmarkEnd w:id="189"/>
    </w:p>
    <w:p>
      <w:pPr>
        <w:pStyle w:val="Subsection"/>
        <w:keepNext/>
        <w:keepLines/>
      </w:pPr>
      <w:r>
        <w:tab/>
        <w:t>(1)</w:t>
      </w:r>
      <w:r>
        <w:tab/>
        <w:t xml:space="preserve">In this regulation — </w:t>
      </w:r>
    </w:p>
    <w:p>
      <w:pPr>
        <w:pStyle w:val="Defstart"/>
      </w:pPr>
      <w:r>
        <w:tab/>
      </w:r>
      <w:r>
        <w:rPr>
          <w:rStyle w:val="CharDefText"/>
        </w:rPr>
        <w:t>country charter vehicle</w:t>
      </w:r>
      <w:r>
        <w:t xml:space="preserve"> means a vehicle — </w:t>
      </w:r>
    </w:p>
    <w:p>
      <w:pPr>
        <w:pStyle w:val="Defpara"/>
      </w:pPr>
      <w:r>
        <w:tab/>
        <w:t>(a)</w:t>
      </w:r>
      <w:r>
        <w:tab/>
        <w:t>that is equipped to carry a maximum of 14 adult passengers (excluding the driver); and</w:t>
      </w:r>
    </w:p>
    <w:p>
      <w:pPr>
        <w:pStyle w:val="Defpara"/>
      </w:pPr>
      <w:r>
        <w:tab/>
        <w:t>(b)</w:t>
      </w:r>
      <w:r>
        <w:tab/>
        <w:t xml:space="preserve">that is licensed under the </w:t>
      </w:r>
      <w:r>
        <w:rPr>
          <w:i/>
        </w:rPr>
        <w:t>Transport Co</w:t>
      </w:r>
      <w:r>
        <w:rPr>
          <w:i/>
        </w:rPr>
        <w:noBreakHyphen/>
        <w:t>ordination Act 1966</w:t>
      </w:r>
      <w:r>
        <w:t xml:space="preserve"> section 47ZD to be operated as a taxi</w:t>
      </w:r>
      <w:r>
        <w:noBreakHyphen/>
        <w:t xml:space="preserve">car, with the following conditions (or conditions to the same effect) attached to the licence — </w:t>
      </w:r>
    </w:p>
    <w:p>
      <w:pPr>
        <w:pStyle w:val="Defsubpara"/>
        <w:spacing w:before="70"/>
      </w:pPr>
      <w:r>
        <w:tab/>
        <w:t>(i)</w:t>
      </w:r>
      <w:r>
        <w:tab/>
        <w:t>that the vehicle must not have a taximeter fitted to it;</w:t>
      </w:r>
    </w:p>
    <w:p>
      <w:pPr>
        <w:pStyle w:val="Defsubpara"/>
        <w:spacing w:before="70"/>
      </w:pPr>
      <w:r>
        <w:tab/>
        <w:t>(ii)</w:t>
      </w:r>
      <w:r>
        <w:tab/>
        <w:t>that the vehicle must not display taxi signs;</w:t>
      </w:r>
    </w:p>
    <w:p>
      <w:pPr>
        <w:pStyle w:val="Defsubpara"/>
        <w:spacing w:before="70"/>
      </w:pPr>
      <w:r>
        <w:tab/>
        <w:t>(iii)</w:t>
      </w:r>
      <w:r>
        <w:tab/>
        <w:t>that the vehicle must not be operated from taxi ranks, in plying for hire, or in soliciting passengers on roads or other public places for the purpose of hiring;</w:t>
      </w:r>
    </w:p>
    <w:p>
      <w:pPr>
        <w:pStyle w:val="Defstart"/>
      </w:pPr>
      <w:r>
        <w:tab/>
      </w:r>
      <w:r>
        <w:rPr>
          <w:rStyle w:val="CharDefText"/>
        </w:rPr>
        <w:t>function</w:t>
      </w:r>
      <w:r>
        <w:t xml:space="preserve"> means a gathering, occasion or event;</w:t>
      </w:r>
    </w:p>
    <w:p>
      <w:pPr>
        <w:pStyle w:val="Defstart"/>
      </w:pPr>
      <w:r>
        <w:tab/>
      </w:r>
      <w:r>
        <w:rPr>
          <w:rStyle w:val="CharDefText"/>
        </w:rPr>
        <w:t>responsible adult</w:t>
      </w:r>
      <w:r>
        <w:t xml:space="preserve"> has the meaning given in section 125(2)(b);</w:t>
      </w:r>
    </w:p>
    <w:p>
      <w:pPr>
        <w:pStyle w:val="Defstart"/>
      </w:pPr>
      <w:r>
        <w:tab/>
      </w:r>
      <w:r>
        <w:rPr>
          <w:rStyle w:val="CharDefText"/>
        </w:rPr>
        <w:t>school</w:t>
      </w:r>
      <w:r>
        <w:t xml:space="preserve"> has the meaning given in the </w:t>
      </w:r>
      <w:r>
        <w:rPr>
          <w:i/>
        </w:rPr>
        <w:t>School Education Act 1999</w:t>
      </w:r>
      <w:r>
        <w:t xml:space="preserve"> section 4;</w:t>
      </w:r>
    </w:p>
    <w:p>
      <w:pPr>
        <w:pStyle w:val="Defstart"/>
      </w:pPr>
      <w:r>
        <w:tab/>
      </w:r>
      <w:r>
        <w:rPr>
          <w:rStyle w:val="CharDefText"/>
        </w:rPr>
        <w:t>small charter vehicle</w:t>
      </w:r>
      <w:r>
        <w:t xml:space="preserve"> means a vehicle — </w:t>
      </w:r>
    </w:p>
    <w:p>
      <w:pPr>
        <w:pStyle w:val="Defpara"/>
        <w:spacing w:before="70"/>
      </w:pPr>
      <w:r>
        <w:tab/>
        <w:t>(a)</w:t>
      </w:r>
      <w:r>
        <w:tab/>
        <w:t>that is equipped to carry a maximum of 14 adult passengers (excluding the driver); and</w:t>
      </w:r>
    </w:p>
    <w:p>
      <w:pPr>
        <w:pStyle w:val="Defpara"/>
        <w:spacing w:before="70"/>
      </w:pPr>
      <w:r>
        <w:tab/>
        <w:t>(b)</w:t>
      </w:r>
      <w:r>
        <w:tab/>
        <w:t xml:space="preserve">that is licensed under the </w:t>
      </w:r>
      <w:r>
        <w:rPr>
          <w:i/>
        </w:rPr>
        <w:t>Transport Co</w:t>
      </w:r>
      <w:r>
        <w:rPr>
          <w:i/>
        </w:rPr>
        <w:noBreakHyphen/>
        <w:t>ordination Act 1966</w:t>
      </w:r>
      <w:r>
        <w:t xml:space="preserve"> to be operated as an omnibus; and</w:t>
      </w:r>
    </w:p>
    <w:p>
      <w:pPr>
        <w:pStyle w:val="Defpara"/>
        <w:keepNext/>
        <w:spacing w:before="70"/>
      </w:pPr>
      <w:r>
        <w:tab/>
        <w:t>(c)</w:t>
      </w:r>
      <w:r>
        <w:tab/>
        <w:t xml:space="preserve">that has fixed to it number plates that — </w:t>
      </w:r>
    </w:p>
    <w:p>
      <w:pPr>
        <w:pStyle w:val="Defsubpara"/>
        <w:spacing w:before="70"/>
      </w:pPr>
      <w:r>
        <w:tab/>
        <w:t>(i)</w:t>
      </w:r>
      <w:r>
        <w:tab/>
        <w:t>are issued under section 32A of that Act in respect of that vehicle; and</w:t>
      </w:r>
    </w:p>
    <w:p>
      <w:pPr>
        <w:pStyle w:val="Defsubpara"/>
        <w:spacing w:before="70"/>
      </w:pPr>
      <w:r>
        <w:tab/>
        <w:t>(ii)</w:t>
      </w:r>
      <w:r>
        <w:tab/>
        <w:t>include the words “small charter vehicle” and either the words “</w:t>
      </w:r>
      <w:smartTag w:uri="urn:schemas-microsoft-com:office:smarttags" w:element="place">
        <w:smartTag w:uri="urn:schemas-microsoft-com:office:smarttags" w:element="State">
          <w:r>
            <w:t>Western Australia</w:t>
          </w:r>
        </w:smartTag>
      </w:smartTag>
      <w:r>
        <w:t>” or the letters “WA”.</w:t>
      </w:r>
    </w:p>
    <w:p>
      <w:pPr>
        <w:pStyle w:val="Subsection"/>
      </w:pPr>
      <w:r>
        <w:tab/>
        <w:t>(2)</w:t>
      </w:r>
      <w:r>
        <w:tab/>
        <w:t xml:space="preserve">The consumption of liquor by a person who is at least 18 years of age is exempted from the application of the Act if — </w:t>
      </w:r>
    </w:p>
    <w:p>
      <w:pPr>
        <w:pStyle w:val="Indenta"/>
        <w:spacing w:before="70"/>
      </w:pPr>
      <w:r>
        <w:tab/>
        <w:t>(a)</w:t>
      </w:r>
      <w:r>
        <w:tab/>
        <w:t>the liquor is consumed by the person while he or she is a passenger in a vehicle being operated as a country charter vehicle or a small charter vehicle; and</w:t>
      </w:r>
    </w:p>
    <w:p>
      <w:pPr>
        <w:pStyle w:val="Indenta"/>
        <w:spacing w:before="70"/>
      </w:pPr>
      <w:r>
        <w:tab/>
        <w:t>(b)</w:t>
      </w:r>
      <w:r>
        <w:tab/>
        <w:t>any juveniles in the vehicle are accompanied by, and under the supervision of, a responsible adult; and</w:t>
      </w:r>
    </w:p>
    <w:p>
      <w:pPr>
        <w:pStyle w:val="Indenta"/>
        <w:spacing w:before="70"/>
      </w:pPr>
      <w:r>
        <w:tab/>
        <w:t>(c)</w:t>
      </w:r>
      <w:r>
        <w:tab/>
        <w:t>the driver of the vehicle does not allow a drunk person to consume liquor in the vehicle.</w:t>
      </w:r>
    </w:p>
    <w:p>
      <w:pPr>
        <w:pStyle w:val="Subsection"/>
      </w:pPr>
      <w:r>
        <w:tab/>
        <w:t>(3)</w:t>
      </w:r>
      <w:r>
        <w:tab/>
        <w:t>The exemption conferred by subregulation (2) does not apply if the vehicle is under charter for the purposes of, or for purposes that include, taking one or more school students to or from a function organised, by or on behalf of a school, for students who attend the school (for example, a school ball), whether or not the function is held at the school and whether or not other persons also attend the function.</w:t>
      </w:r>
    </w:p>
    <w:p>
      <w:pPr>
        <w:pStyle w:val="Footnotesection"/>
        <w:ind w:left="890" w:hanging="890"/>
      </w:pPr>
      <w:r>
        <w:tab/>
        <w:t>[Regulation 8F inserted in Gazette 15 Jul 2011 p. 2964</w:t>
      </w:r>
      <w:r>
        <w:noBreakHyphen/>
        <w:t>5.]</w:t>
      </w:r>
    </w:p>
    <w:p>
      <w:pPr>
        <w:pStyle w:val="Heading5"/>
        <w:rPr>
          <w:snapToGrid w:val="0"/>
        </w:rPr>
      </w:pPr>
      <w:bookmarkStart w:id="190" w:name="_Toc303323151"/>
      <w:bookmarkStart w:id="191" w:name="_Toc357698827"/>
      <w:r>
        <w:rPr>
          <w:rStyle w:val="CharSectno"/>
        </w:rPr>
        <w:t>9</w:t>
      </w:r>
      <w:r>
        <w:rPr>
          <w:snapToGrid w:val="0"/>
        </w:rPr>
        <w:t>.</w:t>
      </w:r>
      <w:r>
        <w:rPr>
          <w:snapToGrid w:val="0"/>
        </w:rPr>
        <w:tab/>
        <w:t xml:space="preserve">Persons prescribed (to take etc. oaths </w:t>
      </w:r>
      <w:bookmarkEnd w:id="169"/>
      <w:bookmarkEnd w:id="170"/>
      <w:bookmarkEnd w:id="171"/>
      <w:bookmarkEnd w:id="172"/>
      <w:bookmarkEnd w:id="173"/>
      <w:bookmarkEnd w:id="174"/>
      <w:bookmarkEnd w:id="175"/>
      <w:bookmarkEnd w:id="176"/>
      <w:bookmarkEnd w:id="177"/>
      <w:bookmarkEnd w:id="178"/>
      <w:r>
        <w:rPr>
          <w:snapToGrid w:val="0"/>
        </w:rPr>
        <w:t>etc.) (Act s. 18(3)(c))</w:t>
      </w:r>
      <w:bookmarkEnd w:id="179"/>
      <w:bookmarkEnd w:id="190"/>
      <w:bookmarkEnd w:id="191"/>
    </w:p>
    <w:p>
      <w:pPr>
        <w:pStyle w:val="Subsection"/>
        <w:rPr>
          <w:snapToGrid w:val="0"/>
        </w:rPr>
      </w:pPr>
      <w:r>
        <w:rPr>
          <w:snapToGrid w:val="0"/>
        </w:rPr>
        <w:tab/>
      </w:r>
      <w:r>
        <w:rPr>
          <w:snapToGrid w:val="0"/>
        </w:rPr>
        <w:tab/>
        <w:t>For the purposes of section 18(3)(c) the following persons are prescribed —</w:t>
      </w:r>
    </w:p>
    <w:p>
      <w:pPr>
        <w:pStyle w:val="Indenta"/>
      </w:pPr>
      <w:r>
        <w:tab/>
        <w:t>(a)</w:t>
      </w:r>
      <w:r>
        <w:tab/>
        <w:t>the chairperson or deputy chairperson; and</w:t>
      </w:r>
    </w:p>
    <w:p>
      <w:pPr>
        <w:pStyle w:val="Ednotepara"/>
        <w:spacing w:before="80"/>
        <w:ind w:left="1610" w:hanging="1610"/>
        <w:rPr>
          <w:snapToGrid w:val="0"/>
        </w:rPr>
      </w:pPr>
      <w:r>
        <w:rPr>
          <w:snapToGrid w:val="0"/>
        </w:rPr>
        <w:tab/>
        <w:t>[(b)</w:t>
      </w:r>
      <w:r>
        <w:rPr>
          <w:snapToGrid w:val="0"/>
        </w:rPr>
        <w:tab/>
        <w:t>deleted]</w:t>
      </w:r>
    </w:p>
    <w:p>
      <w:pPr>
        <w:pStyle w:val="Indenta"/>
        <w:rPr>
          <w:snapToGrid w:val="0"/>
        </w:rPr>
      </w:pPr>
      <w:r>
        <w:rPr>
          <w:snapToGrid w:val="0"/>
        </w:rPr>
        <w:tab/>
        <w:t>(c)</w:t>
      </w:r>
      <w:r>
        <w:rPr>
          <w:snapToGrid w:val="0"/>
        </w:rPr>
        <w:tab/>
        <w:t>the Director; and</w:t>
      </w:r>
    </w:p>
    <w:p>
      <w:pPr>
        <w:pStyle w:val="Indenta"/>
        <w:rPr>
          <w:snapToGrid w:val="0"/>
        </w:rPr>
      </w:pPr>
      <w:r>
        <w:rPr>
          <w:snapToGrid w:val="0"/>
        </w:rPr>
        <w:tab/>
        <w:t>(d)</w:t>
      </w:r>
      <w:r>
        <w:rPr>
          <w:snapToGrid w:val="0"/>
        </w:rPr>
        <w:tab/>
        <w:t xml:space="preserve">a </w:t>
      </w:r>
      <w:r>
        <w:t xml:space="preserve">court registrar </w:t>
      </w:r>
      <w:r>
        <w:rPr>
          <w:snapToGrid w:val="0"/>
        </w:rPr>
        <w:t>who is a person authorised by the Director under section 15(1)(b) to determine applications for the grant of occasional licences or the issue of extended trading permits.</w:t>
      </w:r>
    </w:p>
    <w:p>
      <w:pPr>
        <w:pStyle w:val="Footnotesection"/>
        <w:keepLines w:val="0"/>
        <w:ind w:left="890" w:hanging="890"/>
      </w:pPr>
      <w:r>
        <w:tab/>
        <w:t>[Regulation 9 amended in Gazette 22 May 1998 p. 2941; 28 Sep 2007 p. 4928.]</w:t>
      </w:r>
    </w:p>
    <w:p>
      <w:pPr>
        <w:pStyle w:val="Heading5"/>
      </w:pPr>
      <w:bookmarkStart w:id="192" w:name="_Toc519934569"/>
      <w:bookmarkStart w:id="193" w:name="_Toc534780032"/>
      <w:bookmarkStart w:id="194" w:name="_Toc3352039"/>
      <w:bookmarkStart w:id="195" w:name="_Toc3352114"/>
      <w:bookmarkStart w:id="196" w:name="_Toc22966216"/>
      <w:bookmarkStart w:id="197" w:name="_Toc66263822"/>
      <w:bookmarkStart w:id="198" w:name="_Toc119294067"/>
      <w:bookmarkStart w:id="199" w:name="_Toc123633160"/>
      <w:bookmarkStart w:id="200" w:name="_Toc172713915"/>
      <w:bookmarkStart w:id="201" w:name="_Toc264018259"/>
      <w:bookmarkStart w:id="202" w:name="_Toc303323152"/>
      <w:bookmarkStart w:id="203" w:name="_Toc357698828"/>
      <w:bookmarkStart w:id="204" w:name="_Toc460808707"/>
      <w:r>
        <w:rPr>
          <w:rStyle w:val="CharSectno"/>
        </w:rPr>
        <w:t>9AA</w:t>
      </w:r>
      <w:r>
        <w:t>.</w:t>
      </w:r>
      <w:r>
        <w:tab/>
        <w:t xml:space="preserve">Distance </w:t>
      </w:r>
      <w:bookmarkEnd w:id="192"/>
      <w:bookmarkEnd w:id="193"/>
      <w:bookmarkEnd w:id="194"/>
      <w:bookmarkEnd w:id="195"/>
      <w:bookmarkEnd w:id="196"/>
      <w:bookmarkEnd w:id="197"/>
      <w:r>
        <w:t xml:space="preserve">prescribed </w:t>
      </w:r>
      <w:r>
        <w:rPr>
          <w:snapToGrid w:val="0"/>
        </w:rPr>
        <w:t>(Act s.</w:t>
      </w:r>
      <w:r>
        <w:t> 36A</w:t>
      </w:r>
      <w:bookmarkEnd w:id="198"/>
      <w:bookmarkEnd w:id="199"/>
      <w:bookmarkEnd w:id="200"/>
      <w:r>
        <w:t>(2)(b))</w:t>
      </w:r>
      <w:bookmarkEnd w:id="201"/>
      <w:bookmarkEnd w:id="202"/>
      <w:bookmarkEnd w:id="203"/>
    </w:p>
    <w:p>
      <w:pPr>
        <w:pStyle w:val="Subsection"/>
      </w:pPr>
      <w:r>
        <w:tab/>
      </w:r>
      <w:r>
        <w:tab/>
        <w:t>For the purpose of section 36A(2)(b) a distance of 25 km is prescribed.</w:t>
      </w:r>
    </w:p>
    <w:p>
      <w:pPr>
        <w:pStyle w:val="Footnotesection"/>
        <w:ind w:left="890" w:hanging="890"/>
      </w:pPr>
      <w:r>
        <w:tab/>
        <w:t>[Regulation 9AA inserted in Gazette 29 Sep 2000 p. 5549; amended in Gazette 1 May 2007 p. 1888</w:t>
      </w:r>
      <w:r>
        <w:noBreakHyphen/>
        <w:t>9.]</w:t>
      </w:r>
    </w:p>
    <w:p>
      <w:pPr>
        <w:pStyle w:val="Heading5"/>
        <w:spacing w:before="180"/>
        <w:rPr>
          <w:snapToGrid w:val="0"/>
        </w:rPr>
      </w:pPr>
      <w:bookmarkStart w:id="205" w:name="_Toc534780033"/>
      <w:bookmarkStart w:id="206" w:name="_Toc3352040"/>
      <w:bookmarkStart w:id="207" w:name="_Toc3352115"/>
      <w:bookmarkStart w:id="208" w:name="_Toc22966217"/>
      <w:bookmarkStart w:id="209" w:name="_Toc66263823"/>
      <w:bookmarkStart w:id="210" w:name="_Toc119294068"/>
      <w:bookmarkStart w:id="211" w:name="_Toc123633161"/>
      <w:bookmarkStart w:id="212" w:name="_Toc172713916"/>
      <w:bookmarkStart w:id="213" w:name="_Toc264018260"/>
      <w:bookmarkStart w:id="214" w:name="_Toc303323153"/>
      <w:bookmarkStart w:id="215" w:name="_Toc357698829"/>
      <w:bookmarkStart w:id="216" w:name="_Toc520012302"/>
      <w:bookmarkStart w:id="217" w:name="_Toc460808708"/>
      <w:bookmarkStart w:id="218" w:name="_Toc519934571"/>
      <w:bookmarkEnd w:id="204"/>
      <w:r>
        <w:rPr>
          <w:rStyle w:val="CharSectno"/>
        </w:rPr>
        <w:t>9A</w:t>
      </w:r>
      <w:r>
        <w:t>.</w:t>
      </w:r>
      <w:r>
        <w:tab/>
      </w:r>
      <w:r>
        <w:rPr>
          <w:snapToGrid w:val="0"/>
        </w:rPr>
        <w:t>Special facility licence, purposes for which may be granted</w:t>
      </w:r>
      <w:bookmarkEnd w:id="205"/>
      <w:bookmarkEnd w:id="206"/>
      <w:bookmarkEnd w:id="207"/>
      <w:bookmarkEnd w:id="208"/>
      <w:bookmarkEnd w:id="209"/>
      <w:bookmarkEnd w:id="210"/>
      <w:bookmarkEnd w:id="211"/>
      <w:bookmarkEnd w:id="212"/>
      <w:bookmarkEnd w:id="213"/>
      <w:bookmarkEnd w:id="214"/>
      <w:bookmarkEnd w:id="215"/>
    </w:p>
    <w:bookmarkEnd w:id="216"/>
    <w:p>
      <w:pPr>
        <w:pStyle w:val="MiscellaneousHeading"/>
        <w:jc w:val="left"/>
        <w:rPr>
          <w:snapToGrid w:val="0"/>
        </w:rPr>
      </w:pPr>
      <w:r>
        <w:rPr>
          <w:b/>
          <w:snapToGrid w:val="0"/>
        </w:rPr>
        <w:t>Works canteen</w:t>
      </w:r>
    </w:p>
    <w:p>
      <w:pPr>
        <w:pStyle w:val="Subsection"/>
        <w:spacing w:before="120"/>
      </w:pPr>
      <w:r>
        <w:tab/>
        <w:t>(1)</w:t>
      </w:r>
      <w:r>
        <w:tab/>
        <w:t>A special facility licence may be granted for the purpose of allowing the sale of liquor at a works canteen, or at other specified premises, to workers and their guests.</w:t>
      </w:r>
    </w:p>
    <w:p>
      <w:pPr>
        <w:pStyle w:val="Subsection"/>
      </w:pPr>
      <w:r>
        <w:tab/>
        <w:t>(2)</w:t>
      </w:r>
      <w:r>
        <w:tab/>
        <w:t>A licence granted for this purpose may permit the sale of packaged liquor.</w:t>
      </w:r>
    </w:p>
    <w:p>
      <w:pPr>
        <w:pStyle w:val="Subsection"/>
      </w:pPr>
      <w:r>
        <w:tab/>
        <w:t>(3)</w:t>
      </w:r>
      <w:r>
        <w:tab/>
        <w:t xml:space="preserve">In this regulation — </w:t>
      </w:r>
    </w:p>
    <w:p>
      <w:pPr>
        <w:pStyle w:val="Defstart"/>
      </w:pPr>
      <w:r>
        <w:tab/>
      </w:r>
      <w:r>
        <w:rPr>
          <w:rStyle w:val="CharDefText"/>
        </w:rPr>
        <w:t>specified</w:t>
      </w:r>
      <w:r>
        <w:t xml:space="preserve"> means specified in the licence;</w:t>
      </w:r>
    </w:p>
    <w:p>
      <w:pPr>
        <w:pStyle w:val="Defstart"/>
        <w:keepNext/>
      </w:pPr>
      <w:r>
        <w:tab/>
      </w:r>
      <w:r>
        <w:rPr>
          <w:rStyle w:val="CharDefText"/>
        </w:rPr>
        <w:t>worker</w:t>
      </w:r>
      <w:r>
        <w:t xml:space="preserve"> means a person — </w:t>
      </w:r>
    </w:p>
    <w:p>
      <w:pPr>
        <w:pStyle w:val="Defpara"/>
      </w:pPr>
      <w:r>
        <w:tab/>
        <w:t>(a)</w:t>
      </w:r>
      <w:r>
        <w:tab/>
        <w:t>working on a specified project; or</w:t>
      </w:r>
    </w:p>
    <w:p>
      <w:pPr>
        <w:pStyle w:val="Defpara"/>
      </w:pPr>
      <w:r>
        <w:tab/>
        <w:t>(b)</w:t>
      </w:r>
      <w:r>
        <w:tab/>
        <w:t>working for a specified business;</w:t>
      </w:r>
    </w:p>
    <w:p>
      <w:pPr>
        <w:pStyle w:val="Defstart"/>
      </w:pPr>
      <w:r>
        <w:tab/>
      </w:r>
      <w:r>
        <w:rPr>
          <w:rStyle w:val="CharDefText"/>
        </w:rPr>
        <w:t>works canteen</w:t>
      </w:r>
      <w:r>
        <w:t xml:space="preserve"> means a canteen, located at or near the place where a specified project is being undertaken or a specified business is being carried on, catering for the needs of workers.</w:t>
      </w:r>
    </w:p>
    <w:p>
      <w:pPr>
        <w:pStyle w:val="MiscellaneousHeading"/>
        <w:spacing w:before="200"/>
        <w:jc w:val="left"/>
        <w:rPr>
          <w:snapToGrid w:val="0"/>
        </w:rPr>
      </w:pPr>
      <w:r>
        <w:rPr>
          <w:b/>
          <w:snapToGrid w:val="0"/>
        </w:rPr>
        <w:t>Theatre or cinema</w:t>
      </w:r>
    </w:p>
    <w:p>
      <w:pPr>
        <w:pStyle w:val="Subsection"/>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spacing w:before="200"/>
        <w:jc w:val="left"/>
        <w:rPr>
          <w:b/>
          <w:snapToGrid w:val="0"/>
        </w:rPr>
      </w:pPr>
      <w:r>
        <w:rPr>
          <w:b/>
          <w:snapToGrid w:val="0"/>
        </w:rPr>
        <w:t>Reception or function centre</w:t>
      </w:r>
    </w:p>
    <w:p>
      <w:pPr>
        <w:pStyle w:val="Subsection"/>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spacing w:before="200"/>
        <w:jc w:val="left"/>
        <w:rPr>
          <w:b/>
          <w:snapToGrid w:val="0"/>
        </w:rPr>
      </w:pPr>
      <w:r>
        <w:rPr>
          <w:b/>
          <w:snapToGrid w:val="0"/>
        </w:rPr>
        <w:t>Transport</w:t>
      </w:r>
    </w:p>
    <w:p>
      <w:pPr>
        <w:pStyle w:val="Subsection"/>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and their guests.</w:t>
      </w:r>
    </w:p>
    <w:p>
      <w:pPr>
        <w:pStyle w:val="Subsection"/>
      </w:pPr>
      <w:r>
        <w:tab/>
        <w:t>(7A)</w:t>
      </w:r>
      <w:r>
        <w:tab/>
        <w:t xml:space="preserve">A special facility licence granted for the purpose of allowing the sale of liquor on a train, bus, ship or vehicle may also be granted for the purpose of allowing the sale of liquor at another place of business of the licensee if — </w:t>
      </w:r>
    </w:p>
    <w:p>
      <w:pPr>
        <w:pStyle w:val="Indenta"/>
      </w:pPr>
      <w:r>
        <w:tab/>
        <w:t>(a)</w:t>
      </w:r>
      <w:r>
        <w:tab/>
        <w:t>the sale is in connection with a booking for travel on a train, bus, ship or vehicle; and</w:t>
      </w:r>
    </w:p>
    <w:p>
      <w:pPr>
        <w:pStyle w:val="Indenta"/>
      </w:pPr>
      <w:r>
        <w:tab/>
        <w:t>(b)</w:t>
      </w:r>
      <w:r>
        <w:tab/>
        <w:t>the liquor is to be supplied on the train, bus, ship or vehicle.</w:t>
      </w:r>
    </w:p>
    <w:p>
      <w:pPr>
        <w:pStyle w:val="MiscellaneousHeading"/>
        <w:jc w:val="left"/>
        <w:rPr>
          <w:b/>
          <w:snapToGrid w:val="0"/>
        </w:rPr>
      </w:pPr>
      <w:r>
        <w:rPr>
          <w:b/>
          <w:snapToGrid w:val="0"/>
        </w:rPr>
        <w:t>Tourism</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a place that, in the opinion of the licensing authority, is or will become —</w:t>
      </w:r>
    </w:p>
    <w:p>
      <w:pPr>
        <w:pStyle w:val="Indenta"/>
        <w:spacing w:before="60"/>
        <w:rPr>
          <w:snapToGrid w:val="0"/>
        </w:rPr>
      </w:pPr>
      <w:r>
        <w:rPr>
          <w:snapToGrid w:val="0"/>
        </w:rPr>
        <w:tab/>
        <w:t>(a)</w:t>
      </w:r>
      <w:r>
        <w:rPr>
          <w:snapToGrid w:val="0"/>
        </w:rPr>
        <w:tab/>
        <w:t>an attraction for tourists; or</w:t>
      </w:r>
    </w:p>
    <w:p>
      <w:pPr>
        <w:pStyle w:val="Indenta"/>
        <w:spacing w:before="60"/>
        <w:rPr>
          <w:snapToGrid w:val="0"/>
        </w:rPr>
      </w:pPr>
      <w:r>
        <w:rPr>
          <w:snapToGrid w:val="0"/>
        </w:rPr>
        <w:tab/>
        <w:t>(b)</w:t>
      </w:r>
      <w:r>
        <w:rPr>
          <w:snapToGrid w:val="0"/>
        </w:rPr>
        <w:tab/>
        <w:t>a facility that enhances the State’s tourist industry.</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w:t>
      </w:r>
    </w:p>
    <w:p>
      <w:pPr>
        <w:pStyle w:val="Defstart"/>
        <w:keepNext/>
        <w:spacing w:before="120"/>
      </w:pPr>
      <w:r>
        <w:tab/>
      </w:r>
      <w:r>
        <w:rPr>
          <w:rStyle w:val="CharDefText"/>
        </w:rPr>
        <w:t>tourist</w:t>
      </w:r>
      <w:r>
        <w:t xml:space="preserve"> means a person who is —</w:t>
      </w:r>
    </w:p>
    <w:p>
      <w:pPr>
        <w:pStyle w:val="Defpara"/>
        <w:spacing w:before="60"/>
      </w:pPr>
      <w:r>
        <w:tab/>
        <w:t>(a)</w:t>
      </w:r>
      <w:r>
        <w:tab/>
        <w:t>staying at a place that is at least 40 km from his or her usual place of residence for a period of at least one night; and</w:t>
      </w:r>
    </w:p>
    <w:p>
      <w:pPr>
        <w:pStyle w:val="Defpara"/>
        <w:spacing w:before="60"/>
      </w:pPr>
      <w:r>
        <w:tab/>
        <w:t>(b)</w:t>
      </w:r>
      <w:r>
        <w:tab/>
        <w:t>intending to stay away from his or her usual place of residence for a period of less than 12 months; and</w:t>
      </w:r>
    </w:p>
    <w:p>
      <w:pPr>
        <w:pStyle w:val="Defpara"/>
        <w:spacing w:before="60"/>
      </w:pPr>
      <w:r>
        <w:tab/>
        <w:t>(c)</w:t>
      </w:r>
      <w:r>
        <w:tab/>
        <w:t>not in the course of travelling on a regular journey between his or her usual place of residence and his or her place of work or education; and</w:t>
      </w:r>
    </w:p>
    <w:p>
      <w:pPr>
        <w:pStyle w:val="Defpara"/>
        <w:spacing w:before="60"/>
      </w:pPr>
      <w:r>
        <w:tab/>
        <w:t>(d)</w:t>
      </w:r>
      <w:r>
        <w:tab/>
        <w:t>travelling in the course of a holiday or for leisure, business, to visit friends or relatives or for any other reason.</w:t>
      </w:r>
    </w:p>
    <w:p>
      <w:pPr>
        <w:pStyle w:val="MiscellaneousHeading"/>
        <w:jc w:val="left"/>
      </w:pPr>
      <w:r>
        <w:rPr>
          <w:b/>
          <w:bCs/>
        </w:rPr>
        <w:t>Education and training institution</w:t>
      </w:r>
    </w:p>
    <w:p>
      <w:pPr>
        <w:pStyle w:val="Subsection"/>
        <w:rPr>
          <w:snapToGrid w:val="0"/>
        </w:rPr>
      </w:pPr>
      <w:r>
        <w:rPr>
          <w:snapToGrid w:val="0"/>
        </w:rPr>
        <w:tab/>
        <w:t>(10)</w:t>
      </w:r>
      <w:r>
        <w:rPr>
          <w:snapToGrid w:val="0"/>
        </w:rPr>
        <w:tab/>
        <w:t>A special facility licence may be granted for the purpose of allowing the sale of liquor at a voc</w:t>
      </w:r>
      <w:r>
        <w:t xml:space="preserve">ational education and training </w:t>
      </w:r>
      <w:r>
        <w:rPr>
          <w:snapToGrid w:val="0"/>
        </w:rPr>
        <w:t>institution or a higher education institution t</w:t>
      </w:r>
      <w:r>
        <w:t>o students and staff of the institution and their guests.</w:t>
      </w:r>
    </w:p>
    <w:p>
      <w:pPr>
        <w:pStyle w:val="MiscellaneousHeading"/>
        <w:jc w:val="left"/>
      </w:pPr>
      <w:r>
        <w:rPr>
          <w:b/>
          <w:bCs/>
        </w:rPr>
        <w:t>Education and training course</w:t>
      </w:r>
    </w:p>
    <w:p>
      <w:pPr>
        <w:pStyle w:val="Subsection"/>
      </w:pPr>
      <w:r>
        <w:tab/>
        <w:t>(10a)</w:t>
      </w:r>
      <w:r>
        <w:tab/>
        <w:t>A special facility licence may be granted for the purpose of allowing the sale or supply of liquor —</w:t>
      </w:r>
    </w:p>
    <w:p>
      <w:pPr>
        <w:pStyle w:val="Indenta"/>
      </w:pPr>
      <w:r>
        <w:tab/>
        <w:t>(a)</w:t>
      </w:r>
      <w:r>
        <w:tab/>
        <w:t>by a vocational education and training institution or higher education institution for tasting by students for the purposes of a course of instruction or training conducted by the institution in which the students are enrolled; or</w:t>
      </w:r>
    </w:p>
    <w:p>
      <w:pPr>
        <w:pStyle w:val="Indenta"/>
      </w:pPr>
      <w:r>
        <w:tab/>
        <w:t>(b)</w:t>
      </w:r>
      <w:r>
        <w:tab/>
        <w:t>by students enrolled in a course of instruction or training conducted by a vocational education and training institution or higher education institution, if the liquor is sold or supplied for the purposes of the course.</w:t>
      </w:r>
    </w:p>
    <w:p>
      <w:pPr>
        <w:pStyle w:val="Subsection"/>
      </w:pPr>
      <w:r>
        <w:tab/>
        <w:t>(10b)</w:t>
      </w:r>
      <w:r>
        <w:tab/>
        <w:t>A special facility licence may be granted for the purpose referred to in subregulation (10a) only if —</w:t>
      </w:r>
    </w:p>
    <w:p>
      <w:pPr>
        <w:pStyle w:val="Indenta"/>
      </w:pPr>
      <w:r>
        <w:tab/>
        <w:t>(a)</w:t>
      </w:r>
      <w:r>
        <w:tab/>
        <w:t>any tasting of liquor by the students is to be supervised at all times and is to be assessed for the purposes of the course of instruction or training in which the students are enrolled; and</w:t>
      </w:r>
    </w:p>
    <w:p>
      <w:pPr>
        <w:pStyle w:val="Indenta"/>
      </w:pPr>
      <w:r>
        <w:tab/>
        <w:t>(b)</w:t>
      </w:r>
      <w:r>
        <w:tab/>
        <w:t>the students are aged 16 years or older.</w:t>
      </w:r>
    </w:p>
    <w:p>
      <w:pPr>
        <w:pStyle w:val="Subsection"/>
      </w:pPr>
      <w:r>
        <w:tab/>
        <w:t>(10c)</w:t>
      </w:r>
      <w:r>
        <w:tab/>
        <w:t>A special facility licence may be granted for the purpose of allowing the sale or supply by a vocational education and training institution or higher education institution of liquor produced as part of an approved viticulture course conducted by the institution.</w:t>
      </w:r>
    </w:p>
    <w:p>
      <w:pPr>
        <w:pStyle w:val="Subsection"/>
      </w:pPr>
      <w:r>
        <w:tab/>
        <w:t>(10d)</w:t>
      </w:r>
      <w:r>
        <w:tab/>
        <w:t>A special facility licence may be granted for the purpose referred to in subregulation (10c) only if the licence is subject to all of the following conditions —</w:t>
      </w:r>
    </w:p>
    <w:p>
      <w:pPr>
        <w:pStyle w:val="Indenta"/>
      </w:pPr>
      <w:r>
        <w:tab/>
        <w:t>(a)</w:t>
      </w:r>
      <w:r>
        <w:tab/>
        <w:t>the liquor must be sold or supplied only —</w:t>
      </w:r>
    </w:p>
    <w:p>
      <w:pPr>
        <w:pStyle w:val="Indenti"/>
      </w:pPr>
      <w:r>
        <w:tab/>
        <w:t>(i)</w:t>
      </w:r>
      <w:r>
        <w:tab/>
        <w:t>during a special event; and</w:t>
      </w:r>
    </w:p>
    <w:p>
      <w:pPr>
        <w:pStyle w:val="Indenti"/>
      </w:pPr>
      <w:r>
        <w:tab/>
        <w:t>(ii)</w:t>
      </w:r>
      <w:r>
        <w:tab/>
        <w:t>in an area approved by the Director;</w:t>
      </w:r>
    </w:p>
    <w:p>
      <w:pPr>
        <w:pStyle w:val="Indenta"/>
        <w:keepNext/>
      </w:pPr>
      <w:r>
        <w:tab/>
        <w:t>(b)</w:t>
      </w:r>
      <w:r>
        <w:tab/>
        <w:t xml:space="preserve">the liquor must be sold or supplied only by persons who are — </w:t>
      </w:r>
    </w:p>
    <w:p>
      <w:pPr>
        <w:pStyle w:val="Indenti"/>
      </w:pPr>
      <w:r>
        <w:tab/>
        <w:t>(i)</w:t>
      </w:r>
      <w:r>
        <w:tab/>
        <w:t>at least 16 years of age; and</w:t>
      </w:r>
    </w:p>
    <w:p>
      <w:pPr>
        <w:pStyle w:val="Indenti"/>
      </w:pPr>
      <w:r>
        <w:tab/>
        <w:t>(ii)</w:t>
      </w:r>
      <w:r>
        <w:tab/>
        <w:t>in the case of persons under 18 years of age — under the supervision of a responsible adult;</w:t>
      </w:r>
    </w:p>
    <w:p>
      <w:pPr>
        <w:pStyle w:val="Indenta"/>
      </w:pPr>
      <w:r>
        <w:tab/>
        <w:t>(c)</w:t>
      </w:r>
      <w:r>
        <w:tab/>
        <w:t>the sale or supply of liquor to a person other than a liquor merchant must be limited —</w:t>
      </w:r>
    </w:p>
    <w:p>
      <w:pPr>
        <w:pStyle w:val="Indenti"/>
      </w:pPr>
      <w:r>
        <w:tab/>
        <w:t>(i)</w:t>
      </w:r>
      <w:r>
        <w:tab/>
        <w:t>for liquor supplied for consumption on the grounds of the institution — to the supply of free 30 ml samples for tasting purposes; or</w:t>
      </w:r>
    </w:p>
    <w:p>
      <w:pPr>
        <w:pStyle w:val="Indenti"/>
      </w:pPr>
      <w:r>
        <w:tab/>
        <w:t>(ii)</w:t>
      </w:r>
      <w:r>
        <w:tab/>
        <w:t>for packaged liquor — to the provision of not more than 9 litres to any person and in any transaction;</w:t>
      </w:r>
    </w:p>
    <w:p>
      <w:pPr>
        <w:pStyle w:val="Indenta"/>
        <w:keepNext/>
      </w:pPr>
      <w:r>
        <w:tab/>
        <w:t>(d)</w:t>
      </w:r>
      <w:r>
        <w:tab/>
        <w:t xml:space="preserve">the sale or supply of liquor to a liquor merchant — </w:t>
      </w:r>
    </w:p>
    <w:p>
      <w:pPr>
        <w:pStyle w:val="Indenti"/>
      </w:pPr>
      <w:r>
        <w:tab/>
        <w:t>(i)</w:t>
      </w:r>
      <w:r>
        <w:tab/>
        <w:t>must be limited in accordance with paragraph (c); or</w:t>
      </w:r>
    </w:p>
    <w:p>
      <w:pPr>
        <w:pStyle w:val="Indenti"/>
      </w:pPr>
      <w:r>
        <w:tab/>
        <w:t>(ii)</w:t>
      </w:r>
      <w:r>
        <w:tab/>
        <w:t>must be approved by the Director.</w:t>
      </w:r>
    </w:p>
    <w:p>
      <w:pPr>
        <w:pStyle w:val="Subsection"/>
      </w:pPr>
      <w:r>
        <w:tab/>
        <w:t>(10e)</w:t>
      </w:r>
      <w:r>
        <w:tab/>
        <w:t>In subregulations (10a), (10b), (10c) and (10d) and this subregulation —</w:t>
      </w:r>
    </w:p>
    <w:p>
      <w:pPr>
        <w:pStyle w:val="Defstart"/>
      </w:pPr>
      <w:r>
        <w:tab/>
      </w:r>
      <w:r>
        <w:rPr>
          <w:rStyle w:val="CharDefText"/>
        </w:rPr>
        <w:t>approved viticulture course</w:t>
      </w:r>
      <w:r>
        <w:t xml:space="preserve"> means — </w:t>
      </w:r>
    </w:p>
    <w:p>
      <w:pPr>
        <w:pStyle w:val="Defpara"/>
      </w:pPr>
      <w:r>
        <w:tab/>
        <w:t>(a)</w:t>
      </w:r>
      <w:r>
        <w:tab/>
        <w:t>a course that delivers units of competency from the Food Processing Industry Training Package (Wine Sector) leading to a qualification recognised under the Australian Qualifications Framework; or</w:t>
      </w:r>
    </w:p>
    <w:p>
      <w:pPr>
        <w:pStyle w:val="Defpara"/>
      </w:pPr>
      <w:r>
        <w:tab/>
        <w:t>(b)</w:t>
      </w:r>
      <w:r>
        <w:tab/>
        <w:t>a higher education course relating to viticulture;</w:t>
      </w:r>
    </w:p>
    <w:p>
      <w:pPr>
        <w:pStyle w:val="Defstart"/>
      </w:pPr>
      <w:r>
        <w:rPr>
          <w:b/>
        </w:rPr>
        <w:tab/>
      </w:r>
      <w:r>
        <w:rPr>
          <w:rStyle w:val="CharDefText"/>
        </w:rPr>
        <w:t>course of instruction or training</w:t>
      </w:r>
      <w:r>
        <w:t xml:space="preserve"> means a course of instruction or training related to the hospitality industries;</w:t>
      </w:r>
    </w:p>
    <w:p>
      <w:pPr>
        <w:pStyle w:val="Defstart"/>
        <w:keepLines/>
      </w:pPr>
      <w:r>
        <w:rPr>
          <w:b/>
        </w:rPr>
        <w:tab/>
      </w:r>
      <w:r>
        <w:rPr>
          <w:rStyle w:val="CharDefText"/>
        </w:rPr>
        <w:t>special event</w:t>
      </w:r>
      <w:r>
        <w:t xml:space="preserve"> means a graduation ceremony, speech night or annual open day that relates to a vocational education and training institution or higher education institution, or any other related event approved in writing by the Director;</w:t>
      </w:r>
    </w:p>
    <w:p>
      <w:pPr>
        <w:pStyle w:val="Defstart"/>
      </w:pPr>
      <w:r>
        <w:rPr>
          <w:b/>
        </w:rPr>
        <w:tab/>
      </w:r>
      <w:r>
        <w:rPr>
          <w:rStyle w:val="CharDefText"/>
        </w:rPr>
        <w:t>vocational education and training institution</w:t>
      </w:r>
      <w:r>
        <w:t xml:space="preserve"> includes a secondary school if the relevant course of instruction or training conducted by the school is vocational education and training, as defined in the </w:t>
      </w:r>
      <w:r>
        <w:rPr>
          <w:i/>
        </w:rPr>
        <w:t>Vocational Education and Training Act 1996</w:t>
      </w:r>
      <w:r>
        <w:t xml:space="preserve"> section 5(1).</w:t>
      </w:r>
    </w:p>
    <w:p>
      <w:pPr>
        <w:pStyle w:val="MiscellaneousHeading"/>
        <w:jc w:val="left"/>
        <w:rPr>
          <w:b/>
          <w:snapToGrid w:val="0"/>
        </w:rPr>
      </w:pPr>
      <w:r>
        <w:rPr>
          <w:b/>
          <w:snapToGrid w:val="0"/>
        </w:rPr>
        <w:t>Sports arena</w:t>
      </w:r>
    </w:p>
    <w:p>
      <w:pPr>
        <w:pStyle w:val="Subsection"/>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pPr>
      <w:r>
        <w:rPr>
          <w:snapToGrid w:val="0"/>
        </w:rPr>
        <w:tab/>
        <w:t>(12)</w:t>
      </w:r>
      <w:r>
        <w:rPr>
          <w:snapToGrid w:val="0"/>
        </w:rPr>
        <w:tab/>
        <w:t xml:space="preserve">A special facility licence may be granted for the purpose of allowing the sale of liquor at a foodhall </w:t>
      </w:r>
      <w:r>
        <w:t>to customers of the foodhall for consumption ancillary to a meal.</w:t>
      </w:r>
    </w:p>
    <w:p>
      <w:pPr>
        <w:pStyle w:val="MiscellaneousHeading"/>
        <w:jc w:val="left"/>
        <w:rPr>
          <w:b/>
          <w:snapToGrid w:val="0"/>
        </w:rPr>
      </w:pPr>
      <w:r>
        <w:rPr>
          <w:b/>
          <w:snapToGrid w:val="0"/>
        </w:rPr>
        <w:t>Catering</w:t>
      </w:r>
    </w:p>
    <w:p>
      <w:pPr>
        <w:pStyle w:val="Subsection"/>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to provide liquor (whether with or without food), for consumption by persons at that premises.</w:t>
      </w:r>
    </w:p>
    <w:p>
      <w:pPr>
        <w:pStyle w:val="Subsection"/>
      </w:pPr>
      <w:r>
        <w:tab/>
        <w:t>(14A)</w:t>
      </w:r>
      <w:r>
        <w:tab/>
        <w:t xml:space="preserve">In subregulation (13) — </w:t>
      </w:r>
    </w:p>
    <w:p>
      <w:pPr>
        <w:pStyle w:val="Defstart"/>
      </w:pPr>
      <w:r>
        <w:tab/>
      </w:r>
      <w:r>
        <w:rPr>
          <w:rStyle w:val="CharDefText"/>
        </w:rPr>
        <w:t>caterer</w:t>
      </w:r>
      <w:r>
        <w:t xml:space="preserve"> means a person who — </w:t>
      </w:r>
    </w:p>
    <w:p>
      <w:pPr>
        <w:pStyle w:val="Defpara"/>
      </w:pPr>
      <w:r>
        <w:tab/>
        <w:t>(a)</w:t>
      </w:r>
      <w:r>
        <w:tab/>
        <w:t xml:space="preserve">carries on a food business as defined in the </w:t>
      </w:r>
      <w:r>
        <w:rPr>
          <w:i/>
          <w:iCs/>
        </w:rPr>
        <w:t>Food Act 2008</w:t>
      </w:r>
      <w:r>
        <w:t xml:space="preserve"> section 10; and</w:t>
      </w:r>
    </w:p>
    <w:p>
      <w:pPr>
        <w:pStyle w:val="Defpara"/>
      </w:pPr>
      <w:r>
        <w:tab/>
        <w:t>(b)</w:t>
      </w:r>
      <w:r>
        <w:tab/>
        <w:t>handles or sells food for consumption at functions.</w:t>
      </w:r>
    </w:p>
    <w:p>
      <w:pPr>
        <w:pStyle w:val="MiscellaneousHeading"/>
        <w:jc w:val="left"/>
        <w:rPr>
          <w:b/>
          <w:snapToGrid w:val="0"/>
        </w:rPr>
      </w:pPr>
      <w:r>
        <w:rPr>
          <w:b/>
          <w:snapToGrid w:val="0"/>
        </w:rPr>
        <w:t>Bed and breakfast facility</w:t>
      </w:r>
    </w:p>
    <w:p>
      <w:pPr>
        <w:pStyle w:val="Subsection"/>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keepLines/>
        <w:jc w:val="left"/>
        <w:rPr>
          <w:b/>
          <w:snapToGrid w:val="0"/>
        </w:rPr>
      </w:pPr>
      <w:r>
        <w:rPr>
          <w:b/>
          <w:snapToGrid w:val="0"/>
        </w:rPr>
        <w:t>Room service restaurant</w:t>
      </w:r>
    </w:p>
    <w:p>
      <w:pPr>
        <w:pStyle w:val="Subsection"/>
        <w:keepNext/>
        <w:keepLines/>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of liquor to customers at the restaurant for consumption ancillary to meals eaten in the restaurant; and</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A special facility licence may also be granted for the purpose of allowing the sale of liquor to customers at the room service restaurant, whether or not ancillary to meals eaten in the restaurant, if —</w:t>
      </w:r>
    </w:p>
    <w:p>
      <w:pPr>
        <w:pStyle w:val="Indenta"/>
        <w:spacing w:before="60"/>
      </w:pPr>
      <w:r>
        <w:tab/>
        <w:t>(a)</w:t>
      </w:r>
      <w:r>
        <w:tab/>
        <w:t>the liquor is consumed at the restaurant —</w:t>
      </w:r>
    </w:p>
    <w:p>
      <w:pPr>
        <w:pStyle w:val="Indenti"/>
        <w:spacing w:before="60"/>
      </w:pPr>
      <w:r>
        <w:tab/>
        <w:t>(i)</w:t>
      </w:r>
      <w:r>
        <w:tab/>
        <w:t>during hours that are permitted hours under a hotel licence; and</w:t>
      </w:r>
    </w:p>
    <w:p>
      <w:pPr>
        <w:pStyle w:val="Indenti"/>
        <w:spacing w:before="60"/>
      </w:pPr>
      <w:r>
        <w:tab/>
        <w:t>(ii)</w:t>
      </w:r>
      <w:r>
        <w:tab/>
        <w:t>by customers while sitting at a table, or at a fixed structure used as a table;</w:t>
      </w:r>
    </w:p>
    <w:p>
      <w:pPr>
        <w:pStyle w:val="Indenta"/>
        <w:spacing w:before="60"/>
      </w:pPr>
      <w:r>
        <w:tab/>
      </w:r>
      <w:r>
        <w:tab/>
        <w:t>and</w:t>
      </w:r>
    </w:p>
    <w:p>
      <w:pPr>
        <w:pStyle w:val="Indenta"/>
        <w:spacing w:before="60"/>
      </w:pPr>
      <w:r>
        <w:tab/>
        <w:t>(b)</w:t>
      </w:r>
      <w:r>
        <w:tab/>
        <w:t>the sale and consumption of the liquor are in accordance with any conditions imposed on the special facility licence by the licensing authority.</w:t>
      </w:r>
    </w:p>
    <w:p>
      <w:pPr>
        <w:pStyle w:val="Subsection"/>
        <w:rPr>
          <w:snapToGrid w:val="0"/>
        </w:rPr>
      </w:pPr>
      <w:r>
        <w:rPr>
          <w:snapToGrid w:val="0"/>
        </w:rPr>
        <w:tab/>
        <w:t>(17)</w:t>
      </w:r>
      <w:r>
        <w:rPr>
          <w:snapToGrid w:val="0"/>
        </w:rPr>
        <w:tab/>
        <w:t>In subregulations (15) and (16) —</w:t>
      </w:r>
    </w:p>
    <w:p>
      <w:pPr>
        <w:pStyle w:val="Defstart"/>
        <w:spacing w:before="60"/>
      </w:pPr>
      <w:r>
        <w:tab/>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spacing w:before="200"/>
        <w:jc w:val="left"/>
        <w:rPr>
          <w:b/>
          <w:snapToGrid w:val="0"/>
        </w:rPr>
      </w:pPr>
      <w:r>
        <w:rPr>
          <w:b/>
          <w:snapToGrid w:val="0"/>
        </w:rPr>
        <w:t>Amusement venue</w:t>
      </w:r>
    </w:p>
    <w:p>
      <w:pPr>
        <w:pStyle w:val="Subsection"/>
      </w:pPr>
      <w:r>
        <w:tab/>
        <w:t>(18)</w:t>
      </w:r>
      <w:r>
        <w:tab/>
        <w:t>A special facility licence may be granted for the purpose of allowing the sale of liquor at an amusement venue to persons in the venue.</w:t>
      </w:r>
    </w:p>
    <w:p>
      <w:pPr>
        <w:pStyle w:val="Subsection"/>
        <w:keepNext/>
      </w:pPr>
      <w:r>
        <w:tab/>
        <w:t>(19)</w:t>
      </w:r>
      <w:r>
        <w:tab/>
        <w:t>In subregulation (18) —</w:t>
      </w:r>
    </w:p>
    <w:p>
      <w:pPr>
        <w:pStyle w:val="Defstart"/>
      </w:pPr>
      <w:r>
        <w:tab/>
      </w:r>
      <w:r>
        <w:rPr>
          <w:rStyle w:val="CharDefText"/>
        </w:rPr>
        <w:t>amusement venue</w:t>
      </w:r>
      <w:r>
        <w:t xml:space="preserve"> means premises the primary purpose of which is to allow persons in the premises —</w:t>
      </w:r>
    </w:p>
    <w:p>
      <w:pPr>
        <w:pStyle w:val="Defpara"/>
      </w:pPr>
      <w:r>
        <w:tab/>
        <w:t>(a)</w:t>
      </w:r>
      <w:r>
        <w:tab/>
        <w:t>to play or view snooker, bowling, electronic games or other similar amusements; or</w:t>
      </w:r>
    </w:p>
    <w:p>
      <w:pPr>
        <w:pStyle w:val="Defpara"/>
      </w:pPr>
      <w:r>
        <w:tab/>
        <w:t>(b)</w:t>
      </w:r>
      <w:r>
        <w:tab/>
        <w:t>to participate in or view karaoke.</w:t>
      </w:r>
    </w:p>
    <w:p>
      <w:pPr>
        <w:pStyle w:val="Ednotesubsection"/>
      </w:pPr>
      <w:r>
        <w:tab/>
        <w:t>[(20), (21)</w:t>
      </w:r>
      <w:r>
        <w:tab/>
        <w:t>deleted]</w:t>
      </w:r>
    </w:p>
    <w:p>
      <w:pPr>
        <w:pStyle w:val="MiscellaneousHeading"/>
        <w:spacing w:before="200"/>
        <w:jc w:val="left"/>
        <w:rPr>
          <w:b/>
          <w:snapToGrid w:val="0"/>
        </w:rPr>
      </w:pPr>
      <w:r>
        <w:rPr>
          <w:b/>
          <w:snapToGrid w:val="0"/>
        </w:rPr>
        <w:t>Auction</w:t>
      </w:r>
    </w:p>
    <w:p>
      <w:pPr>
        <w:pStyle w:val="Subsection"/>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pPr>
      <w:r>
        <w:tab/>
        <w:t>(23)</w:t>
      </w:r>
      <w:r>
        <w:tab/>
        <w:t>A licence granted for this purpose may permit the supply of samples of the packaged liquor that is for auction, for tasting.</w:t>
      </w:r>
    </w:p>
    <w:p>
      <w:pPr>
        <w:pStyle w:val="Footnotesection"/>
        <w:ind w:left="890" w:hanging="890"/>
      </w:pPr>
      <w:r>
        <w:tab/>
        <w:t>[Regulation 9A inserted in Gazette 4 Jan 2002 p. 8</w:t>
      </w:r>
      <w:r>
        <w:noBreakHyphen/>
        <w:t>11; amended in Gazette 28 Mar 2003 p. 984; 10 Oct 2003 p. 4406; 10 Aug 2004 p. 3186; 19 Aug 2005 p. 3874; 1 May 2007 p. 1868</w:t>
      </w:r>
      <w:r>
        <w:noBreakHyphen/>
        <w:t>71; 13 Mar 2009 p. 763; 15 Jan 2010 p. 71</w:t>
      </w:r>
      <w:r>
        <w:noBreakHyphen/>
        <w:t>2; 22 Oct 2010 p. 5226; 7 Oct 2011 p. 4068-9; 6 Jan 2012 p. 48 (disallowed in Gazette 18 Sep 2012 p. 4411); 16 Nov 2012 p. 5658.]</w:t>
      </w:r>
    </w:p>
    <w:p>
      <w:pPr>
        <w:pStyle w:val="Heading5"/>
      </w:pPr>
      <w:bookmarkStart w:id="219" w:name="_Toc172713917"/>
      <w:bookmarkStart w:id="220" w:name="_Toc264018261"/>
      <w:bookmarkStart w:id="221" w:name="_Toc303323154"/>
      <w:bookmarkStart w:id="222" w:name="_Toc357698830"/>
      <w:bookmarkStart w:id="223" w:name="_Toc534780034"/>
      <w:bookmarkStart w:id="224" w:name="_Toc3352041"/>
      <w:bookmarkStart w:id="225" w:name="_Toc3352116"/>
      <w:bookmarkStart w:id="226" w:name="_Toc22966218"/>
      <w:bookmarkStart w:id="227" w:name="_Toc66263824"/>
      <w:bookmarkStart w:id="228" w:name="_Toc119294069"/>
      <w:bookmarkStart w:id="229" w:name="_Toc123633162"/>
      <w:r>
        <w:rPr>
          <w:rStyle w:val="CharSectno"/>
        </w:rPr>
        <w:t>9AB</w:t>
      </w:r>
      <w:r>
        <w:t>.</w:t>
      </w:r>
      <w:r>
        <w:tab/>
        <w:t xml:space="preserve">Kind of extended trading permit prescribed </w:t>
      </w:r>
      <w:r>
        <w:rPr>
          <w:snapToGrid w:val="0"/>
        </w:rPr>
        <w:t>(Act s.</w:t>
      </w:r>
      <w:r>
        <w:t> 25(5a)</w:t>
      </w:r>
      <w:bookmarkEnd w:id="219"/>
      <w:r>
        <w:t>)</w:t>
      </w:r>
      <w:bookmarkEnd w:id="220"/>
      <w:bookmarkEnd w:id="221"/>
      <w:bookmarkEnd w:id="222"/>
    </w:p>
    <w:p>
      <w:pPr>
        <w:pStyle w:val="Subsection"/>
      </w:pPr>
      <w:r>
        <w:tab/>
      </w:r>
      <w:r>
        <w:tab/>
        <w:t>For the purposes of section 25(5a), an extended trading permit to be issued for the purposes referred to in section 60(4)(g) and for a specified period exceeding 3 weeks is prescribed.</w:t>
      </w:r>
    </w:p>
    <w:p>
      <w:pPr>
        <w:pStyle w:val="Footnotesection"/>
        <w:ind w:left="890" w:hanging="890"/>
      </w:pPr>
      <w:r>
        <w:tab/>
        <w:t>[Regulation 9AB inserted in Gazette 1 May 2007 p. 1871.]</w:t>
      </w:r>
    </w:p>
    <w:p>
      <w:pPr>
        <w:pStyle w:val="Heading5"/>
        <w:rPr>
          <w:snapToGrid w:val="0"/>
        </w:rPr>
      </w:pPr>
      <w:bookmarkStart w:id="230" w:name="_Toc172713918"/>
      <w:bookmarkStart w:id="231" w:name="_Toc264018262"/>
      <w:bookmarkStart w:id="232" w:name="_Toc303323155"/>
      <w:bookmarkStart w:id="233" w:name="_Toc357698831"/>
      <w:r>
        <w:rPr>
          <w:rStyle w:val="CharSectno"/>
        </w:rPr>
        <w:t>9B</w:t>
      </w:r>
      <w:r>
        <w:rPr>
          <w:snapToGrid w:val="0"/>
        </w:rPr>
        <w:t>.</w:t>
      </w:r>
      <w:r>
        <w:rPr>
          <w:snapToGrid w:val="0"/>
        </w:rPr>
        <w:tab/>
        <w:t>Special facility licence, effect of as to sale of packaged liquor</w:t>
      </w:r>
      <w:bookmarkEnd w:id="223"/>
      <w:bookmarkEnd w:id="224"/>
      <w:bookmarkEnd w:id="225"/>
      <w:bookmarkEnd w:id="226"/>
      <w:bookmarkEnd w:id="227"/>
      <w:bookmarkEnd w:id="228"/>
      <w:bookmarkEnd w:id="229"/>
      <w:bookmarkEnd w:id="230"/>
      <w:bookmarkEnd w:id="231"/>
      <w:bookmarkEnd w:id="232"/>
      <w:bookmarkEnd w:id="233"/>
    </w:p>
    <w:p>
      <w:pPr>
        <w:pStyle w:val="Subsection"/>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for consumption on the licensed premises; and</w:t>
      </w:r>
    </w:p>
    <w:p>
      <w:pPr>
        <w:pStyle w:val="Indenta"/>
        <w:keepNext/>
        <w:rPr>
          <w:snapToGrid w:val="0"/>
        </w:rPr>
      </w:pPr>
      <w:r>
        <w:tab/>
        <w:t>(b)</w:t>
      </w:r>
      <w:r>
        <w:tab/>
      </w:r>
      <w:r>
        <w:rPr>
          <w:snapToGrid w:val="0"/>
        </w:rPr>
        <w:t>does not permit the sale of packaged liquor.</w:t>
      </w:r>
    </w:p>
    <w:p>
      <w:pPr>
        <w:pStyle w:val="Footnotesection"/>
        <w:ind w:left="890" w:hanging="890"/>
      </w:pPr>
      <w:r>
        <w:tab/>
        <w:t>[Regulation 9B inserted in Gazette 4 Jan 2002 p. 11.]</w:t>
      </w:r>
    </w:p>
    <w:p>
      <w:pPr>
        <w:pStyle w:val="Heading5"/>
        <w:rPr>
          <w:snapToGrid w:val="0"/>
        </w:rPr>
      </w:pPr>
      <w:bookmarkStart w:id="234" w:name="_Toc534780035"/>
      <w:bookmarkStart w:id="235" w:name="_Toc3352042"/>
      <w:bookmarkStart w:id="236" w:name="_Toc3352117"/>
      <w:bookmarkStart w:id="237" w:name="_Toc22966219"/>
      <w:bookmarkStart w:id="238" w:name="_Toc66263825"/>
      <w:bookmarkStart w:id="239" w:name="_Toc119294070"/>
      <w:bookmarkStart w:id="240" w:name="_Toc123633163"/>
      <w:bookmarkStart w:id="241" w:name="_Toc172713919"/>
      <w:bookmarkStart w:id="242" w:name="_Toc264018263"/>
      <w:bookmarkStart w:id="243" w:name="_Toc303323156"/>
      <w:bookmarkStart w:id="244" w:name="_Toc357698832"/>
      <w:r>
        <w:rPr>
          <w:rStyle w:val="CharSectno"/>
        </w:rPr>
        <w:t>9C</w:t>
      </w:r>
      <w:r>
        <w:rPr>
          <w:snapToGrid w:val="0"/>
        </w:rPr>
        <w:t>.</w:t>
      </w:r>
      <w:r>
        <w:rPr>
          <w:snapToGrid w:val="0"/>
        </w:rPr>
        <w:tab/>
        <w:t>Types of special facility licence</w:t>
      </w:r>
      <w:bookmarkEnd w:id="234"/>
      <w:bookmarkEnd w:id="235"/>
      <w:bookmarkEnd w:id="236"/>
      <w:bookmarkEnd w:id="237"/>
      <w:bookmarkEnd w:id="238"/>
      <w:bookmarkEnd w:id="239"/>
      <w:bookmarkEnd w:id="240"/>
      <w:bookmarkEnd w:id="241"/>
      <w:r>
        <w:rPr>
          <w:snapToGrid w:val="0"/>
        </w:rPr>
        <w:t xml:space="preserve"> prescribed (Act s. 46(6))</w:t>
      </w:r>
      <w:bookmarkEnd w:id="242"/>
      <w:bookmarkEnd w:id="243"/>
      <w:bookmarkEnd w:id="244"/>
    </w:p>
    <w:p>
      <w:pPr>
        <w:pStyle w:val="Subsection"/>
        <w:rPr>
          <w:snapToGrid w:val="0"/>
        </w:rPr>
      </w:pPr>
      <w:r>
        <w:rPr>
          <w:snapToGrid w:val="0"/>
        </w:rPr>
        <w:tab/>
      </w:r>
      <w:r>
        <w:rPr>
          <w:snapToGrid w:val="0"/>
        </w:rPr>
        <w:tab/>
        <w:t>For the purposes of section 46(6) a special facility licence is a licence of a type prescribed if it is granted for a purpose described in one of the following regulations —</w:t>
      </w:r>
    </w:p>
    <w:p>
      <w:pPr>
        <w:pStyle w:val="Indenta"/>
        <w:spacing w:before="50"/>
      </w:pPr>
      <w:r>
        <w:rPr>
          <w:snapToGrid w:val="0"/>
        </w:rPr>
        <w:tab/>
        <w:t>(a)</w:t>
      </w:r>
      <w:r>
        <w:rPr>
          <w:snapToGrid w:val="0"/>
        </w:rPr>
        <w:tab/>
      </w:r>
      <w:r>
        <w:t>regulation 9A(1) — works canteen;</w:t>
      </w:r>
    </w:p>
    <w:p>
      <w:pPr>
        <w:pStyle w:val="Indenta"/>
        <w:spacing w:before="50"/>
      </w:pPr>
      <w:r>
        <w:tab/>
        <w:t>(b)</w:t>
      </w:r>
      <w:r>
        <w:tab/>
        <w:t>regulation 9A(6) — transport;</w:t>
      </w:r>
    </w:p>
    <w:p>
      <w:pPr>
        <w:pStyle w:val="Indenta"/>
        <w:spacing w:before="50"/>
      </w:pPr>
      <w:r>
        <w:tab/>
        <w:t>(ca)</w:t>
      </w:r>
      <w:r>
        <w:tab/>
        <w:t>regulation 9A(10) — education and training institution;</w:t>
      </w:r>
    </w:p>
    <w:p>
      <w:pPr>
        <w:pStyle w:val="Indenta"/>
        <w:spacing w:before="50"/>
      </w:pPr>
      <w:r>
        <w:tab/>
        <w:t>(cb)</w:t>
      </w:r>
      <w:r>
        <w:tab/>
        <w:t>regulation 9A(10a) — education and training course;</w:t>
      </w:r>
    </w:p>
    <w:p>
      <w:pPr>
        <w:pStyle w:val="Indenta"/>
        <w:spacing w:before="50"/>
      </w:pPr>
      <w:r>
        <w:tab/>
        <w:t>(cc)</w:t>
      </w:r>
      <w:r>
        <w:tab/>
        <w:t>regulation 9A(10c) — approved viticulture course;</w:t>
      </w:r>
    </w:p>
    <w:p>
      <w:pPr>
        <w:pStyle w:val="Indenta"/>
        <w:spacing w:before="50"/>
      </w:pPr>
      <w:r>
        <w:tab/>
        <w:t>(c)</w:t>
      </w:r>
      <w:r>
        <w:tab/>
        <w:t>regulation 9A(11) — sports arena;</w:t>
      </w:r>
    </w:p>
    <w:p>
      <w:pPr>
        <w:pStyle w:val="Indenta"/>
        <w:spacing w:before="50"/>
      </w:pPr>
      <w:r>
        <w:tab/>
        <w:t>(d)</w:t>
      </w:r>
      <w:r>
        <w:tab/>
        <w:t>regulation 9A(12) — foodhall;</w:t>
      </w:r>
    </w:p>
    <w:p>
      <w:pPr>
        <w:pStyle w:val="Indenta"/>
        <w:spacing w:before="50"/>
      </w:pPr>
      <w:r>
        <w:tab/>
        <w:t>(e)</w:t>
      </w:r>
      <w:r>
        <w:tab/>
        <w:t>regulation 9A(13) — catering;</w:t>
      </w:r>
    </w:p>
    <w:p>
      <w:pPr>
        <w:pStyle w:val="Indenta"/>
        <w:spacing w:before="50"/>
      </w:pPr>
      <w:r>
        <w:tab/>
        <w:t>(f)</w:t>
      </w:r>
      <w:r>
        <w:tab/>
        <w:t>regulation 9A(14) — bed and breakfast facility;</w:t>
      </w:r>
    </w:p>
    <w:p>
      <w:pPr>
        <w:pStyle w:val="Indenta"/>
        <w:spacing w:before="50"/>
      </w:pPr>
      <w:r>
        <w:tab/>
        <w:t>(g)</w:t>
      </w:r>
      <w:r>
        <w:tab/>
        <w:t>regulation 9A(15) and (16) — room service restaurant;</w:t>
      </w:r>
    </w:p>
    <w:p>
      <w:pPr>
        <w:pStyle w:val="Ednotepara"/>
        <w:spacing w:before="50"/>
      </w:pPr>
      <w:r>
        <w:rPr>
          <w:snapToGrid w:val="0"/>
        </w:rPr>
        <w:tab/>
        <w:t>[(h)</w:t>
      </w:r>
      <w:r>
        <w:rPr>
          <w:snapToGrid w:val="0"/>
        </w:rPr>
        <w:tab/>
        <w:t>deleted]</w:t>
      </w:r>
    </w:p>
    <w:p>
      <w:pPr>
        <w:pStyle w:val="Indenta"/>
        <w:spacing w:before="50"/>
      </w:pPr>
      <w:r>
        <w:tab/>
        <w:t>(i)</w:t>
      </w:r>
      <w:r>
        <w:tab/>
        <w:t>regulation 9A(22) — auction.</w:t>
      </w:r>
    </w:p>
    <w:p>
      <w:pPr>
        <w:pStyle w:val="Footnotesection"/>
      </w:pPr>
      <w:r>
        <w:tab/>
        <w:t>[Regulation 9C inserted in Gazette 4 Jan 2002 p. 11</w:t>
      </w:r>
      <w:r>
        <w:noBreakHyphen/>
        <w:t>12; amended in Gazette 1 May 2007 p. 1871 and 1888</w:t>
      </w:r>
      <w:r>
        <w:noBreakHyphen/>
        <w:t>9; 15 Jan 2010 p. 72.]</w:t>
      </w:r>
    </w:p>
    <w:p>
      <w:pPr>
        <w:pStyle w:val="Heading5"/>
      </w:pPr>
      <w:bookmarkStart w:id="245" w:name="_Toc172713920"/>
      <w:bookmarkStart w:id="246" w:name="_Toc264018264"/>
      <w:bookmarkStart w:id="247" w:name="_Toc303323157"/>
      <w:bookmarkStart w:id="248" w:name="_Toc357698833"/>
      <w:bookmarkStart w:id="249" w:name="_Toc534780036"/>
      <w:bookmarkStart w:id="250" w:name="_Toc3352043"/>
      <w:bookmarkStart w:id="251" w:name="_Toc3352118"/>
      <w:bookmarkStart w:id="252" w:name="_Toc22966220"/>
      <w:bookmarkStart w:id="253" w:name="_Toc66263826"/>
      <w:bookmarkStart w:id="254" w:name="_Toc119294071"/>
      <w:bookmarkStart w:id="255" w:name="_Toc123633164"/>
      <w:r>
        <w:rPr>
          <w:rStyle w:val="CharSectno"/>
        </w:rPr>
        <w:t>9D</w:t>
      </w:r>
      <w:r>
        <w:t>.</w:t>
      </w:r>
      <w:r>
        <w:tab/>
      </w:r>
      <w:r>
        <w:rPr>
          <w:snapToGrid w:val="0"/>
        </w:rPr>
        <w:t>Act s.</w:t>
      </w:r>
      <w:r>
        <w:t> 33(6b) modified as to occasional licences</w:t>
      </w:r>
      <w:bookmarkEnd w:id="245"/>
      <w:bookmarkEnd w:id="246"/>
      <w:bookmarkEnd w:id="247"/>
      <w:bookmarkEnd w:id="248"/>
    </w:p>
    <w:p>
      <w:pPr>
        <w:pStyle w:val="Subsection"/>
      </w:pPr>
      <w:r>
        <w:tab/>
        <w:t>(1)</w:t>
      </w:r>
      <w:r>
        <w:tab/>
        <w:t>For the purposes of a determination under section 33(6) in respect of an application for an occasional licence where the anticipated number of patrons is greater than 250, section 33(6b) has effect, unless the Director otherwise determines, as if section 33(6b)(c) were deleted.</w:t>
      </w:r>
    </w:p>
    <w:p>
      <w:pPr>
        <w:pStyle w:val="Subsection"/>
      </w:pPr>
      <w:r>
        <w:tab/>
        <w:t>(2)</w:t>
      </w:r>
      <w:r>
        <w:tab/>
        <w:t>For the purposes of a determination under section 33(6) in respect of an application for an occasional licence where the anticipated number of patrons is not greater than 250, section 33(6b) does not have effect unless the Director otherwise determines.</w:t>
      </w:r>
    </w:p>
    <w:p>
      <w:pPr>
        <w:pStyle w:val="Footnotesection"/>
      </w:pPr>
      <w:r>
        <w:tab/>
        <w:t>[Regulation 9D inserted in Gazette 1 May 2007 p. 1871</w:t>
      </w:r>
      <w:r>
        <w:noBreakHyphen/>
        <w:t>2; amended in Gazette 22 Oct 2010 p. 5226.]</w:t>
      </w:r>
    </w:p>
    <w:p>
      <w:pPr>
        <w:pStyle w:val="Heading5"/>
      </w:pPr>
      <w:bookmarkStart w:id="256" w:name="_Toc343675179"/>
      <w:bookmarkStart w:id="257" w:name="_Toc357698834"/>
      <w:bookmarkStart w:id="258" w:name="_Toc172713922"/>
      <w:bookmarkStart w:id="259" w:name="_Toc264018266"/>
      <w:bookmarkStart w:id="260" w:name="_Toc303323158"/>
      <w:r>
        <w:rPr>
          <w:rStyle w:val="CharSectno"/>
        </w:rPr>
        <w:t>9E</w:t>
      </w:r>
      <w:r>
        <w:t>.</w:t>
      </w:r>
      <w:r>
        <w:tab/>
        <w:t>Period prescribed (Act s. 33(6D)(b))</w:t>
      </w:r>
      <w:bookmarkEnd w:id="256"/>
      <w:bookmarkEnd w:id="257"/>
    </w:p>
    <w:p>
      <w:pPr>
        <w:pStyle w:val="Subsection"/>
      </w:pPr>
      <w:r>
        <w:tab/>
      </w:r>
      <w:r>
        <w:tab/>
        <w:t>For the purposes of section 33(6D)(b) the period of 3 months is prescribed.</w:t>
      </w:r>
    </w:p>
    <w:p>
      <w:pPr>
        <w:pStyle w:val="Footnotesection"/>
      </w:pPr>
      <w:r>
        <w:tab/>
        <w:t>[Regulation 9E inserted in Gazette 16 Nov 2012 p. 5658.]</w:t>
      </w:r>
    </w:p>
    <w:p>
      <w:pPr>
        <w:pStyle w:val="Heading5"/>
      </w:pPr>
      <w:bookmarkStart w:id="261" w:name="_Toc357698835"/>
      <w:r>
        <w:rPr>
          <w:rStyle w:val="CharSectno"/>
        </w:rPr>
        <w:t>9F</w:t>
      </w:r>
      <w:r>
        <w:t>.</w:t>
      </w:r>
      <w:r>
        <w:tab/>
        <w:t>Kinds of permit prescribed (Act s. 38(1)(b))</w:t>
      </w:r>
      <w:bookmarkEnd w:id="261"/>
    </w:p>
    <w:p>
      <w:pPr>
        <w:pStyle w:val="Subsection"/>
      </w:pPr>
      <w:r>
        <w:tab/>
        <w:t>(1)</w:t>
      </w:r>
      <w:r>
        <w:tab/>
        <w:t xml:space="preserve">For the purposes of section 38(1)(b), the following kinds of permits are prescribed — </w:t>
      </w:r>
    </w:p>
    <w:p>
      <w:pPr>
        <w:pStyle w:val="Indenta"/>
      </w:pPr>
      <w:r>
        <w:tab/>
        <w:t>(a)</w:t>
      </w:r>
      <w:r>
        <w:tab/>
        <w:t>an extended trading permit to be issued for the purpose referred to in section 60(4)(ca) (other than an extended trading permit to which subregulation (2) applies);</w:t>
      </w:r>
    </w:p>
    <w:p>
      <w:pPr>
        <w:pStyle w:val="Indenta"/>
      </w:pPr>
      <w:r>
        <w:tab/>
        <w:t>(b)</w:t>
      </w:r>
      <w:r>
        <w:tab/>
        <w:t>an extended trading permit to be issued for the purpose referred to in section 60(4)(g) and for a specified period exceeding 3 weeks.</w:t>
      </w:r>
    </w:p>
    <w:p>
      <w:pPr>
        <w:pStyle w:val="Subsection"/>
      </w:pPr>
      <w:r>
        <w:tab/>
        <w:t>(2)</w:t>
      </w:r>
      <w:r>
        <w:tab/>
        <w:t xml:space="preserve">This subregulation applies to an extended trading permit to be issued in respect of a restaurant licence if, when the permit is issued, the licence will be the subject of a condition limiting the maximum number of persons who may be on the licensed premises to 120 or fewer, the licensee having declared in the application for the permit — </w:t>
      </w:r>
    </w:p>
    <w:p>
      <w:pPr>
        <w:pStyle w:val="Indenta"/>
      </w:pPr>
      <w:r>
        <w:tab/>
        <w:t>(a)</w:t>
      </w:r>
      <w:r>
        <w:tab/>
        <w:t>that the maximum number of persons who may be on the licensed premises when the application is made is 120 or fewer; or</w:t>
      </w:r>
    </w:p>
    <w:p>
      <w:pPr>
        <w:pStyle w:val="Indenta"/>
      </w:pPr>
      <w:r>
        <w:tab/>
        <w:t>(b)</w:t>
      </w:r>
      <w:r>
        <w:tab/>
        <w:t>if paragraph (a) does not apply — that the licensee consents to the imposition on the licence of a condition limiting the maximum number of persons who may be on the licensed premises to 120.</w:t>
      </w:r>
    </w:p>
    <w:p>
      <w:pPr>
        <w:pStyle w:val="Footnotesection"/>
        <w:spacing w:before="100"/>
        <w:ind w:left="890" w:hanging="890"/>
      </w:pPr>
      <w:r>
        <w:tab/>
        <w:t>[Regulation 9F inserted in Gazette 31 May 2013 p. 2118</w:t>
      </w:r>
      <w:r>
        <w:noBreakHyphen/>
        <w:t>19.]</w:t>
      </w:r>
    </w:p>
    <w:p>
      <w:pPr>
        <w:pStyle w:val="Heading5"/>
      </w:pPr>
      <w:bookmarkStart w:id="262" w:name="_Toc172713923"/>
      <w:bookmarkStart w:id="263" w:name="_Toc264018267"/>
      <w:bookmarkStart w:id="264" w:name="_Toc303323159"/>
      <w:bookmarkStart w:id="265" w:name="_Toc357698836"/>
      <w:bookmarkEnd w:id="258"/>
      <w:bookmarkEnd w:id="259"/>
      <w:bookmarkEnd w:id="260"/>
      <w:r>
        <w:rPr>
          <w:rStyle w:val="CharSectno"/>
        </w:rPr>
        <w:t>9G</w:t>
      </w:r>
      <w:r>
        <w:t>.</w:t>
      </w:r>
      <w:r>
        <w:tab/>
        <w:t xml:space="preserve">Reciprocal arrangements for club membership, requirements for </w:t>
      </w:r>
      <w:r>
        <w:rPr>
          <w:snapToGrid w:val="0"/>
        </w:rPr>
        <w:t>(Act s.</w:t>
      </w:r>
      <w:r>
        <w:t> 49(3)(c)(iv)</w:t>
      </w:r>
      <w:bookmarkEnd w:id="262"/>
      <w:r>
        <w:t>)</w:t>
      </w:r>
      <w:bookmarkEnd w:id="263"/>
      <w:bookmarkEnd w:id="264"/>
      <w:bookmarkEnd w:id="265"/>
    </w:p>
    <w:p>
      <w:pPr>
        <w:pStyle w:val="Subsection"/>
      </w:pPr>
      <w:r>
        <w:tab/>
      </w:r>
      <w:r>
        <w:tab/>
        <w:t xml:space="preserve">For the purposes of section 49(3)(c)(iv), the constitution or rules of a club (the </w:t>
      </w:r>
      <w:r>
        <w:rPr>
          <w:rStyle w:val="CharDefText"/>
        </w:rPr>
        <w:t>host club</w:t>
      </w:r>
      <w:r>
        <w:t>) may provide for membership of the host club by reason of reciprocal arrangements relating to the members of —</w:t>
      </w:r>
    </w:p>
    <w:p>
      <w:pPr>
        <w:pStyle w:val="Indenta"/>
      </w:pPr>
      <w:r>
        <w:tab/>
        <w:t>(a)</w:t>
      </w:r>
      <w:r>
        <w:tab/>
        <w:t>another club in the State, but only if the principal objects of that other club are the same as, or include, the principal objects of the host club; or</w:t>
      </w:r>
    </w:p>
    <w:p>
      <w:pPr>
        <w:pStyle w:val="Indenta"/>
      </w:pPr>
      <w:r>
        <w:tab/>
        <w:t>(b)</w:t>
      </w:r>
      <w:r>
        <w:tab/>
        <w:t xml:space="preserve">another club in another State or a Territory or </w:t>
      </w:r>
      <w:smartTag w:uri="urn:schemas-microsoft-com:office:smarttags" w:element="place">
        <w:smartTag w:uri="urn:schemas-microsoft-com:office:smarttags" w:element="country-region">
          <w:r>
            <w:t>New Zealand</w:t>
          </w:r>
        </w:smartTag>
      </w:smartTag>
      <w:r>
        <w:t>.</w:t>
      </w:r>
    </w:p>
    <w:p>
      <w:pPr>
        <w:pStyle w:val="Footnotesection"/>
      </w:pPr>
      <w:r>
        <w:tab/>
        <w:t>[Regulation 9G inserted in Gazette 1 May 2007 p. 1873.]</w:t>
      </w:r>
    </w:p>
    <w:p>
      <w:pPr>
        <w:pStyle w:val="Heading5"/>
        <w:rPr>
          <w:snapToGrid w:val="0"/>
        </w:rPr>
      </w:pPr>
      <w:bookmarkStart w:id="266" w:name="_Toc172713924"/>
      <w:bookmarkStart w:id="267" w:name="_Toc264018268"/>
      <w:bookmarkStart w:id="268" w:name="_Toc303323160"/>
      <w:bookmarkStart w:id="269" w:name="_Toc357698837"/>
      <w:r>
        <w:rPr>
          <w:rStyle w:val="CharSectno"/>
        </w:rPr>
        <w:t>10</w:t>
      </w:r>
      <w:r>
        <w:rPr>
          <w:snapToGrid w:val="0"/>
        </w:rPr>
        <w:t>.</w:t>
      </w:r>
      <w:r>
        <w:rPr>
          <w:snapToGrid w:val="0"/>
        </w:rPr>
        <w:tab/>
      </w:r>
      <w:bookmarkEnd w:id="217"/>
      <w:bookmarkEnd w:id="218"/>
      <w:bookmarkEnd w:id="249"/>
      <w:bookmarkEnd w:id="250"/>
      <w:bookmarkEnd w:id="251"/>
      <w:bookmarkEnd w:id="252"/>
      <w:bookmarkEnd w:id="253"/>
      <w:bookmarkEnd w:id="254"/>
      <w:bookmarkEnd w:id="255"/>
      <w:bookmarkEnd w:id="266"/>
      <w:r>
        <w:rPr>
          <w:snapToGrid w:val="0"/>
        </w:rPr>
        <w:t>Requirements prescribed (Act s. </w:t>
      </w:r>
      <w:r>
        <w:t>57(2)(d)</w:t>
      </w:r>
      <w:r>
        <w:rPr>
          <w:snapToGrid w:val="0"/>
        </w:rPr>
        <w:t>)</w:t>
      </w:r>
      <w:bookmarkEnd w:id="267"/>
      <w:bookmarkEnd w:id="268"/>
      <w:bookmarkEnd w:id="269"/>
    </w:p>
    <w:p>
      <w:pPr>
        <w:pStyle w:val="Subsection"/>
        <w:rPr>
          <w:snapToGrid w:val="0"/>
        </w:rPr>
      </w:pPr>
      <w:r>
        <w:rPr>
          <w:snapToGrid w:val="0"/>
        </w:rPr>
        <w:tab/>
      </w:r>
      <w:r>
        <w:rPr>
          <w:snapToGrid w:val="0"/>
        </w:rPr>
        <w:tab/>
        <w:t>For the purposes of section </w:t>
      </w:r>
      <w:r>
        <w:t xml:space="preserve">57(2)(d) </w:t>
      </w:r>
      <w:r>
        <w:rPr>
          <w:snapToGrid w:val="0"/>
        </w:rPr>
        <w:t>the following requirements are prescribed —</w:t>
      </w:r>
    </w:p>
    <w:p>
      <w:pPr>
        <w:pStyle w:val="Indenta"/>
        <w:spacing w:before="60"/>
        <w:rPr>
          <w:snapToGrid w:val="0"/>
        </w:rPr>
      </w:pPr>
      <w:r>
        <w:rPr>
          <w:snapToGrid w:val="0"/>
        </w:rPr>
        <w:tab/>
        <w:t>(a)</w:t>
      </w:r>
      <w:r>
        <w:rPr>
          <w:snapToGrid w:val="0"/>
        </w:rPr>
        <w:tab/>
        <w:t>where the applicant does not have appropriate liquor producing facilities at the premises specified in the application, the applicant —</w:t>
      </w:r>
    </w:p>
    <w:p>
      <w:pPr>
        <w:pStyle w:val="Indenti"/>
        <w:spacing w:before="60"/>
        <w:rPr>
          <w:snapToGrid w:val="0"/>
        </w:rPr>
      </w:pPr>
      <w:r>
        <w:rPr>
          <w:snapToGrid w:val="0"/>
        </w:rPr>
        <w:tab/>
        <w:t>(i)</w:t>
      </w:r>
      <w:r>
        <w:rPr>
          <w:snapToGrid w:val="0"/>
        </w:rPr>
        <w:tab/>
        <w:t>has access to such facilities; and</w:t>
      </w:r>
    </w:p>
    <w:p>
      <w:pPr>
        <w:pStyle w:val="Indenti"/>
        <w:spacing w:before="60"/>
        <w:rPr>
          <w:snapToGrid w:val="0"/>
        </w:rPr>
      </w:pPr>
      <w:r>
        <w:rPr>
          <w:snapToGrid w:val="0"/>
        </w:rPr>
        <w:tab/>
        <w:t>(ii)</w:t>
      </w:r>
      <w:r>
        <w:rPr>
          <w:snapToGrid w:val="0"/>
        </w:rPr>
        <w:tab/>
        <w:t xml:space="preserve">is the </w:t>
      </w:r>
      <w:r>
        <w:t xml:space="preserve">sole </w:t>
      </w:r>
      <w:r>
        <w:rPr>
          <w:snapToGrid w:val="0"/>
        </w:rPr>
        <w:t xml:space="preserve">occupier of a vineyard, orchard or apiary </w:t>
      </w:r>
      <w:r>
        <w:t xml:space="preserve">to which the application relates and </w:t>
      </w:r>
      <w:r>
        <w:rPr>
          <w:snapToGrid w:val="0"/>
        </w:rPr>
        <w:t>which yields sufficient produce to enable the applicant to be regarded as a genuine producer of liquor;</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where the applicant has appropriate liquor producing facilities at premises specified in the application, and is, or will be, a genuine producer of liquor, then —</w:t>
      </w:r>
    </w:p>
    <w:p>
      <w:pPr>
        <w:pStyle w:val="Indenti"/>
        <w:spacing w:before="60"/>
        <w:rPr>
          <w:snapToGrid w:val="0"/>
        </w:rPr>
      </w:pPr>
      <w:r>
        <w:rPr>
          <w:snapToGrid w:val="0"/>
        </w:rPr>
        <w:tab/>
        <w:t>(i)</w:t>
      </w:r>
      <w:r>
        <w:rPr>
          <w:snapToGrid w:val="0"/>
        </w:rPr>
        <w:tab/>
        <w:t>those premises; or</w:t>
      </w:r>
    </w:p>
    <w:p>
      <w:pPr>
        <w:pStyle w:val="Indenti"/>
        <w:spacing w:before="60"/>
        <w:rPr>
          <w:snapToGrid w:val="0"/>
        </w:rPr>
      </w:pPr>
      <w:r>
        <w:rPr>
          <w:snapToGrid w:val="0"/>
        </w:rPr>
        <w:tab/>
        <w:t>(ii)</w:t>
      </w:r>
      <w:r>
        <w:rPr>
          <w:snapToGrid w:val="0"/>
        </w:rPr>
        <w:tab/>
        <w:t>if those premises are not in a convenient location for the sale of the liquor produced, other premises in reasonable proximity to the premises where the liquor is, or is to be, produced,</w:t>
      </w:r>
    </w:p>
    <w:p>
      <w:pPr>
        <w:pStyle w:val="Indenta"/>
        <w:spacing w:before="60"/>
        <w:rPr>
          <w:snapToGrid w:val="0"/>
        </w:rPr>
      </w:pPr>
      <w:r>
        <w:rPr>
          <w:snapToGrid w:val="0"/>
        </w:rPr>
        <w:tab/>
      </w:r>
      <w:r>
        <w:rPr>
          <w:snapToGrid w:val="0"/>
        </w:rPr>
        <w:tab/>
        <w:t>are suitable premises from which the applicant, as a producer of liquor, may sell the liquor produced.</w:t>
      </w:r>
    </w:p>
    <w:p>
      <w:pPr>
        <w:pStyle w:val="Footnotesection"/>
        <w:ind w:left="890" w:hanging="890"/>
      </w:pPr>
      <w:r>
        <w:tab/>
        <w:t>[Regulation 10 inserted in Gazette 22 May 1998 p. 2942; amended in Gazette 1 May 2007 p. 1873 and 1888</w:t>
      </w:r>
      <w:r>
        <w:noBreakHyphen/>
        <w:t>9; 6 Feb 2009 p. 248; 3 Jun 2011 p. 1999.]</w:t>
      </w:r>
    </w:p>
    <w:p>
      <w:pPr>
        <w:pStyle w:val="Heading5"/>
        <w:rPr>
          <w:snapToGrid w:val="0"/>
        </w:rPr>
      </w:pPr>
      <w:bookmarkStart w:id="270" w:name="_Toc460808709"/>
      <w:bookmarkStart w:id="271" w:name="_Toc519934572"/>
      <w:bookmarkStart w:id="272" w:name="_Toc534780037"/>
      <w:bookmarkStart w:id="273" w:name="_Toc3352044"/>
      <w:bookmarkStart w:id="274" w:name="_Toc3352119"/>
      <w:bookmarkStart w:id="275" w:name="_Toc22966221"/>
      <w:bookmarkStart w:id="276" w:name="_Toc66263827"/>
      <w:bookmarkStart w:id="277" w:name="_Toc119294072"/>
      <w:bookmarkStart w:id="278" w:name="_Toc123633165"/>
      <w:bookmarkStart w:id="279" w:name="_Toc172713925"/>
      <w:bookmarkStart w:id="280" w:name="_Toc264018269"/>
      <w:bookmarkStart w:id="281" w:name="_Toc303323161"/>
      <w:bookmarkStart w:id="282" w:name="_Toc357698838"/>
      <w:r>
        <w:rPr>
          <w:rStyle w:val="CharSectno"/>
        </w:rPr>
        <w:t>10A</w:t>
      </w:r>
      <w:r>
        <w:rPr>
          <w:snapToGrid w:val="0"/>
        </w:rPr>
        <w:t>.</w:t>
      </w:r>
      <w:r>
        <w:rPr>
          <w:snapToGrid w:val="0"/>
        </w:rPr>
        <w:tab/>
      </w:r>
      <w:bookmarkEnd w:id="270"/>
      <w:bookmarkEnd w:id="271"/>
      <w:bookmarkEnd w:id="272"/>
      <w:bookmarkEnd w:id="273"/>
      <w:bookmarkEnd w:id="274"/>
      <w:bookmarkEnd w:id="275"/>
      <w:bookmarkEnd w:id="276"/>
      <w:bookmarkEnd w:id="277"/>
      <w:bookmarkEnd w:id="278"/>
      <w:bookmarkEnd w:id="279"/>
      <w:r>
        <w:rPr>
          <w:snapToGrid w:val="0"/>
        </w:rPr>
        <w:t>Condition prescribed (Act s. 55(2))</w:t>
      </w:r>
      <w:bookmarkEnd w:id="280"/>
      <w:bookmarkEnd w:id="281"/>
      <w:bookmarkEnd w:id="282"/>
    </w:p>
    <w:p>
      <w:pPr>
        <w:pStyle w:val="Subsection"/>
        <w:rPr>
          <w:snapToGrid w:val="0"/>
        </w:rPr>
      </w:pPr>
      <w:r>
        <w:rPr>
          <w:snapToGrid w:val="0"/>
        </w:rPr>
        <w:tab/>
      </w:r>
      <w:r>
        <w:rPr>
          <w:snapToGrid w:val="0"/>
        </w:rPr>
        <w:tab/>
        <w:t>If the holder of a producer’s licence produces wine by blending, it is a condition of that licence under section 55(2) that at least 50% of the wine produced is fermented by or under the direction of that person, so that the wine is uniquely that person’s own produce.</w:t>
      </w:r>
    </w:p>
    <w:p>
      <w:pPr>
        <w:pStyle w:val="Footnotesection"/>
        <w:ind w:left="890" w:hanging="890"/>
      </w:pPr>
      <w:r>
        <w:tab/>
        <w:t>[Regulation 10A inserted in Gazette 22 May 1998 p. 2942; amended in Gazette 1 May 2007 p. 1888</w:t>
      </w:r>
      <w:r>
        <w:noBreakHyphen/>
        <w:t>9.]</w:t>
      </w:r>
    </w:p>
    <w:p>
      <w:pPr>
        <w:pStyle w:val="Heading5"/>
        <w:rPr>
          <w:snapToGrid w:val="0"/>
        </w:rPr>
      </w:pPr>
      <w:bookmarkStart w:id="283" w:name="_Toc460808710"/>
      <w:bookmarkStart w:id="284" w:name="_Toc519934573"/>
      <w:bookmarkStart w:id="285" w:name="_Toc534780038"/>
      <w:bookmarkStart w:id="286" w:name="_Toc3352045"/>
      <w:bookmarkStart w:id="287" w:name="_Toc3352120"/>
      <w:bookmarkStart w:id="288" w:name="_Toc22966222"/>
      <w:bookmarkStart w:id="289" w:name="_Toc66263828"/>
      <w:bookmarkStart w:id="290" w:name="_Toc119294073"/>
      <w:bookmarkStart w:id="291" w:name="_Toc123633166"/>
      <w:bookmarkStart w:id="292" w:name="_Toc172713926"/>
      <w:bookmarkStart w:id="293" w:name="_Toc264018270"/>
      <w:bookmarkStart w:id="294" w:name="_Toc303323162"/>
      <w:bookmarkStart w:id="295" w:name="_Toc357698839"/>
      <w:r>
        <w:rPr>
          <w:rStyle w:val="CharSectno"/>
        </w:rPr>
        <w:t>11</w:t>
      </w:r>
      <w:r>
        <w:rPr>
          <w:snapToGrid w:val="0"/>
        </w:rPr>
        <w:t>.</w:t>
      </w:r>
      <w:r>
        <w:rPr>
          <w:snapToGrid w:val="0"/>
        </w:rPr>
        <w:tab/>
        <w:t>Plans and specifications</w:t>
      </w:r>
      <w:bookmarkEnd w:id="283"/>
      <w:bookmarkEnd w:id="284"/>
      <w:bookmarkEnd w:id="285"/>
      <w:bookmarkEnd w:id="286"/>
      <w:bookmarkEnd w:id="287"/>
      <w:bookmarkEnd w:id="288"/>
      <w:bookmarkEnd w:id="289"/>
      <w:bookmarkEnd w:id="290"/>
      <w:bookmarkEnd w:id="291"/>
      <w:bookmarkEnd w:id="292"/>
      <w:bookmarkEnd w:id="293"/>
      <w:bookmarkEnd w:id="294"/>
      <w:r>
        <w:rPr>
          <w:snapToGrid w:val="0"/>
        </w:rPr>
        <w:t>, requirements for (Act s. 66(4) and (5))</w:t>
      </w:r>
      <w:bookmarkEnd w:id="295"/>
    </w:p>
    <w:p>
      <w:pPr>
        <w:pStyle w:val="Subsection"/>
      </w:pPr>
      <w:r>
        <w:tab/>
        <w:t>(1)</w:t>
      </w:r>
      <w:r>
        <w:tab/>
        <w:t>In this regulation —</w:t>
      </w:r>
    </w:p>
    <w:p>
      <w:pPr>
        <w:pStyle w:val="Defstart"/>
        <w:spacing w:before="60"/>
      </w:pPr>
      <w:r>
        <w:rPr>
          <w:b/>
        </w:rPr>
        <w:tab/>
      </w:r>
      <w:r>
        <w:rPr>
          <w:rStyle w:val="CharDefText"/>
        </w:rPr>
        <w:t>bar</w:t>
      </w:r>
      <w:r>
        <w:t xml:space="preserve"> means an area that contains a fixed structure at which liquor is, or is to be, served and consumed;</w:t>
      </w:r>
    </w:p>
    <w:p>
      <w:pPr>
        <w:pStyle w:val="Defstart"/>
        <w:spacing w:before="60"/>
      </w:pPr>
      <w:r>
        <w:rPr>
          <w:b/>
        </w:rPr>
        <w:tab/>
      </w:r>
      <w:r>
        <w:rPr>
          <w:rStyle w:val="CharDefText"/>
        </w:rPr>
        <w:t>relevant lot</w:t>
      </w:r>
      <w:r>
        <w:t xml:space="preserve"> means the area of land on which the relevant premises are, or are to be, situated;</w:t>
      </w:r>
    </w:p>
    <w:p>
      <w:pPr>
        <w:pStyle w:val="Defstart"/>
        <w:spacing w:before="60"/>
      </w:pPr>
      <w:r>
        <w:rPr>
          <w:b/>
        </w:rPr>
        <w:tab/>
      </w:r>
      <w:r>
        <w:rPr>
          <w:rStyle w:val="CharDefText"/>
        </w:rPr>
        <w:t>relevant premises</w:t>
      </w:r>
      <w:r>
        <w:t xml:space="preserve"> means the licensed premises, or proposed licensed premises, to which an application referred to in section 66 relates.</w:t>
      </w:r>
    </w:p>
    <w:p>
      <w:pPr>
        <w:pStyle w:val="Subsection"/>
      </w:pPr>
      <w:r>
        <w:tab/>
        <w:t>(1a)</w:t>
      </w:r>
      <w:r>
        <w:tab/>
        <w:t>Subregulations (1b) to (1f) set out the requirements for plans for the purposes of section 66(4).</w:t>
      </w:r>
    </w:p>
    <w:p>
      <w:pPr>
        <w:pStyle w:val="Subsection"/>
      </w:pPr>
      <w:r>
        <w:tab/>
        <w:t>(1b)</w:t>
      </w:r>
      <w:r>
        <w:tab/>
        <w:t>Floor plans are to be submitted in duplicate, drawn on paper of at least A3 size and to a scale of 1:100, of each level of each building forming part of the relevant premises, showing —</w:t>
      </w:r>
    </w:p>
    <w:p>
      <w:pPr>
        <w:pStyle w:val="Indenta"/>
      </w:pPr>
      <w:r>
        <w:tab/>
        <w:t>(a)</w:t>
      </w:r>
      <w:r>
        <w:tab/>
        <w:t>the uses of each room; and</w:t>
      </w:r>
    </w:p>
    <w:p>
      <w:pPr>
        <w:pStyle w:val="Indenta"/>
      </w:pPr>
      <w:r>
        <w:tab/>
        <w:t>(b)</w:t>
      </w:r>
      <w:r>
        <w:tab/>
        <w:t>the location of all doors, windows, servery hatches and toilets; and</w:t>
      </w:r>
    </w:p>
    <w:p>
      <w:pPr>
        <w:pStyle w:val="Indenta"/>
      </w:pPr>
      <w:r>
        <w:tab/>
        <w:t>(c)</w:t>
      </w:r>
      <w:r>
        <w:tab/>
        <w:t>fit out details for all toilets; and</w:t>
      </w:r>
    </w:p>
    <w:p>
      <w:pPr>
        <w:pStyle w:val="Indenta"/>
      </w:pPr>
      <w:r>
        <w:tab/>
        <w:t>(d)</w:t>
      </w:r>
      <w:r>
        <w:tab/>
        <w:t>the floor layout; and</w:t>
      </w:r>
    </w:p>
    <w:p>
      <w:pPr>
        <w:pStyle w:val="Indenta"/>
      </w:pPr>
      <w:r>
        <w:tab/>
        <w:t>(e)</w:t>
      </w:r>
      <w:r>
        <w:tab/>
        <w:t>the location of all bars (but not details of any fittings and fixtures related to the bars); and</w:t>
      </w:r>
    </w:p>
    <w:p>
      <w:pPr>
        <w:pStyle w:val="Indenta"/>
      </w:pPr>
      <w:r>
        <w:tab/>
        <w:t>(f)</w:t>
      </w:r>
      <w:r>
        <w:tab/>
        <w:t>any areas of the relevant premises that are not part of a building, identifying how the boundary of such areas is to be defined (for example, by means of fences, large planter boxes, special inlays in paving or copper log rails); and</w:t>
      </w:r>
    </w:p>
    <w:p>
      <w:pPr>
        <w:pStyle w:val="Indenta"/>
      </w:pPr>
      <w:r>
        <w:tab/>
        <w:t>(g)</w:t>
      </w:r>
      <w:r>
        <w:tab/>
        <w:t>no details other than those that relate to the relevant premises.</w:t>
      </w:r>
    </w:p>
    <w:p>
      <w:pPr>
        <w:pStyle w:val="Subsection"/>
      </w:pPr>
      <w:r>
        <w:tab/>
        <w:t>(1c)</w:t>
      </w:r>
      <w:r>
        <w:tab/>
        <w:t>A site plan is to be submitted, drawn to a suitable scale according to the size of the relevant lot, showing —</w:t>
      </w:r>
    </w:p>
    <w:p>
      <w:pPr>
        <w:pStyle w:val="Indenta"/>
      </w:pPr>
      <w:r>
        <w:tab/>
        <w:t>(a)</w:t>
      </w:r>
      <w:r>
        <w:tab/>
        <w:t>an outline of every building on the relevant lot; and</w:t>
      </w:r>
    </w:p>
    <w:p>
      <w:pPr>
        <w:pStyle w:val="Indenta"/>
      </w:pPr>
      <w:r>
        <w:tab/>
        <w:t>(b)</w:t>
      </w:r>
      <w:r>
        <w:tab/>
        <w:t>the boundary of the relevant lot; and</w:t>
      </w:r>
    </w:p>
    <w:p>
      <w:pPr>
        <w:pStyle w:val="Indenta"/>
      </w:pPr>
      <w:r>
        <w:tab/>
        <w:t>(c)</w:t>
      </w:r>
      <w:r>
        <w:tab/>
        <w:t>features on the relevant lot such as car parks, vehicle access to adjacent streets and swimming pools; and</w:t>
      </w:r>
    </w:p>
    <w:p>
      <w:pPr>
        <w:pStyle w:val="Indenta"/>
      </w:pPr>
      <w:r>
        <w:tab/>
        <w:t>(d)</w:t>
      </w:r>
      <w:r>
        <w:tab/>
        <w:t>the name and location of any street forming part of the boundary of the relevant lot.</w:t>
      </w:r>
    </w:p>
    <w:p>
      <w:pPr>
        <w:pStyle w:val="Subsection"/>
        <w:keepNext/>
      </w:pPr>
      <w:r>
        <w:tab/>
        <w:t>(1d)</w:t>
      </w:r>
      <w:r>
        <w:tab/>
        <w:t>A map of the relevant district is to be submitted, showing the locality of the relevant premises.</w:t>
      </w:r>
    </w:p>
    <w:p>
      <w:pPr>
        <w:pStyle w:val="Subsection"/>
      </w:pPr>
      <w:r>
        <w:tab/>
        <w:t>(1e)</w:t>
      </w:r>
      <w:r>
        <w:tab/>
        <w:t>A plan is to be submitted, drawn to a scale of 1:100, showing the external elevations of the relevant premises or, if the relevant premises comprise one or more existing buildings, photographs of the exterior of the relevant premises may be submitted instead of a plan of that kind.</w:t>
      </w:r>
    </w:p>
    <w:p>
      <w:pPr>
        <w:pStyle w:val="Subsection"/>
      </w:pPr>
      <w:r>
        <w:tab/>
        <w:t>(1f)</w:t>
      </w:r>
      <w:r>
        <w:tab/>
        <w:t>A plan that is submitted for the purposes of an application under section 77(4) for the alteration or redefinition of licensed premises is to show those premises as they would be if the proposed alteration or redefinition had taken place, distinguishing the areas of the current licensed premises from the areas of the proposed alteration or redefinition.</w:t>
      </w:r>
    </w:p>
    <w:p>
      <w:pPr>
        <w:pStyle w:val="Subsection"/>
        <w:rPr>
          <w:snapToGrid w:val="0"/>
        </w:rPr>
      </w:pPr>
      <w:r>
        <w:rPr>
          <w:snapToGrid w:val="0"/>
        </w:rPr>
        <w:tab/>
        <w:t>(2)</w:t>
      </w:r>
      <w:r>
        <w:rPr>
          <w:snapToGrid w:val="0"/>
        </w:rPr>
        <w:tab/>
        <w:t xml:space="preserve">A plan referred to in </w:t>
      </w:r>
      <w:r>
        <w:t xml:space="preserve">this regulation </w:t>
      </w:r>
      <w:r>
        <w:rPr>
          <w:snapToGrid w:val="0"/>
        </w:rPr>
        <w:t>shall be drawn —</w:t>
      </w:r>
    </w:p>
    <w:p>
      <w:pPr>
        <w:pStyle w:val="Indenta"/>
        <w:rPr>
          <w:snapToGrid w:val="0"/>
        </w:rPr>
      </w:pPr>
      <w:r>
        <w:rPr>
          <w:snapToGrid w:val="0"/>
        </w:rPr>
        <w:tab/>
        <w:t>(a)</w:t>
      </w:r>
      <w:r>
        <w:rPr>
          <w:snapToGrid w:val="0"/>
        </w:rPr>
        <w:tab/>
      </w:r>
      <w:r>
        <w:t xml:space="preserve">on good quality paper of at least A3 size, </w:t>
      </w:r>
      <w:r>
        <w:rPr>
          <w:snapToGrid w:val="0"/>
        </w:rPr>
        <w:t>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w:t>
      </w:r>
      <w:r>
        <w:t>Standards Australia,</w:t>
      </w:r>
    </w:p>
    <w:p>
      <w:pPr>
        <w:pStyle w:val="Subsection"/>
        <w:spacing w:before="120"/>
        <w:rPr>
          <w:snapToGrid w:val="0"/>
        </w:rPr>
      </w:pPr>
      <w:r>
        <w:rPr>
          <w:snapToGrid w:val="0"/>
        </w:rPr>
        <w:tab/>
      </w:r>
      <w:r>
        <w:rPr>
          <w:snapToGrid w:val="0"/>
        </w:rPr>
        <w:tab/>
        <w:t>and shall show the date of preparation, the scale, the direction of north and the name of the person who prepared the plan.</w:t>
      </w:r>
    </w:p>
    <w:p>
      <w:pPr>
        <w:pStyle w:val="Subsection"/>
      </w:pPr>
      <w:bookmarkStart w:id="296" w:name="_Toc460808711"/>
      <w:bookmarkStart w:id="297" w:name="_Toc519934574"/>
      <w:bookmarkStart w:id="298" w:name="_Toc534780039"/>
      <w:bookmarkStart w:id="299" w:name="_Toc3352046"/>
      <w:bookmarkStart w:id="300" w:name="_Toc3352121"/>
      <w:bookmarkStart w:id="301" w:name="_Toc22966223"/>
      <w:bookmarkStart w:id="302" w:name="_Toc66263829"/>
      <w:r>
        <w:tab/>
        <w:t>(3)</w:t>
      </w:r>
      <w:r>
        <w:tab/>
        <w:t>For the purposes of section 66(5), specifications submitted with the plans to which they relate are to provide details of —</w:t>
      </w:r>
    </w:p>
    <w:p>
      <w:pPr>
        <w:pStyle w:val="Indenta"/>
      </w:pPr>
      <w:r>
        <w:tab/>
        <w:t>(a)</w:t>
      </w:r>
      <w:r>
        <w:tab/>
        <w:t>the wall and ceiling finishes; and</w:t>
      </w:r>
    </w:p>
    <w:p>
      <w:pPr>
        <w:pStyle w:val="Indenta"/>
      </w:pPr>
      <w:r>
        <w:tab/>
        <w:t>(b)</w:t>
      </w:r>
      <w:r>
        <w:tab/>
        <w:t>the fit out equipment in any bar, toilet or kitchen.</w:t>
      </w:r>
    </w:p>
    <w:p>
      <w:pPr>
        <w:pStyle w:val="Subsection"/>
      </w:pPr>
      <w:r>
        <w:tab/>
        <w:t>(4)</w:t>
      </w:r>
      <w:r>
        <w:tab/>
        <w:t>Plans and specifications referred to in this regulation may be submitted by email, on a computer disk or by another means acceptable to the Director.</w:t>
      </w:r>
    </w:p>
    <w:p>
      <w:pPr>
        <w:pStyle w:val="Subsection"/>
        <w:keepLines/>
      </w:pPr>
      <w:r>
        <w:tab/>
        <w:t>(5)</w:t>
      </w:r>
      <w:r>
        <w:tab/>
        <w:t>An application under section 62(6), by the holder of a licence conditionally granted under section 62, to vary any plans or specifications the subject of a condition is to be accompanied by the appropriate fee set out in Schedule 3.</w:t>
      </w:r>
    </w:p>
    <w:p>
      <w:pPr>
        <w:pStyle w:val="Footnotesection"/>
      </w:pPr>
      <w:r>
        <w:tab/>
        <w:t>[Regulation 11 amended in Gazette 9 Jul 2004 p. 2778</w:t>
      </w:r>
      <w:r>
        <w:noBreakHyphen/>
        <w:t>9; 1 May 2007 p. 1874</w:t>
      </w:r>
      <w:r>
        <w:noBreakHyphen/>
        <w:t>6 and 1888</w:t>
      </w:r>
      <w:r>
        <w:noBreakHyphen/>
        <w:t>9.]</w:t>
      </w:r>
    </w:p>
    <w:bookmarkEnd w:id="296"/>
    <w:bookmarkEnd w:id="297"/>
    <w:bookmarkEnd w:id="298"/>
    <w:bookmarkEnd w:id="299"/>
    <w:bookmarkEnd w:id="300"/>
    <w:bookmarkEnd w:id="301"/>
    <w:bookmarkEnd w:id="302"/>
    <w:p>
      <w:pPr>
        <w:pStyle w:val="Ednotesection"/>
        <w:spacing w:before="260"/>
      </w:pPr>
      <w:r>
        <w:t>[</w:t>
      </w:r>
      <w:r>
        <w:rPr>
          <w:b/>
          <w:bCs/>
        </w:rPr>
        <w:t>12.</w:t>
      </w:r>
      <w:r>
        <w:tab/>
        <w:t>Deleted in Gazette 28 Sep 2007 p. 4928.]</w:t>
      </w:r>
    </w:p>
    <w:p>
      <w:pPr>
        <w:pStyle w:val="Ednotesection"/>
        <w:keepNext/>
        <w:tabs>
          <w:tab w:val="clear" w:pos="893"/>
        </w:tabs>
        <w:spacing w:before="260"/>
        <w:ind w:left="0" w:firstLine="0"/>
      </w:pPr>
      <w:r>
        <w:t>[</w:t>
      </w:r>
      <w:r>
        <w:rPr>
          <w:b/>
        </w:rPr>
        <w:t>12A</w:t>
      </w:r>
      <w:r>
        <w:rPr>
          <w:b/>
        </w:rPr>
        <w:noBreakHyphen/>
        <w:t>12D.</w:t>
      </w:r>
      <w:r>
        <w:tab/>
        <w:t>Omitted under the Reprints Act 1984 s. 7(4)(e).]</w:t>
      </w:r>
    </w:p>
    <w:p>
      <w:pPr>
        <w:pStyle w:val="Heading5"/>
        <w:spacing w:before="260"/>
        <w:rPr>
          <w:snapToGrid w:val="0"/>
        </w:rPr>
      </w:pPr>
      <w:bookmarkStart w:id="303" w:name="_Toc460808716"/>
      <w:bookmarkStart w:id="304" w:name="_Toc519934579"/>
      <w:bookmarkStart w:id="305" w:name="_Toc534780044"/>
      <w:bookmarkStart w:id="306" w:name="_Toc3352051"/>
      <w:bookmarkStart w:id="307" w:name="_Toc3352126"/>
      <w:bookmarkStart w:id="308" w:name="_Toc22966228"/>
      <w:bookmarkStart w:id="309" w:name="_Toc66263834"/>
      <w:bookmarkStart w:id="310" w:name="_Toc119294075"/>
      <w:bookmarkStart w:id="311" w:name="_Toc123633168"/>
      <w:bookmarkStart w:id="312" w:name="_Toc172713928"/>
      <w:bookmarkStart w:id="313" w:name="_Toc264018271"/>
      <w:bookmarkStart w:id="314" w:name="_Toc303323163"/>
      <w:bookmarkStart w:id="315" w:name="_Toc357698840"/>
      <w:r>
        <w:rPr>
          <w:rStyle w:val="CharSectno"/>
        </w:rPr>
        <w:t>13</w:t>
      </w:r>
      <w:r>
        <w:rPr>
          <w:snapToGrid w:val="0"/>
        </w:rPr>
        <w:t>.</w:t>
      </w:r>
      <w:r>
        <w:rPr>
          <w:snapToGrid w:val="0"/>
        </w:rPr>
        <w:tab/>
        <w:t>Records as to applicant, requirements for (Act s. 68(1)</w:t>
      </w:r>
      <w:bookmarkEnd w:id="303"/>
      <w:bookmarkEnd w:id="304"/>
      <w:bookmarkEnd w:id="305"/>
      <w:bookmarkEnd w:id="306"/>
      <w:bookmarkEnd w:id="307"/>
      <w:bookmarkEnd w:id="308"/>
      <w:bookmarkEnd w:id="309"/>
      <w:bookmarkEnd w:id="310"/>
      <w:bookmarkEnd w:id="311"/>
      <w:bookmarkEnd w:id="312"/>
      <w:r>
        <w:rPr>
          <w:snapToGrid w:val="0"/>
        </w:rPr>
        <w:t>(b))</w:t>
      </w:r>
      <w:bookmarkEnd w:id="313"/>
      <w:bookmarkEnd w:id="314"/>
      <w:bookmarkEnd w:id="315"/>
    </w:p>
    <w:p>
      <w:pPr>
        <w:pStyle w:val="Subsection"/>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Ednotesection"/>
        <w:spacing w:before="260"/>
      </w:pPr>
      <w:bookmarkStart w:id="316" w:name="_Toc66263836"/>
      <w:bookmarkStart w:id="317" w:name="_Toc119294077"/>
      <w:bookmarkStart w:id="318" w:name="_Toc123633170"/>
      <w:bookmarkStart w:id="319" w:name="_Toc172713930"/>
      <w:bookmarkStart w:id="320" w:name="_Toc460808718"/>
      <w:bookmarkStart w:id="321" w:name="_Toc519934581"/>
      <w:bookmarkStart w:id="322" w:name="_Toc534780046"/>
      <w:bookmarkStart w:id="323" w:name="_Toc3352053"/>
      <w:bookmarkStart w:id="324" w:name="_Toc3352128"/>
      <w:bookmarkStart w:id="325" w:name="_Toc22966230"/>
      <w:r>
        <w:t>[</w:t>
      </w:r>
      <w:r>
        <w:rPr>
          <w:b/>
          <w:bCs/>
        </w:rPr>
        <w:t>14.</w:t>
      </w:r>
      <w:r>
        <w:tab/>
        <w:t>Deleted in Gazette 28 Sep 2007 p. 4928.]</w:t>
      </w:r>
    </w:p>
    <w:p>
      <w:pPr>
        <w:pStyle w:val="Heading5"/>
        <w:spacing w:before="260"/>
      </w:pPr>
      <w:bookmarkStart w:id="326" w:name="_Toc264018272"/>
      <w:bookmarkStart w:id="327" w:name="_Toc303323164"/>
      <w:bookmarkStart w:id="328" w:name="_Toc357698841"/>
      <w:bookmarkStart w:id="329" w:name="_Toc172713931"/>
      <w:bookmarkStart w:id="330" w:name="_Toc66263837"/>
      <w:bookmarkStart w:id="331" w:name="_Toc119294078"/>
      <w:bookmarkStart w:id="332" w:name="_Toc123633171"/>
      <w:bookmarkEnd w:id="316"/>
      <w:bookmarkEnd w:id="317"/>
      <w:bookmarkEnd w:id="318"/>
      <w:bookmarkEnd w:id="319"/>
      <w:r>
        <w:rPr>
          <w:rStyle w:val="CharSectno"/>
        </w:rPr>
        <w:t>14A</w:t>
      </w:r>
      <w:r>
        <w:t>.</w:t>
      </w:r>
      <w:r>
        <w:tab/>
        <w:t xml:space="preserve">Types etc. of premises prescribed </w:t>
      </w:r>
      <w:r>
        <w:rPr>
          <w:snapToGrid w:val="0"/>
        </w:rPr>
        <w:t>(Act s. 77(5a)(b))</w:t>
      </w:r>
      <w:bookmarkEnd w:id="326"/>
      <w:bookmarkEnd w:id="327"/>
      <w:bookmarkEnd w:id="328"/>
    </w:p>
    <w:p>
      <w:pPr>
        <w:pStyle w:val="Subsection"/>
      </w:pPr>
      <w:r>
        <w:tab/>
      </w:r>
      <w:r>
        <w:tab/>
        <w:t>Premises to which one of the following licences relates are prescribed for the purposes of section 77(5a)(b) —</w:t>
      </w:r>
    </w:p>
    <w:p>
      <w:pPr>
        <w:pStyle w:val="Indenta"/>
      </w:pPr>
      <w:r>
        <w:tab/>
        <w:t>(a)</w:t>
      </w:r>
      <w:r>
        <w:tab/>
        <w:t>a casino liquor licence;</w:t>
      </w:r>
    </w:p>
    <w:p>
      <w:pPr>
        <w:pStyle w:val="Indenta"/>
      </w:pPr>
      <w:r>
        <w:tab/>
        <w:t>(b)</w:t>
      </w:r>
      <w:r>
        <w:tab/>
        <w:t>a club licence;</w:t>
      </w:r>
    </w:p>
    <w:p>
      <w:pPr>
        <w:pStyle w:val="Indenta"/>
        <w:keepNext/>
      </w:pPr>
      <w:r>
        <w:tab/>
        <w:t>(c)</w:t>
      </w:r>
      <w:r>
        <w:tab/>
        <w:t xml:space="preserve">a hotel restricted licence; </w:t>
      </w:r>
    </w:p>
    <w:p>
      <w:pPr>
        <w:pStyle w:val="Indenta"/>
      </w:pPr>
      <w:r>
        <w:tab/>
        <w:t>(d)</w:t>
      </w:r>
      <w:r>
        <w:tab/>
        <w:t>a producer’s licence.</w:t>
      </w:r>
    </w:p>
    <w:p>
      <w:pPr>
        <w:pStyle w:val="Footnotesection"/>
      </w:pPr>
      <w:r>
        <w:tab/>
        <w:t>[Regulation 14A inserted in Gazette 2 May 2008 p. 1704; amended in Gazette 18 Dec 2012 p. 6596-7.]</w:t>
      </w:r>
    </w:p>
    <w:p>
      <w:pPr>
        <w:pStyle w:val="Heading5"/>
      </w:pPr>
      <w:bookmarkStart w:id="333" w:name="_Toc264018273"/>
      <w:bookmarkStart w:id="334" w:name="_Toc303323165"/>
      <w:bookmarkStart w:id="335" w:name="_Toc357698842"/>
      <w:r>
        <w:rPr>
          <w:rStyle w:val="CharSectno"/>
        </w:rPr>
        <w:t>14AB</w:t>
      </w:r>
      <w:r>
        <w:t>.</w:t>
      </w:r>
      <w:r>
        <w:tab/>
        <w:t xml:space="preserve">Requirement for lodgment of application prescribed </w:t>
      </w:r>
      <w:r>
        <w:rPr>
          <w:snapToGrid w:val="0"/>
        </w:rPr>
        <w:t>(Act s. </w:t>
      </w:r>
      <w:r>
        <w:t>75(1)(b)</w:t>
      </w:r>
      <w:bookmarkEnd w:id="329"/>
      <w:r>
        <w:t>)</w:t>
      </w:r>
      <w:bookmarkEnd w:id="333"/>
      <w:bookmarkEnd w:id="334"/>
      <w:bookmarkEnd w:id="335"/>
    </w:p>
    <w:p>
      <w:pPr>
        <w:pStyle w:val="Subsection"/>
      </w:pPr>
      <w:r>
        <w:tab/>
      </w:r>
      <w:r>
        <w:tab/>
        <w:t>For the purposes of section 75(1)(b), an application for the grant of an occasional licence is to be lodged with the Director —</w:t>
      </w:r>
    </w:p>
    <w:p>
      <w:pPr>
        <w:pStyle w:val="Indenta"/>
      </w:pPr>
      <w:r>
        <w:tab/>
        <w:t>(a)</w:t>
      </w:r>
      <w:r>
        <w:tab/>
        <w:t>if the anticipated number of patrons is greater than 500 but not greater than 5 000 — not later than 30 days before the licence is to take effect; or</w:t>
      </w:r>
    </w:p>
    <w:p>
      <w:pPr>
        <w:pStyle w:val="Indenta"/>
        <w:keepNext/>
      </w:pPr>
      <w:r>
        <w:tab/>
        <w:t>(b)</w:t>
      </w:r>
      <w:r>
        <w:tab/>
        <w:t>if the anticipated number of patrons is greater than 5 000 — not later than 60 days before the licence is to take effect.</w:t>
      </w:r>
    </w:p>
    <w:p>
      <w:pPr>
        <w:pStyle w:val="Footnotesection"/>
        <w:spacing w:before="100"/>
        <w:ind w:left="890" w:hanging="890"/>
      </w:pPr>
      <w:r>
        <w:tab/>
        <w:t>[Regulation 14AB inserted in Gazette 1 May 2007 p. 1876</w:t>
      </w:r>
      <w:r>
        <w:noBreakHyphen/>
        <w:t>7; amended in Gazette 22 Oct 2010 p. 5227.]</w:t>
      </w:r>
    </w:p>
    <w:p>
      <w:pPr>
        <w:pStyle w:val="Heading5"/>
      </w:pPr>
      <w:bookmarkStart w:id="336" w:name="_Toc172713932"/>
      <w:bookmarkStart w:id="337" w:name="_Toc264018274"/>
      <w:bookmarkStart w:id="338" w:name="_Toc303323166"/>
      <w:bookmarkStart w:id="339" w:name="_Toc357698843"/>
      <w:r>
        <w:rPr>
          <w:rStyle w:val="CharSectno"/>
        </w:rPr>
        <w:t>14AC</w:t>
      </w:r>
      <w:r>
        <w:t>.</w:t>
      </w:r>
      <w:r>
        <w:tab/>
        <w:t xml:space="preserve">Requirement for lodgment of application prescribed </w:t>
      </w:r>
      <w:r>
        <w:rPr>
          <w:snapToGrid w:val="0"/>
        </w:rPr>
        <w:t>(Act s. </w:t>
      </w:r>
      <w:r>
        <w:t>76(1)(b)</w:t>
      </w:r>
      <w:bookmarkEnd w:id="336"/>
      <w:r>
        <w:t>)</w:t>
      </w:r>
      <w:bookmarkEnd w:id="337"/>
      <w:bookmarkEnd w:id="338"/>
      <w:bookmarkEnd w:id="339"/>
    </w:p>
    <w:p>
      <w:pPr>
        <w:pStyle w:val="Subsection"/>
      </w:pPr>
      <w:r>
        <w:tab/>
        <w:t>(1)</w:t>
      </w:r>
      <w:r>
        <w:tab/>
        <w:t xml:space="preserve">In this regulation — </w:t>
      </w:r>
    </w:p>
    <w:p>
      <w:pPr>
        <w:pStyle w:val="Defstart"/>
      </w:pPr>
      <w:r>
        <w:tab/>
      </w:r>
      <w:r>
        <w:rPr>
          <w:rStyle w:val="CharDefText"/>
        </w:rPr>
        <w:t>anticipated number of patrons</w:t>
      </w:r>
      <w:r>
        <w:t>, in relation to an application for a prescribed permit, means the sum of the maximum number of patrons for each day of the period to which the application relates;</w:t>
      </w:r>
    </w:p>
    <w:p>
      <w:pPr>
        <w:pStyle w:val="Defstart"/>
      </w:pPr>
      <w:r>
        <w:tab/>
      </w:r>
      <w:r>
        <w:rPr>
          <w:rStyle w:val="CharDefText"/>
        </w:rPr>
        <w:t>maximum number of patrons</w:t>
      </w:r>
      <w:r>
        <w:t>, in relation to a day of the period to which an application for a prescribed permit relates, means the maximum number of patrons that the person making the application reasonably expects to be in the permit area at any one time on that day;</w:t>
      </w:r>
    </w:p>
    <w:p>
      <w:pPr>
        <w:pStyle w:val="Defstart"/>
      </w:pPr>
      <w:r>
        <w:tab/>
      </w:r>
      <w:r>
        <w:rPr>
          <w:rStyle w:val="CharDefText"/>
        </w:rPr>
        <w:t>permit area</w:t>
      </w:r>
      <w:r>
        <w:t xml:space="preserve"> means the place or premises in respect of which the application is made;</w:t>
      </w:r>
    </w:p>
    <w:p>
      <w:pPr>
        <w:pStyle w:val="Defstart"/>
      </w:pPr>
      <w:r>
        <w:tab/>
      </w:r>
      <w:r>
        <w:rPr>
          <w:rStyle w:val="CharDefText"/>
        </w:rPr>
        <w:t>prescribed permit</w:t>
      </w:r>
      <w:r>
        <w:t xml:space="preserve"> means an extended trading permit to be issued for a specified period not exceeding 3 weeks and for the purposes referred to in section 60(4)(a), (cb), (f), (g) or (h).</w:t>
      </w:r>
    </w:p>
    <w:p>
      <w:pPr>
        <w:pStyle w:val="Subsection"/>
        <w:spacing w:before="180"/>
      </w:pPr>
      <w:r>
        <w:tab/>
        <w:t>(2)</w:t>
      </w:r>
      <w:r>
        <w:tab/>
        <w:t>For the purposes of section 76(1)(b), an application for the issue of a prescribed permit is to be lodged with the Director —</w:t>
      </w:r>
    </w:p>
    <w:p>
      <w:pPr>
        <w:pStyle w:val="Indenta"/>
      </w:pPr>
      <w:r>
        <w:tab/>
        <w:t>(a)</w:t>
      </w:r>
      <w:r>
        <w:tab/>
        <w:t>if the anticipated number of patrons is greater than 500 but not greater than 5 000 — not later than 30 days before the permit is to take effect; or</w:t>
      </w:r>
    </w:p>
    <w:p>
      <w:pPr>
        <w:pStyle w:val="Indenta"/>
      </w:pPr>
      <w:r>
        <w:tab/>
        <w:t>(b)</w:t>
      </w:r>
      <w:r>
        <w:tab/>
        <w:t>if the anticipated number of patrons is greater than 5 000 — not later than 60 days before the permit is to take effect.</w:t>
      </w:r>
    </w:p>
    <w:p>
      <w:pPr>
        <w:pStyle w:val="Footnotesection"/>
        <w:ind w:left="890" w:hanging="890"/>
      </w:pPr>
      <w:r>
        <w:tab/>
        <w:t>[Regulation 14AC inserted in Gazette 1 May 2007 p. 1877; amended in Gazette 22 Oct 2010 p. 5227.]</w:t>
      </w:r>
    </w:p>
    <w:p>
      <w:pPr>
        <w:pStyle w:val="Heading5"/>
      </w:pPr>
      <w:bookmarkStart w:id="340" w:name="_Toc303323167"/>
      <w:bookmarkStart w:id="341" w:name="_Toc357698844"/>
      <w:bookmarkStart w:id="342" w:name="_Toc172713933"/>
      <w:bookmarkStart w:id="343" w:name="_Toc264018275"/>
      <w:r>
        <w:rPr>
          <w:rStyle w:val="CharSectno"/>
        </w:rPr>
        <w:t>14ADA</w:t>
      </w:r>
      <w:r>
        <w:t>.</w:t>
      </w:r>
      <w:r>
        <w:tab/>
        <w:t>Manager’s approval, application for (Act s. 102B)</w:t>
      </w:r>
      <w:bookmarkEnd w:id="340"/>
      <w:bookmarkEnd w:id="341"/>
    </w:p>
    <w:p>
      <w:pPr>
        <w:pStyle w:val="Subsection"/>
      </w:pPr>
      <w:r>
        <w:tab/>
        <w:t>(1)</w:t>
      </w:r>
      <w:r>
        <w:tab/>
        <w:t xml:space="preserve">In this regulation — </w:t>
      </w:r>
    </w:p>
    <w:p>
      <w:pPr>
        <w:pStyle w:val="Defstart"/>
      </w:pPr>
      <w:r>
        <w:tab/>
      </w:r>
      <w:r>
        <w:rPr>
          <w:rStyle w:val="CharDefText"/>
        </w:rPr>
        <w:t>approval application</w:t>
      </w:r>
      <w:r>
        <w:rPr>
          <w:rStyle w:val="CharDefText"/>
          <w:b w:val="0"/>
          <w:i w:val="0"/>
        </w:rPr>
        <w:t xml:space="preserve"> </w:t>
      </w:r>
      <w:r>
        <w:t>means an application for a manager’s approval under section 102B.</w:t>
      </w:r>
    </w:p>
    <w:p>
      <w:pPr>
        <w:pStyle w:val="Subsection"/>
      </w:pPr>
      <w:r>
        <w:tab/>
        <w:t>(2)</w:t>
      </w:r>
      <w:r>
        <w:tab/>
        <w:t xml:space="preserve">An approval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An approval application must be lodged at an Australia Post office or agency unless it is an approval application to which subregulation (4) applies.</w:t>
      </w:r>
    </w:p>
    <w:p>
      <w:pPr>
        <w:pStyle w:val="Subsection"/>
      </w:pPr>
      <w:r>
        <w:tab/>
        <w:t>(4)</w:t>
      </w:r>
      <w:r>
        <w:tab/>
        <w:t xml:space="preserve">An approval application by an approved restricted manager seeking approval as an approved unrestricted manager must be lodged — </w:t>
      </w:r>
    </w:p>
    <w:p>
      <w:pPr>
        <w:pStyle w:val="Indenta"/>
      </w:pPr>
      <w:r>
        <w:tab/>
        <w:t>(a)</w:t>
      </w:r>
      <w:r>
        <w:tab/>
        <w:t>at an Australia Post office or agency; or</w:t>
      </w:r>
    </w:p>
    <w:p>
      <w:pPr>
        <w:pStyle w:val="Indenta"/>
        <w:keepNext/>
      </w:pPr>
      <w:r>
        <w:tab/>
        <w:t>(b)</w:t>
      </w:r>
      <w:r>
        <w:tab/>
        <w:t>by an electronic means acceptable to the Director.</w:t>
      </w:r>
    </w:p>
    <w:p>
      <w:pPr>
        <w:pStyle w:val="Footnotesection"/>
        <w:ind w:left="890" w:hanging="890"/>
      </w:pPr>
      <w:r>
        <w:tab/>
        <w:t>[Regulation 14ADA inserted in Gazette 3 Jun 2011 p. 1995.]</w:t>
      </w:r>
    </w:p>
    <w:p>
      <w:pPr>
        <w:pStyle w:val="Heading5"/>
        <w:spacing w:before="280"/>
      </w:pPr>
      <w:bookmarkStart w:id="344" w:name="_Toc303323168"/>
      <w:bookmarkStart w:id="345" w:name="_Toc357698845"/>
      <w:r>
        <w:rPr>
          <w:rStyle w:val="CharSectno"/>
        </w:rPr>
        <w:t>14ADB</w:t>
      </w:r>
      <w:r>
        <w:t>.</w:t>
      </w:r>
      <w:r>
        <w:tab/>
        <w:t>Manager’s approval, conditions on (Act s. 102C)</w:t>
      </w:r>
      <w:bookmarkEnd w:id="344"/>
      <w:bookmarkEnd w:id="345"/>
    </w:p>
    <w:p>
      <w:pPr>
        <w:pStyle w:val="Subsection"/>
      </w:pPr>
      <w:r>
        <w:tab/>
        <w:t>(1)</w:t>
      </w:r>
      <w:r>
        <w:tab/>
        <w:t xml:space="preserve">The Director may impose a condition on a manager’s approval — </w:t>
      </w:r>
    </w:p>
    <w:p>
      <w:pPr>
        <w:pStyle w:val="Indenta"/>
      </w:pPr>
      <w:r>
        <w:tab/>
        <w:t>(a)</w:t>
      </w:r>
      <w:r>
        <w:tab/>
        <w:t>when the manager’s approval is granted or renewed; or</w:t>
      </w:r>
    </w:p>
    <w:p>
      <w:pPr>
        <w:pStyle w:val="Indenta"/>
      </w:pPr>
      <w:r>
        <w:tab/>
        <w:t>(b)</w:t>
      </w:r>
      <w:r>
        <w:tab/>
        <w:t>at any other time by giving notice in writing to the approved manager.</w:t>
      </w:r>
    </w:p>
    <w:p>
      <w:pPr>
        <w:pStyle w:val="Subsection"/>
      </w:pPr>
      <w:r>
        <w:tab/>
        <w:t>(2)</w:t>
      </w:r>
      <w:r>
        <w:tab/>
        <w:t>The Director may vary or remove a condition on a manager’s approval at any time by giving notice in writing to the approved manager.</w:t>
      </w:r>
    </w:p>
    <w:p>
      <w:pPr>
        <w:pStyle w:val="Subsection"/>
      </w:pPr>
      <w:r>
        <w:tab/>
        <w:t>(3)</w:t>
      </w:r>
      <w:r>
        <w:tab/>
        <w:t xml:space="preserve">The Director may impose, vary or remove a condition on — </w:t>
      </w:r>
    </w:p>
    <w:p>
      <w:pPr>
        <w:pStyle w:val="Indenta"/>
      </w:pPr>
      <w:r>
        <w:tab/>
        <w:t>(a)</w:t>
      </w:r>
      <w:r>
        <w:tab/>
        <w:t>the Director’s own initiative; or</w:t>
      </w:r>
    </w:p>
    <w:p>
      <w:pPr>
        <w:pStyle w:val="Indenta"/>
      </w:pPr>
      <w:r>
        <w:tab/>
        <w:t>(b)</w:t>
      </w:r>
      <w:r>
        <w:tab/>
        <w:t>the application of the approved manager.</w:t>
      </w:r>
    </w:p>
    <w:p>
      <w:pPr>
        <w:pStyle w:val="Subsection"/>
        <w:keepNext/>
      </w:pPr>
      <w:r>
        <w:tab/>
        <w:t>(4)</w:t>
      </w:r>
      <w:r>
        <w:tab/>
        <w:t xml:space="preserve">Before the Director — </w:t>
      </w:r>
    </w:p>
    <w:p>
      <w:pPr>
        <w:pStyle w:val="Indenta"/>
        <w:keepNext/>
      </w:pPr>
      <w:r>
        <w:tab/>
        <w:t>(a)</w:t>
      </w:r>
      <w:r>
        <w:tab/>
        <w:t>imposes a condition under subregulation (1)(b); or</w:t>
      </w:r>
    </w:p>
    <w:p>
      <w:pPr>
        <w:pStyle w:val="Indenta"/>
        <w:keepNext/>
      </w:pPr>
      <w:r>
        <w:tab/>
        <w:t>(b)</w:t>
      </w:r>
      <w:r>
        <w:tab/>
        <w:t>varies a condition,</w:t>
      </w:r>
    </w:p>
    <w:p>
      <w:pPr>
        <w:pStyle w:val="Subsection"/>
      </w:pPr>
      <w:r>
        <w:tab/>
      </w:r>
      <w:r>
        <w:tab/>
        <w:t>on the Director’s own initiative, the Director must give the approved manager a reasonable opportunity to make submissions concerning the proposed condition or variation.</w:t>
      </w:r>
    </w:p>
    <w:p>
      <w:pPr>
        <w:pStyle w:val="Subsection"/>
      </w:pPr>
      <w:r>
        <w:tab/>
        <w:t>(5)</w:t>
      </w:r>
      <w:r>
        <w:tab/>
        <w:t>A notice under subregulation (1)(b) or (2) takes effect on the day specified in it.</w:t>
      </w:r>
    </w:p>
    <w:p>
      <w:pPr>
        <w:pStyle w:val="Footnotesection"/>
        <w:ind w:left="890" w:hanging="890"/>
      </w:pPr>
      <w:r>
        <w:tab/>
        <w:t>[Regulation 14ADB inserted in Gazette 3 Jun 2011 p. 1995</w:t>
      </w:r>
      <w:r>
        <w:noBreakHyphen/>
        <w:t>6.]</w:t>
      </w:r>
    </w:p>
    <w:p>
      <w:pPr>
        <w:pStyle w:val="Heading5"/>
        <w:spacing w:before="260"/>
      </w:pPr>
      <w:bookmarkStart w:id="346" w:name="_Toc303323169"/>
      <w:bookmarkStart w:id="347" w:name="_Toc357698846"/>
      <w:r>
        <w:rPr>
          <w:rStyle w:val="CharSectno"/>
        </w:rPr>
        <w:t>14ADC</w:t>
      </w:r>
      <w:r>
        <w:t>.</w:t>
      </w:r>
      <w:r>
        <w:tab/>
        <w:t>Manager’s approval, duration of (Act s. 102D)</w:t>
      </w:r>
      <w:bookmarkEnd w:id="346"/>
      <w:bookmarkEnd w:id="347"/>
    </w:p>
    <w:p>
      <w:pPr>
        <w:pStyle w:val="Subsection"/>
      </w:pPr>
      <w:r>
        <w:tab/>
        <w:t>(1)</w:t>
      </w:r>
      <w:r>
        <w:tab/>
        <w:t>A period of 5 years is prescribed for the purposes of section 102D(1)(b).</w:t>
      </w:r>
    </w:p>
    <w:p>
      <w:pPr>
        <w:pStyle w:val="Subsection"/>
        <w:keepNext/>
      </w:pPr>
      <w:r>
        <w:tab/>
        <w:t>(2)</w:t>
      </w:r>
      <w:r>
        <w:tab/>
        <w:t>A duration of 5 years is prescribed for the purposes of section 102D(2).</w:t>
      </w:r>
    </w:p>
    <w:p>
      <w:pPr>
        <w:pStyle w:val="Footnotesection"/>
        <w:ind w:left="890" w:hanging="890"/>
      </w:pPr>
      <w:r>
        <w:tab/>
        <w:t>[Regulation 14ADC inserted in Gazette 3 Jun 2011 p. 1996.]</w:t>
      </w:r>
    </w:p>
    <w:p>
      <w:pPr>
        <w:pStyle w:val="Heading5"/>
        <w:spacing w:before="260"/>
      </w:pPr>
      <w:bookmarkStart w:id="348" w:name="_Toc303323170"/>
      <w:bookmarkStart w:id="349" w:name="_Toc357698847"/>
      <w:r>
        <w:rPr>
          <w:rStyle w:val="CharSectno"/>
        </w:rPr>
        <w:t>14ADD</w:t>
      </w:r>
      <w:r>
        <w:t>.</w:t>
      </w:r>
      <w:r>
        <w:tab/>
        <w:t>Manager’s approval, renewal of (Act s. 102E)</w:t>
      </w:r>
      <w:bookmarkEnd w:id="348"/>
      <w:bookmarkEnd w:id="349"/>
    </w:p>
    <w:p>
      <w:pPr>
        <w:pStyle w:val="Subsection"/>
      </w:pPr>
      <w:r>
        <w:tab/>
        <w:t>(1)</w:t>
      </w:r>
      <w:r>
        <w:tab/>
        <w:t xml:space="preserve">In this regulation — </w:t>
      </w:r>
    </w:p>
    <w:p>
      <w:pPr>
        <w:pStyle w:val="Defstart"/>
      </w:pPr>
      <w:r>
        <w:tab/>
      </w:r>
      <w:r>
        <w:rPr>
          <w:rStyle w:val="CharDefText"/>
        </w:rPr>
        <w:t>renewal application</w:t>
      </w:r>
      <w:r>
        <w:t xml:space="preserve"> means an application for the renewal of a manager’s approval under section 102E.</w:t>
      </w:r>
    </w:p>
    <w:p>
      <w:pPr>
        <w:pStyle w:val="Subsection"/>
      </w:pPr>
      <w:r>
        <w:tab/>
        <w:t>(2)</w:t>
      </w:r>
      <w:r>
        <w:tab/>
        <w:t xml:space="preserve">A renewal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 xml:space="preserve">A renewal application must be lodged — </w:t>
      </w:r>
    </w:p>
    <w:p>
      <w:pPr>
        <w:pStyle w:val="Indenta"/>
      </w:pPr>
      <w:r>
        <w:tab/>
        <w:t>(a)</w:t>
      </w:r>
      <w:r>
        <w:tab/>
        <w:t>at an Australia Post office or agency; or</w:t>
      </w:r>
    </w:p>
    <w:p>
      <w:pPr>
        <w:pStyle w:val="Indenta"/>
      </w:pPr>
      <w:r>
        <w:tab/>
        <w:t>(b)</w:t>
      </w:r>
      <w:r>
        <w:tab/>
        <w:t>by an electronic means acceptable to the Director.</w:t>
      </w:r>
    </w:p>
    <w:p>
      <w:pPr>
        <w:pStyle w:val="Subsection"/>
        <w:keepNext/>
      </w:pPr>
      <w:r>
        <w:tab/>
        <w:t>(4)</w:t>
      </w:r>
      <w:r>
        <w:tab/>
        <w:t xml:space="preserve">Unless the Director otherwise determines, if — </w:t>
      </w:r>
    </w:p>
    <w:p>
      <w:pPr>
        <w:pStyle w:val="Indenta"/>
      </w:pPr>
      <w:r>
        <w:tab/>
        <w:t>(a)</w:t>
      </w:r>
      <w:r>
        <w:tab/>
        <w:t>a renewal application has been made; and</w:t>
      </w:r>
    </w:p>
    <w:p>
      <w:pPr>
        <w:pStyle w:val="Indenta"/>
      </w:pPr>
      <w:r>
        <w:tab/>
        <w:t>(b)</w:t>
      </w:r>
      <w:r>
        <w:tab/>
        <w:t>the Director has not, before the day on which the manager’s approval is due to expire, determined the renewal application,</w:t>
      </w:r>
    </w:p>
    <w:p>
      <w:pPr>
        <w:pStyle w:val="Subsection"/>
      </w:pPr>
      <w:r>
        <w:tab/>
      </w:r>
      <w:r>
        <w:tab/>
        <w:t>the applicant is to be taken to be an approved unrestricted manager or an approved restricted manager, as the case requires, until the Director determines the renewal application.</w:t>
      </w:r>
    </w:p>
    <w:p>
      <w:pPr>
        <w:pStyle w:val="Footnotesection"/>
        <w:ind w:left="890" w:hanging="890"/>
      </w:pPr>
      <w:r>
        <w:tab/>
        <w:t>[Regulation 14ADD inserted in Gazette 3 Jun 2011 p. 1996.]</w:t>
      </w:r>
    </w:p>
    <w:p>
      <w:pPr>
        <w:pStyle w:val="Heading5"/>
      </w:pPr>
      <w:bookmarkStart w:id="350" w:name="_Toc303323171"/>
      <w:bookmarkStart w:id="351" w:name="_Toc357698848"/>
      <w:r>
        <w:rPr>
          <w:rStyle w:val="CharSectno"/>
        </w:rPr>
        <w:t>14ADE</w:t>
      </w:r>
      <w:r>
        <w:t>.</w:t>
      </w:r>
      <w:r>
        <w:tab/>
        <w:t>Approved manager, identification card</w:t>
      </w:r>
      <w:bookmarkEnd w:id="350"/>
      <w:r>
        <w:t xml:space="preserve"> for</w:t>
      </w:r>
      <w:bookmarkEnd w:id="351"/>
    </w:p>
    <w:p>
      <w:pPr>
        <w:pStyle w:val="Subsection"/>
      </w:pPr>
      <w:r>
        <w:tab/>
        <w:t>(1)</w:t>
      </w:r>
      <w:r>
        <w:tab/>
        <w:t>The Director may issue an identification card to an approved manager.</w:t>
      </w:r>
    </w:p>
    <w:p>
      <w:pPr>
        <w:pStyle w:val="Subsection"/>
      </w:pPr>
      <w:r>
        <w:tab/>
        <w:t>(2)</w:t>
      </w:r>
      <w:r>
        <w:tab/>
        <w:t xml:space="preserve">An identification card — </w:t>
      </w:r>
    </w:p>
    <w:p>
      <w:pPr>
        <w:pStyle w:val="Indenta"/>
      </w:pPr>
      <w:r>
        <w:tab/>
        <w:t>(a)</w:t>
      </w:r>
      <w:r>
        <w:tab/>
        <w:t>must be in the form approved by the Director; and</w:t>
      </w:r>
    </w:p>
    <w:p>
      <w:pPr>
        <w:pStyle w:val="Indenta"/>
      </w:pPr>
      <w:r>
        <w:tab/>
        <w:t>(b)</w:t>
      </w:r>
      <w:r>
        <w:tab/>
        <w:t>may contain such information as the Director considers appropriate.</w:t>
      </w:r>
    </w:p>
    <w:p>
      <w:pPr>
        <w:pStyle w:val="Subsection"/>
      </w:pPr>
      <w:r>
        <w:tab/>
        <w:t>(3)</w:t>
      </w:r>
      <w:r>
        <w:tab/>
        <w:t xml:space="preserve">An authorised officer may direct a person to whom an identification card has been issued to produce the identification card — </w:t>
      </w:r>
    </w:p>
    <w:p>
      <w:pPr>
        <w:pStyle w:val="Indenta"/>
      </w:pPr>
      <w:r>
        <w:tab/>
        <w:t>(a)</w:t>
      </w:r>
      <w:r>
        <w:tab/>
        <w:t>to the authorised officer immediately if the card is in the person’s possession when the direction is given; or</w:t>
      </w:r>
    </w:p>
    <w:p>
      <w:pPr>
        <w:pStyle w:val="Indenta"/>
      </w:pPr>
      <w:r>
        <w:tab/>
        <w:t>(b)</w:t>
      </w:r>
      <w:r>
        <w:tab/>
        <w:t>to an authorised officer or the officer in charge of a police station, within 48 hours after the direction is given, if the card is not in the person’s possession when the direction is given.</w:t>
      </w:r>
    </w:p>
    <w:p>
      <w:pPr>
        <w:pStyle w:val="Subsection"/>
      </w:pPr>
      <w:r>
        <w:tab/>
        <w:t>(4)</w:t>
      </w:r>
      <w:r>
        <w:tab/>
        <w:t>A person who fails to comply with a direction given to the person under subregulation (3) commits an offence.</w:t>
      </w:r>
    </w:p>
    <w:p>
      <w:pPr>
        <w:pStyle w:val="Penstart"/>
      </w:pPr>
      <w:r>
        <w:tab/>
        <w:t>Penalty: a fine of $2 000.</w:t>
      </w:r>
    </w:p>
    <w:p>
      <w:pPr>
        <w:pStyle w:val="Footnotesection"/>
        <w:ind w:left="890" w:hanging="890"/>
      </w:pPr>
      <w:r>
        <w:tab/>
        <w:t>[Regulation 14ADE inserted in Gazette 3 Jun 2011 p. 1996</w:t>
      </w:r>
      <w:r>
        <w:noBreakHyphen/>
        <w:t>7.]</w:t>
      </w:r>
    </w:p>
    <w:p>
      <w:pPr>
        <w:pStyle w:val="Heading5"/>
      </w:pPr>
      <w:bookmarkStart w:id="352" w:name="_Toc303323172"/>
      <w:bookmarkStart w:id="353" w:name="_Toc357698849"/>
      <w:r>
        <w:rPr>
          <w:rStyle w:val="CharSectno"/>
        </w:rPr>
        <w:t>14ADF</w:t>
      </w:r>
      <w:r>
        <w:t>.</w:t>
      </w:r>
      <w:r>
        <w:tab/>
        <w:t>Lost etc. identification card</w:t>
      </w:r>
      <w:bookmarkEnd w:id="352"/>
      <w:r>
        <w:t>, replacement of</w:t>
      </w:r>
      <w:bookmarkEnd w:id="353"/>
    </w:p>
    <w:p>
      <w:pPr>
        <w:pStyle w:val="Subsection"/>
      </w:pPr>
      <w:r>
        <w:tab/>
        <w:t>(1)</w:t>
      </w:r>
      <w:r>
        <w:tab/>
        <w:t>If the Director is satisfied, on an application in accordance with subregulation (2), that an identification card has been lost, stolen or destroyed, the Director may issue a replacement identification card.</w:t>
      </w:r>
    </w:p>
    <w:p>
      <w:pPr>
        <w:pStyle w:val="Subsection"/>
      </w:pPr>
      <w:r>
        <w:tab/>
        <w:t>(2)</w:t>
      </w:r>
      <w:r>
        <w:tab/>
        <w:t xml:space="preserve">An application for a replacement identification card must be — </w:t>
      </w:r>
    </w:p>
    <w:p>
      <w:pPr>
        <w:pStyle w:val="Indenta"/>
        <w:spacing w:before="100"/>
      </w:pPr>
      <w:r>
        <w:tab/>
        <w:t>(a)</w:t>
      </w:r>
      <w:r>
        <w:tab/>
        <w:t>made in a form approved by the Director; and</w:t>
      </w:r>
    </w:p>
    <w:p>
      <w:pPr>
        <w:pStyle w:val="Indenta"/>
        <w:spacing w:before="100"/>
      </w:pPr>
      <w:r>
        <w:tab/>
        <w:t>(b)</w:t>
      </w:r>
      <w:r>
        <w:tab/>
        <w:t xml:space="preserve">lodged — </w:t>
      </w:r>
    </w:p>
    <w:p>
      <w:pPr>
        <w:pStyle w:val="Indenti"/>
        <w:spacing w:before="100"/>
      </w:pPr>
      <w:r>
        <w:tab/>
        <w:t>(i)</w:t>
      </w:r>
      <w:r>
        <w:tab/>
        <w:t>at an Australia Post office or agency; or</w:t>
      </w:r>
    </w:p>
    <w:p>
      <w:pPr>
        <w:pStyle w:val="Indenti"/>
        <w:spacing w:before="100"/>
      </w:pPr>
      <w:r>
        <w:tab/>
        <w:t>(ii)</w:t>
      </w:r>
      <w:r>
        <w:tab/>
        <w:t>by an electronic means acceptable to the Director;</w:t>
      </w:r>
    </w:p>
    <w:p>
      <w:pPr>
        <w:pStyle w:val="Indenta"/>
        <w:spacing w:before="100"/>
      </w:pPr>
      <w:r>
        <w:tab/>
      </w:r>
      <w:r>
        <w:tab/>
        <w:t>and</w:t>
      </w:r>
    </w:p>
    <w:p>
      <w:pPr>
        <w:pStyle w:val="Indenta"/>
        <w:spacing w:before="100"/>
      </w:pPr>
      <w:r>
        <w:tab/>
        <w:t>(c)</w:t>
      </w:r>
      <w:r>
        <w:tab/>
        <w:t>accompanied by the appropriate fee set out in Schedule 3.</w:t>
      </w:r>
    </w:p>
    <w:p>
      <w:pPr>
        <w:pStyle w:val="Footnotesection"/>
        <w:ind w:left="890" w:hanging="890"/>
      </w:pPr>
      <w:r>
        <w:tab/>
        <w:t>[Regulation 14ADF inserted in Gazette 3 Jun 2011 p. 1997.]</w:t>
      </w:r>
    </w:p>
    <w:p>
      <w:pPr>
        <w:pStyle w:val="Heading5"/>
      </w:pPr>
      <w:bookmarkStart w:id="354" w:name="_Toc303323173"/>
      <w:bookmarkStart w:id="355" w:name="_Toc357698850"/>
      <w:r>
        <w:rPr>
          <w:rStyle w:val="CharSectno"/>
        </w:rPr>
        <w:t>14ADG</w:t>
      </w:r>
      <w:r>
        <w:t>.</w:t>
      </w:r>
      <w:r>
        <w:tab/>
        <w:t>Transitioned approvals (Act Sch. 1B)</w:t>
      </w:r>
      <w:bookmarkEnd w:id="354"/>
      <w:bookmarkEnd w:id="355"/>
    </w:p>
    <w:p>
      <w:pPr>
        <w:pStyle w:val="Subsection"/>
      </w:pPr>
      <w:r>
        <w:tab/>
        <w:t>(1)</w:t>
      </w:r>
      <w:r>
        <w:tab/>
        <w:t xml:space="preserve">In this regulation — </w:t>
      </w:r>
    </w:p>
    <w:p>
      <w:pPr>
        <w:pStyle w:val="Defstart"/>
      </w:pPr>
      <w:r>
        <w:tab/>
      </w:r>
      <w:r>
        <w:rPr>
          <w:rStyle w:val="CharDefText"/>
        </w:rPr>
        <w:t>commencement day</w:t>
      </w:r>
      <w:r>
        <w:t xml:space="preserve"> has the meaning given in Schedule 1B clause 1 of the Act;</w:t>
      </w:r>
    </w:p>
    <w:p>
      <w:pPr>
        <w:pStyle w:val="Defstart"/>
      </w:pPr>
      <w:r>
        <w:tab/>
      </w:r>
      <w:r>
        <w:rPr>
          <w:rStyle w:val="CharDefText"/>
        </w:rPr>
        <w:t>transitioned approval</w:t>
      </w:r>
      <w:r>
        <w:t xml:space="preserve"> has the meaning given in Schedule 1B clause 3(1) of the Act.</w:t>
      </w:r>
    </w:p>
    <w:p>
      <w:pPr>
        <w:pStyle w:val="Subsection"/>
      </w:pPr>
      <w:r>
        <w:tab/>
        <w:t>(2)</w:t>
      </w:r>
      <w:r>
        <w:tab/>
        <w:t>The Director is not required to comply with regulation 14ADB(4) before imposing a condition on a transitioned approval if the condition is imposed within 3 months after the commencement day.</w:t>
      </w:r>
    </w:p>
    <w:p>
      <w:pPr>
        <w:pStyle w:val="Subsection"/>
      </w:pPr>
      <w:r>
        <w:tab/>
        <w:t>(3)</w:t>
      </w:r>
      <w:r>
        <w:tab/>
        <w:t xml:space="preserve">Despite section 102D(1)(b) and regulation 14ADC(1), a transitioned approval remains in force for — </w:t>
      </w:r>
    </w:p>
    <w:p>
      <w:pPr>
        <w:pStyle w:val="Indenta"/>
        <w:spacing w:before="100"/>
      </w:pPr>
      <w:r>
        <w:tab/>
        <w:t>(a)</w:t>
      </w:r>
      <w:r>
        <w:tab/>
        <w:t>a period of 5 years after the commencement day; or</w:t>
      </w:r>
    </w:p>
    <w:p>
      <w:pPr>
        <w:pStyle w:val="Indenta"/>
      </w:pPr>
      <w:r>
        <w:tab/>
        <w:t>(b)</w:t>
      </w:r>
      <w:r>
        <w:tab/>
        <w:t>any longer period determined by the Director and specified in a notice in writing given to the holder of the transitioned approval,</w:t>
      </w:r>
    </w:p>
    <w:p>
      <w:pPr>
        <w:pStyle w:val="Subsection"/>
      </w:pPr>
      <w:r>
        <w:tab/>
      </w:r>
      <w:r>
        <w:tab/>
        <w:t>unless before then it is revoked under section 102F.</w:t>
      </w:r>
    </w:p>
    <w:p>
      <w:pPr>
        <w:pStyle w:val="Subsection"/>
      </w:pPr>
      <w:r>
        <w:tab/>
        <w:t>(4)</w:t>
      </w:r>
      <w:r>
        <w:tab/>
        <w:t>Despite section 102D(2) and regulation 14ADC(2), the first renewal of a transitioned approval after the commencement day may be for a duration of 1, 3 or 5 years, as chosen by the applicant for renewal.</w:t>
      </w:r>
    </w:p>
    <w:p>
      <w:pPr>
        <w:pStyle w:val="Footnotesection"/>
        <w:ind w:left="890" w:hanging="890"/>
      </w:pPr>
      <w:r>
        <w:tab/>
        <w:t>[Regulation 14ADG inserted in Gazette 3 Jun 2011 p. 1997</w:t>
      </w:r>
      <w:r>
        <w:noBreakHyphen/>
        <w:t>8.]</w:t>
      </w:r>
    </w:p>
    <w:p>
      <w:pPr>
        <w:pStyle w:val="Heading5"/>
      </w:pPr>
      <w:bookmarkStart w:id="356" w:name="_Toc303323174"/>
      <w:bookmarkStart w:id="357" w:name="_Toc357698851"/>
      <w:r>
        <w:rPr>
          <w:rStyle w:val="CharSectno"/>
        </w:rPr>
        <w:t>14AD</w:t>
      </w:r>
      <w:r>
        <w:t>.</w:t>
      </w:r>
      <w:r>
        <w:tab/>
        <w:t xml:space="preserve">Responsible practices in selling etc. liquor, courses on required </w:t>
      </w:r>
      <w:r>
        <w:rPr>
          <w:snapToGrid w:val="0"/>
        </w:rPr>
        <w:t>(Act s. </w:t>
      </w:r>
      <w:r>
        <w:t>103A(1)(a)</w:t>
      </w:r>
      <w:bookmarkEnd w:id="342"/>
      <w:r>
        <w:t>)</w:t>
      </w:r>
      <w:bookmarkEnd w:id="343"/>
      <w:bookmarkEnd w:id="356"/>
      <w:bookmarkEnd w:id="357"/>
    </w:p>
    <w:p>
      <w:pPr>
        <w:pStyle w:val="Subsection"/>
      </w:pPr>
      <w:r>
        <w:tab/>
        <w:t>(1)</w:t>
      </w:r>
      <w:r>
        <w:tab/>
        <w:t>This regulation does not apply to a person who is a licensee or a manager.</w:t>
      </w:r>
    </w:p>
    <w:p>
      <w:pPr>
        <w:pStyle w:val="Subsection"/>
      </w:pPr>
      <w:r>
        <w:tab/>
        <w:t>(2)</w:t>
      </w:r>
      <w:r>
        <w:tab/>
        <w:t>A person employed or engaged in the performance of supervisory functions at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(3)</w:t>
      </w:r>
      <w:r>
        <w:tab/>
        <w:t>A person employed or engaged in the service of liquor on or from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(4)</w:t>
      </w:r>
      <w:r>
        <w:tab/>
        <w:t>A person employed or engaged in the service of liquor on or from licensed premises under an occasional licence, where the anticipated number of patrons is greater than 300, is required to have completed successfully a course of training or an assessment, approved by the Director for the purposes of this subregulation, in responsible practices in the sale, supply and service of liquor.</w:t>
      </w:r>
    </w:p>
    <w:p>
      <w:pPr>
        <w:pStyle w:val="Subsection"/>
      </w:pPr>
      <w:r>
        <w:tab/>
        <w:t>(5)</w:t>
      </w:r>
      <w:r>
        <w:tab/>
        <w:t>If the Director determines that a person to whom subregulation (2), (3) or (4) would otherwise apply is exempt from that subregulation, that exemption has effect accordingly.</w:t>
      </w:r>
    </w:p>
    <w:p>
      <w:pPr>
        <w:pStyle w:val="Footnotesection"/>
      </w:pPr>
      <w:r>
        <w:tab/>
        <w:t>[Regulation 14AD inserted in Gazette 1 May 2007 p. 1878; amended in Gazette 22 Oct 2010 p. 5227; 3 Jun 2011 p. 1998.]</w:t>
      </w:r>
    </w:p>
    <w:p>
      <w:pPr>
        <w:pStyle w:val="Heading5"/>
      </w:pPr>
      <w:bookmarkStart w:id="358" w:name="_Toc172713934"/>
      <w:bookmarkStart w:id="359" w:name="_Toc264018276"/>
      <w:bookmarkStart w:id="360" w:name="_Toc303323175"/>
      <w:bookmarkStart w:id="361" w:name="_Toc357698852"/>
      <w:r>
        <w:rPr>
          <w:rStyle w:val="CharSectno"/>
        </w:rPr>
        <w:t>14AE</w:t>
      </w:r>
      <w:r>
        <w:t>.</w:t>
      </w:r>
      <w:r>
        <w:tab/>
        <w:t>Offences for r. 14AD</w:t>
      </w:r>
      <w:bookmarkEnd w:id="358"/>
      <w:bookmarkEnd w:id="359"/>
      <w:bookmarkEnd w:id="360"/>
      <w:bookmarkEnd w:id="361"/>
    </w:p>
    <w:p>
      <w:pPr>
        <w:pStyle w:val="Subsection"/>
        <w:keepNext/>
        <w:keepLines/>
      </w:pPr>
      <w:r>
        <w:tab/>
        <w:t>(1)</w:t>
      </w:r>
      <w:r>
        <w:tab/>
        <w:t>A person who —</w:t>
      </w:r>
    </w:p>
    <w:p>
      <w:pPr>
        <w:pStyle w:val="Indenta"/>
      </w:pPr>
      <w:r>
        <w:tab/>
        <w:t>(a)</w:t>
      </w:r>
      <w:r>
        <w:tab/>
        <w:t>has failed to complete successfully a course of training or assessment as required by regulation 14AD(2) or (3); and</w:t>
      </w:r>
    </w:p>
    <w:p>
      <w:pPr>
        <w:pStyle w:val="Indenta"/>
      </w:pPr>
      <w:r>
        <w:tab/>
        <w:t>(b)</w:t>
      </w:r>
      <w:r>
        <w:tab/>
        <w:t>continues to be employed or engaged in the capacity described in that subregulation after the end of the period referred to in that subregulation,</w:t>
      </w:r>
    </w:p>
    <w:p>
      <w:pPr>
        <w:pStyle w:val="Subsection"/>
      </w:pPr>
      <w:r>
        <w:tab/>
      </w:r>
      <w:r>
        <w:tab/>
        <w:t>commits an offence.</w:t>
      </w:r>
    </w:p>
    <w:p>
      <w:pPr>
        <w:pStyle w:val="Penstart"/>
      </w:pPr>
      <w:r>
        <w:tab/>
        <w:t>Penalty: $2 000.</w:t>
      </w:r>
    </w:p>
    <w:p>
      <w:pPr>
        <w:pStyle w:val="Subsection"/>
        <w:keepNext/>
      </w:pPr>
      <w:r>
        <w:tab/>
        <w:t>(2)</w:t>
      </w:r>
      <w:r>
        <w:tab/>
        <w:t>A person who —</w:t>
      </w:r>
    </w:p>
    <w:p>
      <w:pPr>
        <w:pStyle w:val="Indenta"/>
      </w:pPr>
      <w:r>
        <w:tab/>
        <w:t>(a)</w:t>
      </w:r>
      <w:r>
        <w:tab/>
        <w:t>has failed to complete successfully a course of training or an assessment as required by regulation 14AD(4); and</w:t>
      </w:r>
    </w:p>
    <w:p>
      <w:pPr>
        <w:pStyle w:val="Indenta"/>
      </w:pPr>
      <w:r>
        <w:tab/>
        <w:t>(b)</w:t>
      </w:r>
      <w:r>
        <w:tab/>
        <w:t>is employed or engaged in the service of liquor on or from licensed premises under an occasional licence, where the number of patrons is greater than 300,</w:t>
      </w:r>
    </w:p>
    <w:p>
      <w:pPr>
        <w:pStyle w:val="Subsection"/>
        <w:spacing w:before="120"/>
      </w:pPr>
      <w:r>
        <w:tab/>
      </w:r>
      <w:r>
        <w:tab/>
        <w:t>commits an offence.</w:t>
      </w:r>
    </w:p>
    <w:p>
      <w:pPr>
        <w:pStyle w:val="Penstart"/>
      </w:pPr>
      <w:r>
        <w:tab/>
        <w:t>Penalty: $2 000.</w:t>
      </w:r>
    </w:p>
    <w:p>
      <w:pPr>
        <w:pStyle w:val="Subsection"/>
        <w:spacing w:before="140"/>
      </w:pPr>
      <w:r>
        <w:tab/>
        <w:t>(3)</w:t>
      </w:r>
      <w:r>
        <w:tab/>
        <w:t>If a person is convicted of an offence under subregulation (1) or (2) in relation to licensed premises, the licensee is to be taken to have also committed an offence and is liable to a penalty of $5 000.</w:t>
      </w:r>
    </w:p>
    <w:p>
      <w:pPr>
        <w:pStyle w:val="Subsection"/>
        <w:spacing w:before="140"/>
      </w:pPr>
      <w:r>
        <w:tab/>
        <w:t>(4)</w:t>
      </w:r>
      <w:r>
        <w:tab/>
        <w:t>It is a defence to a charge of an offence by a licensee under subregulation (3) in relation to an offence by another person under subregulation (1) or (2) to prove that the licensee could not, by the exercise of reasonable diligence, have prevented the commission of the offence under subregulation (1) or (2).</w:t>
      </w:r>
    </w:p>
    <w:p>
      <w:pPr>
        <w:pStyle w:val="Footnotesection"/>
        <w:spacing w:before="80"/>
        <w:ind w:left="890" w:hanging="890"/>
      </w:pPr>
      <w:r>
        <w:tab/>
        <w:t>[Regulation 14AE inserted in Gazette 1 May 2007 p. 1879; amended in Gazette 2 Oct 2007 p. 4974; 22 Oct 2010 p. 5228.]</w:t>
      </w:r>
    </w:p>
    <w:p>
      <w:pPr>
        <w:pStyle w:val="Heading5"/>
        <w:spacing w:before="180"/>
      </w:pPr>
      <w:bookmarkStart w:id="362" w:name="_Toc172713935"/>
      <w:bookmarkStart w:id="363" w:name="_Toc264018277"/>
      <w:bookmarkStart w:id="364" w:name="_Toc303323176"/>
      <w:bookmarkStart w:id="365" w:name="_Toc357698853"/>
      <w:r>
        <w:rPr>
          <w:rStyle w:val="CharSectno"/>
        </w:rPr>
        <w:t>14AF</w:t>
      </w:r>
      <w:r>
        <w:t>.</w:t>
      </w:r>
      <w:r>
        <w:tab/>
        <w:t>Transitional provisions for r. 14AD</w:t>
      </w:r>
      <w:bookmarkEnd w:id="362"/>
      <w:bookmarkEnd w:id="363"/>
      <w:bookmarkEnd w:id="364"/>
      <w:bookmarkEnd w:id="365"/>
    </w:p>
    <w:p>
      <w:pPr>
        <w:pStyle w:val="Subsection"/>
        <w:spacing w:before="140"/>
      </w:pPr>
      <w:r>
        <w:tab/>
        <w:t>(1)</w:t>
      </w:r>
      <w:r>
        <w:tab/>
        <w:t xml:space="preserve">A person who, immediately before the commencement of the </w:t>
      </w:r>
      <w:r>
        <w:rPr>
          <w:i/>
          <w:iCs/>
        </w:rPr>
        <w:t>Liquor and Gaming Legislation Amendment Act 2006</w:t>
      </w:r>
      <w:r>
        <w:rPr>
          <w:iCs/>
          <w:vertAlign w:val="superscript"/>
        </w:rPr>
        <w:t> 5</w:t>
      </w:r>
      <w:r>
        <w:rPr>
          <w:vertAlign w:val="superscript"/>
        </w:rPr>
        <w:t xml:space="preserve"> </w:t>
      </w:r>
      <w:r>
        <w:t>section 71, was employed or engaged in the capacity described in regulation 14AD(2) or (3) is not required to comply with that subregulation until the expiry of 12 months after that commencement.</w:t>
      </w:r>
    </w:p>
    <w:p>
      <w:pPr>
        <w:pStyle w:val="Subsection"/>
        <w:spacing w:before="140"/>
      </w:pPr>
      <w:r>
        <w:tab/>
        <w:t>(2)</w:t>
      </w:r>
      <w:r>
        <w:tab/>
        <w:t xml:space="preserve">If, during the 12 months referred to in subregulation (1), a person to whom that subregulation applies ceases to be employed or engaged by the person by whom he or she was employed or engaged immediately before the commencement of the </w:t>
      </w:r>
      <w:r>
        <w:rPr>
          <w:i/>
          <w:iCs/>
        </w:rPr>
        <w:t>Liquor and Gaming Legislation Amendment Act 2006</w:t>
      </w:r>
      <w:r>
        <w:rPr>
          <w:iCs/>
          <w:vertAlign w:val="superscript"/>
        </w:rPr>
        <w:t> 5</w:t>
      </w:r>
      <w:r>
        <w:rPr>
          <w:vertAlign w:val="superscript"/>
        </w:rPr>
        <w:t xml:space="preserve"> </w:t>
      </w:r>
      <w:r>
        <w:t xml:space="preserve"> section 71, subregulation (1) ceases to apply to that person.</w:t>
      </w:r>
    </w:p>
    <w:p>
      <w:pPr>
        <w:pStyle w:val="Footnotesection"/>
        <w:spacing w:before="80"/>
        <w:ind w:left="890" w:hanging="890"/>
      </w:pPr>
      <w:r>
        <w:tab/>
        <w:t>[Regulation 14AF inserted in Gazette 1 May 2007 p. 1879</w:t>
      </w:r>
      <w:r>
        <w:noBreakHyphen/>
        <w:t>80.]</w:t>
      </w:r>
    </w:p>
    <w:p>
      <w:pPr>
        <w:pStyle w:val="Heading5"/>
      </w:pPr>
      <w:bookmarkStart w:id="366" w:name="_Toc172713936"/>
      <w:bookmarkStart w:id="367" w:name="_Toc264018278"/>
      <w:bookmarkStart w:id="368" w:name="_Toc303323177"/>
      <w:bookmarkStart w:id="369" w:name="_Toc357698854"/>
      <w:r>
        <w:rPr>
          <w:rStyle w:val="CharSectno"/>
        </w:rPr>
        <w:t>14AG</w:t>
      </w:r>
      <w:r>
        <w:t>.</w:t>
      </w:r>
      <w:r>
        <w:tab/>
        <w:t>Licensee to maintain register </w:t>
      </w:r>
      <w:r>
        <w:rPr>
          <w:snapToGrid w:val="0"/>
        </w:rPr>
        <w:t>(Act s. </w:t>
      </w:r>
      <w:r>
        <w:t>103A(1)(b)</w:t>
      </w:r>
      <w:bookmarkEnd w:id="366"/>
      <w:r>
        <w:t>)</w:t>
      </w:r>
      <w:bookmarkEnd w:id="367"/>
      <w:bookmarkEnd w:id="368"/>
      <w:bookmarkEnd w:id="369"/>
    </w:p>
    <w:p>
      <w:pPr>
        <w:pStyle w:val="Subsection"/>
        <w:spacing w:before="140"/>
      </w:pPr>
      <w:r>
        <w:tab/>
        <w:t>(1)</w:t>
      </w:r>
      <w:r>
        <w:tab/>
        <w:t>The licensee of licensed premises is required to maintain a register that records in respect of a person employed or engaged at those premises in the capacity described in regulation 14AD(2) or (3) who has successfully completed the required course of training or assessment —</w:t>
      </w:r>
    </w:p>
    <w:p>
      <w:pPr>
        <w:pStyle w:val="Indenta"/>
        <w:spacing w:before="60"/>
      </w:pPr>
      <w:r>
        <w:tab/>
        <w:t>(a)</w:t>
      </w:r>
      <w:r>
        <w:tab/>
        <w:t>the name of the person; and</w:t>
      </w:r>
    </w:p>
    <w:p>
      <w:pPr>
        <w:pStyle w:val="Indenta"/>
        <w:spacing w:before="60"/>
      </w:pPr>
      <w:r>
        <w:tab/>
        <w:t>(b)</w:t>
      </w:r>
      <w:r>
        <w:tab/>
        <w:t>the date the person began his or her employment or engagement at the licensed premises; and</w:t>
      </w:r>
    </w:p>
    <w:p>
      <w:pPr>
        <w:pStyle w:val="Indenta"/>
        <w:spacing w:before="60"/>
      </w:pPr>
      <w:r>
        <w:tab/>
        <w:t>(c)</w:t>
      </w:r>
      <w:r>
        <w:tab/>
        <w:t>the name of the provider of the course of training or assessment; and</w:t>
      </w:r>
    </w:p>
    <w:p>
      <w:pPr>
        <w:pStyle w:val="Indenta"/>
        <w:spacing w:before="60"/>
      </w:pPr>
      <w:r>
        <w:tab/>
        <w:t>(d)</w:t>
      </w:r>
      <w:r>
        <w:tab/>
        <w:t>the State or Territory in which the person completed the course of training or assessment; and</w:t>
      </w:r>
    </w:p>
    <w:p>
      <w:pPr>
        <w:pStyle w:val="Indenta"/>
        <w:spacing w:before="60"/>
      </w:pPr>
      <w:r>
        <w:tab/>
        <w:t>(e)</w:t>
      </w:r>
      <w:r>
        <w:tab/>
        <w:t>the date of any certificate or other qualification obtained by the person on the completion of the course of training or assessment.</w:t>
      </w:r>
    </w:p>
    <w:p>
      <w:pPr>
        <w:pStyle w:val="Subsection"/>
        <w:spacing w:before="140"/>
      </w:pPr>
      <w:r>
        <w:tab/>
        <w:t>(1a)</w:t>
      </w:r>
      <w:r>
        <w:tab/>
        <w:t>A licensee who fails to maintain a register in accordance with subregulation (1) commits an offence.</w:t>
      </w:r>
    </w:p>
    <w:p>
      <w:pPr>
        <w:pStyle w:val="Penstart"/>
      </w:pPr>
      <w:r>
        <w:tab/>
        <w:t>Penalty: $5 000.</w:t>
      </w:r>
    </w:p>
    <w:p>
      <w:pPr>
        <w:pStyle w:val="Subsection"/>
        <w:spacing w:before="140"/>
      </w:pPr>
      <w:r>
        <w:tab/>
        <w:t>(2)</w:t>
      </w:r>
      <w:r>
        <w:tab/>
        <w:t>The licensee is required to keep a copy of the certificate or other qualification referred to in subregulation (1)(e).</w:t>
      </w:r>
    </w:p>
    <w:p>
      <w:pPr>
        <w:pStyle w:val="Footnotesection"/>
        <w:spacing w:before="100"/>
        <w:ind w:left="890" w:hanging="890"/>
      </w:pPr>
      <w:r>
        <w:tab/>
        <w:t>[Regulation 14AG inserted in Gazette 1 May 2007 p. 1880; amended in Gazette 28 Sep 2007 p. 4929.]</w:t>
      </w:r>
    </w:p>
    <w:p>
      <w:pPr>
        <w:pStyle w:val="Ednotesection"/>
        <w:spacing w:before="200"/>
      </w:pPr>
      <w:bookmarkStart w:id="370" w:name="_Toc460808719"/>
      <w:bookmarkStart w:id="371" w:name="_Toc519934582"/>
      <w:bookmarkStart w:id="372" w:name="_Toc534780047"/>
      <w:bookmarkStart w:id="373" w:name="_Toc3352054"/>
      <w:bookmarkStart w:id="374" w:name="_Toc3352129"/>
      <w:bookmarkStart w:id="375" w:name="_Toc22966231"/>
      <w:bookmarkStart w:id="376" w:name="_Toc66263838"/>
      <w:bookmarkStart w:id="377" w:name="_Toc119294079"/>
      <w:bookmarkStart w:id="378" w:name="_Toc123633172"/>
      <w:bookmarkStart w:id="379" w:name="_Toc172713938"/>
      <w:bookmarkEnd w:id="320"/>
      <w:bookmarkEnd w:id="321"/>
      <w:bookmarkEnd w:id="322"/>
      <w:bookmarkEnd w:id="323"/>
      <w:bookmarkEnd w:id="324"/>
      <w:bookmarkEnd w:id="325"/>
      <w:bookmarkEnd w:id="330"/>
      <w:bookmarkEnd w:id="331"/>
      <w:bookmarkEnd w:id="332"/>
      <w:r>
        <w:t>[</w:t>
      </w:r>
      <w:r>
        <w:rPr>
          <w:b/>
          <w:bCs/>
        </w:rPr>
        <w:t>15.</w:t>
      </w:r>
      <w:r>
        <w:tab/>
        <w:t>Deleted in Gazette 28 Sep 2007 p. 4929.]</w:t>
      </w:r>
    </w:p>
    <w:p>
      <w:pPr>
        <w:pStyle w:val="Heading5"/>
        <w:spacing w:before="200"/>
        <w:rPr>
          <w:snapToGrid w:val="0"/>
        </w:rPr>
      </w:pPr>
      <w:bookmarkStart w:id="380" w:name="_Toc264018279"/>
      <w:bookmarkStart w:id="381" w:name="_Toc303323178"/>
      <w:bookmarkStart w:id="382" w:name="_Toc357698855"/>
      <w:r>
        <w:rPr>
          <w:rStyle w:val="CharSectno"/>
        </w:rPr>
        <w:t>16</w:t>
      </w:r>
      <w:r>
        <w:rPr>
          <w:snapToGrid w:val="0"/>
        </w:rPr>
        <w:t>.</w:t>
      </w:r>
      <w:r>
        <w:rPr>
          <w:snapToGrid w:val="0"/>
        </w:rPr>
        <w:tab/>
        <w:t xml:space="preserve">Amount of liability prescribed </w:t>
      </w:r>
      <w:bookmarkEnd w:id="370"/>
      <w:bookmarkEnd w:id="371"/>
      <w:bookmarkEnd w:id="372"/>
      <w:bookmarkEnd w:id="373"/>
      <w:bookmarkEnd w:id="374"/>
      <w:bookmarkEnd w:id="375"/>
      <w:bookmarkEnd w:id="376"/>
      <w:bookmarkEnd w:id="377"/>
      <w:bookmarkEnd w:id="378"/>
      <w:bookmarkEnd w:id="379"/>
      <w:r>
        <w:rPr>
          <w:snapToGrid w:val="0"/>
        </w:rPr>
        <w:t>(Act s. 107)</w:t>
      </w:r>
      <w:bookmarkEnd w:id="380"/>
      <w:bookmarkEnd w:id="381"/>
      <w:bookmarkEnd w:id="382"/>
    </w:p>
    <w:p>
      <w:pPr>
        <w:pStyle w:val="Subsection"/>
        <w:spacing w:before="14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pPr>
      <w:bookmarkStart w:id="383" w:name="_Toc334430312"/>
      <w:bookmarkStart w:id="384" w:name="_Toc357698856"/>
      <w:bookmarkStart w:id="385" w:name="_Toc460808720"/>
      <w:bookmarkStart w:id="386" w:name="_Toc519934583"/>
      <w:bookmarkStart w:id="387" w:name="_Toc534780048"/>
      <w:bookmarkStart w:id="388" w:name="_Toc3352055"/>
      <w:bookmarkStart w:id="389" w:name="_Toc3352130"/>
      <w:bookmarkStart w:id="390" w:name="_Toc22966232"/>
      <w:bookmarkStart w:id="391" w:name="_Toc66263839"/>
      <w:bookmarkStart w:id="392" w:name="_Toc119294080"/>
      <w:bookmarkStart w:id="393" w:name="_Toc123633173"/>
      <w:bookmarkStart w:id="394" w:name="_Toc172713939"/>
      <w:bookmarkStart w:id="395" w:name="_Toc264018280"/>
      <w:bookmarkStart w:id="396" w:name="_Toc303323179"/>
      <w:r>
        <w:rPr>
          <w:rStyle w:val="CharSectno"/>
        </w:rPr>
        <w:t>17A</w:t>
      </w:r>
      <w:r>
        <w:t>.</w:t>
      </w:r>
      <w:r>
        <w:tab/>
        <w:t xml:space="preserve">Sports arenas prescribed (Act s. 110(4B) </w:t>
      </w:r>
      <w:r>
        <w:rPr>
          <w:i/>
        </w:rPr>
        <w:t>sports arena</w:t>
      </w:r>
      <w:r>
        <w:t>)</w:t>
      </w:r>
      <w:bookmarkEnd w:id="383"/>
      <w:bookmarkEnd w:id="384"/>
    </w:p>
    <w:p>
      <w:pPr>
        <w:pStyle w:val="Subsection"/>
        <w:spacing w:before="140"/>
      </w:pPr>
      <w:r>
        <w:tab/>
      </w:r>
      <w:r>
        <w:tab/>
        <w:t xml:space="preserve">For the purposes of the definition of </w:t>
      </w:r>
      <w:r>
        <w:rPr>
          <w:b/>
          <w:i/>
        </w:rPr>
        <w:t xml:space="preserve">sports arena </w:t>
      </w:r>
      <w:r>
        <w:t xml:space="preserve">in section 110(4B), the sports arenas, grounds or stadiums known by the following names and located at the following addresses are prescribed — </w:t>
      </w:r>
    </w:p>
    <w:p>
      <w:pPr>
        <w:pStyle w:val="Indenta"/>
        <w:spacing w:before="60"/>
      </w:pPr>
      <w:r>
        <w:tab/>
        <w:t>(a)</w:t>
      </w:r>
      <w:r>
        <w:tab/>
        <w:t xml:space="preserve">Subiaco Oval, </w:t>
      </w:r>
      <w:smartTag w:uri="urn:schemas-microsoft-com:office:smarttags" w:element="Street">
        <w:smartTag w:uri="urn:schemas-microsoft-com:office:smarttags" w:element="address">
          <w:r>
            <w:t>Roberts Road</w:t>
          </w:r>
        </w:smartTag>
      </w:smartTag>
      <w:r>
        <w:t>, Subiaco;</w:t>
      </w:r>
    </w:p>
    <w:p>
      <w:pPr>
        <w:pStyle w:val="Indenta"/>
        <w:spacing w:before="60"/>
      </w:pPr>
      <w:r>
        <w:tab/>
        <w:t>(b)</w:t>
      </w:r>
      <w:r>
        <w:tab/>
      </w:r>
      <w:smartTag w:uri="urn:schemas-microsoft-com:office:smarttags" w:element="place">
        <w:smartTag w:uri="urn:schemas-microsoft-com:office:smarttags" w:element="City">
          <w:r>
            <w:t>Perth</w:t>
          </w:r>
        </w:smartTag>
      </w:smartTag>
      <w:r>
        <w:t xml:space="preserve"> Oval, </w:t>
      </w:r>
      <w:smartTag w:uri="urn:schemas-microsoft-com:office:smarttags" w:element="address">
        <w:smartTag w:uri="urn:schemas-microsoft-com:office:smarttags" w:element="Street">
          <w:r>
            <w:t>Pier Street</w:t>
          </w:r>
        </w:smartTag>
        <w:r>
          <w:t xml:space="preserve">, </w:t>
        </w:r>
        <w:smartTag w:uri="urn:schemas-microsoft-com:office:smarttags" w:element="City">
          <w:r>
            <w:t>Perth</w:t>
          </w:r>
        </w:smartTag>
      </w:smartTag>
      <w:r>
        <w:t>;</w:t>
      </w:r>
    </w:p>
    <w:p>
      <w:pPr>
        <w:pStyle w:val="Indenta"/>
        <w:spacing w:before="60"/>
      </w:pPr>
      <w:r>
        <w:tab/>
        <w:t>(c)</w:t>
      </w:r>
      <w:r>
        <w:tab/>
        <w:t xml:space="preserve">Western Australian Cricket Association Ground (also known by the name W.A.C.A. Ground), </w:t>
      </w:r>
      <w:smartTag w:uri="urn:schemas-microsoft-com:office:smarttags" w:element="address">
        <w:smartTag w:uri="urn:schemas-microsoft-com:office:smarttags" w:element="Street">
          <w:r>
            <w:t>Hale Street, East</w:t>
          </w:r>
        </w:smartTag>
        <w:r>
          <w:t xml:space="preserve"> </w:t>
        </w:r>
        <w:smartTag w:uri="urn:schemas-microsoft-com:office:smarttags" w:element="City">
          <w:r>
            <w:t>Perth</w:t>
          </w:r>
        </w:smartTag>
      </w:smartTag>
      <w:r>
        <w:t>;</w:t>
      </w:r>
    </w:p>
    <w:p>
      <w:pPr>
        <w:pStyle w:val="Indenta"/>
        <w:spacing w:before="60"/>
      </w:pPr>
      <w:r>
        <w:tab/>
        <w:t>(d)</w:t>
      </w:r>
      <w:r>
        <w:tab/>
        <w:t xml:space="preserve">Ascot Racecourse, </w:t>
      </w:r>
      <w:smartTag w:uri="urn:schemas-microsoft-com:office:smarttags" w:element="Street">
        <w:smartTag w:uri="urn:schemas-microsoft-com:office:smarttags" w:element="address">
          <w:r>
            <w:t>Grandstand Road</w:t>
          </w:r>
        </w:smartTag>
      </w:smartTag>
      <w:r>
        <w:t xml:space="preserve">, </w:t>
      </w:r>
      <w:smartTag w:uri="urn:schemas-microsoft-com:office:smarttags" w:element="place">
        <w:r>
          <w:t>Ascot</w:t>
        </w:r>
      </w:smartTag>
      <w:r>
        <w:t>;</w:t>
      </w:r>
    </w:p>
    <w:p>
      <w:pPr>
        <w:pStyle w:val="Indenta"/>
        <w:spacing w:before="60"/>
      </w:pPr>
      <w:r>
        <w:tab/>
        <w:t>(e)</w:t>
      </w:r>
      <w:r>
        <w:tab/>
      </w:r>
      <w:smartTag w:uri="urn:schemas-microsoft-com:office:smarttags" w:element="place">
        <w:smartTag w:uri="urn:schemas-microsoft-com:office:smarttags" w:element="PlaceName">
          <w:r>
            <w:t>Belmont</w:t>
          </w:r>
        </w:smartTag>
        <w:r>
          <w:t xml:space="preserve"> </w:t>
        </w:r>
        <w:smartTag w:uri="urn:schemas-microsoft-com:office:smarttags" w:element="PlaceType">
          <w:r>
            <w:t>Park</w:t>
          </w:r>
        </w:smartTag>
      </w:smartTag>
      <w:r>
        <w:t xml:space="preserve"> Racecourse, </w:t>
      </w:r>
      <w:smartTag w:uri="urn:schemas-microsoft-com:office:smarttags" w:element="Street">
        <w:smartTag w:uri="urn:schemas-microsoft-com:office:smarttags" w:element="address">
          <w:r>
            <w:t>Victoria Park Drive</w:t>
          </w:r>
        </w:smartTag>
      </w:smartTag>
      <w:r>
        <w:t>, Burswood;</w:t>
      </w:r>
    </w:p>
    <w:p>
      <w:pPr>
        <w:pStyle w:val="Indenta"/>
        <w:spacing w:before="60"/>
      </w:pPr>
      <w:r>
        <w:tab/>
        <w:t>(f)</w:t>
      </w:r>
      <w:r>
        <w:tab/>
      </w:r>
      <w:smartTag w:uri="urn:schemas-microsoft-com:office:smarttags" w:element="place">
        <w:smartTag w:uri="urn:schemas-microsoft-com:office:smarttags" w:element="PlaceName">
          <w:r>
            <w:t>Gloucester</w:t>
          </w:r>
        </w:smartTag>
        <w:r>
          <w:t xml:space="preserve"> </w:t>
        </w:r>
        <w:smartTag w:uri="urn:schemas-microsoft-com:office:smarttags" w:element="PlaceType">
          <w:r>
            <w:t>Park</w:t>
          </w:r>
        </w:smartTag>
      </w:smartTag>
      <w:r>
        <w:t xml:space="preserve">, </w:t>
      </w:r>
      <w:smartTag w:uri="urn:schemas-microsoft-com:office:smarttags" w:element="address">
        <w:smartTag w:uri="urn:schemas-microsoft-com:office:smarttags" w:element="Street">
          <w:r>
            <w:t>Nelson Crescent, East</w:t>
          </w:r>
        </w:smartTag>
        <w:r>
          <w:t xml:space="preserve"> </w:t>
        </w:r>
        <w:smartTag w:uri="urn:schemas-microsoft-com:office:smarttags" w:element="City">
          <w:r>
            <w:t>Perth</w:t>
          </w:r>
        </w:smartTag>
      </w:smartTag>
      <w:r>
        <w:t>;</w:t>
      </w:r>
    </w:p>
    <w:p>
      <w:pPr>
        <w:pStyle w:val="Indenta"/>
        <w:spacing w:before="60"/>
      </w:pPr>
      <w:r>
        <w:tab/>
        <w:t>(g)</w:t>
      </w:r>
      <w:r>
        <w:tab/>
        <w:t xml:space="preserve">Challenge Stadium, </w:t>
      </w:r>
      <w:smartTag w:uri="urn:schemas-microsoft-com:office:smarttags" w:element="Street">
        <w:smartTag w:uri="urn:schemas-microsoft-com:office:smarttags" w:element="address">
          <w:r>
            <w:t>Stephenson Avenue</w:t>
          </w:r>
        </w:smartTag>
      </w:smartTag>
      <w:r>
        <w:t>, Mt Claremont;</w:t>
      </w:r>
    </w:p>
    <w:p>
      <w:pPr>
        <w:pStyle w:val="Indenta"/>
        <w:spacing w:before="60"/>
      </w:pPr>
      <w:r>
        <w:tab/>
        <w:t>(h)</w:t>
      </w:r>
      <w:r>
        <w:tab/>
        <w:t xml:space="preserve">Arena Joondalup, </w:t>
      </w:r>
      <w:smartTag w:uri="urn:schemas-microsoft-com:office:smarttags" w:element="Street">
        <w:smartTag w:uri="urn:schemas-microsoft-com:office:smarttags" w:element="address">
          <w:r>
            <w:t>Kennedya Drive</w:t>
          </w:r>
        </w:smartTag>
      </w:smartTag>
      <w:r>
        <w:t>, Joondalup;</w:t>
      </w:r>
    </w:p>
    <w:p>
      <w:pPr>
        <w:pStyle w:val="Indenta"/>
        <w:spacing w:before="60"/>
      </w:pPr>
      <w:r>
        <w:tab/>
        <w:t>(i)</w:t>
      </w:r>
      <w:r>
        <w:tab/>
        <w:t xml:space="preserve">Perth Motorplex, corner of </w:t>
      </w:r>
      <w:smartTag w:uri="urn:schemas-microsoft-com:office:smarttags" w:element="Street">
        <w:smartTag w:uri="urn:schemas-microsoft-com:office:smarttags" w:element="address">
          <w:r>
            <w:t>Anketell Road</w:t>
          </w:r>
        </w:smartTag>
      </w:smartTag>
      <w:r>
        <w:t xml:space="preserve"> and </w:t>
      </w:r>
      <w:smartTag w:uri="urn:schemas-microsoft-com:office:smarttags" w:element="Street">
        <w:smartTag w:uri="urn:schemas-microsoft-com:office:smarttags" w:element="address">
          <w:r>
            <w:t>Rockingham Road</w:t>
          </w:r>
        </w:smartTag>
      </w:smartTag>
      <w:r>
        <w:t xml:space="preserve">, </w:t>
      </w:r>
      <w:smartTag w:uri="urn:schemas-microsoft-com:office:smarttags" w:element="place">
        <w:smartTag w:uri="urn:schemas-microsoft-com:office:smarttags" w:element="PlaceName">
          <w:r>
            <w:t>Kwinana</w:t>
          </w:r>
        </w:smartTag>
        <w:r>
          <w:t xml:space="preserve"> </w:t>
        </w:r>
        <w:smartTag w:uri="urn:schemas-microsoft-com:office:smarttags" w:element="PlaceType">
          <w:r>
            <w:t>Beach</w:t>
          </w:r>
        </w:smartTag>
      </w:smartTag>
      <w:r>
        <w:t>;</w:t>
      </w:r>
    </w:p>
    <w:p>
      <w:pPr>
        <w:pStyle w:val="Indenta"/>
        <w:spacing w:before="60"/>
      </w:pPr>
      <w:r>
        <w:tab/>
        <w:t>(j)</w:t>
      </w:r>
      <w:r>
        <w:tab/>
        <w:t xml:space="preserve">Greyhounds WA Cannington, corner of </w:t>
      </w:r>
      <w:smartTag w:uri="urn:schemas-microsoft-com:office:smarttags" w:element="Street">
        <w:smartTag w:uri="urn:schemas-microsoft-com:office:smarttags" w:element="address">
          <w:r>
            <w:t>Albany Highway</w:t>
          </w:r>
        </w:smartTag>
      </w:smartTag>
      <w:r>
        <w:t xml:space="preserve"> and </w:t>
      </w:r>
      <w:smartTag w:uri="urn:schemas-microsoft-com:office:smarttags" w:element="Street">
        <w:smartTag w:uri="urn:schemas-microsoft-com:office:smarttags" w:element="address">
          <w:r>
            <w:t>Station Street</w:t>
          </w:r>
        </w:smartTag>
      </w:smartTag>
      <w:r>
        <w:t>, Cannington.</w:t>
      </w:r>
    </w:p>
    <w:p>
      <w:pPr>
        <w:pStyle w:val="Footnotesection"/>
        <w:spacing w:before="100"/>
        <w:ind w:left="890" w:hanging="890"/>
      </w:pPr>
      <w:r>
        <w:tab/>
        <w:t>[Regulation 17A inserted in Gazette 4 Sep 2012 p. 4249-50.]</w:t>
      </w:r>
    </w:p>
    <w:p>
      <w:pPr>
        <w:pStyle w:val="Heading5"/>
        <w:spacing w:before="210"/>
        <w:rPr>
          <w:snapToGrid w:val="0"/>
        </w:rPr>
      </w:pPr>
      <w:bookmarkStart w:id="397" w:name="_Toc357698857"/>
      <w:r>
        <w:rPr>
          <w:rStyle w:val="CharSectno"/>
        </w:rPr>
        <w:t>17</w:t>
      </w:r>
      <w:r>
        <w:rPr>
          <w:snapToGrid w:val="0"/>
        </w:rPr>
        <w:t>.</w:t>
      </w:r>
      <w:r>
        <w:rPr>
          <w:snapToGrid w:val="0"/>
        </w:rPr>
        <w:tab/>
        <w:t>Out of bounds area</w:t>
      </w:r>
      <w:bookmarkEnd w:id="385"/>
      <w:bookmarkEnd w:id="386"/>
      <w:bookmarkEnd w:id="387"/>
      <w:bookmarkEnd w:id="388"/>
      <w:bookmarkEnd w:id="389"/>
      <w:bookmarkEnd w:id="390"/>
      <w:bookmarkEnd w:id="391"/>
      <w:bookmarkEnd w:id="392"/>
      <w:bookmarkEnd w:id="393"/>
      <w:bookmarkEnd w:id="394"/>
      <w:r>
        <w:rPr>
          <w:snapToGrid w:val="0"/>
        </w:rPr>
        <w:t>, notice for (Act s. 121(6))</w:t>
      </w:r>
      <w:bookmarkEnd w:id="395"/>
      <w:bookmarkEnd w:id="396"/>
      <w:bookmarkEnd w:id="397"/>
    </w:p>
    <w:p>
      <w:pPr>
        <w:pStyle w:val="Subsection"/>
        <w:keepNext/>
        <w:keepLines/>
        <w:spacing w:before="140"/>
        <w:rPr>
          <w:snapToGrid w:val="0"/>
        </w:rPr>
      </w:pPr>
      <w:r>
        <w:rPr>
          <w:snapToGrid w:val="0"/>
        </w:rPr>
        <w:tab/>
      </w:r>
      <w:r>
        <w:rPr>
          <w:snapToGrid w:val="0"/>
        </w:rPr>
        <w:tab/>
        <w:t>A notice for the purposes of section 121(6) shall —</w:t>
      </w:r>
    </w:p>
    <w:p>
      <w:pPr>
        <w:pStyle w:val="Ednotepara"/>
        <w:spacing w:before="60"/>
        <w:rPr>
          <w:snapToGrid w:val="0"/>
        </w:rPr>
      </w:pPr>
      <w:r>
        <w:rPr>
          <w:snapToGrid w:val="0"/>
        </w:rPr>
        <w:tab/>
        <w:t>[(a)</w:t>
      </w:r>
      <w:r>
        <w:rPr>
          <w:snapToGrid w:val="0"/>
        </w:rPr>
        <w:tab/>
        <w:t>deleted]</w:t>
      </w:r>
    </w:p>
    <w:p>
      <w:pPr>
        <w:pStyle w:val="Indenta"/>
        <w:spacing w:before="60"/>
        <w:rPr>
          <w:snapToGrid w:val="0"/>
        </w:rPr>
      </w:pPr>
      <w:r>
        <w:rPr>
          <w:snapToGrid w:val="0"/>
        </w:rPr>
        <w:tab/>
        <w:t>(b)</w:t>
      </w:r>
      <w:r>
        <w:rPr>
          <w:snapToGrid w:val="0"/>
        </w:rPr>
        <w:tab/>
        <w:t>be printed, on paper or durable material of at least A4 size, in bold</w:t>
      </w:r>
      <w:r>
        <w:rPr>
          <w:snapToGrid w:val="0"/>
        </w:rPr>
        <w:noBreakHyphen/>
        <w:t>faced, upper case letters —</w:t>
      </w:r>
    </w:p>
    <w:p>
      <w:pPr>
        <w:pStyle w:val="Indenti"/>
        <w:spacing w:before="60"/>
        <w:rPr>
          <w:snapToGrid w:val="0"/>
        </w:rPr>
      </w:pPr>
      <w:r>
        <w:rPr>
          <w:snapToGrid w:val="0"/>
        </w:rPr>
        <w:tab/>
        <w:t>(i)</w:t>
      </w:r>
      <w:r>
        <w:rPr>
          <w:snapToGrid w:val="0"/>
        </w:rPr>
        <w:tab/>
        <w:t>in the heading, at least 20 mm in height; and</w:t>
      </w:r>
    </w:p>
    <w:p>
      <w:pPr>
        <w:pStyle w:val="Indenti"/>
        <w:spacing w:before="60"/>
        <w:rPr>
          <w:snapToGrid w:val="0"/>
        </w:rPr>
      </w:pPr>
      <w:r>
        <w:rPr>
          <w:snapToGrid w:val="0"/>
        </w:rPr>
        <w:tab/>
        <w:t>(ii)</w:t>
      </w:r>
      <w:r>
        <w:rPr>
          <w:snapToGrid w:val="0"/>
        </w:rPr>
        <w:tab/>
        <w:t>otherwise, at least 10 mm in height.</w:t>
      </w:r>
    </w:p>
    <w:p>
      <w:pPr>
        <w:pStyle w:val="Footnotesection"/>
        <w:spacing w:before="100"/>
        <w:ind w:left="890" w:hanging="890"/>
      </w:pPr>
      <w:r>
        <w:tab/>
        <w:t>[Regulation 17 amended in Gazette 1 May 2007 p. 1881.]</w:t>
      </w:r>
    </w:p>
    <w:p>
      <w:pPr>
        <w:pStyle w:val="Heading5"/>
      </w:pPr>
      <w:bookmarkStart w:id="398" w:name="_Toc303323180"/>
      <w:bookmarkStart w:id="399" w:name="_Toc357698858"/>
      <w:bookmarkStart w:id="400" w:name="_Toc460808721"/>
      <w:bookmarkStart w:id="401" w:name="_Toc519934584"/>
      <w:bookmarkStart w:id="402" w:name="_Toc534780049"/>
      <w:bookmarkStart w:id="403" w:name="_Toc3352056"/>
      <w:bookmarkStart w:id="404" w:name="_Toc3352131"/>
      <w:bookmarkStart w:id="405" w:name="_Toc22966233"/>
      <w:bookmarkStart w:id="406" w:name="_Toc66263840"/>
      <w:bookmarkStart w:id="407" w:name="_Toc119294081"/>
      <w:bookmarkStart w:id="408" w:name="_Toc123633174"/>
      <w:bookmarkStart w:id="409" w:name="_Toc172713940"/>
      <w:bookmarkStart w:id="410" w:name="_Toc264018281"/>
      <w:r>
        <w:rPr>
          <w:rStyle w:val="CharSectno"/>
        </w:rPr>
        <w:t>18</w:t>
      </w:r>
      <w:r>
        <w:t>.</w:t>
      </w:r>
      <w:r>
        <w:tab/>
        <w:t>Premises prescribed to be regulated premises (Act s. 122(1)(f))</w:t>
      </w:r>
      <w:bookmarkEnd w:id="398"/>
      <w:bookmarkEnd w:id="399"/>
    </w:p>
    <w:p>
      <w:pPr>
        <w:pStyle w:val="Subsection"/>
        <w:spacing w:before="140"/>
      </w:pPr>
      <w:r>
        <w:tab/>
      </w:r>
      <w:r>
        <w:tab/>
        <w:t xml:space="preserve">For the purposes of section 122, the following premises are regulated premises — </w:t>
      </w:r>
    </w:p>
    <w:p>
      <w:pPr>
        <w:pStyle w:val="Indenta"/>
        <w:spacing w:before="60"/>
      </w:pPr>
      <w:r>
        <w:tab/>
        <w:t>(a)</w:t>
      </w:r>
      <w:r>
        <w:tab/>
        <w:t>a theatre;</w:t>
      </w:r>
    </w:p>
    <w:p>
      <w:pPr>
        <w:pStyle w:val="Indenta"/>
      </w:pPr>
      <w:r>
        <w:tab/>
        <w:t>(b)</w:t>
      </w:r>
      <w:r>
        <w:tab/>
        <w:t>an educational institution, including any grounds surrounding that institution;</w:t>
      </w:r>
    </w:p>
    <w:p>
      <w:pPr>
        <w:pStyle w:val="Indenta"/>
      </w:pPr>
      <w:r>
        <w:tab/>
        <w:t>(c)</w:t>
      </w:r>
      <w:r>
        <w:tab/>
        <w:t>premises on which the consumption of liquor by a person who is at least 18 years of age is exempted from the application of the Act by regulation 8A;</w:t>
      </w:r>
    </w:p>
    <w:p>
      <w:pPr>
        <w:pStyle w:val="Indenta"/>
      </w:pPr>
      <w:r>
        <w:tab/>
        <w:t>(d)</w:t>
      </w:r>
      <w:r>
        <w:tab/>
        <w:t>premises on which the sale or supply of liquor to a person who is at least 18 years of age is exempted from the application of the Act by regulation 8B or 8C;</w:t>
      </w:r>
    </w:p>
    <w:p>
      <w:pPr>
        <w:pStyle w:val="Indenta"/>
      </w:pPr>
      <w:r>
        <w:tab/>
        <w:t>(e)</w:t>
      </w:r>
      <w:r>
        <w:tab/>
        <w:t xml:space="preserve">premises on which the sale or supply of liquor to a person who is at least 18 years of age is exempted from the application of the Act by regulation 8D, consisting of — </w:t>
      </w:r>
    </w:p>
    <w:p>
      <w:pPr>
        <w:pStyle w:val="Indenti"/>
      </w:pPr>
      <w:r>
        <w:tab/>
        <w:t>(i)</w:t>
      </w:r>
      <w:r>
        <w:tab/>
        <w:t>the stall at the farmers’ market from which liquor is sold or supplied; and</w:t>
      </w:r>
    </w:p>
    <w:p>
      <w:pPr>
        <w:pStyle w:val="Indenti"/>
      </w:pPr>
      <w:r>
        <w:tab/>
        <w:t>(ii)</w:t>
      </w:r>
      <w:r>
        <w:tab/>
        <w:t>the area immediately surrounding the stall in which customers of the stall congregate to sample or purchase liquor from the stall;</w:t>
      </w:r>
    </w:p>
    <w:p>
      <w:pPr>
        <w:pStyle w:val="Indenta"/>
      </w:pPr>
      <w:r>
        <w:tab/>
        <w:t>(f)</w:t>
      </w:r>
      <w:r>
        <w:tab/>
        <w:t>premises consisting of a vehicle in which the consumption of liquor by a person who is at least 18 years of age is exempted from the application of the Act by regulation 8F.</w:t>
      </w:r>
    </w:p>
    <w:p>
      <w:pPr>
        <w:pStyle w:val="Footnotesection"/>
      </w:pPr>
      <w:r>
        <w:tab/>
        <w:t>[Regulation 18 inserted in Gazette 15 Jul 2011 p. 2965</w:t>
      </w:r>
      <w:r>
        <w:noBreakHyphen/>
        <w:t>6.]</w:t>
      </w:r>
    </w:p>
    <w:p>
      <w:pPr>
        <w:pStyle w:val="Heading5"/>
        <w:rPr>
          <w:snapToGrid w:val="0"/>
        </w:rPr>
      </w:pPr>
      <w:bookmarkStart w:id="411" w:name="_Toc460808722"/>
      <w:bookmarkStart w:id="412" w:name="_Toc519934585"/>
      <w:bookmarkStart w:id="413" w:name="_Toc534780050"/>
      <w:bookmarkStart w:id="414" w:name="_Toc3352057"/>
      <w:bookmarkStart w:id="415" w:name="_Toc3352132"/>
      <w:bookmarkStart w:id="416" w:name="_Toc22966234"/>
      <w:bookmarkStart w:id="417" w:name="_Toc66263841"/>
      <w:bookmarkStart w:id="418" w:name="_Toc119294082"/>
      <w:bookmarkStart w:id="419" w:name="_Toc123633175"/>
      <w:bookmarkStart w:id="420" w:name="_Toc172713941"/>
      <w:bookmarkStart w:id="421" w:name="_Toc264018282"/>
      <w:bookmarkStart w:id="422" w:name="_Toc303323181"/>
      <w:bookmarkStart w:id="423" w:name="_Toc357698859"/>
      <w:bookmarkEnd w:id="400"/>
      <w:bookmarkEnd w:id="401"/>
      <w:bookmarkEnd w:id="402"/>
      <w:bookmarkEnd w:id="403"/>
      <w:bookmarkEnd w:id="404"/>
      <w:bookmarkEnd w:id="405"/>
      <w:bookmarkEnd w:id="406"/>
      <w:bookmarkEnd w:id="407"/>
      <w:bookmarkEnd w:id="408"/>
      <w:bookmarkEnd w:id="409"/>
      <w:bookmarkEnd w:id="410"/>
      <w:r>
        <w:rPr>
          <w:rStyle w:val="CharSectno"/>
        </w:rPr>
        <w:t>18A</w:t>
      </w:r>
      <w:r>
        <w:rPr>
          <w:snapToGrid w:val="0"/>
        </w:rPr>
        <w:t>.</w:t>
      </w:r>
      <w:r>
        <w:rPr>
          <w:snapToGrid w:val="0"/>
        </w:rPr>
        <w:tab/>
        <w:t>Documents prescribed as evidence of age etc. (Act s. 126(1)(b)(i)(III) and s. 160(1))</w:t>
      </w:r>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Subsection"/>
      </w:pPr>
      <w:r>
        <w:tab/>
        <w:t>(1)</w:t>
      </w:r>
      <w:r>
        <w:tab/>
        <w:t xml:space="preserve">In this regulation — </w:t>
      </w:r>
    </w:p>
    <w:p>
      <w:pPr>
        <w:pStyle w:val="Defstart"/>
      </w:pPr>
      <w:r>
        <w:tab/>
      </w:r>
      <w:r>
        <w:rPr>
          <w:rStyle w:val="CharDefText"/>
        </w:rPr>
        <w:t>Australian learner driver permit</w:t>
      </w:r>
      <w:r>
        <w:t xml:space="preserve"> means — </w:t>
      </w:r>
    </w:p>
    <w:p>
      <w:pPr>
        <w:pStyle w:val="Defpara"/>
      </w:pPr>
      <w:r>
        <w:tab/>
        <w:t>(a)</w:t>
      </w:r>
      <w:r>
        <w:tab/>
        <w:t xml:space="preserve">a learner’s permit as defined in the </w:t>
      </w:r>
      <w:r>
        <w:rPr>
          <w:i/>
        </w:rPr>
        <w:t>Road Traffic Act 1974</w:t>
      </w:r>
      <w:r>
        <w:t xml:space="preserve"> section 5(1); or</w:t>
      </w:r>
    </w:p>
    <w:p>
      <w:pPr>
        <w:pStyle w:val="Defpara"/>
      </w:pPr>
      <w:r>
        <w:tab/>
        <w:t>(b)</w:t>
      </w:r>
      <w:r>
        <w:tab/>
        <w:t>a permit or other authorisation granted to a person under the law of another State or Territory authorising the person to drive a motor vehicle on a road for the purpose of learning to drive it.</w:t>
      </w:r>
    </w:p>
    <w:p>
      <w:pPr>
        <w:pStyle w:val="Subsection"/>
      </w:pPr>
      <w:r>
        <w:tab/>
        <w:t>(2A)</w:t>
      </w:r>
      <w:r>
        <w:tab/>
        <w:t xml:space="preserve">For the purposes of section 126(1)(b)(i)(III), the following are prescribed documents — </w:t>
      </w:r>
    </w:p>
    <w:p>
      <w:pPr>
        <w:pStyle w:val="Indenta"/>
      </w:pPr>
      <w:r>
        <w:tab/>
        <w:t>(a)</w:t>
      </w:r>
      <w:r>
        <w:tab/>
        <w:t>a proof of age card issued under regulation 18B;</w:t>
      </w:r>
    </w:p>
    <w:p>
      <w:pPr>
        <w:pStyle w:val="Indenta"/>
      </w:pPr>
      <w:r>
        <w:tab/>
        <w:t>(b)</w:t>
      </w:r>
      <w:r>
        <w:tab/>
        <w:t>a current Australian learner driver permit with a photograph.</w:t>
      </w:r>
    </w:p>
    <w:p>
      <w:pPr>
        <w:pStyle w:val="Subsection"/>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may comply with the requirement by producing a proof of age card issued to the person under regulation 18B.</w:t>
      </w:r>
    </w:p>
    <w:p>
      <w:pPr>
        <w:pStyle w:val="Footnotesection"/>
        <w:ind w:left="890" w:hanging="890"/>
      </w:pPr>
      <w:r>
        <w:tab/>
        <w:t>[Regulation 18A inserted in Gazette 22 May 1998 p. 2943; amended in Gazette 1 May 2007 p. 1888</w:t>
      </w:r>
      <w:r>
        <w:noBreakHyphen/>
        <w:t>9; 19 Apr 2013 p. 1570</w:t>
      </w:r>
      <w:r>
        <w:noBreakHyphen/>
        <w:t>1.]</w:t>
      </w:r>
    </w:p>
    <w:p>
      <w:pPr>
        <w:pStyle w:val="Heading5"/>
        <w:rPr>
          <w:snapToGrid w:val="0"/>
        </w:rPr>
      </w:pPr>
      <w:bookmarkStart w:id="424" w:name="_Toc460808723"/>
      <w:bookmarkStart w:id="425" w:name="_Toc519934586"/>
      <w:bookmarkStart w:id="426" w:name="_Toc534780051"/>
      <w:bookmarkStart w:id="427" w:name="_Toc3352058"/>
      <w:bookmarkStart w:id="428" w:name="_Toc3352133"/>
      <w:bookmarkStart w:id="429" w:name="_Toc22966235"/>
      <w:bookmarkStart w:id="430" w:name="_Toc66263842"/>
      <w:bookmarkStart w:id="431" w:name="_Toc119294083"/>
      <w:bookmarkStart w:id="432" w:name="_Toc123633176"/>
      <w:bookmarkStart w:id="433" w:name="_Toc172713942"/>
      <w:bookmarkStart w:id="434" w:name="_Toc264018283"/>
      <w:bookmarkStart w:id="435" w:name="_Toc303323182"/>
      <w:bookmarkStart w:id="436" w:name="_Toc357698860"/>
      <w:r>
        <w:rPr>
          <w:rStyle w:val="CharSectno"/>
        </w:rPr>
        <w:t>18B</w:t>
      </w:r>
      <w:r>
        <w:rPr>
          <w:snapToGrid w:val="0"/>
        </w:rPr>
        <w:t>.</w:t>
      </w:r>
      <w:r>
        <w:rPr>
          <w:snapToGrid w:val="0"/>
        </w:rPr>
        <w:tab/>
        <w:t>Proof of age card</w:t>
      </w:r>
      <w:bookmarkEnd w:id="424"/>
      <w:bookmarkEnd w:id="425"/>
      <w:bookmarkEnd w:id="426"/>
      <w:bookmarkEnd w:id="427"/>
      <w:bookmarkEnd w:id="428"/>
      <w:bookmarkEnd w:id="429"/>
      <w:bookmarkEnd w:id="430"/>
      <w:bookmarkEnd w:id="431"/>
      <w:bookmarkEnd w:id="432"/>
      <w:bookmarkEnd w:id="433"/>
      <w:bookmarkEnd w:id="434"/>
      <w:bookmarkEnd w:id="435"/>
      <w:r>
        <w:rPr>
          <w:snapToGrid w:val="0"/>
        </w:rPr>
        <w:t>, issue of etc.</w:t>
      </w:r>
      <w:bookmarkEnd w:id="436"/>
    </w:p>
    <w:p>
      <w:pPr>
        <w:pStyle w:val="Subsection"/>
        <w:spacing w:before="100"/>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spacing w:before="100"/>
      </w:pPr>
      <w:r>
        <w:tab/>
        <w:t>(2)</w:t>
      </w:r>
      <w:r>
        <w:tab/>
        <w:t>An application for a proof of age card is to be made in a form approved by the Director and be accompanied by —</w:t>
      </w:r>
    </w:p>
    <w:p>
      <w:pPr>
        <w:pStyle w:val="Indenta"/>
        <w:spacing w:before="50"/>
      </w:pPr>
      <w:r>
        <w:tab/>
        <w:t>(a)</w:t>
      </w:r>
      <w:r>
        <w:tab/>
        <w:t>such proof of the applicant’s identity and residential address in this State as the Director may require; and</w:t>
      </w:r>
    </w:p>
    <w:p>
      <w:pPr>
        <w:pStyle w:val="Indenta"/>
        <w:spacing w:before="50"/>
      </w:pPr>
      <w:r>
        <w:tab/>
        <w:t>(b)</w:t>
      </w:r>
      <w:r>
        <w:tab/>
        <w:t>the appropriate fee set out in Schedule 3.</w:t>
      </w:r>
    </w:p>
    <w:p>
      <w:pPr>
        <w:pStyle w:val="Subsection"/>
        <w:spacing w:before="100"/>
        <w:rPr>
          <w:snapToGrid w:val="0"/>
        </w:rPr>
      </w:pPr>
      <w:r>
        <w:rPr>
          <w:snapToGrid w:val="0"/>
        </w:rPr>
        <w:tab/>
        <w:t>(3)</w:t>
      </w:r>
      <w:r>
        <w:rPr>
          <w:snapToGrid w:val="0"/>
        </w:rPr>
        <w:tab/>
        <w:t>The applicant shall provide any other information or documents (which may include</w:t>
      </w:r>
      <w:r>
        <w:t xml:space="preserve">, for use on the proof of age card, a photograph of the applicant and, unless subregulation (3AA) applies, </w:t>
      </w:r>
      <w:r>
        <w:rPr>
          <w:snapToGrid w:val="0"/>
        </w:rPr>
        <w:t>an example of the applicant’s signature in a medium specified by the Director) that the Director may require in relation to the application.</w:t>
      </w:r>
    </w:p>
    <w:p>
      <w:pPr>
        <w:pStyle w:val="Subsection"/>
        <w:spacing w:before="100"/>
      </w:pPr>
      <w:r>
        <w:tab/>
        <w:t>(3AA)</w:t>
      </w:r>
      <w:r>
        <w:tab/>
        <w:t>This subregulation applies if the applicant is unable to sign because of a permanent disability.</w:t>
      </w:r>
    </w:p>
    <w:p>
      <w:pPr>
        <w:pStyle w:val="Subsection"/>
        <w:spacing w:before="100"/>
      </w:pPr>
      <w:r>
        <w:tab/>
        <w:t>(3a)</w:t>
      </w:r>
      <w:r>
        <w:tab/>
        <w:t>In subregulation (3) —</w:t>
      </w:r>
    </w:p>
    <w:p>
      <w:pPr>
        <w:pStyle w:val="Defstart"/>
      </w:pPr>
      <w:r>
        <w:rPr>
          <w:b/>
        </w:rPr>
        <w:tab/>
      </w:r>
      <w:r>
        <w:rPr>
          <w:rStyle w:val="CharDefText"/>
        </w:rPr>
        <w:t>photograph</w:t>
      </w:r>
      <w:r>
        <w:t xml:space="preserve"> includes a negative or an image stored electronically.</w:t>
      </w:r>
    </w:p>
    <w:p>
      <w:pPr>
        <w:pStyle w:val="Subsection"/>
        <w:spacing w:before="100"/>
      </w:pPr>
      <w:r>
        <w:tab/>
        <w:t>(3b)</w:t>
      </w:r>
      <w:r>
        <w:tab/>
        <w:t>The Director is to ensure that any photograph or signature provided under subregulation (3) (including any image or reproduction stored electronically) is destroyed if the photograph or signature, or an image or reproduction of it, has not been used on a proof of age card issued within the period of 10 years after the photograph or signature was provided.</w:t>
      </w:r>
    </w:p>
    <w:p>
      <w:pPr>
        <w:pStyle w:val="Subsection"/>
        <w:spacing w:before="100"/>
      </w:pPr>
      <w:r>
        <w:tab/>
        <w:t>(3c)</w:t>
      </w:r>
      <w:r>
        <w:tab/>
        <w:t>If a photograph of an applicant provided under subregulation (3) is required to be destroyed under subregulation (3b), any photograph of the applicant provided under subregulation (2) is also required to be destroyed.</w:t>
      </w:r>
    </w:p>
    <w:p>
      <w:pPr>
        <w:pStyle w:val="Footnotesection"/>
        <w:keepLines w:val="0"/>
        <w:spacing w:before="80"/>
        <w:ind w:left="890" w:hanging="890"/>
      </w:pPr>
      <w:r>
        <w:tab/>
        <w:t>[Regulation 18B inserted in Gazette 3 Dec 1996 p. 6690; amended in Gazette 14 Nov 1997 p. 6446; 30 Jun 2003 p. 2612; 28 Sep 2007 p. 4929</w:t>
      </w:r>
      <w:r>
        <w:noBreakHyphen/>
        <w:t>30; 13 Mar 2009 p. 763</w:t>
      </w:r>
      <w:r>
        <w:noBreakHyphen/>
        <w:t>4; 22 Oct 2010 p. 5228.]</w:t>
      </w:r>
    </w:p>
    <w:p>
      <w:pPr>
        <w:pStyle w:val="Heading5"/>
        <w:rPr>
          <w:snapToGrid w:val="0"/>
        </w:rPr>
      </w:pPr>
      <w:bookmarkStart w:id="437" w:name="_Toc460808724"/>
      <w:bookmarkStart w:id="438" w:name="_Toc519934587"/>
      <w:bookmarkStart w:id="439" w:name="_Toc534780052"/>
      <w:bookmarkStart w:id="440" w:name="_Toc3352059"/>
      <w:bookmarkStart w:id="441" w:name="_Toc3352134"/>
      <w:bookmarkStart w:id="442" w:name="_Toc22966236"/>
      <w:bookmarkStart w:id="443" w:name="_Toc66263843"/>
      <w:bookmarkStart w:id="444" w:name="_Toc119294084"/>
      <w:bookmarkStart w:id="445" w:name="_Toc123633177"/>
      <w:bookmarkStart w:id="446" w:name="_Toc172713943"/>
      <w:bookmarkStart w:id="447" w:name="_Toc264018284"/>
      <w:bookmarkStart w:id="448" w:name="_Toc303323183"/>
      <w:bookmarkStart w:id="449" w:name="_Toc357698861"/>
      <w:r>
        <w:rPr>
          <w:rStyle w:val="CharSectno"/>
        </w:rPr>
        <w:t>18C</w:t>
      </w:r>
      <w:r>
        <w:rPr>
          <w:snapToGrid w:val="0"/>
        </w:rPr>
        <w:t>.</w:t>
      </w:r>
      <w:r>
        <w:rPr>
          <w:snapToGrid w:val="0"/>
        </w:rPr>
        <w:tab/>
        <w:t>Proof of age card</w:t>
      </w:r>
      <w:bookmarkEnd w:id="437"/>
      <w:bookmarkEnd w:id="438"/>
      <w:bookmarkEnd w:id="439"/>
      <w:bookmarkEnd w:id="440"/>
      <w:bookmarkEnd w:id="441"/>
      <w:bookmarkEnd w:id="442"/>
      <w:bookmarkEnd w:id="443"/>
      <w:bookmarkEnd w:id="444"/>
      <w:bookmarkEnd w:id="445"/>
      <w:bookmarkEnd w:id="446"/>
      <w:r>
        <w:rPr>
          <w:snapToGrid w:val="0"/>
        </w:rPr>
        <w:t>, form etc. of (r. 18B)</w:t>
      </w:r>
      <w:bookmarkEnd w:id="447"/>
      <w:bookmarkEnd w:id="448"/>
      <w:bookmarkEnd w:id="449"/>
    </w:p>
    <w:p>
      <w:pPr>
        <w:pStyle w:val="Subsection"/>
        <w:keepNext/>
        <w:keepLines/>
        <w:rPr>
          <w:snapToGrid w:val="0"/>
        </w:rPr>
      </w:pPr>
      <w:r>
        <w:rPr>
          <w:snapToGrid w:val="0"/>
        </w:rPr>
        <w:tab/>
        <w:t>(1)</w:t>
      </w:r>
      <w:r>
        <w:rPr>
          <w:snapToGrid w:val="0"/>
        </w:rPr>
        <w:tab/>
        <w:t>A proof of age card issued to a person under regulation 18B —</w:t>
      </w:r>
    </w:p>
    <w:p>
      <w:pPr>
        <w:pStyle w:val="Indenta"/>
        <w:rPr>
          <w:snapToGrid w:val="0"/>
        </w:rPr>
      </w:pPr>
      <w:r>
        <w:rPr>
          <w:snapToGrid w:val="0"/>
        </w:rPr>
        <w:tab/>
        <w:t>(a)</w:t>
      </w:r>
      <w:r>
        <w:rPr>
          <w:snapToGrid w:val="0"/>
        </w:rPr>
        <w:tab/>
        <w:t>shall be in a form approved by the Director; and</w:t>
      </w:r>
    </w:p>
    <w:p>
      <w:pPr>
        <w:pStyle w:val="Indenta"/>
      </w:pPr>
      <w:r>
        <w:tab/>
        <w:t>(b)</w:t>
      </w:r>
      <w:r>
        <w:tab/>
        <w:t xml:space="preserve">shall display — </w:t>
      </w:r>
    </w:p>
    <w:p>
      <w:pPr>
        <w:pStyle w:val="Indenti"/>
      </w:pPr>
      <w:r>
        <w:tab/>
        <w:t>(i)</w:t>
      </w:r>
      <w:r>
        <w:tab/>
        <w:t>a photograph of the person; and</w:t>
      </w:r>
    </w:p>
    <w:p>
      <w:pPr>
        <w:pStyle w:val="Indenti"/>
      </w:pPr>
      <w:r>
        <w:tab/>
        <w:t>(ii)</w:t>
      </w:r>
      <w:r>
        <w:tab/>
        <w:t>the person’s date of birth; and</w:t>
      </w:r>
    </w:p>
    <w:p>
      <w:pPr>
        <w:pStyle w:val="Indenti"/>
      </w:pPr>
      <w:r>
        <w:tab/>
        <w:t>(iii)</w:t>
      </w:r>
      <w:r>
        <w:tab/>
        <w:t>unless regulation 18B(3AA) applies, the person’s signature; and</w:t>
      </w:r>
    </w:p>
    <w:p>
      <w:pPr>
        <w:pStyle w:val="Indenti"/>
      </w:pPr>
      <w:r>
        <w:tab/>
        <w:t>(iv)</w:t>
      </w:r>
      <w:r>
        <w:tab/>
        <w:t>any other matter that the Director may approve.</w:t>
      </w:r>
    </w:p>
    <w:p>
      <w:pPr>
        <w:pStyle w:val="Subsection"/>
        <w:keepNext/>
        <w:keepLines/>
        <w:rPr>
          <w:snapToGrid w:val="0"/>
        </w:rPr>
      </w:pPr>
      <w:r>
        <w:rPr>
          <w:snapToGrid w:val="0"/>
        </w:rPr>
        <w:tab/>
        <w:t>(2)</w:t>
      </w:r>
      <w:r>
        <w:rPr>
          <w:snapToGrid w:val="0"/>
        </w:rPr>
        <w:tab/>
        <w:t>In subregulation (1) —</w:t>
      </w:r>
    </w:p>
    <w:p>
      <w:pPr>
        <w:pStyle w:val="Defstart"/>
      </w:pPr>
      <w:r>
        <w:rPr>
          <w:b/>
        </w:rPr>
        <w:tab/>
      </w:r>
      <w:r>
        <w:rPr>
          <w:rStyle w:val="CharDefText"/>
        </w:rPr>
        <w:t>photograph</w:t>
      </w:r>
      <w:r>
        <w:t xml:space="preserve"> and </w:t>
      </w:r>
      <w:r>
        <w:rPr>
          <w:rStyle w:val="CharDefText"/>
        </w:rPr>
        <w:t>signature</w:t>
      </w:r>
      <w:r>
        <w:t xml:space="preserve"> include a reproduction, produced by any process approved by the Director, of a photograph or signature.</w:t>
      </w:r>
    </w:p>
    <w:p>
      <w:pPr>
        <w:pStyle w:val="Footnotesection"/>
        <w:ind w:left="890" w:hanging="890"/>
      </w:pPr>
      <w:r>
        <w:tab/>
        <w:t>[Regulation 18C inserted in Gazette 3 Dec 1996 p. 6690</w:t>
      </w:r>
      <w:r>
        <w:noBreakHyphen/>
        <w:t>1; amended in Gazette 22 Oct 2010 p. 5228.]</w:t>
      </w:r>
    </w:p>
    <w:p>
      <w:pPr>
        <w:pStyle w:val="Heading5"/>
        <w:rPr>
          <w:snapToGrid w:val="0"/>
        </w:rPr>
      </w:pPr>
      <w:bookmarkStart w:id="450" w:name="_Toc460808725"/>
      <w:bookmarkStart w:id="451" w:name="_Toc519934588"/>
      <w:bookmarkStart w:id="452" w:name="_Toc534780053"/>
      <w:bookmarkStart w:id="453" w:name="_Toc3352060"/>
      <w:bookmarkStart w:id="454" w:name="_Toc3352135"/>
      <w:bookmarkStart w:id="455" w:name="_Toc22966237"/>
      <w:bookmarkStart w:id="456" w:name="_Toc66263844"/>
      <w:bookmarkStart w:id="457" w:name="_Toc119294085"/>
      <w:bookmarkStart w:id="458" w:name="_Toc123633178"/>
      <w:bookmarkStart w:id="459" w:name="_Toc172713944"/>
      <w:bookmarkStart w:id="460" w:name="_Toc264018285"/>
      <w:bookmarkStart w:id="461" w:name="_Toc303323184"/>
      <w:bookmarkStart w:id="462" w:name="_Toc357698862"/>
      <w:r>
        <w:rPr>
          <w:rStyle w:val="CharSectno"/>
        </w:rPr>
        <w:t>18D</w:t>
      </w:r>
      <w:r>
        <w:rPr>
          <w:snapToGrid w:val="0"/>
        </w:rPr>
        <w:t>.</w:t>
      </w:r>
      <w:r>
        <w:rPr>
          <w:snapToGrid w:val="0"/>
        </w:rPr>
        <w:tab/>
        <w:t>Lost etc. proof of age card</w:t>
      </w:r>
      <w:bookmarkEnd w:id="450"/>
      <w:bookmarkEnd w:id="451"/>
      <w:bookmarkEnd w:id="452"/>
      <w:bookmarkEnd w:id="453"/>
      <w:bookmarkEnd w:id="454"/>
      <w:bookmarkEnd w:id="455"/>
      <w:bookmarkEnd w:id="456"/>
      <w:bookmarkEnd w:id="457"/>
      <w:bookmarkEnd w:id="458"/>
      <w:bookmarkEnd w:id="459"/>
      <w:bookmarkEnd w:id="460"/>
      <w:bookmarkEnd w:id="461"/>
      <w:r>
        <w:rPr>
          <w:snapToGrid w:val="0"/>
        </w:rPr>
        <w:t>, replacement of</w:t>
      </w:r>
      <w:bookmarkEnd w:id="462"/>
    </w:p>
    <w:p>
      <w:pPr>
        <w:pStyle w:val="Subsection"/>
        <w:keepNext/>
        <w:keepLines/>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pPr>
      <w:r>
        <w:tab/>
        <w:t>[Regulation 18D inserted in Gazette 3 Dec 1996 p. 6691.]</w:t>
      </w:r>
    </w:p>
    <w:p>
      <w:pPr>
        <w:pStyle w:val="Heading5"/>
        <w:keepLines w:val="0"/>
        <w:rPr>
          <w:snapToGrid w:val="0"/>
        </w:rPr>
      </w:pPr>
      <w:bookmarkStart w:id="463" w:name="_Toc460808726"/>
      <w:bookmarkStart w:id="464" w:name="_Toc519934589"/>
      <w:bookmarkStart w:id="465" w:name="_Toc534780054"/>
      <w:bookmarkStart w:id="466" w:name="_Toc3352061"/>
      <w:bookmarkStart w:id="467" w:name="_Toc3352136"/>
      <w:bookmarkStart w:id="468" w:name="_Toc22966238"/>
      <w:bookmarkStart w:id="469" w:name="_Toc66263845"/>
      <w:bookmarkStart w:id="470" w:name="_Toc119294086"/>
      <w:bookmarkStart w:id="471" w:name="_Toc123633179"/>
      <w:bookmarkStart w:id="472" w:name="_Toc172713945"/>
      <w:bookmarkStart w:id="473" w:name="_Toc264018286"/>
      <w:bookmarkStart w:id="474" w:name="_Toc303323185"/>
      <w:bookmarkStart w:id="475" w:name="_Toc357698863"/>
      <w:r>
        <w:rPr>
          <w:rStyle w:val="CharSectno"/>
        </w:rPr>
        <w:t>18E</w:t>
      </w:r>
      <w:r>
        <w:rPr>
          <w:snapToGrid w:val="0"/>
        </w:rPr>
        <w:t>.</w:t>
      </w:r>
      <w:r>
        <w:rPr>
          <w:snapToGrid w:val="0"/>
        </w:rPr>
        <w:tab/>
        <w:t>Agreement or arrangement</w:t>
      </w:r>
      <w:bookmarkEnd w:id="463"/>
      <w:bookmarkEnd w:id="464"/>
      <w:bookmarkEnd w:id="465"/>
      <w:bookmarkEnd w:id="466"/>
      <w:bookmarkEnd w:id="467"/>
      <w:bookmarkEnd w:id="468"/>
      <w:bookmarkEnd w:id="469"/>
      <w:r>
        <w:rPr>
          <w:snapToGrid w:val="0"/>
        </w:rPr>
        <w:t xml:space="preserve"> prescribed (Act s. 104(2)</w:t>
      </w:r>
      <w:bookmarkEnd w:id="470"/>
      <w:bookmarkEnd w:id="471"/>
      <w:bookmarkEnd w:id="472"/>
      <w:r>
        <w:rPr>
          <w:snapToGrid w:val="0"/>
        </w:rPr>
        <w:t>)</w:t>
      </w:r>
      <w:bookmarkEnd w:id="473"/>
      <w:bookmarkEnd w:id="474"/>
      <w:bookmarkEnd w:id="475"/>
    </w:p>
    <w:p>
      <w:pPr>
        <w:pStyle w:val="Subsection"/>
        <w:rPr>
          <w:snapToGrid w:val="0"/>
        </w:rPr>
      </w:pPr>
      <w:r>
        <w:rPr>
          <w:snapToGrid w:val="0"/>
        </w:rPr>
        <w:tab/>
      </w:r>
      <w:r>
        <w:rPr>
          <w:snapToGrid w:val="0"/>
        </w:rPr>
        <w:tab/>
        <w:t>For the purposes of section 104(2),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pPr>
      <w:r>
        <w:tab/>
        <w:t>[Regulation 18E inserted in Gazette 22 May 1998 p. 2943; amended in Gazette 1 May 2007 p. 1888</w:t>
      </w:r>
      <w:r>
        <w:noBreakHyphen/>
        <w:t>9.]</w:t>
      </w:r>
    </w:p>
    <w:p>
      <w:pPr>
        <w:pStyle w:val="Heading5"/>
      </w:pPr>
      <w:bookmarkStart w:id="476" w:name="_Toc264018287"/>
      <w:bookmarkStart w:id="477" w:name="_Toc303323186"/>
      <w:bookmarkStart w:id="478" w:name="_Toc357698864"/>
      <w:bookmarkStart w:id="479" w:name="_Toc172713946"/>
      <w:bookmarkStart w:id="480" w:name="_Toc460808727"/>
      <w:bookmarkStart w:id="481" w:name="_Toc519934590"/>
      <w:bookmarkStart w:id="482" w:name="_Toc534780055"/>
      <w:bookmarkStart w:id="483" w:name="_Toc3352062"/>
      <w:bookmarkStart w:id="484" w:name="_Toc3352137"/>
      <w:bookmarkStart w:id="485" w:name="_Toc22966239"/>
      <w:bookmarkStart w:id="486" w:name="_Toc66263846"/>
      <w:bookmarkStart w:id="487" w:name="_Toc119294087"/>
      <w:bookmarkStart w:id="488" w:name="_Toc123633180"/>
      <w:r>
        <w:rPr>
          <w:rStyle w:val="CharSectno"/>
        </w:rPr>
        <w:t>18EA</w:t>
      </w:r>
      <w:r>
        <w:t>.</w:t>
      </w:r>
      <w:r>
        <w:tab/>
        <w:t>Information prescribed for websites (Act s. 113A)</w:t>
      </w:r>
      <w:bookmarkEnd w:id="476"/>
      <w:bookmarkEnd w:id="477"/>
      <w:bookmarkEnd w:id="478"/>
    </w:p>
    <w:p>
      <w:pPr>
        <w:pStyle w:val="Subsection"/>
        <w:keepNext/>
        <w:keepLines/>
      </w:pPr>
      <w:r>
        <w:tab/>
        <w:t>(1)</w:t>
      </w:r>
      <w:r>
        <w:tab/>
        <w:t>This regulation applies to —</w:t>
      </w:r>
    </w:p>
    <w:p>
      <w:pPr>
        <w:pStyle w:val="Indenta"/>
      </w:pPr>
      <w:r>
        <w:tab/>
        <w:t>(a)</w:t>
      </w:r>
      <w:r>
        <w:tab/>
        <w:t>a hotel licence; and</w:t>
      </w:r>
    </w:p>
    <w:p>
      <w:pPr>
        <w:pStyle w:val="Indenta"/>
      </w:pPr>
      <w:r>
        <w:tab/>
        <w:t>(b)</w:t>
      </w:r>
      <w:r>
        <w:tab/>
        <w:t>a liquor store licence; and</w:t>
      </w:r>
    </w:p>
    <w:p>
      <w:pPr>
        <w:pStyle w:val="Indenta"/>
      </w:pPr>
      <w:r>
        <w:tab/>
        <w:t>(c)</w:t>
      </w:r>
      <w:r>
        <w:tab/>
        <w:t>a producer’s licence; and</w:t>
      </w:r>
    </w:p>
    <w:p>
      <w:pPr>
        <w:pStyle w:val="Indenta"/>
      </w:pPr>
      <w:r>
        <w:tab/>
        <w:t>(d)</w:t>
      </w:r>
      <w:r>
        <w:tab/>
        <w:t>a wholesaler’s licence; and</w:t>
      </w:r>
    </w:p>
    <w:p>
      <w:pPr>
        <w:pStyle w:val="Indenta"/>
      </w:pPr>
      <w:r>
        <w:tab/>
        <w:t>(e)</w:t>
      </w:r>
      <w:r>
        <w:tab/>
        <w:t>a special facility licence that authorises the sale or supply of packaged liquor.</w:t>
      </w:r>
    </w:p>
    <w:p>
      <w:pPr>
        <w:pStyle w:val="Subsection"/>
        <w:keepNext/>
        <w:keepLines/>
      </w:pPr>
      <w:r>
        <w:rPr>
          <w:snapToGrid w:val="0"/>
        </w:rPr>
        <w:tab/>
        <w:t>(2)</w:t>
      </w:r>
      <w:r>
        <w:rPr>
          <w:snapToGrid w:val="0"/>
        </w:rPr>
        <w:tab/>
        <w:t>For the purposes of section 113A, the information to be</w:t>
      </w:r>
      <w:r>
        <w:t xml:space="preserve"> included on an internet website maintained by or on behalf of a licensee of a licence of a class to which this regulation applies is —</w:t>
      </w:r>
    </w:p>
    <w:p>
      <w:pPr>
        <w:pStyle w:val="Indenta"/>
      </w:pPr>
      <w:r>
        <w:tab/>
        <w:t>(a)</w:t>
      </w:r>
      <w:r>
        <w:tab/>
        <w:t>the licence number; and</w:t>
      </w:r>
    </w:p>
    <w:p>
      <w:pPr>
        <w:pStyle w:val="Indenta"/>
      </w:pPr>
      <w:r>
        <w:tab/>
        <w:t>(b)</w:t>
      </w:r>
      <w:r>
        <w:tab/>
        <w:t>the class of licence; and</w:t>
      </w:r>
    </w:p>
    <w:p>
      <w:pPr>
        <w:pStyle w:val="Indenta"/>
      </w:pPr>
      <w:r>
        <w:tab/>
        <w:t>(c)</w:t>
      </w:r>
      <w:r>
        <w:tab/>
        <w:t>the name of the licensee; and</w:t>
      </w:r>
    </w:p>
    <w:p>
      <w:pPr>
        <w:pStyle w:val="Indenta"/>
      </w:pPr>
      <w:r>
        <w:tab/>
        <w:t>(d)</w:t>
      </w:r>
      <w:r>
        <w:tab/>
        <w:t>the address of and telephone number for the licensed premises; and</w:t>
      </w:r>
    </w:p>
    <w:p>
      <w:pPr>
        <w:pStyle w:val="Indenta"/>
        <w:keepNext/>
        <w:keepLines/>
        <w:spacing w:after="80"/>
      </w:pPr>
      <w:r>
        <w:tab/>
        <w:t>(e)</w:t>
      </w:r>
      <w:r>
        <w:tab/>
        <w:t xml:space="preserve">the following notice — </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6"/>
      </w:tblGrid>
      <w:tr>
        <w:trPr>
          <w:trHeight w:val="1796"/>
        </w:trPr>
        <w:tc>
          <w:tcPr>
            <w:tcW w:w="5996" w:type="dxa"/>
            <w:tcBorders>
              <w:bottom w:val="single" w:sz="4" w:space="0" w:color="auto"/>
            </w:tcBorders>
          </w:tcPr>
          <w:p>
            <w:pPr>
              <w:pStyle w:val="TableNAm"/>
              <w:rPr>
                <w:b/>
                <w:bCs/>
                <w:u w:val="single"/>
              </w:rPr>
            </w:pPr>
            <w:r>
              <w:rPr>
                <w:b/>
                <w:bCs/>
                <w:u w:val="single"/>
              </w:rPr>
              <w:t>WARNING</w:t>
            </w:r>
          </w:p>
          <w:p>
            <w:pPr>
              <w:pStyle w:val="TableNAm"/>
              <w:spacing w:before="60"/>
              <w:rPr>
                <w:b/>
                <w:bCs/>
              </w:rPr>
            </w:pPr>
            <w:r>
              <w:rPr>
                <w:b/>
                <w:bCs/>
              </w:rPr>
              <w:t xml:space="preserve">Under the </w:t>
            </w:r>
            <w:r>
              <w:rPr>
                <w:b/>
                <w:bCs/>
                <w:i/>
                <w:iCs/>
              </w:rPr>
              <w:t>Liquor Control Act 1988</w:t>
            </w:r>
            <w:r>
              <w:rPr>
                <w:b/>
                <w:bCs/>
              </w:rPr>
              <w:t>, it is an offence:</w:t>
            </w:r>
          </w:p>
          <w:p>
            <w:pPr>
              <w:pStyle w:val="TableNAm"/>
              <w:numPr>
                <w:ilvl w:val="0"/>
                <w:numId w:val="14"/>
              </w:numPr>
              <w:tabs>
                <w:tab w:val="clear" w:pos="567"/>
                <w:tab w:val="clear" w:pos="720"/>
                <w:tab w:val="left" w:pos="852"/>
              </w:tabs>
              <w:spacing w:before="60"/>
              <w:ind w:left="852" w:hanging="480"/>
              <w:rPr>
                <w:b/>
                <w:bCs/>
              </w:rPr>
            </w:pPr>
            <w:r>
              <w:rPr>
                <w:b/>
                <w:bCs/>
              </w:rPr>
              <w:t>to sell or supply liquor to a person under the age of 18 years on licensed or regulated premises; or</w:t>
            </w:r>
          </w:p>
          <w:p>
            <w:pPr>
              <w:pStyle w:val="TableNAm"/>
              <w:numPr>
                <w:ilvl w:val="0"/>
                <w:numId w:val="14"/>
              </w:numPr>
              <w:tabs>
                <w:tab w:val="clear" w:pos="567"/>
                <w:tab w:val="clear" w:pos="720"/>
                <w:tab w:val="left" w:pos="852"/>
              </w:tabs>
              <w:spacing w:before="60"/>
              <w:ind w:left="852" w:hanging="480"/>
            </w:pPr>
            <w:r>
              <w:rPr>
                <w:b/>
                <w:bCs/>
              </w:rPr>
              <w:t>for a person under the age of 18 years to purchase, or attempt to purchase, liquor on licensed or regulated premises.</w:t>
            </w:r>
          </w:p>
        </w:tc>
      </w:tr>
    </w:tbl>
    <w:p>
      <w:pPr>
        <w:pStyle w:val="Subsection"/>
        <w:spacing w:before="200"/>
      </w:pPr>
      <w:r>
        <w:tab/>
        <w:t>(3)</w:t>
      </w:r>
      <w:r>
        <w:tab/>
        <w:t>The information to be included on an internet website under subregulation (2) is to be displayed on the home page or front page of the internet website.</w:t>
      </w:r>
    </w:p>
    <w:p>
      <w:pPr>
        <w:pStyle w:val="Footnotesection"/>
      </w:pPr>
      <w:r>
        <w:tab/>
        <w:t>[Regulation 18EA inserted in Gazette 1 May 2007 p. 1881</w:t>
      </w:r>
      <w:r>
        <w:noBreakHyphen/>
        <w:t>2.]</w:t>
      </w:r>
    </w:p>
    <w:p>
      <w:pPr>
        <w:pStyle w:val="Heading5"/>
      </w:pPr>
      <w:bookmarkStart w:id="489" w:name="_Toc303323187"/>
      <w:bookmarkStart w:id="490" w:name="_Toc357698865"/>
      <w:bookmarkStart w:id="491" w:name="_Toc264018288"/>
      <w:r>
        <w:rPr>
          <w:rStyle w:val="CharSectno"/>
        </w:rPr>
        <w:t>18EBA</w:t>
      </w:r>
      <w:r>
        <w:t>.</w:t>
      </w:r>
      <w:r>
        <w:tab/>
        <w:t xml:space="preserve">Persons prescribed (Act s. 115AC(1A) </w:t>
      </w:r>
      <w:r>
        <w:rPr>
          <w:i/>
        </w:rPr>
        <w:t>secure webpage</w:t>
      </w:r>
      <w:r>
        <w:t>)</w:t>
      </w:r>
      <w:bookmarkEnd w:id="489"/>
      <w:bookmarkEnd w:id="490"/>
    </w:p>
    <w:p>
      <w:pPr>
        <w:pStyle w:val="Subsection"/>
      </w:pPr>
      <w:r>
        <w:tab/>
      </w:r>
      <w:r>
        <w:tab/>
        <w:t xml:space="preserve">For the purposes of the definition of </w:t>
      </w:r>
      <w:r>
        <w:rPr>
          <w:b/>
          <w:i/>
        </w:rPr>
        <w:t>secure webpage</w:t>
      </w:r>
      <w:r>
        <w:t xml:space="preserve"> paragraph (c) in section 115AC(1A), each of the following persons is prescribed — </w:t>
      </w:r>
    </w:p>
    <w:p>
      <w:pPr>
        <w:pStyle w:val="Indenta"/>
      </w:pPr>
      <w:r>
        <w:tab/>
        <w:t>(a)</w:t>
      </w:r>
      <w:r>
        <w:tab/>
        <w:t>an authorised officer;</w:t>
      </w:r>
    </w:p>
    <w:p>
      <w:pPr>
        <w:pStyle w:val="Indenta"/>
      </w:pPr>
      <w:r>
        <w:tab/>
        <w:t>(b)</w:t>
      </w:r>
      <w:r>
        <w:tab/>
        <w:t>a person appointed to assist the Director under section 14(1)(b).</w:t>
      </w:r>
    </w:p>
    <w:p>
      <w:pPr>
        <w:pStyle w:val="Footnotesection"/>
        <w:ind w:left="890" w:hanging="890"/>
      </w:pPr>
      <w:r>
        <w:tab/>
        <w:t>[Regulation 18EBA inserted in Gazette 3 Jun 2011 p. 2000.]</w:t>
      </w:r>
    </w:p>
    <w:p>
      <w:pPr>
        <w:pStyle w:val="Heading5"/>
      </w:pPr>
      <w:bookmarkStart w:id="492" w:name="_Toc303323188"/>
      <w:bookmarkStart w:id="493" w:name="_Toc357698866"/>
      <w:r>
        <w:rPr>
          <w:rStyle w:val="CharSectno"/>
        </w:rPr>
        <w:t>18EB</w:t>
      </w:r>
      <w:r>
        <w:t>.</w:t>
      </w:r>
      <w:r>
        <w:tab/>
        <w:t>Incidents and information prescribed for register (Act s. 116A)</w:t>
      </w:r>
      <w:bookmarkEnd w:id="491"/>
      <w:bookmarkEnd w:id="492"/>
      <w:bookmarkEnd w:id="493"/>
    </w:p>
    <w:p>
      <w:pPr>
        <w:pStyle w:val="Subsection"/>
      </w:pPr>
      <w:r>
        <w:tab/>
        <w:t>(1)</w:t>
      </w:r>
      <w:r>
        <w:tab/>
        <w:t>For the purposes of section 116A(1), the following incidents that take place at licensed premises are prescribed —</w:t>
      </w:r>
    </w:p>
    <w:p>
      <w:pPr>
        <w:pStyle w:val="Indenta"/>
      </w:pPr>
      <w:r>
        <w:tab/>
        <w:t>(aa)</w:t>
      </w:r>
      <w:r>
        <w:tab/>
        <w:t xml:space="preserve">a person is refused entry to the premises because the person is — </w:t>
      </w:r>
    </w:p>
    <w:p>
      <w:pPr>
        <w:pStyle w:val="Indenti"/>
      </w:pPr>
      <w:r>
        <w:tab/>
        <w:t>(i)</w:t>
      </w:r>
      <w:r>
        <w:tab/>
        <w:t>drunk; or</w:t>
      </w:r>
    </w:p>
    <w:p>
      <w:pPr>
        <w:pStyle w:val="Indenti"/>
      </w:pPr>
      <w:r>
        <w:tab/>
        <w:t>(ii)</w:t>
      </w:r>
      <w:r>
        <w:tab/>
        <w:t>behaving in an offensive manner, including violent, quarrelsome, disorderly or indecent behaviour;</w:t>
      </w:r>
    </w:p>
    <w:p>
      <w:pPr>
        <w:pStyle w:val="Indenta"/>
      </w:pPr>
      <w:r>
        <w:tab/>
        <w:t>(ab)</w:t>
      </w:r>
      <w:r>
        <w:tab/>
        <w:t xml:space="preserve">a person who has been refused entry to the premises — </w:t>
      </w:r>
    </w:p>
    <w:p>
      <w:pPr>
        <w:pStyle w:val="Indenti"/>
      </w:pPr>
      <w:r>
        <w:tab/>
        <w:t>(i)</w:t>
      </w:r>
      <w:r>
        <w:tab/>
        <w:t>repeatedly attempts to gain entry to the premises; or</w:t>
      </w:r>
    </w:p>
    <w:p>
      <w:pPr>
        <w:pStyle w:val="Indenti"/>
      </w:pPr>
      <w:r>
        <w:tab/>
        <w:t>(ii)</w:t>
      </w:r>
      <w:r>
        <w:tab/>
        <w:t>behaves in an offensive manner, including violent, quarrelsome, disorderly or indecent behaviour;</w:t>
      </w:r>
    </w:p>
    <w:p>
      <w:pPr>
        <w:pStyle w:val="Indenta"/>
      </w:pPr>
      <w:r>
        <w:tab/>
        <w:t>(a)</w:t>
      </w:r>
      <w:r>
        <w:tab/>
        <w:t>a person is required to leave or is removed from the premises;</w:t>
      </w:r>
    </w:p>
    <w:p>
      <w:pPr>
        <w:pStyle w:val="Indenta"/>
      </w:pPr>
      <w:r>
        <w:tab/>
        <w:t>(b)</w:t>
      </w:r>
      <w:r>
        <w:tab/>
        <w:t>a juvenile or suspected juvenile fails to produce evidence of age when required to do so;</w:t>
      </w:r>
    </w:p>
    <w:p>
      <w:pPr>
        <w:pStyle w:val="Indenta"/>
      </w:pPr>
      <w:r>
        <w:tab/>
        <w:t>(c)</w:t>
      </w:r>
      <w:r>
        <w:tab/>
        <w:t>a document produced by a juvenile or suspected juvenile as evidence of age is suspected to be forged, false or counterfeit;</w:t>
      </w:r>
    </w:p>
    <w:p>
      <w:pPr>
        <w:pStyle w:val="Indenta"/>
      </w:pPr>
      <w:r>
        <w:tab/>
        <w:t>(d)</w:t>
      </w:r>
      <w:r>
        <w:tab/>
        <w:t>a person engages in indecent behaviour;</w:t>
      </w:r>
    </w:p>
    <w:p>
      <w:pPr>
        <w:pStyle w:val="Indenta"/>
      </w:pPr>
      <w:r>
        <w:tab/>
        <w:t>(e)</w:t>
      </w:r>
      <w:r>
        <w:tab/>
        <w:t>a person is drunk;</w:t>
      </w:r>
    </w:p>
    <w:p>
      <w:pPr>
        <w:pStyle w:val="Indenta"/>
      </w:pPr>
      <w:r>
        <w:tab/>
        <w:t>(f)</w:t>
      </w:r>
      <w:r>
        <w:tab/>
        <w:t>a person (including a person employed or engaged in the business conducted under the licence) is injured;</w:t>
      </w:r>
    </w:p>
    <w:p>
      <w:pPr>
        <w:pStyle w:val="Indenta"/>
      </w:pPr>
      <w:r>
        <w:tab/>
        <w:t>(g)</w:t>
      </w:r>
      <w:r>
        <w:tab/>
        <w:t>a local resident or other person complains to the licensee, a manager or an employee about noise or any other matter related to the business conducted under the licence.</w:t>
      </w:r>
    </w:p>
    <w:p>
      <w:pPr>
        <w:pStyle w:val="Subsection"/>
      </w:pPr>
      <w:r>
        <w:tab/>
        <w:t>(2)</w:t>
      </w:r>
      <w:r>
        <w:tab/>
        <w:t>For the purposes of section 116A(2), the following information is prescribed in relation to an incident that takes place at licensed premises —</w:t>
      </w:r>
    </w:p>
    <w:p>
      <w:pPr>
        <w:pStyle w:val="Indenta"/>
      </w:pPr>
      <w:r>
        <w:tab/>
        <w:t>(a)</w:t>
      </w:r>
      <w:r>
        <w:tab/>
        <w:t>the name of the premises;</w:t>
      </w:r>
    </w:p>
    <w:p>
      <w:pPr>
        <w:pStyle w:val="Indenta"/>
      </w:pPr>
      <w:r>
        <w:tab/>
        <w:t>(b)</w:t>
      </w:r>
      <w:r>
        <w:tab/>
        <w:t>details of the incident;</w:t>
      </w:r>
    </w:p>
    <w:p>
      <w:pPr>
        <w:pStyle w:val="Indenta"/>
      </w:pPr>
      <w:r>
        <w:tab/>
        <w:t>(c)</w:t>
      </w:r>
      <w:r>
        <w:tab/>
        <w:t>the date and time when the incident took place;</w:t>
      </w:r>
    </w:p>
    <w:p>
      <w:pPr>
        <w:pStyle w:val="Indenta"/>
      </w:pPr>
      <w:r>
        <w:tab/>
        <w:t>(d)</w:t>
      </w:r>
      <w:r>
        <w:tab/>
        <w:t>the location at the premises where the incident took place;</w:t>
      </w:r>
    </w:p>
    <w:p>
      <w:pPr>
        <w:pStyle w:val="Indenta"/>
      </w:pPr>
      <w:r>
        <w:tab/>
        <w:t>(da)</w:t>
      </w:r>
      <w:r>
        <w:tab/>
        <w:t>the full name of any manager who was on duty when the incident took place;</w:t>
      </w:r>
    </w:p>
    <w:p>
      <w:pPr>
        <w:pStyle w:val="Indenta"/>
      </w:pPr>
      <w:r>
        <w:tab/>
        <w:t>(e)</w:t>
      </w:r>
      <w:r>
        <w:tab/>
        <w:t>the full name of any person employed or engaged in the business conducted under the licence, or any crowd controller, who was present when the incident took place;</w:t>
      </w:r>
    </w:p>
    <w:p>
      <w:pPr>
        <w:pStyle w:val="Indenta"/>
      </w:pPr>
      <w:r>
        <w:tab/>
        <w:t>(f)</w:t>
      </w:r>
      <w:r>
        <w:tab/>
        <w:t>details of any action taken by the licensee, a manager or an employee in response to the incident, including any action taken to notify the licensing authority or a member of the Police Force or any other person engaged in providing emergency services.</w:t>
      </w:r>
    </w:p>
    <w:p>
      <w:pPr>
        <w:pStyle w:val="Subsection"/>
        <w:keepNext/>
        <w:keepLines/>
      </w:pPr>
      <w:r>
        <w:tab/>
        <w:t>(3)</w:t>
      </w:r>
      <w:r>
        <w:tab/>
        <w:t>In subregulation (2)(e) —</w:t>
      </w:r>
    </w:p>
    <w:p>
      <w:pPr>
        <w:pStyle w:val="Defstart"/>
      </w:pPr>
      <w:r>
        <w:rPr>
          <w:b/>
        </w:rPr>
        <w:tab/>
      </w:r>
      <w:r>
        <w:rPr>
          <w:rStyle w:val="CharDefText"/>
        </w:rPr>
        <w:t>crowd controller</w:t>
      </w:r>
      <w:r>
        <w:t>, in relation to licensed premises, means a person who —</w:t>
      </w:r>
    </w:p>
    <w:p>
      <w:pPr>
        <w:pStyle w:val="Defpara"/>
      </w:pPr>
      <w:r>
        <w:tab/>
        <w:t>(a)</w:t>
      </w:r>
      <w:r>
        <w:tab/>
        <w:t>holds a crowd controller’s licence; and</w:t>
      </w:r>
    </w:p>
    <w:p>
      <w:pPr>
        <w:pStyle w:val="Defpara"/>
      </w:pPr>
      <w:r>
        <w:tab/>
        <w:t>(b)</w:t>
      </w:r>
      <w:r>
        <w:tab/>
        <w:t>is employed by a crowd control agent engaged under a contract for services by the licensee or occupier or a manager of the licensed premises to supply the services of crowd controllers at those premises.</w:t>
      </w:r>
    </w:p>
    <w:p>
      <w:pPr>
        <w:pStyle w:val="Footnotesection"/>
        <w:ind w:left="890" w:hanging="890"/>
      </w:pPr>
      <w:r>
        <w:tab/>
        <w:t>[Regulation 18EB inserted in Gazette 1 May 2007 p. 1882</w:t>
      </w:r>
      <w:r>
        <w:noBreakHyphen/>
        <w:t>4; amended in Gazette 28 Sep 2007 p. 4930; 22 Oct 2010 p. 5228</w:t>
      </w:r>
      <w:r>
        <w:noBreakHyphen/>
        <w:t>9; 3 Jun 2011 p. 1998.]</w:t>
      </w:r>
    </w:p>
    <w:p>
      <w:pPr>
        <w:pStyle w:val="Heading5"/>
      </w:pPr>
      <w:bookmarkStart w:id="494" w:name="_Toc232309358"/>
      <w:bookmarkStart w:id="495" w:name="_Toc264018289"/>
      <w:bookmarkStart w:id="496" w:name="_Toc303323189"/>
      <w:bookmarkStart w:id="497" w:name="_Toc357698867"/>
      <w:bookmarkStart w:id="498" w:name="_Toc172713947"/>
      <w:bookmarkEnd w:id="479"/>
      <w:r>
        <w:rPr>
          <w:rStyle w:val="CharSectno"/>
        </w:rPr>
        <w:t>18F</w:t>
      </w:r>
      <w:r>
        <w:t>.</w:t>
      </w:r>
      <w:r>
        <w:tab/>
        <w:t>Training courses prescribed (Act s. 121(11)(d)</w:t>
      </w:r>
      <w:bookmarkEnd w:id="494"/>
      <w:r>
        <w:t>)</w:t>
      </w:r>
      <w:bookmarkEnd w:id="495"/>
      <w:bookmarkEnd w:id="496"/>
      <w:bookmarkEnd w:id="497"/>
    </w:p>
    <w:p>
      <w:pPr>
        <w:pStyle w:val="Subsection"/>
        <w:keepNext/>
        <w:keepLines/>
      </w:pPr>
      <w:r>
        <w:tab/>
        <w:t>(1)</w:t>
      </w:r>
      <w:r>
        <w:tab/>
        <w:t xml:space="preserve">In this regulation — </w:t>
      </w:r>
    </w:p>
    <w:p>
      <w:pPr>
        <w:pStyle w:val="Defstart"/>
      </w:pPr>
      <w:r>
        <w:tab/>
      </w:r>
      <w:r>
        <w:rPr>
          <w:rStyle w:val="CharDefText"/>
        </w:rPr>
        <w:t>accredited higher education course</w:t>
      </w:r>
      <w:r>
        <w:t xml:space="preserve"> means a course of study accredited for the purposes of the </w:t>
      </w:r>
      <w:r>
        <w:rPr>
          <w:i/>
          <w:iCs/>
        </w:rPr>
        <w:t>Higher Education Act 2004</w:t>
      </w:r>
      <w:r>
        <w:t>;</w:t>
      </w:r>
    </w:p>
    <w:p>
      <w:pPr>
        <w:pStyle w:val="Defstart"/>
        <w:keepNext/>
        <w:keepLines/>
      </w:pPr>
      <w:r>
        <w:tab/>
      </w:r>
      <w:r>
        <w:rPr>
          <w:rStyle w:val="CharDefText"/>
        </w:rPr>
        <w:t>approved VET course</w:t>
      </w:r>
      <w:r>
        <w:t xml:space="preserve"> has the meaning given in the </w:t>
      </w:r>
      <w:r>
        <w:rPr>
          <w:i/>
        </w:rPr>
        <w:t>Vocational Education and Training Act 1996</w:t>
      </w:r>
      <w:r>
        <w:t xml:space="preserve"> section 5(1).</w:t>
      </w:r>
    </w:p>
    <w:p>
      <w:pPr>
        <w:pStyle w:val="Subsection"/>
      </w:pPr>
      <w:r>
        <w:tab/>
        <w:t>(2)</w:t>
      </w:r>
      <w:r>
        <w:tab/>
        <w:t xml:space="preserve">For the purposes of section 121(11)(d)(i) and (ii) the following are prescribed training courses — </w:t>
      </w:r>
    </w:p>
    <w:p>
      <w:pPr>
        <w:pStyle w:val="Indenta"/>
      </w:pPr>
      <w:r>
        <w:tab/>
        <w:t>(a)</w:t>
      </w:r>
      <w:r>
        <w:tab/>
        <w:t xml:space="preserve">an approved VET course; </w:t>
      </w:r>
    </w:p>
    <w:p>
      <w:pPr>
        <w:pStyle w:val="Indenta"/>
        <w:keepNext/>
      </w:pPr>
      <w:r>
        <w:tab/>
        <w:t>(b)</w:t>
      </w:r>
      <w:r>
        <w:tab/>
        <w:t>an accredited higher education course.</w:t>
      </w:r>
    </w:p>
    <w:p>
      <w:pPr>
        <w:pStyle w:val="Footnotesection"/>
      </w:pPr>
      <w:r>
        <w:tab/>
        <w:t>[Regulation 18F inserted in Gazette 9 Jun 2009 p. 1927</w:t>
      </w:r>
      <w:r>
        <w:noBreakHyphen/>
        <w:t>8; amended in Gazette 15 Jan 2010 p. 72; 3 Jun 2011 p. 2000.]</w:t>
      </w:r>
    </w:p>
    <w:p>
      <w:pPr>
        <w:pStyle w:val="Heading5"/>
      </w:pPr>
      <w:bookmarkStart w:id="499" w:name="_Toc264018290"/>
      <w:bookmarkStart w:id="500" w:name="_Toc303323190"/>
      <w:bookmarkStart w:id="501" w:name="_Toc335662561"/>
      <w:bookmarkStart w:id="502" w:name="_Toc357698868"/>
      <w:bookmarkStart w:id="503" w:name="_Toc172713948"/>
      <w:bookmarkStart w:id="504" w:name="_Toc264018291"/>
      <w:bookmarkStart w:id="505" w:name="_Toc303323191"/>
      <w:bookmarkEnd w:id="498"/>
      <w:r>
        <w:rPr>
          <w:rStyle w:val="CharSectno"/>
        </w:rPr>
        <w:t>18G</w:t>
      </w:r>
      <w:r>
        <w:t>.</w:t>
      </w:r>
      <w:r>
        <w:tab/>
        <w:t>Confiscated document, how to be dealt with (Act s. 126(2b))</w:t>
      </w:r>
      <w:bookmarkEnd w:id="499"/>
      <w:bookmarkEnd w:id="500"/>
      <w:bookmarkEnd w:id="501"/>
      <w:bookmarkEnd w:id="502"/>
    </w:p>
    <w:p>
      <w:pPr>
        <w:pStyle w:val="Subsection"/>
      </w:pPr>
      <w:r>
        <w:tab/>
      </w:r>
      <w:r>
        <w:tab/>
        <w:t>For the purposes of section 126(2b), within 72 hours after a document is confiscated by an authorised person under section 126(2a), the authorised person is to —</w:t>
      </w:r>
    </w:p>
    <w:p>
      <w:pPr>
        <w:pStyle w:val="Indenta"/>
      </w:pPr>
      <w:r>
        <w:tab/>
        <w:t>(a)</w:t>
      </w:r>
      <w:r>
        <w:tab/>
        <w:t>deliver the document to a police station; or</w:t>
      </w:r>
    </w:p>
    <w:p>
      <w:pPr>
        <w:pStyle w:val="Indenta"/>
      </w:pPr>
      <w:r>
        <w:tab/>
        <w:t>(b)</w:t>
      </w:r>
      <w:r>
        <w:tab/>
        <w:t>return the document to the person from whom it was confiscated.</w:t>
      </w:r>
    </w:p>
    <w:p>
      <w:pPr>
        <w:pStyle w:val="Footnotesection"/>
        <w:ind w:left="890" w:hanging="890"/>
      </w:pPr>
      <w:r>
        <w:tab/>
        <w:t>[Regulation 18G inserted in Gazette 1 May 2007 p. 1884; amended in Gazette 6 Jan 2012 p. 49 (disallowed in Gazette 18 Sep 2012 p. 4411).]</w:t>
      </w:r>
    </w:p>
    <w:p>
      <w:pPr>
        <w:pStyle w:val="Heading5"/>
      </w:pPr>
      <w:bookmarkStart w:id="506" w:name="_Toc357698869"/>
      <w:r>
        <w:rPr>
          <w:rStyle w:val="CharSectno"/>
        </w:rPr>
        <w:t>18H</w:t>
      </w:r>
      <w:r>
        <w:t>.</w:t>
      </w:r>
      <w:r>
        <w:tab/>
        <w:t>Provisions prescribed (Act s. 126E(4)</w:t>
      </w:r>
      <w:bookmarkEnd w:id="503"/>
      <w:r>
        <w:t>)</w:t>
      </w:r>
      <w:bookmarkEnd w:id="504"/>
      <w:bookmarkEnd w:id="505"/>
      <w:bookmarkEnd w:id="506"/>
    </w:p>
    <w:p>
      <w:pPr>
        <w:pStyle w:val="Subsection"/>
        <w:keepNext/>
        <w:keepLines/>
      </w:pPr>
      <w:r>
        <w:tab/>
      </w:r>
      <w:r>
        <w:tab/>
        <w:t>For the purposes of section 126E(4), sections 155(7) and 50(1a) are prescribed.</w:t>
      </w:r>
    </w:p>
    <w:p>
      <w:pPr>
        <w:pStyle w:val="Footnotesection"/>
      </w:pPr>
      <w:r>
        <w:tab/>
        <w:t>[Regulation 18H inserted in Gazette 1 May 2007 p. 1884; amended in Gazette 3 Jun 2011 p. 2000; 27 Sep 2011 p. 3848.]</w:t>
      </w:r>
    </w:p>
    <w:p>
      <w:pPr>
        <w:pStyle w:val="Heading5"/>
        <w:rPr>
          <w:snapToGrid w:val="0"/>
        </w:rPr>
      </w:pPr>
      <w:bookmarkStart w:id="507" w:name="_Toc172713949"/>
      <w:bookmarkStart w:id="508" w:name="_Toc264018292"/>
      <w:bookmarkStart w:id="509" w:name="_Toc303323192"/>
      <w:bookmarkStart w:id="510" w:name="_Toc357698870"/>
      <w:r>
        <w:rPr>
          <w:rStyle w:val="CharSectno"/>
        </w:rPr>
        <w:t>19</w:t>
      </w:r>
      <w:r>
        <w:rPr>
          <w:snapToGrid w:val="0"/>
        </w:rPr>
        <w:t>.</w:t>
      </w:r>
      <w:r>
        <w:rPr>
          <w:snapToGrid w:val="0"/>
        </w:rPr>
        <w:tab/>
        <w:t>Subsidy, application for</w:t>
      </w:r>
      <w:bookmarkEnd w:id="480"/>
      <w:bookmarkEnd w:id="481"/>
      <w:bookmarkEnd w:id="482"/>
      <w:bookmarkEnd w:id="483"/>
      <w:bookmarkEnd w:id="484"/>
      <w:bookmarkEnd w:id="485"/>
      <w:bookmarkEnd w:id="486"/>
      <w:bookmarkEnd w:id="487"/>
      <w:bookmarkEnd w:id="488"/>
      <w:bookmarkEnd w:id="507"/>
      <w:bookmarkEnd w:id="508"/>
      <w:bookmarkEnd w:id="509"/>
      <w:bookmarkEnd w:id="510"/>
    </w:p>
    <w:p>
      <w:pPr>
        <w:pStyle w:val="Subsection"/>
        <w:rPr>
          <w:snapToGrid w:val="0"/>
        </w:rPr>
      </w:pPr>
      <w:r>
        <w:rPr>
          <w:snapToGrid w:val="0"/>
        </w:rPr>
        <w:tab/>
        <w:t>(1)</w:t>
      </w:r>
      <w:r>
        <w:rPr>
          <w:snapToGrid w:val="0"/>
        </w:rPr>
        <w:tab/>
        <w:t>Application for a subsidy is to be made to the Director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pPr>
      <w:r>
        <w:tab/>
        <w:t>[Regulation 19 inserted in Gazette 30 Jan 1998 p. 562; amended in Gazette 22 Oct 2002 p. 5255.]</w:t>
      </w:r>
    </w:p>
    <w:p>
      <w:pPr>
        <w:pStyle w:val="Heading5"/>
        <w:rPr>
          <w:snapToGrid w:val="0"/>
        </w:rPr>
      </w:pPr>
      <w:bookmarkStart w:id="511" w:name="_Toc460808728"/>
      <w:bookmarkStart w:id="512" w:name="_Toc519934591"/>
      <w:bookmarkStart w:id="513" w:name="_Toc534780056"/>
      <w:bookmarkStart w:id="514" w:name="_Toc3352063"/>
      <w:bookmarkStart w:id="515" w:name="_Toc3352138"/>
      <w:bookmarkStart w:id="516" w:name="_Toc22966240"/>
      <w:bookmarkStart w:id="517" w:name="_Toc66263847"/>
      <w:bookmarkStart w:id="518" w:name="_Toc119294088"/>
      <w:bookmarkStart w:id="519" w:name="_Toc123633181"/>
      <w:bookmarkStart w:id="520" w:name="_Toc172713950"/>
      <w:bookmarkStart w:id="521" w:name="_Toc264018293"/>
      <w:bookmarkStart w:id="522" w:name="_Toc303323193"/>
      <w:bookmarkStart w:id="523" w:name="_Toc357698871"/>
      <w:r>
        <w:rPr>
          <w:rStyle w:val="CharSectno"/>
        </w:rPr>
        <w:t>20</w:t>
      </w:r>
      <w:r>
        <w:rPr>
          <w:snapToGrid w:val="0"/>
        </w:rPr>
        <w:t>.</w:t>
      </w:r>
      <w:r>
        <w:rPr>
          <w:snapToGrid w:val="0"/>
        </w:rPr>
        <w:tab/>
      </w:r>
      <w:bookmarkEnd w:id="511"/>
      <w:bookmarkEnd w:id="512"/>
      <w:bookmarkEnd w:id="513"/>
      <w:bookmarkEnd w:id="514"/>
      <w:bookmarkEnd w:id="515"/>
      <w:bookmarkEnd w:id="516"/>
      <w:bookmarkEnd w:id="517"/>
      <w:bookmarkEnd w:id="518"/>
      <w:bookmarkEnd w:id="519"/>
      <w:bookmarkEnd w:id="520"/>
      <w:bookmarkEnd w:id="521"/>
      <w:bookmarkEnd w:id="522"/>
      <w:r>
        <w:rPr>
          <w:snapToGrid w:val="0"/>
        </w:rPr>
        <w:t xml:space="preserve">Persons prescribed (Act s. 129 </w:t>
      </w:r>
      <w:r>
        <w:rPr>
          <w:i/>
          <w:snapToGrid w:val="0"/>
        </w:rPr>
        <w:t>wholesaler</w:t>
      </w:r>
      <w:r>
        <w:rPr>
          <w:snapToGrid w:val="0"/>
        </w:rPr>
        <w:t>)</w:t>
      </w:r>
      <w:bookmarkEnd w:id="523"/>
    </w:p>
    <w:p>
      <w:pPr>
        <w:pStyle w:val="Subsection"/>
        <w:rPr>
          <w:snapToGrid w:val="0"/>
        </w:rPr>
      </w:pPr>
      <w:r>
        <w:rPr>
          <w:snapToGrid w:val="0"/>
        </w:rPr>
        <w:tab/>
      </w:r>
      <w:r>
        <w:rPr>
          <w:snapToGrid w:val="0"/>
        </w:rPr>
        <w:tab/>
        <w:t xml:space="preserve">The following persons are prescribed for the purposes of the definition of </w:t>
      </w:r>
      <w:r>
        <w:rPr>
          <w:b/>
          <w:bCs/>
          <w:i/>
          <w:iCs/>
          <w:snapToGrid w:val="0"/>
        </w:rPr>
        <w:t>wholesaler</w:t>
      </w:r>
      <w:r>
        <w:rPr>
          <w:snapToGrid w:val="0"/>
        </w:rPr>
        <w:t xml:space="preserve"> in section 129 —</w:t>
      </w:r>
    </w:p>
    <w:p>
      <w:pPr>
        <w:pStyle w:val="Indenta"/>
        <w:rPr>
          <w:snapToGrid w:val="0"/>
        </w:rPr>
      </w:pPr>
      <w:r>
        <w:rPr>
          <w:snapToGrid w:val="0"/>
        </w:rPr>
        <w:tab/>
        <w:t>(a)</w:t>
      </w:r>
      <w:r>
        <w:rPr>
          <w:snapToGrid w:val="0"/>
        </w:rPr>
        <w:tab/>
        <w:t>a liquor merchant authorised under the law of another State or a Territory to sell liquor;</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58(1).</w:t>
      </w:r>
    </w:p>
    <w:p>
      <w:pPr>
        <w:pStyle w:val="Footnotesection"/>
        <w:ind w:left="890" w:hanging="890"/>
      </w:pPr>
      <w:r>
        <w:tab/>
        <w:t>[Regulation 20 inserted in Gazette 30 Jan 1998 p. 562; amended in Gazette 1 May 2007 p. 1888.]</w:t>
      </w:r>
    </w:p>
    <w:p>
      <w:pPr>
        <w:pStyle w:val="Heading5"/>
      </w:pPr>
      <w:bookmarkStart w:id="524" w:name="_Toc519934592"/>
      <w:bookmarkStart w:id="525" w:name="_Toc534780057"/>
      <w:bookmarkStart w:id="526" w:name="_Toc3352064"/>
      <w:bookmarkStart w:id="527" w:name="_Toc3352139"/>
      <w:bookmarkStart w:id="528" w:name="_Toc22966241"/>
      <w:bookmarkStart w:id="529" w:name="_Toc66263848"/>
      <w:bookmarkStart w:id="530" w:name="_Toc119294089"/>
      <w:bookmarkStart w:id="531" w:name="_Toc123633182"/>
      <w:bookmarkStart w:id="532" w:name="_Toc172713951"/>
      <w:bookmarkStart w:id="533" w:name="_Toc264018294"/>
      <w:bookmarkStart w:id="534" w:name="_Toc303323194"/>
      <w:bookmarkStart w:id="535" w:name="_Toc357698872"/>
      <w:r>
        <w:rPr>
          <w:rStyle w:val="CharSectno"/>
        </w:rPr>
        <w:t>21</w:t>
      </w:r>
      <w:r>
        <w:t>.</w:t>
      </w:r>
      <w:r>
        <w:tab/>
        <w:t>Wholesaler</w:t>
      </w:r>
      <w:bookmarkEnd w:id="524"/>
      <w:bookmarkEnd w:id="525"/>
      <w:bookmarkEnd w:id="526"/>
      <w:bookmarkEnd w:id="527"/>
      <w:bookmarkEnd w:id="528"/>
      <w:bookmarkEnd w:id="529"/>
      <w:bookmarkEnd w:id="530"/>
      <w:bookmarkEnd w:id="531"/>
      <w:bookmarkEnd w:id="532"/>
      <w:r>
        <w:t>, subsidy for (Act s. 130)</w:t>
      </w:r>
      <w:bookmarkEnd w:id="533"/>
      <w:bookmarkEnd w:id="534"/>
      <w:bookmarkEnd w:id="535"/>
    </w:p>
    <w:p>
      <w:pPr>
        <w:pStyle w:val="Subsection"/>
        <w:spacing w:before="140"/>
      </w:pPr>
      <w:r>
        <w:tab/>
        <w:t>(1)</w:t>
      </w:r>
      <w:r>
        <w:tab/>
        <w:t>For the purposes of section 130(3), the subsidy for a wholesaler in respect of sales of wine in a tax period is to be calculated as follows:</w:t>
      </w:r>
    </w:p>
    <w:p>
      <w:pPr>
        <w:pStyle w:val="Equation"/>
        <w:spacing w:before="60"/>
        <w:jc w:val="center"/>
      </w:pPr>
      <w:r>
        <w:t xml:space="preserve">S </w:t>
      </w:r>
      <w:r>
        <w:rPr>
          <w:snapToGrid w:val="0"/>
        </w:rPr>
        <w:t xml:space="preserve">= (6.18 </w:t>
      </w:r>
      <w:r>
        <w:rPr>
          <w:snapToGrid w:val="0"/>
        </w:rPr>
        <w:sym w:font="Symbol" w:char="F0B8"/>
      </w:r>
      <w:r>
        <w:rPr>
          <w:snapToGrid w:val="0"/>
        </w:rPr>
        <w:t xml:space="preserve"> 29) W</w:t>
      </w:r>
    </w:p>
    <w:p>
      <w:pPr>
        <w:pStyle w:val="Subsection"/>
        <w:spacing w:before="80"/>
        <w:rPr>
          <w:snapToGrid w:val="0"/>
        </w:rPr>
      </w:pPr>
      <w:r>
        <w:rPr>
          <w:snapToGrid w:val="0"/>
        </w:rPr>
        <w:tab/>
      </w:r>
      <w:r>
        <w:rPr>
          <w:snapToGrid w:val="0"/>
        </w:rPr>
        <w:tab/>
        <w:t>where —</w:t>
      </w:r>
    </w:p>
    <w:p>
      <w:pPr>
        <w:pStyle w:val="Subsection"/>
        <w:spacing w:before="60"/>
      </w:pPr>
      <w:r>
        <w:tab/>
      </w:r>
      <w:r>
        <w:tab/>
        <w:t>S =</w:t>
      </w:r>
      <w:r>
        <w:tab/>
        <w:t>the wholesaler’s subsidy payment;</w:t>
      </w:r>
    </w:p>
    <w:p>
      <w:pPr>
        <w:pStyle w:val="Subsection"/>
        <w:spacing w:before="60"/>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spacing w:before="140"/>
      </w:pPr>
      <w:r>
        <w:tab/>
        <w:t>(2)</w:t>
      </w:r>
      <w:r>
        <w:tab/>
        <w:t xml:space="preserve">For the purposes of </w:t>
      </w:r>
      <w:r>
        <w:rPr>
          <w:snapToGrid w:val="0"/>
        </w:rPr>
        <w:t>section</w:t>
      </w:r>
      <w:r>
        <w:t> 130(1), subsidies are payable to a liquor merchant prescribed as a wholesaler by regulation 20 only in respect of wine that is low alcohol liquor —</w:t>
      </w:r>
    </w:p>
    <w:p>
      <w:pPr>
        <w:pStyle w:val="Indenta"/>
        <w:spacing w:before="60"/>
      </w:pPr>
      <w:r>
        <w:tab/>
        <w:t>(a)</w:t>
      </w:r>
      <w:r>
        <w:tab/>
        <w:t>sold to —</w:t>
      </w:r>
    </w:p>
    <w:p>
      <w:pPr>
        <w:pStyle w:val="Indenti"/>
        <w:spacing w:before="60"/>
      </w:pPr>
      <w:r>
        <w:tab/>
        <w:t>(i)</w:t>
      </w:r>
      <w:r>
        <w:tab/>
        <w:t>unlicensed individuals in this State for their personal consumption; or</w:t>
      </w:r>
    </w:p>
    <w:p>
      <w:pPr>
        <w:pStyle w:val="Indenti"/>
        <w:spacing w:before="60"/>
      </w:pPr>
      <w:r>
        <w:tab/>
        <w:t>(ii)</w:t>
      </w:r>
      <w:r>
        <w:tab/>
        <w:t>persons licensed under the Act, otherwise than by an occasional licence only, to sell liquor;</w:t>
      </w:r>
    </w:p>
    <w:p>
      <w:pPr>
        <w:pStyle w:val="Indenta"/>
        <w:spacing w:before="60"/>
      </w:pPr>
      <w:r>
        <w:tab/>
      </w:r>
      <w:r>
        <w:tab/>
        <w:t>and</w:t>
      </w:r>
    </w:p>
    <w:p>
      <w:pPr>
        <w:pStyle w:val="Indenta"/>
        <w:keepNext/>
        <w:spacing w:before="60"/>
      </w:pPr>
      <w:r>
        <w:tab/>
        <w:t>(b)</w:t>
      </w:r>
      <w:r>
        <w:tab/>
        <w:t>sold at a price that —</w:t>
      </w:r>
    </w:p>
    <w:p>
      <w:pPr>
        <w:pStyle w:val="Ednotesubpara"/>
        <w:spacing w:before="60"/>
      </w:pPr>
      <w:r>
        <w:tab/>
        <w:t>[(i)</w:t>
      </w:r>
      <w:r>
        <w:tab/>
        <w:t>deleted]</w:t>
      </w:r>
    </w:p>
    <w:p>
      <w:pPr>
        <w:pStyle w:val="Indenti"/>
        <w:keepNext/>
        <w:spacing w:before="60"/>
      </w:pPr>
      <w:r>
        <w:tab/>
        <w:t>(ii)</w:t>
      </w:r>
      <w:r>
        <w:tab/>
        <w:t>for wine, is at least 6.18% less than the notional wholesale selling price of that wine.</w:t>
      </w:r>
    </w:p>
    <w:p>
      <w:pPr>
        <w:pStyle w:val="Footnotesection"/>
        <w:spacing w:before="80"/>
        <w:ind w:left="890" w:hanging="890"/>
      </w:pPr>
      <w:r>
        <w:tab/>
        <w:t>[Regulation 21 inserted in Gazette 28 Jul 2000 p. 4030; amended in Gazette 28 Jun 2002 p. 3106</w:t>
      </w:r>
      <w:r>
        <w:rPr>
          <w:rFonts w:ascii="Times" w:hAnsi="Times"/>
        </w:rPr>
        <w:t>; 9</w:t>
      </w:r>
      <w:r>
        <w:t> Jul 2004 p. 2774; 1 May 2007 p. 1888.]</w:t>
      </w:r>
    </w:p>
    <w:p>
      <w:pPr>
        <w:pStyle w:val="Heading5"/>
        <w:spacing w:before="200"/>
      </w:pPr>
      <w:bookmarkStart w:id="536" w:name="_Toc519934593"/>
      <w:bookmarkStart w:id="537" w:name="_Toc534780058"/>
      <w:bookmarkStart w:id="538" w:name="_Toc3352065"/>
      <w:bookmarkStart w:id="539" w:name="_Toc3352140"/>
      <w:bookmarkStart w:id="540" w:name="_Toc22966242"/>
      <w:bookmarkStart w:id="541" w:name="_Toc66263849"/>
      <w:bookmarkStart w:id="542" w:name="_Toc119294090"/>
      <w:bookmarkStart w:id="543" w:name="_Toc123633183"/>
      <w:bookmarkStart w:id="544" w:name="_Toc172713952"/>
      <w:bookmarkStart w:id="545" w:name="_Toc264018295"/>
      <w:bookmarkStart w:id="546" w:name="_Toc303323195"/>
      <w:bookmarkStart w:id="547" w:name="_Toc357698873"/>
      <w:r>
        <w:rPr>
          <w:rStyle w:val="CharSectno"/>
        </w:rPr>
        <w:t>21A</w:t>
      </w:r>
      <w:r>
        <w:t>.</w:t>
      </w:r>
      <w:r>
        <w:tab/>
        <w:t>Wine</w:t>
      </w:r>
      <w:bookmarkEnd w:id="536"/>
      <w:bookmarkEnd w:id="537"/>
      <w:bookmarkEnd w:id="538"/>
      <w:bookmarkEnd w:id="539"/>
      <w:bookmarkEnd w:id="540"/>
      <w:bookmarkEnd w:id="541"/>
      <w:bookmarkEnd w:id="542"/>
      <w:bookmarkEnd w:id="543"/>
      <w:bookmarkEnd w:id="544"/>
      <w:r>
        <w:t xml:space="preserve"> producer, subsidy for (Act s. 130)</w:t>
      </w:r>
      <w:bookmarkEnd w:id="545"/>
      <w:bookmarkEnd w:id="546"/>
      <w:bookmarkEnd w:id="547"/>
    </w:p>
    <w:p>
      <w:pPr>
        <w:pStyle w:val="Subsection"/>
        <w:keepLines/>
        <w:spacing w:before="140"/>
      </w:pPr>
      <w:r>
        <w:tab/>
        <w:t>(1)</w:t>
      </w:r>
      <w:r>
        <w:tab/>
        <w:t>For the purposes of section 130(3), the subsidy for a producer of wine in respect of sales of wine in a tax period is to be calculated as follows:</w:t>
      </w:r>
    </w:p>
    <w:p>
      <w:pPr>
        <w:pStyle w:val="Equation"/>
        <w:spacing w:before="80"/>
        <w:jc w:val="center"/>
        <w:rPr>
          <w:snapToGrid w:val="0"/>
        </w:rPr>
      </w:pPr>
      <w:r>
        <w:rPr>
          <w:snapToGrid w:val="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6.5pt" o:ole="">
            <v:imagedata r:id="rId21" o:title=""/>
          </v:shape>
          <o:OLEObject Type="Embed" ProgID="Equation.3" ShapeID="_x0000_i1025" DrawAspect="Content" ObjectID="_1644262671" r:id="rId22"/>
        </w:object>
      </w:r>
    </w:p>
    <w:p>
      <w:pPr>
        <w:pStyle w:val="Subsection"/>
        <w:rPr>
          <w:snapToGrid w:val="0"/>
        </w:rPr>
      </w:pPr>
      <w:r>
        <w:rPr>
          <w:snapToGrid w:val="0"/>
        </w:rPr>
        <w:tab/>
      </w:r>
      <w:r>
        <w:rPr>
          <w:snapToGrid w:val="0"/>
        </w:rPr>
        <w:tab/>
        <w:t>where —</w:t>
      </w:r>
    </w:p>
    <w:p>
      <w:pPr>
        <w:pStyle w:val="Subsection"/>
        <w:tabs>
          <w:tab w:val="left" w:pos="1701"/>
        </w:tabs>
        <w:spacing w:before="80"/>
        <w:ind w:left="1701" w:hanging="1701"/>
      </w:pPr>
      <w:r>
        <w:tab/>
      </w:r>
      <w:r>
        <w:tab/>
        <w:t>S =</w:t>
      </w:r>
      <w:r>
        <w:tab/>
        <w:t>the producer’s subsidy payment;</w:t>
      </w:r>
    </w:p>
    <w:p>
      <w:pPr>
        <w:pStyle w:val="Subsection"/>
        <w:tabs>
          <w:tab w:val="left" w:pos="1701"/>
        </w:tabs>
        <w:spacing w:before="80"/>
        <w:ind w:left="1701" w:hanging="1701"/>
      </w:pPr>
      <w:r>
        <w:tab/>
      </w:r>
      <w:r>
        <w:tab/>
        <w:t>W =</w:t>
      </w:r>
      <w:r>
        <w:tab/>
        <w:t>the total WET paid —</w:t>
      </w:r>
    </w:p>
    <w:p>
      <w:pPr>
        <w:pStyle w:val="Indenti"/>
      </w:pPr>
      <w:r>
        <w:tab/>
        <w:t>(a)</w:t>
      </w:r>
      <w:r>
        <w:tab/>
        <w:t>by the producer on sales of wine in the tax period, in respect of which the producer is eligible for a subsidy under subregulation (2); or</w:t>
      </w:r>
    </w:p>
    <w:p>
      <w:pPr>
        <w:pStyle w:val="Indenti"/>
      </w:pPr>
      <w:r>
        <w:tab/>
        <w:t>(b)</w:t>
      </w:r>
      <w:r>
        <w:tab/>
        <w:t>by a wine maker on wine sold to the producer in the tax period, being wine fermented using produce of the producer, in respect of which the producer is eligible for a subsidy under subregulation (2).</w:t>
      </w:r>
    </w:p>
    <w:p>
      <w:pPr>
        <w:pStyle w:val="Subsection"/>
      </w:pPr>
      <w:r>
        <w:tab/>
        <w:t>(2)</w:t>
      </w:r>
      <w:r>
        <w:tab/>
        <w:t>For the purposes of section 130(1), subsidies are payable to a producer only in respect of —</w:t>
      </w:r>
    </w:p>
    <w:p>
      <w:pPr>
        <w:pStyle w:val="Indenta"/>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pPr>
      <w:r>
        <w:tab/>
        <w:t>(b)</w:t>
      </w:r>
      <w:r>
        <w:tab/>
        <w:t>wine fermented by a wine maker from the produce of the producer in this State and sold by the wine maker to the producer, on which sale WET has been paid by the wine maker.</w:t>
      </w:r>
    </w:p>
    <w:p>
      <w:pPr>
        <w:pStyle w:val="Subsection"/>
        <w:keepNext/>
        <w:keepLines/>
        <w:spacing w:before="200"/>
      </w:pPr>
      <w:r>
        <w:tab/>
        <w:t>(3)</w:t>
      </w:r>
      <w:r>
        <w:tab/>
        <w:t>In subregulation (2) —</w:t>
      </w:r>
    </w:p>
    <w:p>
      <w:pPr>
        <w:pStyle w:val="Defstart"/>
        <w:keepNext/>
        <w:keepLines/>
      </w:pPr>
      <w:r>
        <w:tab/>
      </w:r>
      <w:r>
        <w:rPr>
          <w:rStyle w:val="CharDefText"/>
        </w:rPr>
        <w:t>wine produced by a producer</w:t>
      </w:r>
      <w:r>
        <w:t xml:space="preserve"> does not include wine that is deemed to have been produced by the producer under section 55(3).</w:t>
      </w:r>
    </w:p>
    <w:p>
      <w:pPr>
        <w:pStyle w:val="Footnotesection"/>
        <w:keepLines w:val="0"/>
        <w:ind w:left="890" w:hanging="890"/>
      </w:pPr>
      <w:r>
        <w:tab/>
        <w:t>[Regulation 21A inserted in Gazette 28 Jul 2000 p. 4030</w:t>
      </w:r>
      <w:r>
        <w:noBreakHyphen/>
        <w:t>1; amended in Gazette 9 Jul 2004 p. 2774; 1 May 2007 p. 1888</w:t>
      </w:r>
      <w:r>
        <w:noBreakHyphen/>
        <w:t>9.]</w:t>
      </w:r>
    </w:p>
    <w:p>
      <w:pPr>
        <w:pStyle w:val="Ednotesection"/>
        <w:rPr>
          <w:b/>
        </w:rPr>
      </w:pPr>
      <w:r>
        <w:t>[</w:t>
      </w:r>
      <w:r>
        <w:rPr>
          <w:b/>
        </w:rPr>
        <w:t>21AB.</w:t>
      </w:r>
      <w:r>
        <w:rPr>
          <w:b/>
        </w:rPr>
        <w:tab/>
      </w:r>
      <w:r>
        <w:t>Deleted in Gazette 28 Jun 2002 p. 3106.]</w:t>
      </w:r>
    </w:p>
    <w:p>
      <w:pPr>
        <w:pStyle w:val="Heading5"/>
        <w:rPr>
          <w:snapToGrid w:val="0"/>
        </w:rPr>
      </w:pPr>
      <w:bookmarkStart w:id="548" w:name="_Toc460808732"/>
      <w:bookmarkStart w:id="549" w:name="_Toc519934595"/>
      <w:bookmarkStart w:id="550" w:name="_Toc534780060"/>
      <w:bookmarkStart w:id="551" w:name="_Toc3352067"/>
      <w:bookmarkStart w:id="552" w:name="_Toc3352142"/>
      <w:bookmarkStart w:id="553" w:name="_Toc22966243"/>
      <w:bookmarkStart w:id="554" w:name="_Toc66263850"/>
      <w:bookmarkStart w:id="555" w:name="_Toc119294091"/>
      <w:bookmarkStart w:id="556" w:name="_Toc123633184"/>
      <w:bookmarkStart w:id="557" w:name="_Toc172713953"/>
      <w:bookmarkStart w:id="558" w:name="_Toc264018296"/>
      <w:bookmarkStart w:id="559" w:name="_Toc303323196"/>
      <w:bookmarkStart w:id="560" w:name="_Toc357698874"/>
      <w:r>
        <w:rPr>
          <w:rStyle w:val="CharSectno"/>
        </w:rPr>
        <w:t>21AC</w:t>
      </w:r>
      <w:r>
        <w:rPr>
          <w:snapToGrid w:val="0"/>
        </w:rPr>
        <w:t>.</w:t>
      </w:r>
      <w:r>
        <w:rPr>
          <w:snapToGrid w:val="0"/>
        </w:rPr>
        <w:tab/>
        <w:t>Subsidy payable once in respect of sale of liquor</w:t>
      </w:r>
      <w:bookmarkEnd w:id="548"/>
      <w:bookmarkEnd w:id="549"/>
      <w:bookmarkEnd w:id="550"/>
      <w:bookmarkEnd w:id="551"/>
      <w:bookmarkEnd w:id="552"/>
      <w:bookmarkEnd w:id="553"/>
      <w:bookmarkEnd w:id="554"/>
      <w:bookmarkEnd w:id="555"/>
      <w:bookmarkEnd w:id="556"/>
      <w:bookmarkEnd w:id="557"/>
      <w:bookmarkEnd w:id="558"/>
      <w:bookmarkEnd w:id="559"/>
      <w:bookmarkEnd w:id="560"/>
    </w:p>
    <w:p>
      <w:pPr>
        <w:pStyle w:val="Subsection"/>
        <w:keepNext/>
        <w:rPr>
          <w:snapToGrid w:val="0"/>
        </w:rPr>
      </w:pPr>
      <w:r>
        <w:rPr>
          <w:snapToGrid w:val="0"/>
        </w:rPr>
        <w:tab/>
      </w:r>
      <w:r>
        <w:rPr>
          <w:snapToGrid w:val="0"/>
        </w:rPr>
        <w:tab/>
        <w:t>A subsidy is only payable once in respect of a sale of liquor.</w:t>
      </w:r>
    </w:p>
    <w:p>
      <w:pPr>
        <w:pStyle w:val="Footnotesection"/>
        <w:ind w:left="890" w:hanging="890"/>
      </w:pPr>
      <w:r>
        <w:tab/>
        <w:t>[Regulation 21AC inserted in Gazette 6 Oct 1998 p. 5565.]</w:t>
      </w:r>
    </w:p>
    <w:p>
      <w:pPr>
        <w:pStyle w:val="Heading5"/>
        <w:rPr>
          <w:snapToGrid w:val="0"/>
        </w:rPr>
      </w:pPr>
      <w:bookmarkStart w:id="561" w:name="_Toc460808733"/>
      <w:bookmarkStart w:id="562" w:name="_Toc519934596"/>
      <w:bookmarkStart w:id="563" w:name="_Toc534780061"/>
      <w:bookmarkStart w:id="564" w:name="_Toc3352068"/>
      <w:bookmarkStart w:id="565" w:name="_Toc3352143"/>
      <w:bookmarkStart w:id="566" w:name="_Toc22966244"/>
      <w:bookmarkStart w:id="567" w:name="_Toc66263851"/>
      <w:bookmarkStart w:id="568" w:name="_Toc119294092"/>
      <w:bookmarkStart w:id="569" w:name="_Toc123633185"/>
      <w:bookmarkStart w:id="570" w:name="_Toc172713954"/>
      <w:bookmarkStart w:id="571" w:name="_Toc264018297"/>
      <w:bookmarkStart w:id="572" w:name="_Toc303323197"/>
      <w:bookmarkStart w:id="573" w:name="_Toc357698875"/>
      <w:r>
        <w:rPr>
          <w:rStyle w:val="CharSectno"/>
        </w:rPr>
        <w:t>21B</w:t>
      </w:r>
      <w:r>
        <w:rPr>
          <w:snapToGrid w:val="0"/>
        </w:rPr>
        <w:t>.</w:t>
      </w:r>
      <w:r>
        <w:rPr>
          <w:snapToGrid w:val="0"/>
        </w:rPr>
        <w:tab/>
        <w:t>Subsidy, conditions imposed by Director as to</w:t>
      </w:r>
      <w:bookmarkEnd w:id="561"/>
      <w:bookmarkEnd w:id="562"/>
      <w:bookmarkEnd w:id="563"/>
      <w:bookmarkEnd w:id="564"/>
      <w:bookmarkEnd w:id="565"/>
      <w:bookmarkEnd w:id="566"/>
      <w:bookmarkEnd w:id="567"/>
      <w:bookmarkEnd w:id="568"/>
      <w:bookmarkEnd w:id="569"/>
      <w:bookmarkEnd w:id="570"/>
      <w:r>
        <w:rPr>
          <w:snapToGrid w:val="0"/>
        </w:rPr>
        <w:t xml:space="preserve"> </w:t>
      </w:r>
      <w:r>
        <w:t>(Act s. 130(2))</w:t>
      </w:r>
      <w:bookmarkEnd w:id="571"/>
      <w:bookmarkEnd w:id="572"/>
      <w:bookmarkEnd w:id="573"/>
    </w:p>
    <w:p>
      <w:pPr>
        <w:pStyle w:val="Subsection"/>
        <w:keepNext/>
        <w:keepLines/>
        <w:rPr>
          <w:snapToGrid w:val="0"/>
        </w:rPr>
      </w:pPr>
      <w:r>
        <w:rPr>
          <w:snapToGrid w:val="0"/>
        </w:rPr>
        <w:tab/>
      </w:r>
      <w:r>
        <w:rPr>
          <w:snapToGrid w:val="0"/>
        </w:rPr>
        <w:tab/>
        <w:t>For the purposes of section 130(2), the Director may impose conditions by notice in writing given to the person on whom the condition is to be imposed.</w:t>
      </w:r>
    </w:p>
    <w:p>
      <w:pPr>
        <w:pStyle w:val="Footnotesection"/>
        <w:ind w:left="890" w:hanging="890"/>
      </w:pPr>
      <w:r>
        <w:tab/>
        <w:t>[Regulation 21B inserted in Gazette 30 Jan 1998 p. 565; amended in Gazette 1 May 2007 p. 1888</w:t>
      </w:r>
      <w:r>
        <w:noBreakHyphen/>
        <w:t>9.]</w:t>
      </w:r>
    </w:p>
    <w:p>
      <w:pPr>
        <w:pStyle w:val="Heading5"/>
        <w:rPr>
          <w:snapToGrid w:val="0"/>
        </w:rPr>
      </w:pPr>
      <w:bookmarkStart w:id="574" w:name="_Toc460808734"/>
      <w:bookmarkStart w:id="575" w:name="_Toc519934597"/>
      <w:bookmarkStart w:id="576" w:name="_Toc534780062"/>
      <w:bookmarkStart w:id="577" w:name="_Toc3352069"/>
      <w:bookmarkStart w:id="578" w:name="_Toc3352144"/>
      <w:bookmarkStart w:id="579" w:name="_Toc22966245"/>
      <w:bookmarkStart w:id="580" w:name="_Toc66263852"/>
      <w:bookmarkStart w:id="581" w:name="_Toc119294093"/>
      <w:bookmarkStart w:id="582" w:name="_Toc123633186"/>
      <w:bookmarkStart w:id="583" w:name="_Toc172713955"/>
      <w:bookmarkStart w:id="584" w:name="_Toc264018298"/>
      <w:bookmarkStart w:id="585" w:name="_Toc303323198"/>
      <w:bookmarkStart w:id="586" w:name="_Toc357698876"/>
      <w:r>
        <w:rPr>
          <w:rStyle w:val="CharSectno"/>
        </w:rPr>
        <w:t>21C</w:t>
      </w:r>
      <w:r>
        <w:rPr>
          <w:snapToGrid w:val="0"/>
        </w:rPr>
        <w:t>.</w:t>
      </w:r>
      <w:r>
        <w:rPr>
          <w:snapToGrid w:val="0"/>
        </w:rPr>
        <w:tab/>
        <w:t>Licensees prescribed </w:t>
      </w:r>
      <w:r>
        <w:t>(Act s. </w:t>
      </w:r>
      <w:r>
        <w:rPr>
          <w:snapToGrid w:val="0"/>
        </w:rPr>
        <w:t>145(1)</w:t>
      </w:r>
      <w:bookmarkEnd w:id="574"/>
      <w:bookmarkEnd w:id="575"/>
      <w:bookmarkEnd w:id="576"/>
      <w:bookmarkEnd w:id="577"/>
      <w:bookmarkEnd w:id="578"/>
      <w:bookmarkEnd w:id="579"/>
      <w:bookmarkEnd w:id="580"/>
      <w:bookmarkEnd w:id="581"/>
      <w:bookmarkEnd w:id="582"/>
      <w:bookmarkEnd w:id="583"/>
      <w:r>
        <w:rPr>
          <w:snapToGrid w:val="0"/>
        </w:rPr>
        <w:t>)</w:t>
      </w:r>
      <w:bookmarkEnd w:id="584"/>
      <w:bookmarkEnd w:id="585"/>
      <w:bookmarkEnd w:id="586"/>
    </w:p>
    <w:p>
      <w:pPr>
        <w:pStyle w:val="Subsection"/>
        <w:rPr>
          <w:snapToGrid w:val="0"/>
        </w:rPr>
      </w:pPr>
      <w:r>
        <w:rPr>
          <w:snapToGrid w:val="0"/>
        </w:rPr>
        <w:tab/>
      </w:r>
      <w:r>
        <w:rPr>
          <w:snapToGrid w:val="0"/>
        </w:rPr>
        <w:tab/>
        <w:t>The following licensees are prescribed for the purposes of section 145(1) —</w:t>
      </w:r>
    </w:p>
    <w:p>
      <w:pPr>
        <w:pStyle w:val="Indenta"/>
        <w:rPr>
          <w:snapToGrid w:val="0"/>
        </w:rPr>
      </w:pPr>
      <w:r>
        <w:rPr>
          <w:snapToGrid w:val="0"/>
        </w:rPr>
        <w:tab/>
        <w:t>(a)</w:t>
      </w:r>
      <w:r>
        <w:rPr>
          <w:snapToGrid w:val="0"/>
        </w:rPr>
        <w:tab/>
        <w:t>the holder of a wholesaler’s licence; and</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and</w:t>
      </w:r>
    </w:p>
    <w:p>
      <w:pPr>
        <w:pStyle w:val="Indenta"/>
        <w:keepNext/>
        <w:keepLines/>
        <w:rPr>
          <w:snapToGrid w:val="0"/>
        </w:rPr>
      </w:pPr>
      <w:r>
        <w:rPr>
          <w:snapToGrid w:val="0"/>
        </w:rPr>
        <w:tab/>
        <w:t>(c)</w:t>
      </w:r>
      <w:r>
        <w:rPr>
          <w:snapToGrid w:val="0"/>
        </w:rPr>
        <w:tab/>
        <w:t>the holder of a producer’s licence.</w:t>
      </w:r>
    </w:p>
    <w:p>
      <w:pPr>
        <w:pStyle w:val="Footnotesection"/>
      </w:pPr>
      <w:r>
        <w:tab/>
        <w:t>[Regulation 21C inserted in Gazette 30 Jan 1998 p. 565; amended in Gazette 22 May 1998 p. 2943; 6 Oct 1998 p. 5565; 1 May 2007 p. 1888</w:t>
      </w:r>
      <w:r>
        <w:noBreakHyphen/>
        <w:t>9.]</w:t>
      </w:r>
    </w:p>
    <w:p>
      <w:pPr>
        <w:pStyle w:val="Heading5"/>
        <w:spacing w:before="260"/>
        <w:rPr>
          <w:snapToGrid w:val="0"/>
        </w:rPr>
      </w:pPr>
      <w:bookmarkStart w:id="587" w:name="_Toc460808735"/>
      <w:bookmarkStart w:id="588" w:name="_Toc519934598"/>
      <w:bookmarkStart w:id="589" w:name="_Toc534780063"/>
      <w:bookmarkStart w:id="590" w:name="_Toc3352070"/>
      <w:bookmarkStart w:id="591" w:name="_Toc3352145"/>
      <w:bookmarkStart w:id="592" w:name="_Toc22966246"/>
      <w:bookmarkStart w:id="593" w:name="_Toc66263853"/>
      <w:bookmarkStart w:id="594" w:name="_Toc119294094"/>
      <w:bookmarkStart w:id="595" w:name="_Toc123633187"/>
      <w:bookmarkStart w:id="596" w:name="_Toc172713956"/>
      <w:bookmarkStart w:id="597" w:name="_Toc264018299"/>
      <w:bookmarkStart w:id="598" w:name="_Toc303323199"/>
      <w:bookmarkStart w:id="599" w:name="_Toc357698877"/>
      <w:r>
        <w:rPr>
          <w:rStyle w:val="CharSectno"/>
        </w:rPr>
        <w:t>22</w:t>
      </w:r>
      <w:r>
        <w:rPr>
          <w:snapToGrid w:val="0"/>
        </w:rPr>
        <w:t>.</w:t>
      </w:r>
      <w:r>
        <w:rPr>
          <w:snapToGrid w:val="0"/>
        </w:rPr>
        <w:tab/>
        <w:t xml:space="preserve">Records prescribed etc. </w:t>
      </w:r>
      <w:r>
        <w:t>(Act s. </w:t>
      </w:r>
      <w:r>
        <w:rPr>
          <w:snapToGrid w:val="0"/>
        </w:rPr>
        <w:t>145</w:t>
      </w:r>
      <w:bookmarkEnd w:id="587"/>
      <w:bookmarkEnd w:id="588"/>
      <w:bookmarkEnd w:id="589"/>
      <w:bookmarkEnd w:id="590"/>
      <w:bookmarkEnd w:id="591"/>
      <w:bookmarkEnd w:id="592"/>
      <w:bookmarkEnd w:id="593"/>
      <w:bookmarkEnd w:id="594"/>
      <w:bookmarkEnd w:id="595"/>
      <w:bookmarkEnd w:id="596"/>
      <w:r>
        <w:rPr>
          <w:snapToGrid w:val="0"/>
        </w:rPr>
        <w:t>)</w:t>
      </w:r>
      <w:bookmarkEnd w:id="597"/>
      <w:bookmarkEnd w:id="598"/>
      <w:bookmarkEnd w:id="599"/>
    </w:p>
    <w:p>
      <w:pPr>
        <w:pStyle w:val="Subsection"/>
        <w:keepNext/>
        <w:spacing w:before="180"/>
        <w:rPr>
          <w:snapToGrid w:val="0"/>
        </w:rPr>
      </w:pPr>
      <w:r>
        <w:rPr>
          <w:snapToGrid w:val="0"/>
        </w:rPr>
        <w:tab/>
        <w:t>(1)</w:t>
      </w:r>
      <w:r>
        <w:rPr>
          <w:snapToGrid w:val="0"/>
        </w:rPr>
        <w:tab/>
        <w:t>The records to be made and maintained under section 145(1) and (1a) are to contain the following information —</w:t>
      </w:r>
    </w:p>
    <w:p>
      <w:pPr>
        <w:pStyle w:val="Indenta"/>
        <w:spacing w:before="100"/>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w:t>
      </w:r>
    </w:p>
    <w:p>
      <w:pPr>
        <w:pStyle w:val="Indenti"/>
        <w:spacing w:before="100"/>
        <w:rPr>
          <w:snapToGrid w:val="0"/>
        </w:rPr>
      </w:pPr>
      <w:r>
        <w:rPr>
          <w:snapToGrid w:val="0"/>
        </w:rPr>
        <w:tab/>
        <w:t>(i)</w:t>
      </w:r>
      <w:r>
        <w:rPr>
          <w:snapToGrid w:val="0"/>
        </w:rPr>
        <w:tab/>
        <w:t>the name and, where applicable, licence number of the liquor merchant to whom liquor was sold;</w:t>
      </w:r>
    </w:p>
    <w:p>
      <w:pPr>
        <w:pStyle w:val="Indenti"/>
        <w:spacing w:before="100"/>
        <w:rPr>
          <w:snapToGrid w:val="0"/>
        </w:rPr>
      </w:pPr>
      <w:r>
        <w:rPr>
          <w:snapToGrid w:val="0"/>
        </w:rPr>
        <w:tab/>
        <w:t>(ii)</w:t>
      </w:r>
      <w:r>
        <w:rPr>
          <w:snapToGrid w:val="0"/>
        </w:rPr>
        <w:tab/>
        <w:t>the date of the invoice or credit note, and the date on which the goods were sent or returned;</w:t>
      </w:r>
    </w:p>
    <w:p>
      <w:pPr>
        <w:pStyle w:val="Indenti"/>
        <w:spacing w:before="100"/>
        <w:rPr>
          <w:snapToGrid w:val="0"/>
        </w:rPr>
      </w:pPr>
      <w:r>
        <w:rPr>
          <w:snapToGrid w:val="0"/>
        </w:rPr>
        <w:tab/>
        <w:t>(iii)</w:t>
      </w:r>
      <w:r>
        <w:rPr>
          <w:snapToGrid w:val="0"/>
        </w:rPr>
        <w:tab/>
        <w:t>the invoice or credit note number;</w:t>
      </w:r>
    </w:p>
    <w:p>
      <w:pPr>
        <w:pStyle w:val="Indenti"/>
        <w:spacing w:before="100"/>
        <w:rPr>
          <w:snapToGrid w:val="0"/>
        </w:rPr>
      </w:pPr>
      <w:r>
        <w:rPr>
          <w:snapToGrid w:val="0"/>
        </w:rPr>
        <w:tab/>
        <w:t>(iv)</w:t>
      </w:r>
      <w:r>
        <w:rPr>
          <w:snapToGrid w:val="0"/>
        </w:rPr>
        <w:tab/>
        <w:t>the total amount paid or payable to the licensee in respect of the transaction, with a separate statement of the amount for —</w:t>
      </w:r>
    </w:p>
    <w:p>
      <w:pPr>
        <w:pStyle w:val="IndentI0"/>
        <w:spacing w:before="100"/>
        <w:rPr>
          <w:snapToGrid w:val="0"/>
        </w:rPr>
      </w:pPr>
      <w:r>
        <w:rPr>
          <w:snapToGrid w:val="0"/>
        </w:rPr>
        <w:tab/>
        <w:t>(A)</w:t>
      </w:r>
      <w:r>
        <w:rPr>
          <w:snapToGrid w:val="0"/>
        </w:rPr>
        <w:tab/>
        <w:t>low alcohol liquor; and</w:t>
      </w:r>
    </w:p>
    <w:p>
      <w:pPr>
        <w:pStyle w:val="IndentI0"/>
        <w:spacing w:before="100"/>
        <w:rPr>
          <w:snapToGrid w:val="0"/>
        </w:rPr>
      </w:pPr>
      <w:r>
        <w:rPr>
          <w:snapToGrid w:val="0"/>
        </w:rPr>
        <w:tab/>
        <w:t>(B)</w:t>
      </w:r>
      <w:r>
        <w:rPr>
          <w:snapToGrid w:val="0"/>
        </w:rPr>
        <w:tab/>
        <w:t>liquor other than low alcohol liquor; and</w:t>
      </w:r>
    </w:p>
    <w:p>
      <w:pPr>
        <w:pStyle w:val="IndentI0"/>
        <w:spacing w:before="100"/>
        <w:rPr>
          <w:snapToGrid w:val="0"/>
        </w:rPr>
      </w:pPr>
      <w:r>
        <w:rPr>
          <w:snapToGrid w:val="0"/>
        </w:rPr>
        <w:tab/>
        <w:t>(C)</w:t>
      </w:r>
      <w:r>
        <w:rPr>
          <w:snapToGrid w:val="0"/>
        </w:rPr>
        <w:tab/>
        <w:t>goods other than liquor; and</w:t>
      </w:r>
    </w:p>
    <w:p>
      <w:pPr>
        <w:pStyle w:val="IndentI0"/>
        <w:spacing w:before="100"/>
        <w:rPr>
          <w:snapToGrid w:val="0"/>
        </w:rPr>
      </w:pPr>
      <w:r>
        <w:rPr>
          <w:snapToGrid w:val="0"/>
        </w:rPr>
        <w:tab/>
        <w:t>(D)</w:t>
      </w:r>
      <w:r>
        <w:rPr>
          <w:snapToGrid w:val="0"/>
        </w:rPr>
        <w:tab/>
        <w:t>freight and delivery charges, where separate charges are made; and</w:t>
      </w:r>
    </w:p>
    <w:p>
      <w:pPr>
        <w:pStyle w:val="IndentI0"/>
        <w:spacing w:before="100"/>
        <w:rPr>
          <w:snapToGrid w:val="0"/>
        </w:rPr>
      </w:pPr>
      <w:r>
        <w:rPr>
          <w:snapToGrid w:val="0"/>
        </w:rPr>
        <w:tab/>
        <w:t>(E)</w:t>
      </w:r>
      <w:r>
        <w:rPr>
          <w:snapToGrid w:val="0"/>
        </w:rPr>
        <w:tab/>
        <w:t>any discount given; and</w:t>
      </w:r>
    </w:p>
    <w:p>
      <w:pPr>
        <w:pStyle w:val="IndentI0"/>
        <w:spacing w:before="100"/>
        <w:rPr>
          <w:snapToGrid w:val="0"/>
        </w:rPr>
      </w:pPr>
      <w:r>
        <w:rPr>
          <w:snapToGrid w:val="0"/>
        </w:rPr>
        <w:tab/>
        <w:t>(F)</w:t>
      </w:r>
      <w:r>
        <w:rPr>
          <w:snapToGrid w:val="0"/>
        </w:rPr>
        <w:tab/>
      </w:r>
      <w:r>
        <w:rPr>
          <w:snapToGrid w:val="0"/>
          <w:spacing w:val="-2"/>
        </w:rPr>
        <w:t>any liquor or other goods returned or not accepted by the liquor merchant; and</w:t>
      </w:r>
    </w:p>
    <w:p>
      <w:pPr>
        <w:pStyle w:val="IndentI0"/>
        <w:spacing w:before="100"/>
        <w:rPr>
          <w:snapToGrid w:val="0"/>
        </w:rPr>
      </w:pPr>
      <w:r>
        <w:rPr>
          <w:snapToGrid w:val="0"/>
        </w:rPr>
        <w:tab/>
        <w:t>(G)</w:t>
      </w:r>
      <w:r>
        <w:rPr>
          <w:snapToGrid w:val="0"/>
        </w:rPr>
        <w:tab/>
        <w:t>each duty or charge which is payable in respect of the liquor but which is not otherwise included in an item in the invoice;</w:t>
      </w:r>
    </w:p>
    <w:p>
      <w:pPr>
        <w:pStyle w:val="Indenta"/>
        <w:rPr>
          <w:snapToGrid w:val="0"/>
        </w:rPr>
      </w:pPr>
      <w:r>
        <w:rPr>
          <w:snapToGrid w:val="0"/>
        </w:rPr>
        <w:tab/>
      </w:r>
      <w:r>
        <w:rPr>
          <w:snapToGrid w:val="0"/>
        </w:rPr>
        <w:tab/>
        <w:t>and</w:t>
      </w:r>
      <w:r>
        <w:rPr>
          <w:snapToGrid w:val="0"/>
        </w:rPr>
        <w:tab/>
      </w:r>
    </w:p>
    <w:p>
      <w:pPr>
        <w:pStyle w:val="Indenta"/>
        <w:rPr>
          <w:snapToGrid w:val="0"/>
        </w:rPr>
      </w:pPr>
      <w:r>
        <w:rPr>
          <w:snapToGrid w:val="0"/>
        </w:rPr>
        <w:tab/>
        <w:t>(b)</w:t>
      </w:r>
      <w:r>
        <w:rPr>
          <w:snapToGrid w:val="0"/>
        </w:rPr>
        <w:tab/>
        <w:t>in the case of each transaction involving the purchase or other acquisition of liquor by the holder of a licence —</w:t>
      </w:r>
    </w:p>
    <w:p>
      <w:pPr>
        <w:pStyle w:val="Indenti"/>
        <w:spacing w:before="60"/>
        <w:rPr>
          <w:snapToGrid w:val="0"/>
        </w:rPr>
      </w:pPr>
      <w:r>
        <w:rPr>
          <w:snapToGrid w:val="0"/>
        </w:rPr>
        <w:tab/>
        <w:t>(i)</w:t>
      </w:r>
      <w:r>
        <w:rPr>
          <w:snapToGrid w:val="0"/>
        </w:rPr>
        <w:tab/>
        <w:t>the name, address and licence number of the supplier; and</w:t>
      </w:r>
    </w:p>
    <w:p>
      <w:pPr>
        <w:pStyle w:val="Indenti"/>
        <w:spacing w:before="60"/>
        <w:rPr>
          <w:snapToGrid w:val="0"/>
        </w:rPr>
      </w:pPr>
      <w:r>
        <w:rPr>
          <w:snapToGrid w:val="0"/>
        </w:rPr>
        <w:tab/>
        <w:t>(ii)</w:t>
      </w:r>
      <w:r>
        <w:rPr>
          <w:snapToGrid w:val="0"/>
        </w:rPr>
        <w:tab/>
        <w:t>the date of the invoice or credit note, and the date on which the goods were received or returned; and</w:t>
      </w:r>
    </w:p>
    <w:p>
      <w:pPr>
        <w:pStyle w:val="Indenti"/>
        <w:rPr>
          <w:snapToGrid w:val="0"/>
        </w:rPr>
      </w:pPr>
      <w:r>
        <w:rPr>
          <w:snapToGrid w:val="0"/>
        </w:rPr>
        <w:tab/>
        <w:t>(iii)</w:t>
      </w:r>
      <w:r>
        <w:rPr>
          <w:snapToGrid w:val="0"/>
        </w:rPr>
        <w:tab/>
        <w:t>the invoice or credit note number; and</w:t>
      </w:r>
    </w:p>
    <w:p>
      <w:pPr>
        <w:pStyle w:val="Indenti"/>
        <w:rPr>
          <w:snapToGrid w:val="0"/>
        </w:rPr>
      </w:pPr>
      <w:r>
        <w:rPr>
          <w:snapToGrid w:val="0"/>
        </w:rPr>
        <w:tab/>
        <w:t>(iv)</w:t>
      </w:r>
      <w:r>
        <w:rPr>
          <w:snapToGrid w:val="0"/>
        </w:rPr>
        <w:tab/>
        <w:t>the method by which payment was made and, if by cheque, the cheque number and date; and</w:t>
      </w:r>
    </w:p>
    <w:p>
      <w:pPr>
        <w:pStyle w:val="Indenti"/>
        <w:rPr>
          <w:snapToGrid w:val="0"/>
        </w:rPr>
      </w:pPr>
      <w:r>
        <w:rPr>
          <w:snapToGrid w:val="0"/>
        </w:rPr>
        <w:tab/>
        <w:t>(v)</w:t>
      </w:r>
      <w:r>
        <w:rPr>
          <w:snapToGrid w:val="0"/>
        </w:rPr>
        <w:tab/>
        <w:t>the amount paid or payable for low alcohol liquor; and</w:t>
      </w:r>
    </w:p>
    <w:p>
      <w:pPr>
        <w:pStyle w:val="Indenti"/>
        <w:rPr>
          <w:snapToGrid w:val="0"/>
        </w:rPr>
      </w:pPr>
      <w:r>
        <w:rPr>
          <w:snapToGrid w:val="0"/>
        </w:rPr>
        <w:tab/>
        <w:t>(vi)</w:t>
      </w:r>
      <w:r>
        <w:rPr>
          <w:snapToGrid w:val="0"/>
        </w:rPr>
        <w:tab/>
        <w:t>the amount paid or payable for liquor other than low alcohol liquor; and</w:t>
      </w:r>
    </w:p>
    <w:p>
      <w:pPr>
        <w:pStyle w:val="Indenti"/>
        <w:rPr>
          <w:snapToGrid w:val="0"/>
        </w:rPr>
      </w:pPr>
      <w:r>
        <w:rPr>
          <w:snapToGrid w:val="0"/>
        </w:rPr>
        <w:tab/>
        <w:t>(vii)</w:t>
      </w:r>
      <w:r>
        <w:rPr>
          <w:snapToGrid w:val="0"/>
        </w:rPr>
        <w:tab/>
        <w:t>the amount paid or payable for any goods other than liquor;</w:t>
      </w:r>
    </w:p>
    <w:p>
      <w:pPr>
        <w:pStyle w:val="Indenta"/>
        <w:rPr>
          <w:snapToGrid w:val="0"/>
        </w:rPr>
      </w:pPr>
      <w:r>
        <w:rPr>
          <w:snapToGrid w:val="0"/>
        </w:rPr>
        <w:tab/>
      </w:r>
      <w:r>
        <w:rPr>
          <w:snapToGrid w:val="0"/>
        </w:rPr>
        <w:tab/>
        <w:t>and</w:t>
      </w:r>
    </w:p>
    <w:p>
      <w:pPr>
        <w:pStyle w:val="Indenta"/>
        <w:rPr>
          <w:snapToGrid w:val="0"/>
        </w:rPr>
      </w:pPr>
      <w:r>
        <w:rPr>
          <w:snapToGrid w:val="0"/>
        </w:rPr>
        <w:tab/>
        <w:t>(ba)</w:t>
      </w:r>
      <w:r>
        <w:rPr>
          <w:snapToGrid w:val="0"/>
        </w:rPr>
        <w:tab/>
        <w:t>in the case of each transaction involving the sale or other disposal of liquor by the holder of a producer’s licence, a separate statement of the amount for —</w:t>
      </w:r>
    </w:p>
    <w:p>
      <w:pPr>
        <w:pStyle w:val="Indenti"/>
        <w:rPr>
          <w:snapToGrid w:val="0"/>
        </w:rPr>
      </w:pPr>
      <w:r>
        <w:rPr>
          <w:snapToGrid w:val="0"/>
        </w:rPr>
        <w:tab/>
        <w:t>(i)</w:t>
      </w:r>
      <w:r>
        <w:rPr>
          <w:snapToGrid w:val="0"/>
        </w:rPr>
        <w:tab/>
        <w:t>sales to persons other than liquor merchants (including sales made in any restaurant on the licensed premises); and</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pPr>
      <w:r>
        <w:tab/>
        <w:t>[(2)</w:t>
      </w:r>
      <w:r>
        <w:tab/>
        <w:t>deleted]</w:t>
      </w:r>
    </w:p>
    <w:p>
      <w:pPr>
        <w:pStyle w:val="Footnotesection"/>
        <w:keepLines w:val="0"/>
        <w:ind w:left="890" w:hanging="890"/>
      </w:pPr>
      <w:r>
        <w:tab/>
        <w:t>[Regulation 22 amended in Gazette 30 Jan 1998 p. 565</w:t>
      </w:r>
      <w:r>
        <w:noBreakHyphen/>
        <w:t>6; 22 May 1998 p. 2943; 6 Oct 1998 p. 5565</w:t>
      </w:r>
      <w:r>
        <w:noBreakHyphen/>
        <w:t>6; 1 May 2007 p. 1888</w:t>
      </w:r>
      <w:r>
        <w:noBreakHyphen/>
        <w:t>9.]</w:t>
      </w:r>
    </w:p>
    <w:p>
      <w:pPr>
        <w:pStyle w:val="Heading5"/>
        <w:rPr>
          <w:snapToGrid w:val="0"/>
        </w:rPr>
      </w:pPr>
      <w:bookmarkStart w:id="600" w:name="_Toc460808736"/>
      <w:bookmarkStart w:id="601" w:name="_Toc519934599"/>
      <w:bookmarkStart w:id="602" w:name="_Toc534780064"/>
      <w:bookmarkStart w:id="603" w:name="_Toc3352071"/>
      <w:bookmarkStart w:id="604" w:name="_Toc3352146"/>
      <w:bookmarkStart w:id="605" w:name="_Toc22966247"/>
      <w:bookmarkStart w:id="606" w:name="_Toc66263854"/>
      <w:bookmarkStart w:id="607" w:name="_Toc119294095"/>
      <w:bookmarkStart w:id="608" w:name="_Toc123633188"/>
      <w:bookmarkStart w:id="609" w:name="_Toc172713957"/>
      <w:bookmarkStart w:id="610" w:name="_Toc264018300"/>
      <w:bookmarkStart w:id="611" w:name="_Toc303323200"/>
      <w:bookmarkStart w:id="612" w:name="_Toc357698878"/>
      <w:r>
        <w:rPr>
          <w:rStyle w:val="CharSectno"/>
        </w:rPr>
        <w:t>23</w:t>
      </w:r>
      <w:r>
        <w:rPr>
          <w:snapToGrid w:val="0"/>
        </w:rPr>
        <w:t>.</w:t>
      </w:r>
      <w:r>
        <w:rPr>
          <w:snapToGrid w:val="0"/>
        </w:rPr>
        <w:tab/>
        <w:t>Returns, verification and lodgment of</w:t>
      </w:r>
      <w:bookmarkEnd w:id="600"/>
      <w:bookmarkEnd w:id="601"/>
      <w:bookmarkEnd w:id="602"/>
      <w:bookmarkEnd w:id="603"/>
      <w:bookmarkEnd w:id="604"/>
      <w:bookmarkEnd w:id="605"/>
      <w:bookmarkEnd w:id="606"/>
      <w:bookmarkEnd w:id="607"/>
      <w:bookmarkEnd w:id="608"/>
      <w:bookmarkEnd w:id="609"/>
      <w:r>
        <w:rPr>
          <w:snapToGrid w:val="0"/>
        </w:rPr>
        <w:t xml:space="preserve"> </w:t>
      </w:r>
      <w:r>
        <w:t>(Act s. 146)</w:t>
      </w:r>
      <w:bookmarkEnd w:id="610"/>
      <w:bookmarkEnd w:id="611"/>
      <w:bookmarkEnd w:id="612"/>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keepNext/>
        <w:rPr>
          <w:snapToGrid w:val="0"/>
        </w:rPr>
      </w:pPr>
      <w:r>
        <w:rPr>
          <w:snapToGrid w:val="0"/>
        </w:rPr>
        <w:tab/>
        <w:t>(3)</w:t>
      </w:r>
      <w:r>
        <w:rPr>
          <w:snapToGrid w:val="0"/>
        </w:rPr>
        <w:tab/>
        <w:t>Where a return required to be lodged under the Act —</w:t>
      </w:r>
    </w:p>
    <w:p>
      <w:pPr>
        <w:pStyle w:val="Indenta"/>
        <w:rPr>
          <w:snapToGrid w:val="0"/>
        </w:rPr>
      </w:pPr>
      <w:r>
        <w:rPr>
          <w:snapToGrid w:val="0"/>
        </w:rPr>
        <w:tab/>
        <w:t>(a)</w:t>
      </w:r>
      <w:r>
        <w:rPr>
          <w:snapToGrid w:val="0"/>
        </w:rPr>
        <w:tab/>
        <w:t>is not lodged as required under subregulation (2a); or</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[Regulation 23 amended in Gazette 30 Jan 1998 p. 566; 22 May 1998 p. 2943; 6 Oct 1998 p. 5566.]</w:t>
      </w:r>
    </w:p>
    <w:p>
      <w:pPr>
        <w:pStyle w:val="Heading5"/>
        <w:rPr>
          <w:snapToGrid w:val="0"/>
        </w:rPr>
      </w:pPr>
      <w:bookmarkStart w:id="613" w:name="_Toc460808737"/>
      <w:bookmarkStart w:id="614" w:name="_Toc519934600"/>
      <w:bookmarkStart w:id="615" w:name="_Toc534780065"/>
      <w:bookmarkStart w:id="616" w:name="_Toc3352072"/>
      <w:bookmarkStart w:id="617" w:name="_Toc3352147"/>
      <w:bookmarkStart w:id="618" w:name="_Toc22966248"/>
      <w:bookmarkStart w:id="619" w:name="_Toc66263855"/>
      <w:bookmarkStart w:id="620" w:name="_Toc119294096"/>
      <w:bookmarkStart w:id="621" w:name="_Toc123633189"/>
      <w:bookmarkStart w:id="622" w:name="_Toc172713958"/>
      <w:bookmarkStart w:id="623" w:name="_Toc264018301"/>
      <w:bookmarkStart w:id="624" w:name="_Toc303323201"/>
      <w:bookmarkStart w:id="625" w:name="_Toc357698879"/>
      <w:r>
        <w:rPr>
          <w:rStyle w:val="CharSectno"/>
        </w:rPr>
        <w:t>24</w:t>
      </w:r>
      <w:r>
        <w:rPr>
          <w:snapToGrid w:val="0"/>
        </w:rPr>
        <w:t>.</w:t>
      </w:r>
      <w:r>
        <w:rPr>
          <w:snapToGrid w:val="0"/>
        </w:rPr>
        <w:tab/>
        <w:t xml:space="preserve">Return of information </w:t>
      </w:r>
      <w:bookmarkEnd w:id="613"/>
      <w:bookmarkEnd w:id="614"/>
      <w:bookmarkEnd w:id="615"/>
      <w:bookmarkEnd w:id="616"/>
      <w:bookmarkEnd w:id="617"/>
      <w:bookmarkEnd w:id="618"/>
      <w:bookmarkEnd w:id="619"/>
      <w:bookmarkEnd w:id="620"/>
      <w:bookmarkEnd w:id="621"/>
      <w:bookmarkEnd w:id="622"/>
      <w:r>
        <w:rPr>
          <w:snapToGrid w:val="0"/>
        </w:rPr>
        <w:t xml:space="preserve">required etc. </w:t>
      </w:r>
      <w:r>
        <w:t>(Act s. 145)</w:t>
      </w:r>
      <w:bookmarkEnd w:id="623"/>
      <w:bookmarkEnd w:id="624"/>
      <w:bookmarkEnd w:id="625"/>
    </w:p>
    <w:p>
      <w:pPr>
        <w:pStyle w:val="Subsection"/>
        <w:rPr>
          <w:snapToGrid w:val="0"/>
        </w:rPr>
      </w:pPr>
      <w:r>
        <w:rPr>
          <w:snapToGrid w:val="0"/>
        </w:rPr>
        <w:tab/>
        <w:t>(1)</w:t>
      </w:r>
      <w:r>
        <w:rPr>
          <w:snapToGrid w:val="0"/>
        </w:rPr>
        <w:tab/>
        <w:t>Each person required to make a record under section 145 shall lodge a return with the Director containing the following information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 and</w:t>
      </w:r>
    </w:p>
    <w:p>
      <w:pPr>
        <w:pStyle w:val="Indenta"/>
        <w:spacing w:before="70"/>
        <w:rPr>
          <w:snapToGrid w:val="0"/>
        </w:rPr>
      </w:pPr>
      <w:r>
        <w:rPr>
          <w:snapToGrid w:val="0"/>
        </w:rPr>
        <w:tab/>
        <w:t>(b)</w:t>
      </w:r>
      <w:r>
        <w:rPr>
          <w:snapToGrid w:val="0"/>
        </w:rPr>
        <w:tab/>
        <w:t>where the licensee is the holder of a special facility licence, a producer’s licence or a wholesaler’s licence, the aggregate amounts paid or payable to the licensee in respect of transactions involving the sale or other disposal of liquor —</w:t>
      </w:r>
    </w:p>
    <w:p>
      <w:pPr>
        <w:pStyle w:val="Indenti"/>
        <w:spacing w:before="70"/>
        <w:rPr>
          <w:snapToGrid w:val="0"/>
        </w:rPr>
      </w:pPr>
      <w:r>
        <w:rPr>
          <w:snapToGrid w:val="0"/>
        </w:rPr>
        <w:tab/>
        <w:t>(i)</w:t>
      </w:r>
      <w:r>
        <w:rPr>
          <w:snapToGrid w:val="0"/>
        </w:rPr>
        <w:tab/>
        <w:t>to liquor merchants who in the relevant period held or hold a licence under the Act; and</w:t>
      </w:r>
    </w:p>
    <w:p>
      <w:pPr>
        <w:pStyle w:val="Indenti"/>
        <w:spacing w:before="70"/>
        <w:rPr>
          <w:snapToGrid w:val="0"/>
        </w:rPr>
      </w:pPr>
      <w:r>
        <w:rPr>
          <w:snapToGrid w:val="0"/>
        </w:rPr>
        <w:tab/>
        <w:t>(ii)</w:t>
      </w:r>
      <w:r>
        <w:rPr>
          <w:snapToGrid w:val="0"/>
        </w:rPr>
        <w:tab/>
        <w:t>to persons other than liquor merchants, including transactions involving the sale of liquor —</w:t>
      </w:r>
    </w:p>
    <w:p>
      <w:pPr>
        <w:pStyle w:val="IndentI0"/>
        <w:spacing w:before="70"/>
        <w:rPr>
          <w:snapToGrid w:val="0"/>
        </w:rPr>
      </w:pPr>
      <w:r>
        <w:rPr>
          <w:snapToGrid w:val="0"/>
        </w:rPr>
        <w:tab/>
        <w:t>(A)</w:t>
      </w:r>
      <w:r>
        <w:rPr>
          <w:snapToGrid w:val="0"/>
        </w:rPr>
        <w:tab/>
        <w:t xml:space="preserve">to any person who held or holds only an occasional licence under the Act; or </w:t>
      </w:r>
    </w:p>
    <w:p>
      <w:pPr>
        <w:pStyle w:val="IndentI0"/>
        <w:spacing w:before="70"/>
        <w:rPr>
          <w:snapToGrid w:val="0"/>
        </w:rPr>
      </w:pPr>
      <w:r>
        <w:rPr>
          <w:snapToGrid w:val="0"/>
        </w:rPr>
        <w:tab/>
        <w:t>(B)</w:t>
      </w:r>
      <w:r>
        <w:rPr>
          <w:snapToGrid w:val="0"/>
        </w:rPr>
        <w:tab/>
        <w:t xml:space="preserve">by auction in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I0"/>
        <w:spacing w:before="70"/>
        <w:rPr>
          <w:snapToGrid w:val="0"/>
        </w:rPr>
      </w:pPr>
      <w:r>
        <w:rPr>
          <w:snapToGrid w:val="0"/>
        </w:rPr>
        <w:tab/>
        <w:t>(C)</w:t>
      </w:r>
      <w:r>
        <w:rPr>
          <w:snapToGrid w:val="0"/>
        </w:rPr>
        <w:tab/>
        <w:t>pursuant to an occasional licence held by the licensee; or</w:t>
      </w:r>
    </w:p>
    <w:p>
      <w:pPr>
        <w:pStyle w:val="IndentI0"/>
        <w:keepLines/>
        <w:spacing w:before="70"/>
        <w:rPr>
          <w:snapToGrid w:val="0"/>
        </w:rPr>
      </w:pPr>
      <w:r>
        <w:rPr>
          <w:snapToGrid w:val="0"/>
        </w:rPr>
        <w:tab/>
        <w:t>(D)</w:t>
      </w:r>
      <w:r>
        <w:rPr>
          <w:snapToGrid w:val="0"/>
        </w:rPr>
        <w:tab/>
        <w:t>of a particular type to a person who held a licence under the Act but not a licence authorising the sale of liquor of that type; or</w:t>
      </w:r>
    </w:p>
    <w:p>
      <w:pPr>
        <w:pStyle w:val="IndentI0"/>
        <w:spacing w:before="70"/>
        <w:rPr>
          <w:snapToGrid w:val="0"/>
        </w:rPr>
      </w:pPr>
      <w:r>
        <w:rPr>
          <w:snapToGrid w:val="0"/>
        </w:rPr>
        <w:tab/>
        <w:t>(E)</w:t>
      </w:r>
      <w:r>
        <w:rPr>
          <w:snapToGrid w:val="0"/>
        </w:rPr>
        <w:tab/>
        <w:t>to any person, sales of liquor by whom were or are not subject to the Act, or who was or is otherwise exempt from the application of the Act;</w:t>
      </w:r>
    </w:p>
    <w:p>
      <w:pPr>
        <w:pStyle w:val="Indenti"/>
        <w:spacing w:before="70"/>
        <w:rPr>
          <w:snapToGrid w:val="0"/>
        </w:rPr>
      </w:pPr>
      <w:r>
        <w:rPr>
          <w:snapToGrid w:val="0"/>
        </w:rPr>
        <w:tab/>
      </w:r>
      <w:r>
        <w:rPr>
          <w:snapToGrid w:val="0"/>
        </w:rPr>
        <w:tab/>
        <w:t>and</w:t>
      </w:r>
      <w:r>
        <w:rPr>
          <w:snapToGrid w:val="0"/>
        </w:rPr>
        <w:tab/>
      </w:r>
    </w:p>
    <w:p>
      <w:pPr>
        <w:pStyle w:val="Indenti"/>
        <w:spacing w:before="70"/>
        <w:rPr>
          <w:snapToGrid w:val="0"/>
        </w:rPr>
      </w:pPr>
      <w:r>
        <w:rPr>
          <w:snapToGrid w:val="0"/>
        </w:rPr>
        <w:tab/>
        <w:t>(iii)</w:t>
      </w:r>
      <w:r>
        <w:rPr>
          <w:snapToGrid w:val="0"/>
        </w:rPr>
        <w:tab/>
        <w:t>to liquor merchants not licensed under the Act; and</w:t>
      </w:r>
    </w:p>
    <w:p>
      <w:pPr>
        <w:pStyle w:val="Indenti"/>
        <w:spacing w:before="70"/>
        <w:rPr>
          <w:snapToGrid w:val="0"/>
        </w:rPr>
      </w:pPr>
      <w:r>
        <w:rPr>
          <w:snapToGrid w:val="0"/>
        </w:rPr>
        <w:tab/>
        <w:t>(iv)</w:t>
      </w:r>
      <w:r>
        <w:rPr>
          <w:snapToGrid w:val="0"/>
        </w:rPr>
        <w:tab/>
        <w:t>to employees of the licensee; and</w:t>
      </w:r>
    </w:p>
    <w:p>
      <w:pPr>
        <w:pStyle w:val="Indenti"/>
        <w:spacing w:before="70"/>
        <w:rPr>
          <w:snapToGrid w:val="0"/>
        </w:rPr>
      </w:pPr>
      <w:r>
        <w:rPr>
          <w:snapToGrid w:val="0"/>
        </w:rPr>
        <w:tab/>
        <w:t>(v)</w:t>
      </w:r>
      <w:r>
        <w:rPr>
          <w:snapToGrid w:val="0"/>
        </w:rPr>
        <w:tab/>
        <w:t xml:space="preserve">to persons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Indenta"/>
        <w:spacing w:before="70"/>
        <w:rPr>
          <w:snapToGrid w:val="0"/>
        </w:rPr>
      </w:pPr>
      <w:r>
        <w:rPr>
          <w:snapToGrid w:val="0"/>
        </w:rPr>
        <w:tab/>
      </w:r>
      <w:r>
        <w:rPr>
          <w:snapToGrid w:val="0"/>
        </w:rPr>
        <w:tab/>
        <w:t>and</w:t>
      </w:r>
      <w:r>
        <w:rPr>
          <w:snapToGrid w:val="0"/>
        </w:rPr>
        <w:tab/>
      </w:r>
    </w:p>
    <w:p>
      <w:pPr>
        <w:pStyle w:val="Indenta"/>
        <w:spacing w:before="70"/>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 and</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 and</w:t>
      </w:r>
    </w:p>
    <w:p>
      <w:pPr>
        <w:pStyle w:val="Indenta"/>
        <w:rPr>
          <w:snapToGrid w:val="0"/>
        </w:rPr>
      </w:pPr>
      <w:r>
        <w:rPr>
          <w:snapToGrid w:val="0"/>
        </w:rPr>
        <w:tab/>
        <w:t>(f)</w:t>
      </w:r>
      <w:r>
        <w:rPr>
          <w:snapToGrid w:val="0"/>
        </w:rPr>
        <w:tab/>
        <w:t>where the licensee is a body corporate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 and</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Indenta"/>
        <w:rPr>
          <w:snapToGrid w:val="0"/>
        </w:rPr>
      </w:pPr>
      <w:r>
        <w:rPr>
          <w:snapToGrid w:val="0"/>
        </w:rPr>
        <w:tab/>
      </w:r>
      <w:r>
        <w:rPr>
          <w:snapToGrid w:val="0"/>
        </w:rPr>
        <w:tab/>
        <w:t>and</w:t>
      </w:r>
    </w:p>
    <w:p>
      <w:pPr>
        <w:pStyle w:val="Ednotepara"/>
        <w:keepNext/>
        <w:rPr>
          <w:snapToGrid w:val="0"/>
        </w:rPr>
      </w:pPr>
      <w:r>
        <w:rPr>
          <w:snapToGrid w:val="0"/>
        </w:rPr>
        <w:tab/>
        <w:t>[(g)</w:t>
      </w:r>
      <w:r>
        <w:rPr>
          <w:snapToGrid w:val="0"/>
        </w:rPr>
        <w:noBreakHyphen/>
        <w:t>(j)</w:t>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 and</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rStyle w:val="CharDefText"/>
        </w:rPr>
        <w:t>aggregate amount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pPr>
      <w:r>
        <w:tab/>
        <w:t>[Regulation 24 amended in Gazette 30 Jan 1998 p. 566</w:t>
      </w:r>
      <w:r>
        <w:noBreakHyphen/>
        <w:t>7; 22 May 1998 p. 2943; 1 May 2007 p. 1888</w:t>
      </w:r>
      <w:r>
        <w:noBreakHyphen/>
        <w:t>9.]</w:t>
      </w:r>
    </w:p>
    <w:p>
      <w:pPr>
        <w:pStyle w:val="Heading5"/>
      </w:pPr>
      <w:bookmarkStart w:id="626" w:name="_Toc357698880"/>
      <w:bookmarkStart w:id="627" w:name="_Toc460808738"/>
      <w:bookmarkStart w:id="628" w:name="_Toc519934601"/>
      <w:bookmarkStart w:id="629" w:name="_Toc534780066"/>
      <w:bookmarkStart w:id="630" w:name="_Toc3352073"/>
      <w:bookmarkStart w:id="631" w:name="_Toc3352148"/>
      <w:bookmarkStart w:id="632" w:name="_Toc22966249"/>
      <w:bookmarkStart w:id="633" w:name="_Toc66263856"/>
      <w:bookmarkStart w:id="634" w:name="_Toc119294097"/>
      <w:bookmarkStart w:id="635" w:name="_Toc123633190"/>
      <w:bookmarkStart w:id="636" w:name="_Toc172713959"/>
      <w:bookmarkStart w:id="637" w:name="_Toc264018302"/>
      <w:bookmarkStart w:id="638" w:name="_Toc303323202"/>
      <w:r>
        <w:rPr>
          <w:rStyle w:val="CharSectno"/>
        </w:rPr>
        <w:t>25A</w:t>
      </w:r>
      <w:r>
        <w:t>.</w:t>
      </w:r>
      <w:r>
        <w:tab/>
        <w:t>Class of persons prescribed (Act s. 152P(4)(b))</w:t>
      </w:r>
      <w:bookmarkEnd w:id="626"/>
    </w:p>
    <w:p>
      <w:pPr>
        <w:pStyle w:val="Subsection"/>
      </w:pPr>
      <w:r>
        <w:tab/>
      </w:r>
      <w:r>
        <w:tab/>
        <w:t xml:space="preserve">The chief executive officer of the Department, as defined in the </w:t>
      </w:r>
      <w:r>
        <w:rPr>
          <w:i/>
        </w:rPr>
        <w:t>Children and Community Services Act 2004</w:t>
      </w:r>
      <w:r>
        <w:t xml:space="preserve"> section 3, is prescribed for the purposes of section 152P(4)(b).</w:t>
      </w:r>
    </w:p>
    <w:p>
      <w:pPr>
        <w:pStyle w:val="Footnotesection"/>
        <w:ind w:left="890" w:hanging="890"/>
      </w:pPr>
      <w:r>
        <w:tab/>
        <w:t>[Regulation 25A inserted in Gazette 7 Oct 2011 p. 4069.]</w:t>
      </w:r>
    </w:p>
    <w:p>
      <w:pPr>
        <w:pStyle w:val="Heading5"/>
        <w:rPr>
          <w:snapToGrid w:val="0"/>
        </w:rPr>
      </w:pPr>
      <w:bookmarkStart w:id="639" w:name="_Toc357698881"/>
      <w:r>
        <w:rPr>
          <w:rStyle w:val="CharSectno"/>
        </w:rPr>
        <w:t>25</w:t>
      </w:r>
      <w:r>
        <w:rPr>
          <w:snapToGrid w:val="0"/>
        </w:rPr>
        <w:t>.</w:t>
      </w:r>
      <w:r>
        <w:rPr>
          <w:snapToGrid w:val="0"/>
        </w:rPr>
        <w:tab/>
        <w:t>Money</w:t>
      </w:r>
      <w:bookmarkEnd w:id="627"/>
      <w:bookmarkEnd w:id="628"/>
      <w:bookmarkEnd w:id="629"/>
      <w:bookmarkEnd w:id="630"/>
      <w:bookmarkEnd w:id="631"/>
      <w:bookmarkEnd w:id="632"/>
      <w:bookmarkEnd w:id="633"/>
      <w:bookmarkEnd w:id="634"/>
      <w:bookmarkEnd w:id="635"/>
      <w:bookmarkEnd w:id="636"/>
      <w:bookmarkEnd w:id="637"/>
      <w:bookmarkEnd w:id="638"/>
      <w:r>
        <w:rPr>
          <w:snapToGrid w:val="0"/>
        </w:rPr>
        <w:t xml:space="preserve"> payable under Act, how payable</w:t>
      </w:r>
      <w:bookmarkEnd w:id="639"/>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rPr>
          <w:snapToGrid w:val="0"/>
        </w:rPr>
      </w:pPr>
      <w:r>
        <w:rPr>
          <w:snapToGrid w:val="0"/>
        </w:rPr>
        <w:tab/>
        <w:t>(2)</w:t>
      </w:r>
      <w:r>
        <w:rPr>
          <w:snapToGrid w:val="0"/>
        </w:rPr>
        <w:tab/>
        <w:t>All moneys payable under the Act shall be payable —</w:t>
      </w:r>
    </w:p>
    <w:p>
      <w:pPr>
        <w:pStyle w:val="Indenta"/>
        <w:rPr>
          <w:snapToGrid w:val="0"/>
        </w:rPr>
      </w:pPr>
      <w:r>
        <w:rPr>
          <w:snapToGrid w:val="0"/>
        </w:rPr>
        <w:tab/>
        <w:t>(a)</w:t>
      </w:r>
      <w:r>
        <w:rPr>
          <w:snapToGrid w:val="0"/>
        </w:rPr>
        <w:tab/>
        <w:t>at the office of the Director; or</w:t>
      </w:r>
    </w:p>
    <w:p>
      <w:pPr>
        <w:pStyle w:val="Indenta"/>
      </w:pPr>
      <w:r>
        <w:tab/>
        <w:t>(b)</w:t>
      </w:r>
      <w:r>
        <w:tab/>
        <w:t>at a place determined by the Director.</w:t>
      </w:r>
    </w:p>
    <w:p>
      <w:pPr>
        <w:pStyle w:val="Footnotesection"/>
        <w:spacing w:before="140"/>
        <w:ind w:left="890" w:hanging="890"/>
      </w:pPr>
      <w:r>
        <w:tab/>
        <w:t>[Regulation 25 amended in Gazette 24 Aug 1990 p. 4337; 30 Oct 1998 p. 6015; 1 May 2007 p. 1885.]</w:t>
      </w:r>
    </w:p>
    <w:p>
      <w:pPr>
        <w:pStyle w:val="Heading5"/>
        <w:keepLines w:val="0"/>
        <w:spacing w:before="300"/>
        <w:rPr>
          <w:snapToGrid w:val="0"/>
        </w:rPr>
      </w:pPr>
      <w:bookmarkStart w:id="640" w:name="_Toc460808739"/>
      <w:bookmarkStart w:id="641" w:name="_Toc519934602"/>
      <w:bookmarkStart w:id="642" w:name="_Toc534780067"/>
      <w:bookmarkStart w:id="643" w:name="_Toc3352074"/>
      <w:bookmarkStart w:id="644" w:name="_Toc3352149"/>
      <w:bookmarkStart w:id="645" w:name="_Toc22966250"/>
      <w:bookmarkStart w:id="646" w:name="_Toc66263857"/>
      <w:bookmarkStart w:id="647" w:name="_Toc119294098"/>
      <w:bookmarkStart w:id="648" w:name="_Toc123633191"/>
      <w:bookmarkStart w:id="649" w:name="_Toc172713960"/>
      <w:bookmarkStart w:id="650" w:name="_Toc264018303"/>
      <w:bookmarkStart w:id="651" w:name="_Toc303323203"/>
      <w:bookmarkStart w:id="652" w:name="_Toc357698882"/>
      <w:r>
        <w:rPr>
          <w:rStyle w:val="CharSectno"/>
        </w:rPr>
        <w:t>26</w:t>
      </w:r>
      <w:r>
        <w:rPr>
          <w:snapToGrid w:val="0"/>
        </w:rPr>
        <w:t>.</w:t>
      </w:r>
      <w:r>
        <w:rPr>
          <w:snapToGrid w:val="0"/>
        </w:rPr>
        <w:tab/>
        <w:t>Fees generally</w:t>
      </w:r>
      <w:bookmarkEnd w:id="640"/>
      <w:bookmarkEnd w:id="641"/>
      <w:bookmarkEnd w:id="642"/>
      <w:bookmarkEnd w:id="643"/>
      <w:bookmarkEnd w:id="644"/>
      <w:bookmarkEnd w:id="645"/>
      <w:bookmarkEnd w:id="646"/>
      <w:bookmarkEnd w:id="647"/>
      <w:bookmarkEnd w:id="648"/>
      <w:bookmarkEnd w:id="649"/>
      <w:bookmarkEnd w:id="650"/>
      <w:bookmarkEnd w:id="651"/>
      <w:r>
        <w:rPr>
          <w:snapToGrid w:val="0"/>
        </w:rPr>
        <w:t xml:space="preserve"> (Sch. 3)</w:t>
      </w:r>
      <w:bookmarkEnd w:id="652"/>
    </w:p>
    <w:p>
      <w:pPr>
        <w:pStyle w:val="Subsection"/>
        <w:spacing w:before="180"/>
      </w:pPr>
      <w:r>
        <w:tab/>
        <w:t>(1)</w:t>
      </w:r>
      <w:r>
        <w:tab/>
        <w:t>The fees set out in column 3 of Schedule 3 are payable in respect of the corresponding matter set out in column 2 of that Schedule.</w:t>
      </w:r>
    </w:p>
    <w:p>
      <w:pPr>
        <w:pStyle w:val="Subsection"/>
        <w:spacing w:before="180"/>
      </w:pPr>
      <w:r>
        <w:tab/>
        <w:t>(1aa)</w:t>
      </w:r>
      <w:r>
        <w:tab/>
        <w:t>If one or more extended trading permits have been issued in respect of the licensed premises, each of which is current and for a specified period exceeding 3 weeks, the licence fee payable under item 4 or 5 of Schedule 3 is the fee specified in that item and —</w:t>
      </w:r>
    </w:p>
    <w:p>
      <w:pPr>
        <w:pStyle w:val="Indenta"/>
        <w:spacing w:before="100"/>
      </w:pPr>
      <w:r>
        <w:tab/>
        <w:t>(a)</w:t>
      </w:r>
      <w:r>
        <w:tab/>
        <w:t>if no more than 2 such permits have been issued — an additional amount of $257; or</w:t>
      </w:r>
    </w:p>
    <w:p>
      <w:pPr>
        <w:pStyle w:val="Indenta"/>
        <w:spacing w:before="100"/>
      </w:pPr>
      <w:r>
        <w:tab/>
        <w:t>(b)</w:t>
      </w:r>
      <w:r>
        <w:tab/>
        <w:t>if 3 or more such permits have been issued — an additional amount of $514.</w:t>
      </w:r>
    </w:p>
    <w:p>
      <w:pPr>
        <w:pStyle w:val="Subsection"/>
        <w:spacing w:before="180"/>
        <w:rPr>
          <w:snapToGrid w:val="0"/>
        </w:rPr>
      </w:pPr>
      <w:r>
        <w:rPr>
          <w:snapToGrid w:val="0"/>
        </w:rPr>
        <w:tab/>
        <w:t>(1ab)</w:t>
      </w:r>
      <w:r>
        <w:rPr>
          <w:snapToGrid w:val="0"/>
        </w:rPr>
        <w:tab/>
        <w:t>In subregulation (1aa) —</w:t>
      </w:r>
    </w:p>
    <w:p>
      <w:pPr>
        <w:pStyle w:val="Defstart"/>
        <w:spacing w:before="100"/>
      </w:pPr>
      <w:r>
        <w:rPr>
          <w:b/>
        </w:rPr>
        <w:tab/>
      </w:r>
      <w:r>
        <w:rPr>
          <w:rStyle w:val="CharDefText"/>
        </w:rPr>
        <w:t>current</w:t>
      </w:r>
      <w:r>
        <w:t xml:space="preserve"> means current on the day not later than which the relevant licence fee is payable under subregulation (1a).</w:t>
      </w:r>
    </w:p>
    <w:p>
      <w:pPr>
        <w:pStyle w:val="Subsection"/>
        <w:spacing w:before="180"/>
        <w:rPr>
          <w:snapToGrid w:val="0"/>
        </w:rPr>
      </w:pPr>
      <w:r>
        <w:rPr>
          <w:snapToGrid w:val="0"/>
        </w:rPr>
        <w:tab/>
        <w:t>(1a)</w:t>
      </w:r>
      <w:r>
        <w:rPr>
          <w:snapToGrid w:val="0"/>
        </w:rPr>
        <w:tab/>
        <w:t>The licence fees specified in items </w:t>
      </w:r>
      <w:r>
        <w:t>4 and 5</w:t>
      </w:r>
      <w:r>
        <w:rPr>
          <w:snapToGrid w:val="0"/>
        </w:rPr>
        <w:t xml:space="preserve"> of Schedule 3</w:t>
      </w:r>
      <w:r>
        <w:t>, with any additional amount required under subregulation (1aa),</w:t>
      </w:r>
      <w:r>
        <w:rPr>
          <w:snapToGrid w:val="0"/>
        </w:rPr>
        <w:t xml:space="preserve"> are payable not later than 1 January in each year in respect of each licence in force.</w:t>
      </w:r>
    </w:p>
    <w:p>
      <w:pPr>
        <w:pStyle w:val="Subsection"/>
        <w:spacing w:before="180"/>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w:t>
      </w:r>
      <w:r>
        <w:t xml:space="preserve"> half</w:t>
      </w:r>
      <w:r>
        <w:rPr>
          <w:snapToGrid w:val="0"/>
        </w:rPr>
        <w:t xml:space="preserve"> the fee.</w:t>
      </w:r>
    </w:p>
    <w:p>
      <w:pPr>
        <w:pStyle w:val="Subsection"/>
        <w:spacing w:before="180"/>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suspend the operation of the licence to which the fee relates until the amount outstanding is paid.</w:t>
      </w:r>
    </w:p>
    <w:p>
      <w:pPr>
        <w:pStyle w:val="Subsection"/>
        <w:spacing w:before="200"/>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cancel the licence to which the fee relates.</w:t>
      </w:r>
    </w:p>
    <w:p>
      <w:pPr>
        <w:pStyle w:val="Subsection"/>
        <w:spacing w:before="200"/>
        <w:rPr>
          <w:snapToGrid w:val="0"/>
        </w:rPr>
      </w:pPr>
      <w:r>
        <w:rPr>
          <w:snapToGrid w:val="0"/>
        </w:rPr>
        <w:tab/>
        <w:t>(2)</w:t>
      </w:r>
      <w:r>
        <w:rPr>
          <w:snapToGrid w:val="0"/>
        </w:rPr>
        <w:tab/>
        <w:t>The Director may reduce, waive or refund, in whole or in part, any moneys due under this regulation.</w:t>
      </w:r>
    </w:p>
    <w:p>
      <w:pPr>
        <w:pStyle w:val="Subsection"/>
        <w:spacing w:before="200"/>
      </w:pPr>
      <w:r>
        <w:tab/>
        <w:t>(3)</w:t>
      </w:r>
      <w:r>
        <w:tab/>
        <w:t>If a fee is payable under subregulation (1) for or in respect of the lodgment of a document and the document is submitted for lodgment without payment of the fee, the document is taken not to have been lodged until the fee has been paid.</w:t>
      </w:r>
    </w:p>
    <w:p>
      <w:pPr>
        <w:pStyle w:val="Ednotesubsection"/>
      </w:pPr>
      <w:r>
        <w:tab/>
        <w:t>[(4), (5)</w:t>
      </w:r>
      <w:r>
        <w:tab/>
        <w:t>deleted]</w:t>
      </w:r>
    </w:p>
    <w:p>
      <w:pPr>
        <w:pStyle w:val="Footnotesection"/>
      </w:pPr>
      <w:r>
        <w:tab/>
        <w:t>[Regulation 26 amended in Gazette 30 Jan 1998 p. 567</w:t>
      </w:r>
      <w:r>
        <w:noBreakHyphen/>
        <w:t>8; 21 Dec 1999 p. 6419; 28 Jul 2000 p. 4032; 1 May 2007 p. 1885 and 1888</w:t>
      </w:r>
      <w:r>
        <w:noBreakHyphen/>
        <w:t>9; 9 Oct 2007 p. 5352; 24 Oct 2008 p. 4683; 28 Oct 2008 p. 4729; 20 Nov 2009 p. 4662</w:t>
      </w:r>
      <w:r>
        <w:noBreakHyphen/>
        <w:t>3; 22 Oct 2010 p. 5229; 19 Nov 2010 p. 5744; 3 Jun 2011 p. 2000</w:t>
      </w:r>
      <w:r>
        <w:noBreakHyphen/>
        <w:t>1; 4 Nov 2011 p. 4641; 16 Nov 2012 p. 5652</w:t>
      </w:r>
      <w:r>
        <w:noBreakHyphen/>
        <w:t>3; 21 May 2013 p. 2014.]</w:t>
      </w:r>
    </w:p>
    <w:p>
      <w:pPr>
        <w:pStyle w:val="Heading5"/>
        <w:rPr>
          <w:snapToGrid w:val="0"/>
        </w:rPr>
      </w:pPr>
      <w:bookmarkStart w:id="653" w:name="_Toc460808740"/>
      <w:bookmarkStart w:id="654" w:name="_Toc519934603"/>
      <w:bookmarkStart w:id="655" w:name="_Toc534780068"/>
      <w:bookmarkStart w:id="656" w:name="_Toc3352075"/>
      <w:bookmarkStart w:id="657" w:name="_Toc3352150"/>
      <w:bookmarkStart w:id="658" w:name="_Toc22966251"/>
      <w:bookmarkStart w:id="659" w:name="_Toc66263858"/>
      <w:bookmarkStart w:id="660" w:name="_Toc119294099"/>
      <w:bookmarkStart w:id="661" w:name="_Toc123633192"/>
      <w:bookmarkStart w:id="662" w:name="_Toc172713961"/>
      <w:bookmarkStart w:id="663" w:name="_Toc264018304"/>
      <w:bookmarkStart w:id="664" w:name="_Toc303323204"/>
      <w:bookmarkStart w:id="665" w:name="_Toc357698883"/>
      <w:r>
        <w:rPr>
          <w:rStyle w:val="CharSectno"/>
        </w:rPr>
        <w:t>27</w:t>
      </w:r>
      <w:r>
        <w:rPr>
          <w:snapToGrid w:val="0"/>
        </w:rPr>
        <w:t>.</w:t>
      </w:r>
      <w:r>
        <w:rPr>
          <w:snapToGrid w:val="0"/>
        </w:rPr>
        <w:tab/>
        <w:t>Infringement notices</w:t>
      </w:r>
      <w:bookmarkEnd w:id="653"/>
      <w:bookmarkEnd w:id="654"/>
      <w:bookmarkEnd w:id="655"/>
      <w:bookmarkEnd w:id="656"/>
      <w:bookmarkEnd w:id="657"/>
      <w:bookmarkEnd w:id="658"/>
      <w:bookmarkEnd w:id="659"/>
      <w:bookmarkEnd w:id="660"/>
      <w:bookmarkEnd w:id="661"/>
      <w:bookmarkEnd w:id="662"/>
      <w:r>
        <w:rPr>
          <w:snapToGrid w:val="0"/>
        </w:rPr>
        <w:t>, forms etc. prescribed for (Act s. 167)</w:t>
      </w:r>
      <w:bookmarkEnd w:id="663"/>
      <w:bookmarkEnd w:id="664"/>
      <w:bookmarkEnd w:id="665"/>
    </w:p>
    <w:p>
      <w:pPr>
        <w:pStyle w:val="Subsection"/>
        <w:keepNext/>
        <w:rPr>
          <w:snapToGrid w:val="0"/>
        </w:rPr>
      </w:pPr>
      <w:r>
        <w:rPr>
          <w:snapToGrid w:val="0"/>
        </w:rPr>
        <w:tab/>
        <w:t>(1)</w:t>
      </w:r>
      <w:r>
        <w:rPr>
          <w:snapToGrid w:val="0"/>
        </w:rPr>
        <w:tab/>
        <w:t>For the purposes of section 167 —</w:t>
      </w:r>
    </w:p>
    <w:p>
      <w:pPr>
        <w:pStyle w:val="Indenta"/>
        <w:spacing w:before="60"/>
        <w:rPr>
          <w:snapToGrid w:val="0"/>
        </w:rPr>
      </w:pPr>
      <w:r>
        <w:rPr>
          <w:snapToGrid w:val="0"/>
        </w:rPr>
        <w:tab/>
        <w:t>(a)</w:t>
      </w:r>
      <w:r>
        <w:rPr>
          <w:snapToGrid w:val="0"/>
        </w:rPr>
        <w:tab/>
        <w:t>the notice to be given to a person under section 167(2) shall be in the form set out in Form 21 in Schedule 1; and</w:t>
      </w:r>
    </w:p>
    <w:p>
      <w:pPr>
        <w:pStyle w:val="Indenta"/>
        <w:spacing w:before="60"/>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these regulations, notwithstanding that the nature or any element of the offence in relation to which a notice is served may not be, or may not properly be, set out in the description; and</w:t>
      </w:r>
    </w:p>
    <w:p>
      <w:pPr>
        <w:pStyle w:val="Indenta"/>
        <w:spacing w:before="60"/>
        <w:rPr>
          <w:snapToGrid w:val="0"/>
        </w:rPr>
      </w:pPr>
      <w:r>
        <w:rPr>
          <w:snapToGrid w:val="0"/>
        </w:rPr>
        <w:tab/>
        <w:t>(c)</w:t>
      </w:r>
      <w:r>
        <w:rPr>
          <w:snapToGrid w:val="0"/>
        </w:rPr>
        <w:tab/>
        <w:t>the notice withdrawing an infringement notice under section 167(5) shall be in the form set out in Form 22 in Schedule 1.</w:t>
      </w:r>
    </w:p>
    <w:p>
      <w:pPr>
        <w:pStyle w:val="Subsection"/>
      </w:pPr>
      <w:r>
        <w:tab/>
        <w:t>(2)</w:t>
      </w:r>
      <w:r>
        <w:tab/>
        <w:t>For the purposes of section 167(2)(a), an offence against a provision of the Act listed in the Table to this subregulation is a prescribed offence.</w:t>
      </w:r>
    </w:p>
    <w:p>
      <w:pPr>
        <w:pStyle w:val="MiscellaneousHeading"/>
        <w:spacing w:after="120"/>
        <w:rPr>
          <w:b/>
        </w:rPr>
      </w:pPr>
      <w:r>
        <w:rPr>
          <w:b/>
        </w:rP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60"/>
              <w:ind w:left="170" w:hanging="170"/>
            </w:pPr>
            <w:r>
              <w:t>s. 37A</w:t>
            </w:r>
          </w:p>
          <w:p>
            <w:pPr>
              <w:pStyle w:val="TableNAm"/>
              <w:spacing w:before="60"/>
              <w:ind w:left="170" w:hanging="170"/>
            </w:pPr>
            <w:r>
              <w:t>s. 51(2)</w:t>
            </w:r>
          </w:p>
          <w:p>
            <w:pPr>
              <w:pStyle w:val="TableNAm"/>
              <w:spacing w:before="60"/>
              <w:ind w:left="170" w:hanging="170"/>
            </w:pPr>
            <w:r>
              <w:t>s. 51(4)</w:t>
            </w:r>
          </w:p>
          <w:p>
            <w:pPr>
              <w:pStyle w:val="TableNAm"/>
              <w:spacing w:before="60"/>
              <w:ind w:left="170" w:hanging="170"/>
            </w:pPr>
            <w:r>
              <w:t>s. 65(1)</w:t>
            </w:r>
          </w:p>
          <w:p>
            <w:pPr>
              <w:pStyle w:val="TableNAm"/>
              <w:spacing w:before="60"/>
              <w:ind w:left="170" w:hanging="170"/>
            </w:pPr>
            <w:r>
              <w:t>s. 77(1)</w:t>
            </w:r>
          </w:p>
          <w:p>
            <w:pPr>
              <w:pStyle w:val="TableNAm"/>
              <w:spacing w:before="60"/>
              <w:ind w:left="170" w:hanging="170"/>
            </w:pPr>
            <w:r>
              <w:t>s. 100(2)</w:t>
            </w:r>
          </w:p>
          <w:p>
            <w:pPr>
              <w:pStyle w:val="TableNAm"/>
              <w:spacing w:before="60"/>
              <w:ind w:left="170" w:hanging="170"/>
            </w:pPr>
            <w:r>
              <w:t>s. 100(2a)</w:t>
            </w:r>
          </w:p>
          <w:p>
            <w:pPr>
              <w:pStyle w:val="TableNAm"/>
              <w:spacing w:before="60"/>
              <w:ind w:left="170" w:hanging="170"/>
            </w:pPr>
            <w:r>
              <w:t>s. 100(5)</w:t>
            </w:r>
          </w:p>
          <w:p>
            <w:pPr>
              <w:pStyle w:val="TableNAm"/>
              <w:spacing w:before="60"/>
              <w:ind w:left="170" w:hanging="170"/>
            </w:pPr>
            <w:r>
              <w:t>s. 100(8)</w:t>
            </w:r>
          </w:p>
          <w:p>
            <w:pPr>
              <w:pStyle w:val="TableNAm"/>
              <w:spacing w:before="60"/>
              <w:ind w:left="170" w:hanging="170"/>
            </w:pPr>
            <w:r>
              <w:t>s. 101(3)</w:t>
            </w:r>
          </w:p>
          <w:p>
            <w:pPr>
              <w:pStyle w:val="TableNAm"/>
              <w:keepNext/>
              <w:keepLines/>
              <w:spacing w:before="60"/>
              <w:ind w:left="170" w:hanging="170"/>
            </w:pPr>
            <w:r>
              <w:t>s. 102(1)</w:t>
            </w:r>
          </w:p>
          <w:p>
            <w:pPr>
              <w:pStyle w:val="TableNAm"/>
              <w:keepNext/>
              <w:keepLines/>
              <w:spacing w:before="60"/>
              <w:ind w:left="170" w:hanging="170"/>
            </w:pPr>
            <w:r>
              <w:t>s. 103(3)</w:t>
            </w:r>
          </w:p>
          <w:p>
            <w:pPr>
              <w:pStyle w:val="TableNAm"/>
              <w:keepNext/>
              <w:keepLines/>
              <w:spacing w:before="60"/>
              <w:ind w:left="170" w:hanging="170"/>
            </w:pPr>
            <w:r>
              <w:t>s. 104(1)</w:t>
            </w:r>
          </w:p>
          <w:p>
            <w:pPr>
              <w:pStyle w:val="TableNAm"/>
              <w:spacing w:before="60"/>
              <w:ind w:left="170" w:hanging="170"/>
            </w:pPr>
            <w:r>
              <w:t>s. 106(1) (where the alleged offender is a lodger)</w:t>
            </w:r>
          </w:p>
          <w:p>
            <w:pPr>
              <w:pStyle w:val="TableNAm"/>
              <w:spacing w:before="60"/>
              <w:ind w:left="170" w:hanging="170"/>
            </w:pPr>
            <w:r>
              <w:t>s. 106(3)</w:t>
            </w:r>
          </w:p>
          <w:p>
            <w:pPr>
              <w:pStyle w:val="TableNAm"/>
              <w:spacing w:before="60"/>
              <w:ind w:left="170" w:hanging="170"/>
            </w:pPr>
            <w:r>
              <w:t>s. 108</w:t>
            </w:r>
          </w:p>
          <w:p>
            <w:pPr>
              <w:pStyle w:val="TableNAm"/>
              <w:spacing w:before="60"/>
              <w:ind w:left="170" w:hanging="170"/>
            </w:pPr>
            <w:r>
              <w:t>s. 110(1)</w:t>
            </w:r>
          </w:p>
          <w:p>
            <w:pPr>
              <w:pStyle w:val="TableNAm"/>
              <w:spacing w:before="60"/>
              <w:ind w:left="170" w:hanging="170"/>
            </w:pPr>
            <w:r>
              <w:t>s. 110(2)</w:t>
            </w:r>
          </w:p>
          <w:p>
            <w:pPr>
              <w:pStyle w:val="TableNAm"/>
              <w:spacing w:before="60"/>
              <w:ind w:left="170" w:hanging="170"/>
            </w:pPr>
            <w:r>
              <w:t>s. 110(3)</w:t>
            </w:r>
          </w:p>
          <w:p>
            <w:pPr>
              <w:pStyle w:val="TableNAm"/>
              <w:spacing w:before="60"/>
              <w:ind w:left="170" w:hanging="170"/>
            </w:pPr>
            <w:r>
              <w:t>s. 110(4A)</w:t>
            </w:r>
          </w:p>
          <w:p>
            <w:pPr>
              <w:pStyle w:val="TableNAm"/>
              <w:spacing w:before="60"/>
              <w:ind w:left="170" w:hanging="170"/>
            </w:pPr>
            <w:r>
              <w:t>s. 110(4)</w:t>
            </w:r>
          </w:p>
          <w:p>
            <w:pPr>
              <w:pStyle w:val="TableNAm"/>
              <w:spacing w:before="60"/>
              <w:ind w:left="170" w:hanging="170"/>
            </w:pPr>
            <w:r>
              <w:t>s. 110(5)</w:t>
            </w:r>
          </w:p>
          <w:p>
            <w:pPr>
              <w:pStyle w:val="TableNAm"/>
              <w:spacing w:before="60"/>
              <w:ind w:left="170" w:hanging="170"/>
            </w:pPr>
            <w:r>
              <w:t>s. 110(7)</w:t>
            </w:r>
          </w:p>
          <w:p>
            <w:pPr>
              <w:pStyle w:val="TableNAm"/>
              <w:spacing w:before="60"/>
              <w:ind w:left="170" w:hanging="170"/>
            </w:pPr>
            <w:r>
              <w:t>s. 111(1)</w:t>
            </w:r>
          </w:p>
          <w:p>
            <w:pPr>
              <w:pStyle w:val="TableNAm"/>
              <w:spacing w:before="60"/>
              <w:ind w:left="170" w:hanging="170"/>
            </w:pPr>
            <w:r>
              <w:t>s. 111(2)</w:t>
            </w:r>
          </w:p>
          <w:p>
            <w:pPr>
              <w:pStyle w:val="TableNAm"/>
              <w:spacing w:before="60"/>
              <w:ind w:left="170" w:hanging="170"/>
            </w:pPr>
            <w:r>
              <w:t>s. 113A</w:t>
            </w:r>
          </w:p>
          <w:p>
            <w:pPr>
              <w:pStyle w:val="TableNAm"/>
              <w:spacing w:before="60"/>
              <w:ind w:left="170" w:hanging="170"/>
            </w:pPr>
            <w:r>
              <w:t>s. 115(1)</w:t>
            </w:r>
          </w:p>
          <w:p>
            <w:pPr>
              <w:pStyle w:val="TableNAm"/>
              <w:spacing w:before="60"/>
              <w:ind w:left="170" w:hanging="170"/>
            </w:pPr>
            <w:r>
              <w:t>s. 115(2)</w:t>
            </w:r>
          </w:p>
          <w:p>
            <w:pPr>
              <w:pStyle w:val="TableNAm"/>
              <w:spacing w:before="60"/>
              <w:ind w:left="170" w:hanging="170"/>
            </w:pPr>
            <w:r>
              <w:t>s. 115(5)</w:t>
            </w:r>
          </w:p>
          <w:p>
            <w:pPr>
              <w:pStyle w:val="TableNAm"/>
              <w:spacing w:before="60"/>
              <w:ind w:left="170" w:hanging="170"/>
            </w:pPr>
            <w:r>
              <w:t>s. 115(6)</w:t>
            </w:r>
          </w:p>
          <w:p>
            <w:pPr>
              <w:pStyle w:val="TableNAm"/>
              <w:spacing w:before="60"/>
              <w:ind w:left="170" w:hanging="170"/>
            </w:pPr>
            <w:r>
              <w:t>s. 115(7)</w:t>
            </w:r>
          </w:p>
          <w:p>
            <w:pPr>
              <w:pStyle w:val="TableNAm"/>
              <w:spacing w:before="60"/>
              <w:ind w:left="170" w:hanging="170"/>
            </w:pPr>
            <w:r>
              <w:t>s. 115A(2)</w:t>
            </w:r>
          </w:p>
          <w:p>
            <w:pPr>
              <w:pStyle w:val="TableNAm"/>
              <w:spacing w:before="60"/>
              <w:ind w:left="170" w:hanging="170"/>
            </w:pPr>
            <w:r>
              <w:t>s. 116</w:t>
            </w:r>
          </w:p>
          <w:p>
            <w:pPr>
              <w:pStyle w:val="TableNAm"/>
              <w:spacing w:before="60"/>
              <w:ind w:left="170" w:hanging="170"/>
            </w:pPr>
            <w:r>
              <w:t>s. 116A(1)</w:t>
            </w:r>
          </w:p>
          <w:p>
            <w:pPr>
              <w:pStyle w:val="TableNAm"/>
              <w:spacing w:before="60"/>
              <w:ind w:left="170" w:hanging="170"/>
            </w:pPr>
            <w:r>
              <w:t>s. 116A(3)</w:t>
            </w:r>
          </w:p>
          <w:p>
            <w:pPr>
              <w:pStyle w:val="TableNAm"/>
              <w:spacing w:before="60"/>
              <w:ind w:left="170" w:hanging="170"/>
            </w:pPr>
            <w:r>
              <w:t>s. 118(3)</w:t>
            </w:r>
          </w:p>
          <w:p>
            <w:pPr>
              <w:pStyle w:val="TableNAm"/>
              <w:spacing w:before="60"/>
              <w:ind w:left="170" w:hanging="170"/>
            </w:pPr>
            <w:r>
              <w:t>s. 119(1)</w:t>
            </w:r>
          </w:p>
          <w:p>
            <w:pPr>
              <w:pStyle w:val="TableNAm"/>
              <w:spacing w:before="60"/>
              <w:ind w:left="170" w:hanging="170"/>
            </w:pPr>
            <w:r>
              <w:t>s. 119(2)</w:t>
            </w:r>
          </w:p>
        </w:tc>
        <w:tc>
          <w:tcPr>
            <w:tcW w:w="2693" w:type="dxa"/>
          </w:tcPr>
          <w:p>
            <w:pPr>
              <w:pStyle w:val="TableNAm"/>
              <w:spacing w:before="60"/>
              <w:ind w:left="170" w:hanging="170"/>
            </w:pPr>
            <w:r>
              <w:t>s. 119(4)</w:t>
            </w:r>
          </w:p>
          <w:p>
            <w:pPr>
              <w:pStyle w:val="TableNAm"/>
              <w:spacing w:before="60"/>
              <w:ind w:left="170" w:hanging="170"/>
            </w:pPr>
            <w:r>
              <w:t>s. 119(5)</w:t>
            </w:r>
          </w:p>
          <w:p>
            <w:pPr>
              <w:pStyle w:val="TableNAm"/>
              <w:spacing w:before="60"/>
              <w:ind w:left="170" w:hanging="170"/>
            </w:pPr>
            <w:r>
              <w:t>s. 119(7)</w:t>
            </w:r>
          </w:p>
          <w:p>
            <w:pPr>
              <w:pStyle w:val="TableNAm"/>
              <w:spacing w:before="60"/>
              <w:ind w:left="170" w:hanging="170"/>
            </w:pPr>
            <w:r>
              <w:t>s. 119(11)</w:t>
            </w:r>
          </w:p>
          <w:p>
            <w:pPr>
              <w:pStyle w:val="TableNAm"/>
              <w:spacing w:before="60"/>
              <w:ind w:left="170" w:hanging="170"/>
            </w:pPr>
            <w:r>
              <w:t>s. 119A(4)</w:t>
            </w:r>
          </w:p>
          <w:p>
            <w:pPr>
              <w:pStyle w:val="TableNAm"/>
              <w:spacing w:before="60"/>
              <w:ind w:left="170" w:hanging="170"/>
            </w:pPr>
            <w:r>
              <w:t>s. 119A(5)</w:t>
            </w:r>
          </w:p>
          <w:p>
            <w:pPr>
              <w:pStyle w:val="TableNAm"/>
              <w:spacing w:before="60"/>
              <w:ind w:left="170" w:hanging="170"/>
            </w:pPr>
            <w:r>
              <w:t>s. 121(1)</w:t>
            </w:r>
          </w:p>
          <w:p>
            <w:pPr>
              <w:pStyle w:val="TableNAm"/>
              <w:spacing w:before="60"/>
              <w:ind w:left="170" w:hanging="170"/>
            </w:pPr>
            <w:r>
              <w:t>s. 121(2)</w:t>
            </w:r>
          </w:p>
          <w:p>
            <w:pPr>
              <w:pStyle w:val="TableNAm"/>
              <w:spacing w:before="60"/>
              <w:ind w:left="170" w:hanging="170"/>
            </w:pPr>
            <w:r>
              <w:t>s. 121(3)</w:t>
            </w:r>
          </w:p>
          <w:p>
            <w:pPr>
              <w:pStyle w:val="TableNAm"/>
              <w:spacing w:before="60"/>
              <w:ind w:left="170" w:hanging="170"/>
            </w:pPr>
            <w:r>
              <w:t>s. 121(4) (where the alleged offender is the licensee or a juvenile)</w:t>
            </w:r>
          </w:p>
          <w:p>
            <w:pPr>
              <w:pStyle w:val="TableNAm"/>
              <w:spacing w:before="60"/>
              <w:ind w:left="170" w:hanging="170"/>
            </w:pPr>
            <w:r>
              <w:t>s. 121(7)</w:t>
            </w:r>
          </w:p>
          <w:p>
            <w:pPr>
              <w:pStyle w:val="TableNAm"/>
              <w:spacing w:before="60"/>
              <w:ind w:left="170" w:hanging="170"/>
            </w:pPr>
            <w:r>
              <w:t>s. 121(7a)</w:t>
            </w:r>
          </w:p>
          <w:p>
            <w:pPr>
              <w:pStyle w:val="TableNAm"/>
              <w:spacing w:before="60"/>
              <w:ind w:left="170" w:hanging="170"/>
            </w:pPr>
            <w:r>
              <w:t>s. 121(9)</w:t>
            </w:r>
          </w:p>
          <w:p>
            <w:pPr>
              <w:pStyle w:val="TableNAm"/>
              <w:spacing w:before="60"/>
              <w:ind w:left="170" w:hanging="170"/>
            </w:pPr>
            <w:r>
              <w:t>s. 121(10)</w:t>
            </w:r>
          </w:p>
          <w:p>
            <w:pPr>
              <w:pStyle w:val="TableNAm"/>
              <w:spacing w:before="60"/>
              <w:ind w:left="170" w:hanging="170"/>
            </w:pPr>
            <w:r>
              <w:t>s. 122(2)</w:t>
            </w:r>
          </w:p>
          <w:p>
            <w:pPr>
              <w:pStyle w:val="TableNAm"/>
              <w:spacing w:before="60"/>
              <w:ind w:left="170" w:hanging="170"/>
            </w:pPr>
            <w:r>
              <w:t>s. 122(3)</w:t>
            </w:r>
          </w:p>
          <w:p>
            <w:pPr>
              <w:pStyle w:val="TableNAm"/>
              <w:spacing w:before="60"/>
              <w:ind w:left="170" w:hanging="170"/>
            </w:pPr>
            <w:r>
              <w:t>s. 123(1)</w:t>
            </w:r>
          </w:p>
          <w:p>
            <w:pPr>
              <w:pStyle w:val="TableNAm"/>
              <w:spacing w:before="60"/>
              <w:ind w:left="170" w:hanging="170"/>
            </w:pPr>
            <w:r>
              <w:t>s. 123(2)</w:t>
            </w:r>
          </w:p>
          <w:p>
            <w:pPr>
              <w:pStyle w:val="TableNAm"/>
              <w:spacing w:before="60"/>
              <w:ind w:left="170" w:hanging="170"/>
            </w:pPr>
            <w:r>
              <w:t>s. 124</w:t>
            </w:r>
          </w:p>
          <w:p>
            <w:pPr>
              <w:pStyle w:val="TableNAm"/>
              <w:spacing w:before="60"/>
              <w:ind w:left="170" w:hanging="170"/>
            </w:pPr>
            <w:r>
              <w:t>s. 126(2)</w:t>
            </w:r>
          </w:p>
          <w:p>
            <w:pPr>
              <w:pStyle w:val="TableNAm"/>
              <w:spacing w:before="60"/>
              <w:ind w:left="170" w:hanging="170"/>
            </w:pPr>
            <w:r>
              <w:t>s. 126(4)</w:t>
            </w:r>
          </w:p>
          <w:p>
            <w:pPr>
              <w:pStyle w:val="TableNAm"/>
              <w:spacing w:before="60"/>
              <w:ind w:left="170" w:hanging="170"/>
            </w:pPr>
            <w:r>
              <w:t>s. 126(5)</w:t>
            </w:r>
          </w:p>
          <w:p>
            <w:pPr>
              <w:pStyle w:val="TableNAm"/>
              <w:spacing w:before="60"/>
              <w:ind w:left="170" w:hanging="170"/>
            </w:pPr>
            <w:r>
              <w:t>s. 126D(2)</w:t>
            </w:r>
          </w:p>
          <w:p>
            <w:pPr>
              <w:pStyle w:val="TableNAm"/>
              <w:spacing w:before="60"/>
              <w:ind w:left="170" w:hanging="170"/>
            </w:pPr>
            <w:r>
              <w:t>s. 135(3)</w:t>
            </w:r>
          </w:p>
          <w:p>
            <w:pPr>
              <w:pStyle w:val="TableNAm"/>
              <w:spacing w:before="60"/>
              <w:ind w:left="170" w:hanging="170"/>
            </w:pPr>
            <w:r>
              <w:t>s. 145(4)</w:t>
            </w:r>
          </w:p>
          <w:p>
            <w:pPr>
              <w:pStyle w:val="TableNAm"/>
              <w:spacing w:before="60"/>
              <w:ind w:left="170" w:hanging="170"/>
            </w:pPr>
            <w:r>
              <w:t>s. 146(1)</w:t>
            </w:r>
          </w:p>
          <w:p>
            <w:pPr>
              <w:pStyle w:val="TableNAm"/>
              <w:spacing w:before="60"/>
              <w:ind w:left="170" w:hanging="170"/>
            </w:pPr>
            <w:r>
              <w:t>s. 150(2)</w:t>
            </w:r>
          </w:p>
          <w:p>
            <w:pPr>
              <w:pStyle w:val="TableNAm"/>
              <w:spacing w:before="60"/>
              <w:ind w:left="170" w:hanging="170"/>
            </w:pPr>
            <w:r>
              <w:t>s. 152L(1)</w:t>
            </w:r>
          </w:p>
          <w:p>
            <w:pPr>
              <w:pStyle w:val="TableNAm"/>
              <w:spacing w:before="60"/>
              <w:ind w:left="170" w:hanging="170"/>
            </w:pPr>
            <w:r>
              <w:t>s. 152L(2)</w:t>
            </w:r>
          </w:p>
          <w:p>
            <w:pPr>
              <w:pStyle w:val="TableNAm"/>
              <w:spacing w:before="60"/>
              <w:ind w:left="170" w:hanging="170"/>
            </w:pPr>
            <w:r>
              <w:t>s. 152O(1)</w:t>
            </w:r>
          </w:p>
          <w:p>
            <w:pPr>
              <w:pStyle w:val="TableNAm"/>
              <w:spacing w:before="60"/>
              <w:ind w:left="170" w:hanging="170"/>
            </w:pPr>
            <w:r>
              <w:t>s. 152S(2)</w:t>
            </w:r>
          </w:p>
          <w:p>
            <w:pPr>
              <w:pStyle w:val="TableNAm"/>
              <w:spacing w:before="60"/>
              <w:ind w:left="170" w:hanging="170"/>
            </w:pPr>
            <w:r>
              <w:t>s. 152S(5)</w:t>
            </w:r>
          </w:p>
          <w:p>
            <w:pPr>
              <w:pStyle w:val="TableNAm"/>
              <w:spacing w:before="60"/>
              <w:ind w:left="170" w:hanging="170"/>
            </w:pPr>
            <w:r>
              <w:t>s. 152T(3)</w:t>
            </w:r>
          </w:p>
          <w:p>
            <w:pPr>
              <w:pStyle w:val="TableNAm"/>
              <w:spacing w:before="60"/>
              <w:ind w:left="170" w:hanging="170"/>
            </w:pPr>
            <w:r>
              <w:t>s. 154(3)</w:t>
            </w:r>
          </w:p>
          <w:p>
            <w:pPr>
              <w:pStyle w:val="TableNAm"/>
              <w:spacing w:before="60"/>
              <w:ind w:left="170" w:hanging="170"/>
            </w:pPr>
            <w:r>
              <w:t>s. 158(1)</w:t>
            </w:r>
          </w:p>
          <w:p>
            <w:pPr>
              <w:pStyle w:val="TableNAm"/>
              <w:spacing w:before="60"/>
              <w:ind w:left="170" w:hanging="170"/>
            </w:pPr>
            <w:r>
              <w:t>s. 159(1)</w:t>
            </w:r>
          </w:p>
          <w:p>
            <w:pPr>
              <w:pStyle w:val="TableNAm"/>
              <w:spacing w:before="60"/>
              <w:ind w:left="170" w:hanging="170"/>
            </w:pPr>
            <w:r>
              <w:t>s. 159(3)</w:t>
            </w:r>
          </w:p>
          <w:p>
            <w:pPr>
              <w:pStyle w:val="TableNAm"/>
              <w:spacing w:before="60"/>
              <w:ind w:left="170" w:hanging="170"/>
            </w:pPr>
            <w:r>
              <w:t>s. 160(4)</w:t>
            </w:r>
          </w:p>
          <w:p>
            <w:pPr>
              <w:pStyle w:val="TableNAm"/>
              <w:spacing w:before="60"/>
              <w:ind w:left="170" w:hanging="170"/>
            </w:pPr>
            <w:r>
              <w:t>s. 161(7)</w:t>
            </w:r>
          </w:p>
        </w:tc>
      </w:tr>
    </w:tbl>
    <w:p>
      <w:pPr>
        <w:pStyle w:val="Subsection"/>
      </w:pPr>
      <w:r>
        <w:tab/>
        <w:t>(3)</w:t>
      </w:r>
      <w:r>
        <w:tab/>
        <w:t>For the purposes of section 167(2)(a), an offence against a provision of these regulations listed in the Table to this subregulation is a prescribed offence.</w:t>
      </w:r>
    </w:p>
    <w:p>
      <w:pPr>
        <w:pStyle w:val="MiscellaneousHeading"/>
        <w:keepLines/>
        <w:spacing w:after="120"/>
        <w:rPr>
          <w:b/>
        </w:rPr>
      </w:pPr>
      <w:r>
        <w:rPr>
          <w:b/>
        </w:rP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60"/>
            </w:pPr>
            <w:r>
              <w:t>r. 14ADE(4)</w:t>
            </w:r>
          </w:p>
        </w:tc>
        <w:tc>
          <w:tcPr>
            <w:tcW w:w="2693" w:type="dxa"/>
          </w:tcPr>
          <w:p>
            <w:pPr>
              <w:pStyle w:val="TableNAm"/>
              <w:spacing w:before="60"/>
            </w:pPr>
            <w:r>
              <w:t>r. 14AE(3)</w:t>
            </w:r>
          </w:p>
        </w:tc>
      </w:tr>
      <w:tr>
        <w:tc>
          <w:tcPr>
            <w:tcW w:w="2693" w:type="dxa"/>
          </w:tcPr>
          <w:p>
            <w:pPr>
              <w:pStyle w:val="TableNAm"/>
              <w:spacing w:before="60"/>
            </w:pPr>
            <w:r>
              <w:t>r. 14AE(1)</w:t>
            </w:r>
          </w:p>
        </w:tc>
        <w:tc>
          <w:tcPr>
            <w:tcW w:w="2693" w:type="dxa"/>
          </w:tcPr>
          <w:p>
            <w:pPr>
              <w:pStyle w:val="TableNAm"/>
              <w:spacing w:before="60"/>
            </w:pPr>
            <w:r>
              <w:t>r. 14AG(1a)</w:t>
            </w:r>
          </w:p>
        </w:tc>
      </w:tr>
      <w:tr>
        <w:tc>
          <w:tcPr>
            <w:tcW w:w="2693" w:type="dxa"/>
          </w:tcPr>
          <w:p>
            <w:pPr>
              <w:pStyle w:val="TableNAm"/>
              <w:spacing w:before="60"/>
            </w:pPr>
            <w:r>
              <w:t>r. 14AE(2)</w:t>
            </w:r>
          </w:p>
        </w:tc>
        <w:tc>
          <w:tcPr>
            <w:tcW w:w="2693" w:type="dxa"/>
          </w:tcPr>
          <w:p>
            <w:pPr>
              <w:pStyle w:val="TableNAm"/>
              <w:spacing w:before="60"/>
            </w:pPr>
            <w:r>
              <w:t>r. 23(3)</w:t>
            </w:r>
          </w:p>
        </w:tc>
      </w:tr>
    </w:tbl>
    <w:p>
      <w:pPr>
        <w:pStyle w:val="Subsection"/>
      </w:pPr>
      <w:r>
        <w:tab/>
        <w:t>(4)</w:t>
      </w:r>
      <w:r>
        <w:tab/>
        <w:t>For the purposes of section 167(2)(a), an offence against a provision listed in the Table is a prescribed offence.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245"/>
      </w:tblGrid>
      <w:tr>
        <w:tc>
          <w:tcPr>
            <w:tcW w:w="5245" w:type="dxa"/>
          </w:tcPr>
          <w:p>
            <w:pPr>
              <w:pStyle w:val="TableNAm"/>
              <w:rPr>
                <w:i/>
                <w:iCs/>
              </w:rPr>
            </w:pPr>
            <w:r>
              <w:rPr>
                <w:i/>
                <w:iCs/>
              </w:rPr>
              <w:t xml:space="preserve">Liquor Control (Bayulu Restricted Area) Regulations 2010 </w:t>
            </w:r>
            <w:r>
              <w:t>regulation 7(1)</w:t>
            </w:r>
          </w:p>
        </w:tc>
      </w:tr>
      <w:tr>
        <w:tc>
          <w:tcPr>
            <w:tcW w:w="5245" w:type="dxa"/>
          </w:tcPr>
          <w:p>
            <w:pPr>
              <w:pStyle w:val="TableNAm"/>
              <w:rPr>
                <w:i/>
                <w:iCs/>
              </w:rPr>
            </w:pPr>
            <w:r>
              <w:rPr>
                <w:i/>
                <w:iCs/>
              </w:rPr>
              <w:t xml:space="preserve">Liquor Control (Cheeditha Restricted Area) Regulations 2012 </w:t>
            </w:r>
            <w:r>
              <w:t>regulation 7(1)</w:t>
            </w:r>
          </w:p>
        </w:tc>
      </w:tr>
      <w:tr>
        <w:tc>
          <w:tcPr>
            <w:tcW w:w="5245" w:type="dxa"/>
          </w:tcPr>
          <w:p>
            <w:pPr>
              <w:pStyle w:val="TableNAm"/>
              <w:rPr>
                <w:i/>
                <w:iCs/>
              </w:rPr>
            </w:pPr>
            <w:r>
              <w:rPr>
                <w:i/>
                <w:iCs/>
              </w:rPr>
              <w:t>Liquor Control (Irrungadji Restricted Area) Regulations 2010</w:t>
            </w:r>
            <w:r>
              <w:t xml:space="preserve"> regulation 7(1)</w:t>
            </w:r>
          </w:p>
        </w:tc>
      </w:tr>
      <w:tr>
        <w:tc>
          <w:tcPr>
            <w:tcW w:w="5245" w:type="dxa"/>
          </w:tcPr>
          <w:p>
            <w:pPr>
              <w:pStyle w:val="TableNAm"/>
              <w:keepNext/>
            </w:pPr>
            <w:r>
              <w:rPr>
                <w:i/>
                <w:iCs/>
              </w:rPr>
              <w:t>Liquor Control (Jigalong Restricted Area) Regulations 2009</w:t>
            </w:r>
            <w:r>
              <w:t xml:space="preserve"> regulation 7(1)</w:t>
            </w:r>
          </w:p>
        </w:tc>
      </w:tr>
      <w:tr>
        <w:tc>
          <w:tcPr>
            <w:tcW w:w="5245" w:type="dxa"/>
          </w:tcPr>
          <w:p>
            <w:pPr>
              <w:pStyle w:val="TableNAm"/>
              <w:rPr>
                <w:i/>
                <w:iCs/>
              </w:rPr>
            </w:pPr>
            <w:r>
              <w:rPr>
                <w:i/>
              </w:rPr>
              <w:t>Liquor Control (Juwurlinji Restricted Area) Regulations 2009</w:t>
            </w:r>
            <w:r>
              <w:t xml:space="preserve"> regulation 7(1)</w:t>
            </w:r>
          </w:p>
        </w:tc>
      </w:tr>
      <w:tr>
        <w:tc>
          <w:tcPr>
            <w:tcW w:w="5245" w:type="dxa"/>
          </w:tcPr>
          <w:p>
            <w:pPr>
              <w:pStyle w:val="TableNAm"/>
              <w:rPr>
                <w:i/>
              </w:rPr>
            </w:pPr>
            <w:r>
              <w:rPr>
                <w:i/>
              </w:rPr>
              <w:t>Liquor Control (</w:t>
            </w:r>
            <w:smartTag w:uri="urn:schemas-microsoft-com:office:smarttags" w:element="place">
              <w:smartTag w:uri="urn:schemas-microsoft-com:office:smarttags" w:element="PlaceName">
                <w:r>
                  <w:rPr>
                    <w:i/>
                  </w:rPr>
                  <w:t>Koongie</w:t>
                </w:r>
              </w:smartTag>
              <w:r>
                <w:rPr>
                  <w:i/>
                </w:rPr>
                <w:t xml:space="preserve"> </w:t>
              </w:r>
              <w:smartTag w:uri="urn:schemas-microsoft-com:office:smarttags" w:element="PlaceType">
                <w:r>
                  <w:rPr>
                    <w:i/>
                  </w:rPr>
                  <w:t>Park</w:t>
                </w:r>
              </w:smartTag>
            </w:smartTag>
            <w:r>
              <w:rPr>
                <w:i/>
              </w:rPr>
              <w:t xml:space="preserve"> Restricted Area) Regulations 2010</w:t>
            </w:r>
            <w:r>
              <w:t xml:space="preserve"> regulation 7(1)</w:t>
            </w:r>
          </w:p>
        </w:tc>
      </w:tr>
      <w:tr>
        <w:tc>
          <w:tcPr>
            <w:tcW w:w="5245" w:type="dxa"/>
          </w:tcPr>
          <w:p>
            <w:pPr>
              <w:pStyle w:val="TableNAm"/>
              <w:rPr>
                <w:i/>
              </w:rPr>
            </w:pPr>
            <w:r>
              <w:rPr>
                <w:i/>
              </w:rPr>
              <w:t>Liquor Control (Kunawarritji Restricted Area) Regulations 2011</w:t>
            </w:r>
            <w:r>
              <w:t xml:space="preserve"> regulation 7(1)</w:t>
            </w:r>
          </w:p>
        </w:tc>
      </w:tr>
      <w:tr>
        <w:tc>
          <w:tcPr>
            <w:tcW w:w="5245" w:type="dxa"/>
          </w:tcPr>
          <w:p>
            <w:pPr>
              <w:pStyle w:val="TableNAm"/>
              <w:rPr>
                <w:i/>
              </w:rPr>
            </w:pPr>
            <w:r>
              <w:rPr>
                <w:i/>
              </w:rPr>
              <w:t>Liquor Control (Kundat Djaru Restricted Area) Regulations 2010</w:t>
            </w:r>
            <w:r>
              <w:t xml:space="preserve"> regulation 7(1)</w:t>
            </w:r>
          </w:p>
        </w:tc>
      </w:tr>
      <w:tr>
        <w:tc>
          <w:tcPr>
            <w:tcW w:w="5245" w:type="dxa"/>
          </w:tcPr>
          <w:p>
            <w:pPr>
              <w:pStyle w:val="TableNAm"/>
              <w:rPr>
                <w:i/>
              </w:rPr>
            </w:pPr>
            <w:r>
              <w:rPr>
                <w:i/>
              </w:rPr>
              <w:t>Liquor Control (Looma Restricted Area) Regulations 2011</w:t>
            </w:r>
            <w:r>
              <w:t xml:space="preserve"> </w:t>
            </w:r>
            <w:r>
              <w:rPr>
                <w:iCs/>
              </w:rPr>
              <w:t>regulation 7(1)</w:t>
            </w:r>
          </w:p>
        </w:tc>
      </w:tr>
      <w:tr>
        <w:tc>
          <w:tcPr>
            <w:tcW w:w="5245" w:type="dxa"/>
          </w:tcPr>
          <w:p>
            <w:pPr>
              <w:pStyle w:val="TableNAm"/>
              <w:rPr>
                <w:i/>
              </w:rPr>
            </w:pPr>
            <w:r>
              <w:rPr>
                <w:i/>
              </w:rPr>
              <w:t>Liquor Control (Nicholson Block Restricted Area) Regulations 2010</w:t>
            </w:r>
            <w:r>
              <w:t xml:space="preserve"> regulation 7(1)</w:t>
            </w:r>
          </w:p>
        </w:tc>
      </w:tr>
      <w:tr>
        <w:trPr>
          <w:cantSplit/>
        </w:trPr>
        <w:tc>
          <w:tcPr>
            <w:tcW w:w="5245" w:type="dxa"/>
          </w:tcPr>
          <w:p>
            <w:pPr>
              <w:pStyle w:val="TableNAm"/>
              <w:rPr>
                <w:i/>
              </w:rPr>
            </w:pPr>
            <w:r>
              <w:rPr>
                <w:i/>
              </w:rPr>
              <w:t>Liquor Control (Noonkanbah Restricted Area) Regulations 2009</w:t>
            </w:r>
            <w:r>
              <w:t xml:space="preserve"> regulation 7(1)</w:t>
            </w:r>
          </w:p>
        </w:tc>
      </w:tr>
      <w:tr>
        <w:trPr>
          <w:cantSplit/>
        </w:trPr>
        <w:tc>
          <w:tcPr>
            <w:tcW w:w="5245" w:type="dxa"/>
          </w:tcPr>
          <w:p>
            <w:pPr>
              <w:pStyle w:val="TableNAm"/>
            </w:pPr>
            <w:r>
              <w:rPr>
                <w:i/>
                <w:iCs/>
              </w:rPr>
              <w:t>Liquor Control (Oombulgurri Restricted Area) Regulations 2008</w:t>
            </w:r>
            <w:r>
              <w:t xml:space="preserve"> regulation 7(1)</w:t>
            </w:r>
          </w:p>
        </w:tc>
      </w:tr>
      <w:tr>
        <w:trPr>
          <w:cantSplit/>
        </w:trPr>
        <w:tc>
          <w:tcPr>
            <w:tcW w:w="5245" w:type="dxa"/>
          </w:tcPr>
          <w:p>
            <w:pPr>
              <w:pStyle w:val="TableNAm"/>
              <w:rPr>
                <w:i/>
                <w:iCs/>
              </w:rPr>
            </w:pPr>
            <w:r>
              <w:rPr>
                <w:i/>
                <w:iCs/>
              </w:rPr>
              <w:t>Liquor Control (</w:t>
            </w:r>
            <w:smartTag w:uri="urn:schemas-microsoft-com:office:smarttags" w:element="place">
              <w:smartTag w:uri="urn:schemas-microsoft-com:office:smarttags" w:element="PlaceName">
                <w:r>
                  <w:rPr>
                    <w:i/>
                    <w:iCs/>
                  </w:rPr>
                  <w:t>Pandanus</w:t>
                </w:r>
              </w:smartTag>
              <w:r>
                <w:rPr>
                  <w:i/>
                  <w:iCs/>
                </w:rPr>
                <w:t xml:space="preserve"> </w:t>
              </w:r>
              <w:smartTag w:uri="urn:schemas-microsoft-com:office:smarttags" w:element="PlaceType">
                <w:r>
                  <w:rPr>
                    <w:i/>
                    <w:iCs/>
                  </w:rPr>
                  <w:t>Park</w:t>
                </w:r>
              </w:smartTag>
            </w:smartTag>
            <w:r>
              <w:rPr>
                <w:i/>
                <w:iCs/>
              </w:rPr>
              <w:t xml:space="preserve"> Restricted Area) Regulations 2011 </w:t>
            </w:r>
            <w:r>
              <w:t>regulation 7(1)</w:t>
            </w:r>
          </w:p>
        </w:tc>
      </w:tr>
      <w:tr>
        <w:trPr>
          <w:cantSplit/>
        </w:trPr>
        <w:tc>
          <w:tcPr>
            <w:tcW w:w="5245" w:type="dxa"/>
          </w:tcPr>
          <w:p>
            <w:pPr>
              <w:pStyle w:val="TableNAm"/>
              <w:rPr>
                <w:i/>
                <w:iCs/>
              </w:rPr>
            </w:pPr>
            <w:r>
              <w:rPr>
                <w:i/>
                <w:iCs/>
              </w:rPr>
              <w:t>Liquor Control (Punmu Restricted Area) Regulations 2010</w:t>
            </w:r>
            <w:r>
              <w:t xml:space="preserve"> regulation 7(2)</w:t>
            </w:r>
          </w:p>
        </w:tc>
      </w:tr>
      <w:tr>
        <w:tc>
          <w:tcPr>
            <w:tcW w:w="5245" w:type="dxa"/>
          </w:tcPr>
          <w:p>
            <w:pPr>
              <w:pStyle w:val="TableNAm"/>
            </w:pPr>
            <w:r>
              <w:rPr>
                <w:i/>
                <w:iCs/>
              </w:rPr>
              <w:t>Liquor Control (Wangkatjungka Restricted Area) Regulations 2008</w:t>
            </w:r>
            <w:r>
              <w:t xml:space="preserve"> regulation 7(1)</w:t>
            </w:r>
          </w:p>
        </w:tc>
      </w:tr>
      <w:tr>
        <w:tc>
          <w:tcPr>
            <w:tcW w:w="5245" w:type="dxa"/>
          </w:tcPr>
          <w:p>
            <w:pPr>
              <w:pStyle w:val="TableNAm"/>
              <w:keepNext/>
              <w:rPr>
                <w:i/>
                <w:iCs/>
              </w:rPr>
            </w:pPr>
            <w:r>
              <w:rPr>
                <w:i/>
                <w:iCs/>
              </w:rPr>
              <w:t xml:space="preserve">Liquor Control (Yakanarra Restricted Area) Regulations 2010 </w:t>
            </w:r>
            <w:r>
              <w:t>regulation 7(1)</w:t>
            </w:r>
          </w:p>
        </w:tc>
      </w:tr>
    </w:tbl>
    <w:p>
      <w:pPr>
        <w:pStyle w:val="Footnotesection"/>
      </w:pPr>
      <w:r>
        <w:tab/>
        <w:t>[Regulation 27 amended in Gazette 1 May 2007 p. 1886</w:t>
      </w:r>
      <w:r>
        <w:noBreakHyphen/>
        <w:t>7 and 1888</w:t>
      </w:r>
      <w:r>
        <w:noBreakHyphen/>
        <w:t>9; 28 Sep 2007 p. 4930; 22 Apr 2008 p. 1545; 7 Nov 2008 p. 4822; 1 May 2009 p. 1438; 24 Jul 2009 p. 2949 and p. 2952; 28 May 2010 p. 2301; 8 Jun 2010 p. 2619; 17 Sep 2010 p. 4762, 4765 and 4768; 3 Dec 2010 p. 6060 and 6063; 3 May 2011 p. 1600; 27 May 2011 p. 1932 and 1935; 3 Jun 2011 p. 1998 and 2001; 7 Oct 2011 p. 4069; 10 Aug 2012 p. 3811.]</w:t>
      </w:r>
    </w:p>
    <w:p>
      <w:pPr>
        <w:pStyle w:val="Ednotesection"/>
        <w:spacing w:before="180"/>
        <w:ind w:left="890" w:hanging="890"/>
      </w:pPr>
      <w:r>
        <w:t>[</w:t>
      </w:r>
      <w:r>
        <w:rPr>
          <w:b/>
        </w:rPr>
        <w:t>28.</w:t>
      </w:r>
      <w:r>
        <w:rPr>
          <w:b/>
        </w:rPr>
        <w:tab/>
      </w:r>
      <w:r>
        <w:t>Deleted in Gazette 30 Jan 1998 p. 568.]</w:t>
      </w:r>
    </w:p>
    <w:p>
      <w:pPr>
        <w:sectPr>
          <w:headerReference w:type="even" r:id="rId23"/>
          <w:headerReference w:type="default" r:id="rId24"/>
          <w:footerReference w:type="even" r:id="rId25"/>
          <w:footerReference w:type="default" r:id="rId26"/>
          <w:headerReference w:type="first" r:id="rId27"/>
          <w:footerReference w:type="first" r:id="rId28"/>
          <w:pgSz w:w="11906" w:h="16838" w:code="9"/>
          <w:pgMar w:top="2381" w:right="2409" w:bottom="3543" w:left="2409" w:header="720" w:footer="3380" w:gutter="0"/>
          <w:pgNumType w:start="1"/>
          <w:cols w:space="720"/>
          <w:noEndnote/>
          <w:titlePg/>
          <w:docGrid w:linePitch="326"/>
        </w:sectPr>
      </w:pPr>
    </w:p>
    <w:p>
      <w:pPr>
        <w:pStyle w:val="yScheduleHeading"/>
      </w:pPr>
      <w:bookmarkStart w:id="666" w:name="_Toc534780069"/>
      <w:bookmarkStart w:id="667" w:name="_Toc3352151"/>
      <w:bookmarkStart w:id="668" w:name="_Toc22966252"/>
      <w:bookmarkStart w:id="669" w:name="_Toc66263859"/>
      <w:bookmarkStart w:id="670" w:name="_Toc67978809"/>
      <w:bookmarkStart w:id="671" w:name="_Toc79826631"/>
      <w:bookmarkStart w:id="672" w:name="_Toc113176298"/>
      <w:bookmarkStart w:id="673" w:name="_Toc113180387"/>
      <w:bookmarkStart w:id="674" w:name="_Toc114391762"/>
      <w:bookmarkStart w:id="675" w:name="_Toc115171739"/>
      <w:bookmarkStart w:id="676" w:name="_Toc118609141"/>
      <w:bookmarkStart w:id="677" w:name="_Toc119294100"/>
      <w:bookmarkStart w:id="678" w:name="_Toc123633193"/>
      <w:bookmarkStart w:id="679" w:name="_Toc123633280"/>
      <w:bookmarkStart w:id="680" w:name="_Toc127594637"/>
      <w:bookmarkStart w:id="681" w:name="_Toc155066800"/>
      <w:bookmarkStart w:id="682" w:name="_Toc155084698"/>
      <w:bookmarkStart w:id="683" w:name="_Toc166316640"/>
      <w:bookmarkStart w:id="684" w:name="_Toc169665139"/>
      <w:bookmarkStart w:id="685" w:name="_Toc169672017"/>
      <w:bookmarkStart w:id="686" w:name="_Toc171323205"/>
      <w:bookmarkStart w:id="687" w:name="_Toc172713669"/>
      <w:bookmarkStart w:id="688" w:name="_Toc172713962"/>
      <w:bookmarkStart w:id="689" w:name="_Toc173550873"/>
      <w:bookmarkStart w:id="690" w:name="_Toc173560586"/>
      <w:bookmarkStart w:id="691" w:name="_Toc178676593"/>
      <w:bookmarkStart w:id="692" w:name="_Toc178676873"/>
      <w:bookmarkStart w:id="693" w:name="_Toc178677070"/>
      <w:bookmarkStart w:id="694" w:name="_Toc178734884"/>
      <w:bookmarkStart w:id="695" w:name="_Toc178741343"/>
      <w:bookmarkStart w:id="696" w:name="_Toc179100283"/>
      <w:bookmarkStart w:id="697" w:name="_Toc179103249"/>
      <w:bookmarkStart w:id="698" w:name="_Toc179708631"/>
      <w:bookmarkStart w:id="699" w:name="_Toc179708737"/>
      <w:bookmarkStart w:id="700" w:name="_Toc185652746"/>
      <w:bookmarkStart w:id="701" w:name="_Toc185654451"/>
      <w:bookmarkStart w:id="702" w:name="_Toc196630684"/>
      <w:bookmarkStart w:id="703" w:name="_Toc197489584"/>
      <w:bookmarkStart w:id="704" w:name="_Toc197489655"/>
      <w:bookmarkStart w:id="705" w:name="_Toc197493322"/>
      <w:bookmarkStart w:id="706" w:name="_Toc201728696"/>
      <w:bookmarkStart w:id="707" w:name="_Toc201738254"/>
      <w:bookmarkStart w:id="708" w:name="_Toc201738324"/>
      <w:bookmarkStart w:id="709" w:name="_Toc201741262"/>
      <w:bookmarkStart w:id="710" w:name="_Toc201741453"/>
      <w:bookmarkStart w:id="711" w:name="_Toc202058819"/>
      <w:bookmarkStart w:id="712" w:name="_Toc202842898"/>
      <w:bookmarkStart w:id="713" w:name="_Toc212535052"/>
      <w:bookmarkStart w:id="714" w:name="_Toc212605403"/>
      <w:bookmarkStart w:id="715" w:name="_Toc212947104"/>
      <w:bookmarkStart w:id="716" w:name="_Toc213749826"/>
      <w:bookmarkStart w:id="717" w:name="_Toc231026184"/>
      <w:bookmarkStart w:id="718" w:name="_Toc231026255"/>
      <w:bookmarkStart w:id="719" w:name="_Toc231694208"/>
      <w:bookmarkStart w:id="720" w:name="_Toc233777098"/>
      <w:bookmarkStart w:id="721" w:name="_Toc234034471"/>
      <w:bookmarkStart w:id="722" w:name="_Toc234036699"/>
      <w:bookmarkStart w:id="723" w:name="_Toc236127827"/>
      <w:bookmarkStart w:id="724" w:name="_Toc246401792"/>
      <w:bookmarkStart w:id="725" w:name="_Toc246403942"/>
      <w:bookmarkStart w:id="726" w:name="_Toc249257448"/>
      <w:bookmarkStart w:id="727" w:name="_Toc251246184"/>
      <w:bookmarkStart w:id="728" w:name="_Toc255309760"/>
      <w:bookmarkStart w:id="729" w:name="_Toc259617853"/>
      <w:bookmarkStart w:id="730" w:name="_Toc260654289"/>
      <w:bookmarkStart w:id="731" w:name="_Toc262460751"/>
      <w:bookmarkStart w:id="732" w:name="_Toc262656767"/>
      <w:bookmarkStart w:id="733" w:name="_Toc262718309"/>
      <w:bookmarkStart w:id="734" w:name="_Toc262718754"/>
      <w:bookmarkStart w:id="735" w:name="_Toc263073553"/>
      <w:bookmarkStart w:id="736" w:name="_Toc264018305"/>
      <w:bookmarkStart w:id="737" w:name="_Toc272322666"/>
      <w:bookmarkStart w:id="738" w:name="_Toc272411022"/>
      <w:bookmarkStart w:id="739" w:name="_Toc272411093"/>
      <w:bookmarkStart w:id="740" w:name="_Toc275443542"/>
      <w:bookmarkStart w:id="741" w:name="_Toc279141665"/>
      <w:bookmarkStart w:id="742" w:name="_Toc281463891"/>
      <w:bookmarkStart w:id="743" w:name="_Toc292112291"/>
      <w:bookmarkStart w:id="744" w:name="_Toc292112362"/>
      <w:bookmarkStart w:id="745" w:name="_Toc294260092"/>
      <w:bookmarkStart w:id="746" w:name="_Toc294860733"/>
      <w:bookmarkStart w:id="747" w:name="_Toc298410637"/>
      <w:bookmarkStart w:id="748" w:name="_Toc300583791"/>
      <w:bookmarkStart w:id="749" w:name="_Toc300837727"/>
      <w:bookmarkStart w:id="750" w:name="_Toc300926170"/>
      <w:bookmarkStart w:id="751" w:name="_Toc301770415"/>
      <w:bookmarkStart w:id="752" w:name="_Toc302391554"/>
      <w:bookmarkStart w:id="753" w:name="_Toc303261623"/>
      <w:bookmarkStart w:id="754" w:name="_Toc303261707"/>
      <w:bookmarkStart w:id="755" w:name="_Toc303323205"/>
      <w:bookmarkStart w:id="756" w:name="_Toc303323522"/>
      <w:bookmarkStart w:id="757" w:name="_Toc303323606"/>
      <w:bookmarkStart w:id="758" w:name="_Toc303323690"/>
      <w:bookmarkStart w:id="759" w:name="_Toc303323774"/>
      <w:bookmarkStart w:id="760" w:name="_Toc303323858"/>
      <w:bookmarkStart w:id="761" w:name="_Toc303323942"/>
      <w:bookmarkStart w:id="762" w:name="_Toc303926988"/>
      <w:bookmarkStart w:id="763" w:name="_Toc305158261"/>
      <w:bookmarkStart w:id="764" w:name="_Toc305680046"/>
      <w:bookmarkStart w:id="765" w:name="_Toc308164116"/>
      <w:bookmarkStart w:id="766" w:name="_Toc310862767"/>
      <w:bookmarkStart w:id="767" w:name="_Toc310863199"/>
      <w:bookmarkStart w:id="768" w:name="_Toc312915543"/>
      <w:bookmarkStart w:id="769" w:name="_Toc313530431"/>
      <w:bookmarkStart w:id="770" w:name="_Toc332284849"/>
      <w:bookmarkStart w:id="771" w:name="_Toc333819434"/>
      <w:bookmarkStart w:id="772" w:name="_Toc333821733"/>
      <w:bookmarkStart w:id="773" w:name="_Toc338407378"/>
      <w:bookmarkStart w:id="774" w:name="_Toc339519212"/>
      <w:bookmarkStart w:id="775" w:name="_Toc339522541"/>
      <w:bookmarkStart w:id="776" w:name="_Toc339523102"/>
      <w:bookmarkStart w:id="777" w:name="_Toc344975455"/>
      <w:bookmarkStart w:id="778" w:name="_Toc344975545"/>
      <w:bookmarkStart w:id="779" w:name="_Toc344979603"/>
      <w:bookmarkStart w:id="780" w:name="_Toc346003589"/>
      <w:bookmarkStart w:id="781" w:name="_Toc346605941"/>
      <w:bookmarkStart w:id="782" w:name="_Toc346606028"/>
      <w:bookmarkStart w:id="783" w:name="_Toc346606115"/>
      <w:bookmarkStart w:id="784" w:name="_Toc346606202"/>
      <w:bookmarkStart w:id="785" w:name="_Toc346607176"/>
      <w:bookmarkStart w:id="786" w:name="_Toc346613836"/>
      <w:bookmarkStart w:id="787" w:name="_Toc347319303"/>
      <w:bookmarkStart w:id="788" w:name="_Toc354059366"/>
      <w:bookmarkStart w:id="789" w:name="_Toc356826739"/>
      <w:bookmarkStart w:id="790" w:name="_Toc356895935"/>
      <w:bookmarkStart w:id="791" w:name="_Toc357698884"/>
      <w:r>
        <w:rPr>
          <w:rStyle w:val="CharSchNo"/>
        </w:rPr>
        <w:t>Schedule 1</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p>
    <w:p>
      <w:pPr>
        <w:pStyle w:val="yShoulderClause"/>
        <w:spacing w:before="60"/>
        <w:rPr>
          <w:snapToGrid w:val="0"/>
        </w:rPr>
      </w:pPr>
      <w:r>
        <w:rPr>
          <w:snapToGrid w:val="0"/>
        </w:rPr>
        <w:t>[Regulation 3]</w:t>
      </w:r>
    </w:p>
    <w:p>
      <w:pPr>
        <w:pStyle w:val="yHeading2"/>
        <w:outlineLvl w:val="9"/>
      </w:pPr>
      <w:bookmarkStart w:id="792" w:name="_Toc113176299"/>
      <w:bookmarkStart w:id="793" w:name="_Toc113180388"/>
      <w:bookmarkStart w:id="794" w:name="_Toc114391763"/>
      <w:bookmarkStart w:id="795" w:name="_Toc115171740"/>
      <w:bookmarkStart w:id="796" w:name="_Toc118609142"/>
      <w:bookmarkStart w:id="797" w:name="_Toc119294101"/>
      <w:bookmarkStart w:id="798" w:name="_Toc123633194"/>
      <w:bookmarkStart w:id="799" w:name="_Toc123633281"/>
      <w:bookmarkStart w:id="800" w:name="_Toc127594638"/>
      <w:bookmarkStart w:id="801" w:name="_Toc155066801"/>
      <w:bookmarkStart w:id="802" w:name="_Toc155084699"/>
      <w:bookmarkStart w:id="803" w:name="_Toc166316641"/>
      <w:bookmarkStart w:id="804" w:name="_Toc169665140"/>
      <w:bookmarkStart w:id="805" w:name="_Toc169672018"/>
      <w:bookmarkStart w:id="806" w:name="_Toc171323206"/>
      <w:bookmarkStart w:id="807" w:name="_Toc172713670"/>
      <w:bookmarkStart w:id="808" w:name="_Toc172713963"/>
      <w:bookmarkStart w:id="809" w:name="_Toc173550874"/>
      <w:bookmarkStart w:id="810" w:name="_Toc173560587"/>
      <w:bookmarkStart w:id="811" w:name="_Toc178676594"/>
      <w:bookmarkStart w:id="812" w:name="_Toc178676874"/>
      <w:bookmarkStart w:id="813" w:name="_Toc178677071"/>
      <w:bookmarkStart w:id="814" w:name="_Toc178734885"/>
      <w:bookmarkStart w:id="815" w:name="_Toc178741344"/>
      <w:bookmarkStart w:id="816" w:name="_Toc179100284"/>
      <w:bookmarkStart w:id="817" w:name="_Toc179103250"/>
      <w:bookmarkStart w:id="818" w:name="_Toc179708632"/>
      <w:bookmarkStart w:id="819" w:name="_Toc179708738"/>
      <w:bookmarkStart w:id="820" w:name="_Toc185652747"/>
      <w:bookmarkStart w:id="821" w:name="_Toc185654452"/>
      <w:bookmarkStart w:id="822" w:name="_Toc196630685"/>
      <w:bookmarkStart w:id="823" w:name="_Toc197489585"/>
      <w:bookmarkStart w:id="824" w:name="_Toc197489656"/>
      <w:bookmarkStart w:id="825" w:name="_Toc197493323"/>
      <w:bookmarkStart w:id="826" w:name="_Toc201728697"/>
      <w:bookmarkStart w:id="827" w:name="_Toc201738255"/>
      <w:bookmarkStart w:id="828" w:name="_Toc201738325"/>
      <w:bookmarkStart w:id="829" w:name="_Toc201741263"/>
      <w:bookmarkStart w:id="830" w:name="_Toc201741454"/>
      <w:bookmarkStart w:id="831" w:name="_Toc202058820"/>
      <w:bookmarkStart w:id="832" w:name="_Toc202842899"/>
      <w:bookmarkStart w:id="833" w:name="_Toc212535053"/>
      <w:bookmarkStart w:id="834" w:name="_Toc212605404"/>
      <w:bookmarkStart w:id="835" w:name="_Toc212947105"/>
      <w:bookmarkStart w:id="836" w:name="_Toc213749827"/>
      <w:bookmarkStart w:id="837" w:name="_Toc231026185"/>
      <w:bookmarkStart w:id="838" w:name="_Toc231026256"/>
      <w:bookmarkStart w:id="839" w:name="_Toc231694209"/>
      <w:bookmarkStart w:id="840" w:name="_Toc233777099"/>
      <w:bookmarkStart w:id="841" w:name="_Toc234034472"/>
      <w:bookmarkStart w:id="842" w:name="_Toc234036700"/>
      <w:bookmarkStart w:id="843" w:name="_Toc236127828"/>
      <w:bookmarkStart w:id="844" w:name="_Toc246401793"/>
      <w:bookmarkStart w:id="845" w:name="_Toc246403943"/>
      <w:bookmarkStart w:id="846" w:name="_Toc249257449"/>
      <w:bookmarkStart w:id="847" w:name="_Toc251246185"/>
      <w:bookmarkStart w:id="848" w:name="_Toc255309761"/>
      <w:bookmarkStart w:id="849" w:name="_Toc259617854"/>
      <w:bookmarkStart w:id="850" w:name="_Toc260654290"/>
      <w:bookmarkStart w:id="851" w:name="_Toc262460752"/>
      <w:bookmarkStart w:id="852" w:name="_Toc262656768"/>
      <w:bookmarkStart w:id="853" w:name="_Toc262718310"/>
      <w:bookmarkStart w:id="854" w:name="_Toc262718755"/>
      <w:bookmarkStart w:id="855" w:name="_Toc263073554"/>
      <w:bookmarkStart w:id="856" w:name="_Toc264018306"/>
      <w:bookmarkStart w:id="857" w:name="_Toc272322667"/>
      <w:bookmarkStart w:id="858" w:name="_Toc272411023"/>
      <w:bookmarkStart w:id="859" w:name="_Toc272411094"/>
      <w:bookmarkStart w:id="860" w:name="_Toc275443543"/>
      <w:bookmarkStart w:id="861" w:name="_Toc279141666"/>
      <w:bookmarkStart w:id="862" w:name="_Toc281463892"/>
      <w:bookmarkStart w:id="863" w:name="_Toc292112292"/>
      <w:bookmarkStart w:id="864" w:name="_Toc292112363"/>
      <w:bookmarkStart w:id="865" w:name="_Toc294260093"/>
      <w:bookmarkStart w:id="866" w:name="_Toc294860734"/>
      <w:bookmarkStart w:id="867" w:name="_Toc298410638"/>
      <w:bookmarkStart w:id="868" w:name="_Toc300583792"/>
      <w:bookmarkStart w:id="869" w:name="_Toc300837728"/>
      <w:bookmarkStart w:id="870" w:name="_Toc300926171"/>
      <w:bookmarkStart w:id="871" w:name="_Toc301770416"/>
      <w:bookmarkStart w:id="872" w:name="_Toc302391555"/>
      <w:bookmarkStart w:id="873" w:name="_Toc303261624"/>
      <w:bookmarkStart w:id="874" w:name="_Toc303261708"/>
      <w:bookmarkStart w:id="875" w:name="_Toc303323206"/>
      <w:bookmarkStart w:id="876" w:name="_Toc303323523"/>
      <w:bookmarkStart w:id="877" w:name="_Toc303323607"/>
      <w:bookmarkStart w:id="878" w:name="_Toc303323691"/>
      <w:bookmarkStart w:id="879" w:name="_Toc303323775"/>
      <w:bookmarkStart w:id="880" w:name="_Toc303323859"/>
      <w:bookmarkStart w:id="881" w:name="_Toc303323943"/>
      <w:bookmarkStart w:id="882" w:name="_Toc303926989"/>
      <w:bookmarkStart w:id="883" w:name="_Toc305158262"/>
      <w:bookmarkStart w:id="884" w:name="_Toc305680047"/>
      <w:bookmarkStart w:id="885" w:name="_Toc308164117"/>
      <w:bookmarkStart w:id="886" w:name="_Toc310862768"/>
      <w:bookmarkStart w:id="887" w:name="_Toc310863200"/>
      <w:bookmarkStart w:id="888" w:name="_Toc312915544"/>
      <w:bookmarkStart w:id="889" w:name="_Toc313530432"/>
      <w:bookmarkStart w:id="890" w:name="_Toc332284850"/>
      <w:bookmarkStart w:id="891" w:name="_Toc333819435"/>
      <w:bookmarkStart w:id="892" w:name="_Toc333821734"/>
      <w:bookmarkStart w:id="893" w:name="_Toc338407379"/>
      <w:bookmarkStart w:id="894" w:name="_Toc339519213"/>
      <w:bookmarkStart w:id="895" w:name="_Toc339522542"/>
      <w:bookmarkStart w:id="896" w:name="_Toc339523103"/>
      <w:bookmarkStart w:id="897" w:name="_Toc344975456"/>
      <w:bookmarkStart w:id="898" w:name="_Toc344975546"/>
      <w:bookmarkStart w:id="899" w:name="_Toc344979604"/>
      <w:bookmarkStart w:id="900" w:name="_Toc346003590"/>
      <w:bookmarkStart w:id="901" w:name="_Toc346605942"/>
      <w:bookmarkStart w:id="902" w:name="_Toc346606029"/>
      <w:bookmarkStart w:id="903" w:name="_Toc346606116"/>
      <w:bookmarkStart w:id="904" w:name="_Toc346606203"/>
      <w:bookmarkStart w:id="905" w:name="_Toc346607177"/>
      <w:bookmarkStart w:id="906" w:name="_Toc346613837"/>
      <w:bookmarkStart w:id="907" w:name="_Toc347319304"/>
      <w:bookmarkStart w:id="908" w:name="_Toc354059367"/>
      <w:bookmarkStart w:id="909" w:name="_Toc356826740"/>
      <w:bookmarkStart w:id="910" w:name="_Toc356895936"/>
      <w:bookmarkStart w:id="911" w:name="_Toc357698885"/>
      <w:r>
        <w:rPr>
          <w:rStyle w:val="CharSchText"/>
        </w:rPr>
        <w:t>Forms</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pPr>
        <w:pStyle w:val="yEdnotedivision"/>
      </w:pPr>
      <w:r>
        <w:t>[Forms 1</w:t>
      </w:r>
      <w:r>
        <w:noBreakHyphen/>
        <w:t>18 deleted in Gazette 1 May 2007 p. 1887.]</w:t>
      </w:r>
    </w:p>
    <w:p>
      <w:pPr>
        <w:pStyle w:val="yMiscellaneousBody"/>
        <w:jc w:val="center"/>
        <w:rPr>
          <w:b/>
          <w:bCs/>
          <w:snapToGrid w:val="0"/>
        </w:rPr>
      </w:pPr>
      <w:r>
        <w:rPr>
          <w:b/>
          <w:bCs/>
          <w:snapToGrid w:val="0"/>
        </w:rPr>
        <w:t xml:space="preserve">Form </w:t>
      </w:r>
      <w:r>
        <w:rPr>
          <w:rStyle w:val="CharSClsNo"/>
          <w:b/>
        </w:rPr>
        <w:t>19</w:t>
      </w:r>
    </w:p>
    <w:p>
      <w:pPr>
        <w:pStyle w:val="yMiscellaneousHeading"/>
        <w:spacing w:before="120"/>
        <w:rPr>
          <w:snapToGrid w:val="0"/>
        </w:rPr>
      </w:pPr>
      <w:r>
        <w:rPr>
          <w:i/>
          <w:iCs/>
          <w:snapToGrid w:val="0"/>
          <w:sz w:val="20"/>
        </w:rPr>
        <w:t>Liquor Control Act 1988</w:t>
      </w:r>
      <w:r>
        <w:rPr>
          <w:i/>
          <w:iCs/>
          <w:sz w:val="20"/>
          <w:vertAlign w:val="superscript"/>
        </w:rPr>
        <w:t> </w:t>
      </w:r>
      <w:r>
        <w:rPr>
          <w:vertAlign w:val="superscript"/>
        </w:rPr>
        <w:t>2</w:t>
      </w:r>
    </w:p>
    <w:p>
      <w:pPr>
        <w:pStyle w:val="yShoulderClause"/>
        <w:spacing w:before="80" w:after="40"/>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498"/>
        <w:gridCol w:w="13"/>
        <w:gridCol w:w="420"/>
        <w:gridCol w:w="460"/>
        <w:gridCol w:w="436"/>
        <w:gridCol w:w="426"/>
        <w:gridCol w:w="425"/>
        <w:gridCol w:w="425"/>
        <w:gridCol w:w="9"/>
        <w:gridCol w:w="416"/>
        <w:gridCol w:w="332"/>
        <w:gridCol w:w="94"/>
        <w:gridCol w:w="278"/>
        <w:gridCol w:w="712"/>
      </w:tblGrid>
      <w:tr>
        <w:tc>
          <w:tcPr>
            <w:tcW w:w="6942" w:type="dxa"/>
            <w:gridSpan w:val="14"/>
            <w:tcBorders>
              <w:top w:val="single" w:sz="8" w:space="0" w:color="auto"/>
              <w:left w:val="single" w:sz="8" w:space="0" w:color="auto"/>
              <w:bottom w:val="single" w:sz="8" w:space="0" w:color="auto"/>
              <w:right w:val="single" w:sz="8" w:space="0" w:color="auto"/>
            </w:tcBorders>
            <w:shd w:val="pct10" w:color="auto" w:fill="auto"/>
          </w:tcPr>
          <w:p>
            <w:pPr>
              <w:pStyle w:val="yTableNAm"/>
              <w:jc w:val="center"/>
              <w:rPr>
                <w:b/>
                <w:bCs/>
                <w:sz w:val="20"/>
              </w:rPr>
            </w:pPr>
            <w:r>
              <w:rPr>
                <w:b/>
                <w:bCs/>
                <w:sz w:val="20"/>
              </w:rPr>
              <w:t>Application Form for Liquor Subsidy</w:t>
            </w:r>
          </w:p>
          <w:p>
            <w:pPr>
              <w:pStyle w:val="yTableNAm"/>
              <w:spacing w:before="60"/>
              <w:jc w:val="center"/>
              <w:rPr>
                <w:spacing w:val="-2"/>
                <w:sz w:val="20"/>
              </w:rPr>
            </w:pPr>
            <w:r>
              <w:rPr>
                <w:spacing w:val="-2"/>
                <w:sz w:val="20"/>
              </w:rPr>
              <w:t>(WA Producers Only)</w:t>
            </w:r>
          </w:p>
        </w:tc>
      </w:tr>
      <w:tr>
        <w:tc>
          <w:tcPr>
            <w:tcW w:w="2498" w:type="dxa"/>
            <w:tcBorders>
              <w:top w:val="single" w:sz="8" w:space="0" w:color="auto"/>
            </w:tcBorders>
          </w:tcPr>
          <w:p>
            <w:pPr>
              <w:pStyle w:val="yTableNAm"/>
              <w:rPr>
                <w:b/>
                <w:bCs/>
                <w:spacing w:val="-2"/>
                <w:sz w:val="20"/>
              </w:rPr>
            </w:pPr>
          </w:p>
        </w:tc>
        <w:tc>
          <w:tcPr>
            <w:tcW w:w="2614" w:type="dxa"/>
            <w:gridSpan w:val="8"/>
            <w:tcBorders>
              <w:top w:val="single" w:sz="8" w:space="0" w:color="auto"/>
              <w:bottom w:val="single" w:sz="8" w:space="0" w:color="auto"/>
            </w:tcBorders>
          </w:tcPr>
          <w:p>
            <w:pPr>
              <w:pStyle w:val="yTableNAm"/>
              <w:rPr>
                <w:spacing w:val="-2"/>
              </w:rPr>
            </w:pPr>
          </w:p>
        </w:tc>
        <w:tc>
          <w:tcPr>
            <w:tcW w:w="746" w:type="dxa"/>
            <w:gridSpan w:val="2"/>
            <w:tcBorders>
              <w:top w:val="single" w:sz="8" w:space="0" w:color="auto"/>
              <w:bottom w:val="single" w:sz="8" w:space="0" w:color="auto"/>
            </w:tcBorders>
          </w:tcPr>
          <w:p>
            <w:pPr>
              <w:pStyle w:val="yTableNAm"/>
              <w:rPr>
                <w:spacing w:val="-2"/>
              </w:rPr>
            </w:pPr>
          </w:p>
        </w:tc>
        <w:tc>
          <w:tcPr>
            <w:tcW w:w="1084" w:type="dxa"/>
            <w:gridSpan w:val="3"/>
            <w:tcBorders>
              <w:top w:val="single" w:sz="8" w:space="0" w:color="auto"/>
              <w:bottom w:val="single" w:sz="8" w:space="0" w:color="auto"/>
            </w:tcBorders>
          </w:tcPr>
          <w:p>
            <w:pPr>
              <w:pStyle w:val="yTableNAm"/>
              <w:rPr>
                <w:spacing w:val="-2"/>
              </w:rPr>
            </w:pPr>
          </w:p>
        </w:tc>
      </w:tr>
      <w:tr>
        <w:trPr>
          <w:cantSplit/>
        </w:trPr>
        <w:tc>
          <w:tcPr>
            <w:tcW w:w="2498" w:type="dxa"/>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1.</w:t>
            </w:r>
            <w:r>
              <w:rPr>
                <w:b/>
                <w:bCs/>
                <w:spacing w:val="-2"/>
                <w:sz w:val="16"/>
              </w:rPr>
              <w:tab/>
              <w:t>CLAIM FOR THE MONTH/PERIOD OF:</w:t>
            </w:r>
          </w:p>
        </w:tc>
        <w:tc>
          <w:tcPr>
            <w:tcW w:w="3360" w:type="dxa"/>
            <w:gridSpan w:val="10"/>
            <w:tcBorders>
              <w:top w:val="single" w:sz="8" w:space="0" w:color="auto"/>
              <w:left w:val="single" w:sz="8" w:space="0" w:color="auto"/>
              <w:bottom w:val="single" w:sz="8" w:space="0" w:color="auto"/>
              <w:right w:val="single" w:sz="8" w:space="0" w:color="auto"/>
            </w:tcBorders>
          </w:tcPr>
          <w:p>
            <w:pPr>
              <w:pStyle w:val="yTableNAm"/>
              <w:rPr>
                <w:spacing w:val="-2"/>
                <w:sz w:val="16"/>
              </w:rPr>
            </w:pP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rPr>
                <w:spacing w:val="-2"/>
                <w:sz w:val="16"/>
              </w:rPr>
            </w:pPr>
          </w:p>
        </w:tc>
      </w:tr>
      <w:tr>
        <w:trPr>
          <w:trHeight w:hRule="exact" w:val="227"/>
        </w:trPr>
        <w:tc>
          <w:tcPr>
            <w:tcW w:w="2498" w:type="dxa"/>
          </w:tcPr>
          <w:p>
            <w:pPr>
              <w:pStyle w:val="yTableNAm"/>
              <w:tabs>
                <w:tab w:val="clear" w:pos="567"/>
                <w:tab w:val="left" w:pos="218"/>
              </w:tabs>
              <w:spacing w:before="60"/>
              <w:ind w:left="218" w:hanging="218"/>
              <w:jc w:val="center"/>
              <w:rPr>
                <w:sz w:val="16"/>
              </w:rPr>
            </w:pPr>
          </w:p>
        </w:tc>
        <w:tc>
          <w:tcPr>
            <w:tcW w:w="3360" w:type="dxa"/>
            <w:gridSpan w:val="10"/>
            <w:tcBorders>
              <w:top w:val="single" w:sz="8" w:space="0" w:color="auto"/>
              <w:bottom w:val="single" w:sz="8" w:space="0" w:color="auto"/>
            </w:tcBorders>
          </w:tcPr>
          <w:p>
            <w:pPr>
              <w:pStyle w:val="yTableNAm"/>
              <w:spacing w:before="0"/>
              <w:jc w:val="center"/>
              <w:rPr>
                <w:sz w:val="16"/>
              </w:rPr>
            </w:pPr>
            <w:r>
              <w:rPr>
                <w:sz w:val="16"/>
              </w:rPr>
              <w:t>Month/Quarter</w:t>
            </w:r>
          </w:p>
        </w:tc>
        <w:tc>
          <w:tcPr>
            <w:tcW w:w="1084" w:type="dxa"/>
            <w:gridSpan w:val="3"/>
            <w:tcBorders>
              <w:top w:val="single" w:sz="7" w:space="0" w:color="auto"/>
              <w:bottom w:val="single" w:sz="8" w:space="0" w:color="auto"/>
            </w:tcBorders>
            <w:vAlign w:val="center"/>
          </w:tcPr>
          <w:p>
            <w:pPr>
              <w:pStyle w:val="yTableNAm"/>
              <w:spacing w:before="0"/>
              <w:jc w:val="center"/>
              <w:rPr>
                <w:spacing w:val="-2"/>
                <w:sz w:val="16"/>
              </w:rPr>
            </w:pPr>
            <w:r>
              <w:rPr>
                <w:spacing w:val="-2"/>
                <w:sz w:val="16"/>
              </w:rPr>
              <w:t>Year</w:t>
            </w:r>
          </w:p>
        </w:tc>
      </w:tr>
      <w:tr>
        <w:trPr>
          <w:cantSplit/>
        </w:trPr>
        <w:tc>
          <w:tcPr>
            <w:tcW w:w="2498" w:type="dxa"/>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2.</w:t>
            </w:r>
            <w:r>
              <w:rPr>
                <w:b/>
                <w:bCs/>
                <w:spacing w:val="-2"/>
                <w:sz w:val="16"/>
              </w:rPr>
              <w:tab/>
              <w:t>AUSTRALIAN BUSINESS NUMBER:</w:t>
            </w:r>
          </w:p>
        </w:tc>
        <w:tc>
          <w:tcPr>
            <w:tcW w:w="4444" w:type="dxa"/>
            <w:gridSpan w:val="13"/>
            <w:tcBorders>
              <w:top w:val="single" w:sz="8" w:space="0" w:color="auto"/>
              <w:left w:val="single" w:sz="8" w:space="0" w:color="auto"/>
              <w:bottom w:val="single" w:sz="8" w:space="0" w:color="auto"/>
              <w:right w:val="single" w:sz="8" w:space="0" w:color="auto"/>
            </w:tcBorders>
          </w:tcPr>
          <w:p>
            <w:pPr>
              <w:pStyle w:val="yTableNAm"/>
              <w:rPr>
                <w:spacing w:val="-2"/>
                <w:sz w:val="16"/>
              </w:rPr>
            </w:pPr>
          </w:p>
        </w:tc>
      </w:tr>
      <w:tr>
        <w:trPr>
          <w:trHeight w:hRule="exact" w:val="112"/>
        </w:trPr>
        <w:tc>
          <w:tcPr>
            <w:tcW w:w="2498" w:type="dxa"/>
          </w:tcPr>
          <w:p>
            <w:pPr>
              <w:pStyle w:val="yTableNAm"/>
              <w:tabs>
                <w:tab w:val="clear" w:pos="567"/>
                <w:tab w:val="left" w:pos="218"/>
              </w:tabs>
              <w:spacing w:before="60"/>
              <w:ind w:left="218" w:hanging="218"/>
              <w:rPr>
                <w:b/>
                <w:bCs/>
                <w:spacing w:val="-2"/>
                <w:sz w:val="16"/>
              </w:rPr>
            </w:pPr>
          </w:p>
        </w:tc>
        <w:tc>
          <w:tcPr>
            <w:tcW w:w="2614" w:type="dxa"/>
            <w:gridSpan w:val="8"/>
            <w:tcBorders>
              <w:top w:val="single" w:sz="8" w:space="0" w:color="auto"/>
            </w:tcBorders>
          </w:tcPr>
          <w:p>
            <w:pPr>
              <w:pStyle w:val="yTableNAm"/>
              <w:rPr>
                <w:spacing w:val="-2"/>
                <w:sz w:val="16"/>
              </w:rPr>
            </w:pPr>
          </w:p>
        </w:tc>
        <w:tc>
          <w:tcPr>
            <w:tcW w:w="748" w:type="dxa"/>
            <w:gridSpan w:val="2"/>
            <w:tcBorders>
              <w:top w:val="single" w:sz="8" w:space="0" w:color="auto"/>
            </w:tcBorders>
          </w:tcPr>
          <w:p>
            <w:pPr>
              <w:pStyle w:val="yTableNAm"/>
              <w:rPr>
                <w:spacing w:val="-2"/>
                <w:sz w:val="16"/>
              </w:rPr>
            </w:pPr>
          </w:p>
        </w:tc>
        <w:tc>
          <w:tcPr>
            <w:tcW w:w="1082" w:type="dxa"/>
            <w:gridSpan w:val="3"/>
            <w:tcBorders>
              <w:top w:val="single" w:sz="8" w:space="0" w:color="auto"/>
            </w:tcBorders>
          </w:tcPr>
          <w:p>
            <w:pPr>
              <w:pStyle w:val="yTableNAm"/>
              <w:rPr>
                <w:spacing w:val="-2"/>
                <w:sz w:val="16"/>
              </w:rPr>
            </w:pPr>
          </w:p>
        </w:tc>
      </w:tr>
      <w:tr>
        <w:trPr>
          <w:gridAfter w:val="2"/>
          <w:wAfter w:w="988" w:type="dxa"/>
          <w:cantSplit/>
        </w:trPr>
        <w:tc>
          <w:tcPr>
            <w:tcW w:w="2511" w:type="dxa"/>
            <w:gridSpan w:val="2"/>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3.</w:t>
            </w:r>
            <w:r>
              <w:rPr>
                <w:b/>
                <w:bCs/>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NAm"/>
              <w:tabs>
                <w:tab w:val="clear" w:pos="567"/>
                <w:tab w:val="left" w:pos="218"/>
              </w:tabs>
              <w:spacing w:before="60"/>
              <w:ind w:left="218" w:hanging="218"/>
              <w:rPr>
                <w:b/>
                <w:bCs/>
                <w:spacing w:val="-2"/>
                <w:sz w:val="16"/>
              </w:rPr>
            </w:pPr>
          </w:p>
        </w:tc>
      </w:tr>
      <w:tr>
        <w:trPr>
          <w:trHeight w:hRule="exact" w:val="112"/>
        </w:trPr>
        <w:tc>
          <w:tcPr>
            <w:tcW w:w="2498" w:type="dxa"/>
          </w:tcPr>
          <w:p>
            <w:pPr>
              <w:pStyle w:val="yTableNAm"/>
              <w:tabs>
                <w:tab w:val="clear" w:pos="567"/>
                <w:tab w:val="left" w:pos="218"/>
              </w:tabs>
              <w:spacing w:before="60"/>
              <w:ind w:left="218" w:hanging="218"/>
              <w:rPr>
                <w:b/>
                <w:bCs/>
                <w:spacing w:val="-2"/>
                <w:sz w:val="16"/>
              </w:rPr>
            </w:pPr>
          </w:p>
        </w:tc>
        <w:tc>
          <w:tcPr>
            <w:tcW w:w="2614" w:type="dxa"/>
            <w:gridSpan w:val="8"/>
            <w:tcBorders>
              <w:bottom w:val="single" w:sz="8" w:space="0" w:color="auto"/>
            </w:tcBorders>
          </w:tcPr>
          <w:p>
            <w:pPr>
              <w:pStyle w:val="yTableNAm"/>
              <w:rPr>
                <w:spacing w:val="-2"/>
                <w:sz w:val="16"/>
              </w:rPr>
            </w:pPr>
          </w:p>
        </w:tc>
        <w:tc>
          <w:tcPr>
            <w:tcW w:w="748" w:type="dxa"/>
            <w:gridSpan w:val="2"/>
            <w:tcBorders>
              <w:bottom w:val="single" w:sz="8" w:space="0" w:color="auto"/>
            </w:tcBorders>
          </w:tcPr>
          <w:p>
            <w:pPr>
              <w:pStyle w:val="yTableNAm"/>
              <w:rPr>
                <w:spacing w:val="-2"/>
                <w:sz w:val="16"/>
              </w:rPr>
            </w:pPr>
          </w:p>
        </w:tc>
        <w:tc>
          <w:tcPr>
            <w:tcW w:w="1082" w:type="dxa"/>
            <w:gridSpan w:val="3"/>
            <w:tcBorders>
              <w:bottom w:val="single" w:sz="8" w:space="0" w:color="auto"/>
            </w:tcBorders>
          </w:tcPr>
          <w:p>
            <w:pPr>
              <w:pStyle w:val="yTableNAm"/>
              <w:rPr>
                <w:spacing w:val="-2"/>
                <w:sz w:val="16"/>
              </w:rPr>
            </w:pPr>
          </w:p>
        </w:tc>
      </w:tr>
      <w:tr>
        <w:trPr>
          <w:cantSplit/>
        </w:trPr>
        <w:tc>
          <w:tcPr>
            <w:tcW w:w="2498" w:type="dxa"/>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4.</w:t>
            </w:r>
            <w:r>
              <w:rPr>
                <w:b/>
                <w:bCs/>
                <w:spacing w:val="-2"/>
                <w:sz w:val="16"/>
              </w:rPr>
              <w:tab/>
              <w:t>NAME OF PREMISES:</w:t>
            </w:r>
          </w:p>
        </w:tc>
        <w:tc>
          <w:tcPr>
            <w:tcW w:w="4444" w:type="dxa"/>
            <w:gridSpan w:val="13"/>
            <w:tcBorders>
              <w:top w:val="single" w:sz="8" w:space="0" w:color="auto"/>
              <w:left w:val="single" w:sz="8" w:space="0" w:color="auto"/>
              <w:bottom w:val="single" w:sz="8" w:space="0" w:color="auto"/>
              <w:right w:val="single" w:sz="8" w:space="0" w:color="auto"/>
            </w:tcBorders>
          </w:tcPr>
          <w:p>
            <w:pPr>
              <w:pStyle w:val="yTableNAm"/>
              <w:rPr>
                <w:spacing w:val="-2"/>
                <w:sz w:val="16"/>
              </w:rPr>
            </w:pPr>
          </w:p>
        </w:tc>
      </w:tr>
      <w:tr>
        <w:trPr>
          <w:trHeight w:hRule="exact" w:val="112"/>
        </w:trPr>
        <w:tc>
          <w:tcPr>
            <w:tcW w:w="2498" w:type="dxa"/>
          </w:tcPr>
          <w:p>
            <w:pPr>
              <w:pStyle w:val="yTableNAm"/>
              <w:tabs>
                <w:tab w:val="clear" w:pos="567"/>
                <w:tab w:val="left" w:pos="458"/>
              </w:tabs>
              <w:spacing w:before="60"/>
              <w:ind w:left="338" w:hanging="338"/>
              <w:rPr>
                <w:b/>
                <w:bCs/>
                <w:spacing w:val="-2"/>
                <w:sz w:val="16"/>
              </w:rPr>
            </w:pPr>
          </w:p>
        </w:tc>
        <w:tc>
          <w:tcPr>
            <w:tcW w:w="2614" w:type="dxa"/>
            <w:gridSpan w:val="8"/>
            <w:tcBorders>
              <w:top w:val="single" w:sz="8" w:space="0" w:color="auto"/>
              <w:bottom w:val="single" w:sz="8" w:space="0" w:color="auto"/>
            </w:tcBorders>
          </w:tcPr>
          <w:p>
            <w:pPr>
              <w:pStyle w:val="yTableNAm"/>
              <w:rPr>
                <w:spacing w:val="-2"/>
                <w:sz w:val="16"/>
              </w:rPr>
            </w:pPr>
          </w:p>
        </w:tc>
        <w:tc>
          <w:tcPr>
            <w:tcW w:w="1120" w:type="dxa"/>
            <w:gridSpan w:val="4"/>
            <w:tcBorders>
              <w:top w:val="single" w:sz="8" w:space="0" w:color="auto"/>
              <w:bottom w:val="single" w:sz="8" w:space="0" w:color="auto"/>
            </w:tcBorders>
          </w:tcPr>
          <w:p>
            <w:pPr>
              <w:pStyle w:val="yTableNAm"/>
              <w:rPr>
                <w:spacing w:val="-2"/>
                <w:sz w:val="16"/>
              </w:rPr>
            </w:pPr>
          </w:p>
        </w:tc>
        <w:tc>
          <w:tcPr>
            <w:tcW w:w="710" w:type="dxa"/>
            <w:tcBorders>
              <w:top w:val="single" w:sz="8" w:space="0" w:color="auto"/>
              <w:bottom w:val="single" w:sz="8" w:space="0" w:color="auto"/>
            </w:tcBorders>
          </w:tcPr>
          <w:p>
            <w:pPr>
              <w:pStyle w:val="yTableNAm"/>
              <w:rPr>
                <w:spacing w:val="-2"/>
                <w:sz w:val="16"/>
              </w:rPr>
            </w:pPr>
          </w:p>
        </w:tc>
      </w:tr>
      <w:tr>
        <w:trPr>
          <w:cantSplit/>
        </w:trPr>
        <w:tc>
          <w:tcPr>
            <w:tcW w:w="2498" w:type="dxa"/>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5.</w:t>
            </w:r>
            <w:r>
              <w:rPr>
                <w:b/>
                <w:bCs/>
                <w:spacing w:val="-2"/>
                <w:sz w:val="16"/>
              </w:rPr>
              <w:tab/>
              <w:t xml:space="preserve">NAME OF LICENSEE: </w:t>
            </w:r>
          </w:p>
        </w:tc>
        <w:tc>
          <w:tcPr>
            <w:tcW w:w="4444" w:type="dxa"/>
            <w:gridSpan w:val="13"/>
            <w:tcBorders>
              <w:top w:val="single" w:sz="8" w:space="0" w:color="auto"/>
              <w:left w:val="single" w:sz="8" w:space="0" w:color="auto"/>
              <w:bottom w:val="single" w:sz="8" w:space="0" w:color="auto"/>
              <w:right w:val="single" w:sz="8" w:space="0" w:color="auto"/>
            </w:tcBorders>
          </w:tcPr>
          <w:p>
            <w:pPr>
              <w:pStyle w:val="yTableNAm"/>
              <w:rPr>
                <w:spacing w:val="-2"/>
                <w:sz w:val="16"/>
              </w:rPr>
            </w:pPr>
          </w:p>
        </w:tc>
      </w:tr>
      <w:tr>
        <w:trPr>
          <w:cantSplit/>
        </w:trPr>
        <w:tc>
          <w:tcPr>
            <w:tcW w:w="2498" w:type="dxa"/>
            <w:vMerge w:val="restart"/>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ab/>
              <w:t>ADDRESS OF LICENSED</w:t>
            </w:r>
          </w:p>
          <w:p>
            <w:pPr>
              <w:pStyle w:val="yTableNAm"/>
              <w:tabs>
                <w:tab w:val="left" w:pos="458"/>
              </w:tabs>
              <w:spacing w:before="0"/>
              <w:ind w:left="340" w:hanging="340"/>
              <w:rPr>
                <w:b/>
                <w:bCs/>
                <w:spacing w:val="-2"/>
                <w:sz w:val="16"/>
              </w:rPr>
            </w:pPr>
            <w:r>
              <w:rPr>
                <w:b/>
                <w:bCs/>
                <w:spacing w:val="-2"/>
                <w:sz w:val="16"/>
              </w:rPr>
              <w:tab/>
              <w:t>PREMISES:</w:t>
            </w:r>
          </w:p>
        </w:tc>
        <w:tc>
          <w:tcPr>
            <w:tcW w:w="4444" w:type="dxa"/>
            <w:gridSpan w:val="13"/>
            <w:tcBorders>
              <w:top w:val="single" w:sz="8" w:space="0" w:color="auto"/>
              <w:left w:val="single" w:sz="8" w:space="0" w:color="auto"/>
              <w:bottom w:val="single" w:sz="8" w:space="0" w:color="auto"/>
              <w:right w:val="single" w:sz="8" w:space="0" w:color="auto"/>
            </w:tcBorders>
          </w:tcPr>
          <w:p>
            <w:pPr>
              <w:pStyle w:val="yTableNAm"/>
              <w:rPr>
                <w:spacing w:val="-2"/>
                <w:sz w:val="16"/>
              </w:rPr>
            </w:pPr>
          </w:p>
        </w:tc>
      </w:tr>
      <w:tr>
        <w:trPr>
          <w:cantSplit/>
        </w:trPr>
        <w:tc>
          <w:tcPr>
            <w:tcW w:w="2498" w:type="dxa"/>
            <w:vMerge/>
            <w:tcBorders>
              <w:right w:val="single" w:sz="8" w:space="0" w:color="auto"/>
            </w:tcBorders>
          </w:tcPr>
          <w:p>
            <w:pPr>
              <w:pStyle w:val="yTableNAm"/>
              <w:tabs>
                <w:tab w:val="clear" w:pos="567"/>
                <w:tab w:val="left" w:pos="458"/>
              </w:tabs>
              <w:spacing w:before="60"/>
              <w:ind w:left="338" w:hanging="338"/>
              <w:rPr>
                <w:b/>
                <w:bCs/>
                <w:spacing w:val="-2"/>
                <w:sz w:val="16"/>
              </w:rPr>
            </w:pPr>
          </w:p>
        </w:tc>
        <w:tc>
          <w:tcPr>
            <w:tcW w:w="4444" w:type="dxa"/>
            <w:gridSpan w:val="13"/>
            <w:tcBorders>
              <w:top w:val="single" w:sz="8" w:space="0" w:color="auto"/>
              <w:left w:val="single" w:sz="8" w:space="0" w:color="auto"/>
              <w:bottom w:val="single" w:sz="8" w:space="0" w:color="auto"/>
              <w:right w:val="single" w:sz="8" w:space="0" w:color="auto"/>
            </w:tcBorders>
          </w:tcPr>
          <w:p>
            <w:pPr>
              <w:pStyle w:val="yTableNAm"/>
              <w:rPr>
                <w:spacing w:val="-2"/>
                <w:sz w:val="16"/>
              </w:rPr>
            </w:pPr>
          </w:p>
        </w:tc>
      </w:tr>
      <w:tr>
        <w:trPr>
          <w:trHeight w:val="226"/>
        </w:trPr>
        <w:tc>
          <w:tcPr>
            <w:tcW w:w="2498" w:type="dxa"/>
          </w:tcPr>
          <w:p>
            <w:pPr>
              <w:pStyle w:val="yTableNAm"/>
              <w:tabs>
                <w:tab w:val="clear" w:pos="567"/>
                <w:tab w:val="left" w:pos="458"/>
              </w:tabs>
              <w:spacing w:before="60"/>
              <w:ind w:left="338" w:hanging="338"/>
              <w:rPr>
                <w:b/>
                <w:bCs/>
                <w:spacing w:val="-2"/>
                <w:sz w:val="16"/>
              </w:rPr>
            </w:pPr>
          </w:p>
        </w:tc>
        <w:tc>
          <w:tcPr>
            <w:tcW w:w="2614" w:type="dxa"/>
            <w:gridSpan w:val="8"/>
            <w:tcBorders>
              <w:top w:val="single" w:sz="8" w:space="0" w:color="auto"/>
              <w:bottom w:val="single" w:sz="8" w:space="0" w:color="auto"/>
            </w:tcBorders>
          </w:tcPr>
          <w:p>
            <w:pPr>
              <w:pStyle w:val="yTableNAm"/>
              <w:rPr>
                <w:spacing w:val="-2"/>
                <w:sz w:val="16"/>
              </w:rPr>
            </w:pPr>
          </w:p>
        </w:tc>
        <w:tc>
          <w:tcPr>
            <w:tcW w:w="1830" w:type="dxa"/>
            <w:gridSpan w:val="5"/>
            <w:tcBorders>
              <w:top w:val="single" w:sz="8" w:space="0" w:color="auto"/>
              <w:bottom w:val="single" w:sz="8" w:space="0" w:color="auto"/>
            </w:tcBorders>
          </w:tcPr>
          <w:p>
            <w:pPr>
              <w:pStyle w:val="yTableNAm"/>
              <w:spacing w:before="0"/>
              <w:rPr>
                <w:spacing w:val="-2"/>
                <w:sz w:val="16"/>
              </w:rPr>
            </w:pPr>
            <w:r>
              <w:rPr>
                <w:spacing w:val="-2"/>
                <w:sz w:val="16"/>
              </w:rPr>
              <w:tab/>
              <w:t>Postcode</w:t>
            </w:r>
          </w:p>
        </w:tc>
      </w:tr>
      <w:tr>
        <w:tc>
          <w:tcPr>
            <w:tcW w:w="2498" w:type="dxa"/>
            <w:tcBorders>
              <w:right w:val="single" w:sz="8" w:space="0" w:color="auto"/>
            </w:tcBorders>
          </w:tcPr>
          <w:p>
            <w:pPr>
              <w:pStyle w:val="yTableNAm"/>
              <w:tabs>
                <w:tab w:val="clear" w:pos="567"/>
                <w:tab w:val="left" w:pos="458"/>
              </w:tabs>
              <w:spacing w:before="60"/>
              <w:ind w:left="338" w:hanging="338"/>
              <w:rPr>
                <w:b/>
                <w:bCs/>
                <w:spacing w:val="-2"/>
                <w:sz w:val="16"/>
              </w:rPr>
            </w:pPr>
            <w:r>
              <w:rPr>
                <w:b/>
                <w:bCs/>
                <w:spacing w:val="-2"/>
                <w:sz w:val="16"/>
              </w:rPr>
              <w:t>6.</w:t>
            </w:r>
            <w:r>
              <w:rPr>
                <w:b/>
                <w:bCs/>
                <w:spacing w:val="-2"/>
                <w:sz w:val="16"/>
              </w:rPr>
              <w:tab/>
              <w:t>AMOUNT OF SUBSIDY CLAIM:</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 w:val="left" w:pos="379"/>
              </w:tabs>
              <w:spacing w:before="60"/>
              <w:ind w:left="380" w:hanging="380"/>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082"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br/>
            </w:r>
            <w:r>
              <w:rPr>
                <w:spacing w:val="-2"/>
                <w:sz w:val="16"/>
              </w:rPr>
              <w:br/>
            </w:r>
            <w:r>
              <w:rPr>
                <w:spacing w:val="-2"/>
                <w:sz w:val="16"/>
              </w:rPr>
              <w:br/>
              <w:t>$</w:t>
            </w:r>
          </w:p>
        </w:tc>
      </w:tr>
      <w:tr>
        <w:tc>
          <w:tcPr>
            <w:tcW w:w="2498" w:type="dxa"/>
            <w:tcBorders>
              <w:right w:val="single" w:sz="8" w:space="0" w:color="auto"/>
            </w:tcBorders>
          </w:tcPr>
          <w:p>
            <w:pPr>
              <w:pStyle w:val="yTableNAm"/>
              <w:tabs>
                <w:tab w:val="left" w:pos="458"/>
              </w:tabs>
              <w:ind w:left="338" w:hanging="338"/>
              <w:rPr>
                <w:spacing w:val="-2"/>
                <w:sz w:val="16"/>
              </w:rPr>
            </w:pP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 w:val="left" w:pos="379"/>
              </w:tabs>
              <w:spacing w:before="60"/>
              <w:ind w:left="380" w:hanging="380"/>
              <w:rPr>
                <w:spacing w:val="-2"/>
                <w:sz w:val="16"/>
              </w:rPr>
            </w:pPr>
            <w:r>
              <w:rPr>
                <w:spacing w:val="-2"/>
                <w:sz w:val="16"/>
              </w:rPr>
              <w:t>(b)</w:t>
            </w:r>
            <w:r>
              <w:rPr>
                <w:spacing w:val="-2"/>
                <w:sz w:val="16"/>
              </w:rPr>
              <w:tab/>
              <w:t>WET subsidy claimable for Mail Order Sales. ............................................................</w:t>
            </w:r>
          </w:p>
        </w:tc>
        <w:tc>
          <w:tcPr>
            <w:tcW w:w="1082"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br/>
              <w:t>$</w:t>
            </w:r>
          </w:p>
        </w:tc>
      </w:tr>
      <w:tr>
        <w:tc>
          <w:tcPr>
            <w:tcW w:w="2498" w:type="dxa"/>
            <w:tcBorders>
              <w:right w:val="single" w:sz="8" w:space="0" w:color="auto"/>
            </w:tcBorders>
          </w:tcPr>
          <w:p>
            <w:pPr>
              <w:pStyle w:val="yTableNAm"/>
              <w:tabs>
                <w:tab w:val="left" w:pos="458"/>
              </w:tabs>
              <w:spacing w:before="60"/>
              <w:ind w:left="340" w:hanging="340"/>
              <w:rPr>
                <w:spacing w:val="-2"/>
                <w:sz w:val="16"/>
              </w:rPr>
            </w:pPr>
            <w:r>
              <w:rPr>
                <w:i/>
                <w:spacing w:val="-2"/>
                <w:sz w:val="16"/>
              </w:rPr>
              <w:t xml:space="preserve">(a) + (b) + (c) = Total for this </w:t>
            </w:r>
            <w:r>
              <w:rPr>
                <w:i/>
                <w:spacing w:val="-2"/>
                <w:sz w:val="16"/>
              </w:rPr>
              <w:tab/>
            </w:r>
            <w:r>
              <w:rPr>
                <w:i/>
                <w:spacing w:val="-2"/>
                <w:sz w:val="16"/>
              </w:rPr>
              <w:tab/>
            </w:r>
            <w:r>
              <w:rPr>
                <w:i/>
                <w:spacing w:val="-2"/>
                <w:sz w:val="16"/>
              </w:rPr>
              <w:tab/>
              <w:t>period</w:t>
            </w:r>
          </w:p>
        </w:tc>
        <w:tc>
          <w:tcPr>
            <w:tcW w:w="3362" w:type="dxa"/>
            <w:gridSpan w:val="10"/>
            <w:tcBorders>
              <w:top w:val="single" w:sz="8" w:space="0" w:color="auto"/>
              <w:left w:val="single" w:sz="8" w:space="0" w:color="auto"/>
              <w:bottom w:val="double" w:sz="4" w:space="0" w:color="auto"/>
              <w:right w:val="single" w:sz="8" w:space="0" w:color="auto"/>
            </w:tcBorders>
          </w:tcPr>
          <w:p>
            <w:pPr>
              <w:pStyle w:val="yTableNAm"/>
              <w:tabs>
                <w:tab w:val="clear" w:pos="567"/>
                <w:tab w:val="left" w:pos="379"/>
              </w:tabs>
              <w:spacing w:before="60"/>
              <w:ind w:left="380" w:hanging="380"/>
              <w:rPr>
                <w:spacing w:val="-2"/>
                <w:sz w:val="16"/>
              </w:rPr>
            </w:pPr>
            <w:r>
              <w:rPr>
                <w:spacing w:val="-2"/>
                <w:sz w:val="16"/>
              </w:rPr>
              <w:t>(c)</w:t>
            </w:r>
            <w:r>
              <w:rPr>
                <w:spacing w:val="-2"/>
                <w:sz w:val="16"/>
              </w:rPr>
              <w:tab/>
              <w:t>WET subsidy claimable for Tastings, promotions and donations for which no charge has been made. ................................</w:t>
            </w:r>
          </w:p>
        </w:tc>
        <w:tc>
          <w:tcPr>
            <w:tcW w:w="1082" w:type="dxa"/>
            <w:gridSpan w:val="3"/>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br/>
            </w:r>
            <w:r>
              <w:rPr>
                <w:spacing w:val="-2"/>
                <w:sz w:val="16"/>
              </w:rPr>
              <w:br/>
              <w:t>$</w:t>
            </w:r>
          </w:p>
        </w:tc>
      </w:tr>
      <w:tr>
        <w:tc>
          <w:tcPr>
            <w:tcW w:w="2498" w:type="dxa"/>
            <w:tcBorders>
              <w:right w:val="single" w:sz="8" w:space="0" w:color="auto"/>
            </w:tcBorders>
          </w:tcPr>
          <w:p>
            <w:pPr>
              <w:pStyle w:val="yTableNAm"/>
              <w:tabs>
                <w:tab w:val="left" w:pos="458"/>
              </w:tabs>
              <w:spacing w:before="60"/>
              <w:ind w:left="338" w:hanging="338"/>
              <w:rPr>
                <w:spacing w:val="-2"/>
                <w:sz w:val="16"/>
              </w:rPr>
            </w:pPr>
          </w:p>
        </w:tc>
        <w:tc>
          <w:tcPr>
            <w:tcW w:w="3362" w:type="dxa"/>
            <w:gridSpan w:val="10"/>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b/>
                <w:bCs/>
                <w:spacing w:val="-2"/>
                <w:sz w:val="16"/>
              </w:rPr>
            </w:pPr>
            <w:r>
              <w:rPr>
                <w:b/>
                <w:bCs/>
                <w:spacing w:val="-2"/>
                <w:sz w:val="16"/>
              </w:rPr>
              <w:t>TOTAL FOR THIS PERIOD:</w:t>
            </w:r>
          </w:p>
        </w:tc>
        <w:tc>
          <w:tcPr>
            <w:tcW w:w="1082" w:type="dxa"/>
            <w:gridSpan w:val="3"/>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spacing w:val="-2"/>
                <w:sz w:val="16"/>
              </w:rPr>
            </w:pPr>
            <w:r>
              <w:rPr>
                <w:spacing w:val="-2"/>
                <w:sz w:val="16"/>
              </w:rPr>
              <w:t>$</w:t>
            </w:r>
          </w:p>
        </w:tc>
      </w:tr>
      <w:tr>
        <w:tc>
          <w:tcPr>
            <w:tcW w:w="2498" w:type="dxa"/>
            <w:tcBorders>
              <w:right w:val="single" w:sz="8" w:space="0" w:color="auto"/>
            </w:tcBorders>
          </w:tcPr>
          <w:p>
            <w:pPr>
              <w:pStyle w:val="yTableNAm"/>
              <w:keepNext/>
              <w:keepLines/>
              <w:tabs>
                <w:tab w:val="left" w:pos="458"/>
              </w:tabs>
              <w:spacing w:before="60"/>
              <w:ind w:left="338" w:hanging="338"/>
              <w:rPr>
                <w:spacing w:val="-2"/>
                <w:sz w:val="16"/>
              </w:rPr>
            </w:pPr>
            <w:r>
              <w:rPr>
                <w:b/>
                <w:bCs/>
                <w:spacing w:val="-2"/>
                <w:sz w:val="16"/>
              </w:rPr>
              <w:t>7.</w:t>
            </w:r>
            <w:r>
              <w:rPr>
                <w:b/>
                <w:bCs/>
                <w:spacing w:val="-2"/>
                <w:sz w:val="16"/>
              </w:rPr>
              <w:tab/>
              <w:t>ADJUSTMENTS (IF APPLICABLE):</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keepNext/>
              <w:keepLines/>
              <w:spacing w:before="60"/>
              <w:ind w:left="567" w:hanging="567"/>
              <w:rPr>
                <w:spacing w:val="-2"/>
                <w:sz w:val="16"/>
              </w:rPr>
            </w:pPr>
            <w:r>
              <w:rPr>
                <w:spacing w:val="-2"/>
                <w:sz w:val="16"/>
              </w:rPr>
              <w:t>(e)</w:t>
            </w:r>
            <w:r>
              <w:rPr>
                <w:spacing w:val="-2"/>
                <w:sz w:val="16"/>
              </w:rPr>
              <w:tab/>
              <w:t>Amount overpaid/underpaid for the month of ..................................................</w:t>
            </w:r>
          </w:p>
        </w:tc>
        <w:tc>
          <w:tcPr>
            <w:tcW w:w="1082" w:type="dxa"/>
            <w:gridSpan w:val="3"/>
            <w:tcBorders>
              <w:top w:val="single" w:sz="8" w:space="0" w:color="auto"/>
              <w:left w:val="single" w:sz="8" w:space="0" w:color="auto"/>
              <w:bottom w:val="single" w:sz="8" w:space="0" w:color="auto"/>
              <w:right w:val="single" w:sz="8" w:space="0" w:color="auto"/>
            </w:tcBorders>
          </w:tcPr>
          <w:p>
            <w:pPr>
              <w:pStyle w:val="yTableNAm"/>
              <w:keepNext/>
              <w:keepLines/>
              <w:spacing w:before="60"/>
              <w:rPr>
                <w:spacing w:val="-2"/>
                <w:sz w:val="16"/>
              </w:rPr>
            </w:pPr>
            <w:r>
              <w:rPr>
                <w:spacing w:val="-2"/>
                <w:sz w:val="16"/>
              </w:rPr>
              <w:br/>
              <w:t>$</w:t>
            </w:r>
          </w:p>
        </w:tc>
      </w:tr>
      <w:tr>
        <w:tc>
          <w:tcPr>
            <w:tcW w:w="2498" w:type="dxa"/>
            <w:tcBorders>
              <w:right w:val="single" w:sz="8" w:space="0" w:color="auto"/>
            </w:tcBorders>
          </w:tcPr>
          <w:p>
            <w:pPr>
              <w:pStyle w:val="yTableNAm"/>
              <w:spacing w:before="60"/>
              <w:rPr>
                <w:spacing w:val="-2"/>
                <w:sz w:val="16"/>
              </w:rPr>
            </w:pPr>
          </w:p>
        </w:tc>
        <w:tc>
          <w:tcPr>
            <w:tcW w:w="3362" w:type="dxa"/>
            <w:gridSpan w:val="10"/>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b/>
                <w:bCs/>
                <w:spacing w:val="-2"/>
                <w:sz w:val="16"/>
              </w:rPr>
            </w:pPr>
            <w:r>
              <w:rPr>
                <w:b/>
                <w:bCs/>
                <w:spacing w:val="-2"/>
                <w:sz w:val="16"/>
              </w:rPr>
              <w:t>TOTAL AMOUNT CLAIMED:</w:t>
            </w:r>
          </w:p>
        </w:tc>
        <w:tc>
          <w:tcPr>
            <w:tcW w:w="1082" w:type="dxa"/>
            <w:gridSpan w:val="3"/>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spacing w:val="-2"/>
                <w:sz w:val="16"/>
              </w:rPr>
            </w:pPr>
            <w:r>
              <w:rPr>
                <w:spacing w:val="-2"/>
                <w:sz w:val="16"/>
              </w:rPr>
              <w:t>$</w:t>
            </w:r>
          </w:p>
        </w:tc>
      </w:tr>
    </w:tbl>
    <w:p>
      <w:pPr>
        <w:pStyle w:val="yMiscellaneousBody"/>
        <w:spacing w:before="200" w:after="60"/>
        <w:ind w:left="238"/>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NAm"/>
              <w:rPr>
                <w:sz w:val="16"/>
              </w:rPr>
            </w:pPr>
            <w:r>
              <w:rPr>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1559" w:type="dxa"/>
            <w:tcBorders>
              <w:left w:val="single" w:sz="8" w:space="0" w:color="auto"/>
              <w:right w:val="single" w:sz="8" w:space="0" w:color="auto"/>
            </w:tcBorders>
          </w:tcPr>
          <w:p>
            <w:pPr>
              <w:pStyle w:val="yTableNAm"/>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tabs>
          <w:tab w:val="clear" w:pos="567"/>
          <w:tab w:val="left" w:pos="218"/>
        </w:tabs>
        <w:spacing w:before="60"/>
        <w:ind w:left="218" w:hanging="218"/>
        <w:rPr>
          <w:b/>
          <w:bCs/>
          <w:spacing w:val="-2"/>
          <w:sz w:val="16"/>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NAm"/>
              <w:rPr>
                <w:sz w:val="16"/>
              </w:rPr>
            </w:pPr>
            <w:r>
              <w:rPr>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1559" w:type="dxa"/>
            <w:tcBorders>
              <w:left w:val="single" w:sz="8" w:space="0" w:color="auto"/>
              <w:right w:val="single" w:sz="8" w:space="0" w:color="auto"/>
            </w:tcBorders>
          </w:tcPr>
          <w:p>
            <w:pPr>
              <w:pStyle w:val="yTableNAm"/>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
        <w:spacing w:before="0"/>
        <w:rPr>
          <w:snapToGrid w:val="0"/>
        </w:rPr>
      </w:pPr>
    </w:p>
    <w:tbl>
      <w:tblPr>
        <w:tblW w:w="0" w:type="auto"/>
        <w:tblInd w:w="250" w:type="dxa"/>
        <w:tblLayout w:type="fixed"/>
        <w:tblLook w:val="0000" w:firstRow="0" w:lastRow="0" w:firstColumn="0" w:lastColumn="0" w:noHBand="0" w:noVBand="0"/>
      </w:tblPr>
      <w:tblGrid>
        <w:gridCol w:w="5245"/>
        <w:gridCol w:w="1701"/>
      </w:tblGrid>
      <w:tr>
        <w:trPr>
          <w:cantSplit/>
        </w:trPr>
        <w:tc>
          <w:tcPr>
            <w:tcW w:w="6946" w:type="dxa"/>
            <w:gridSpan w:val="2"/>
          </w:tcPr>
          <w:p>
            <w:pPr>
              <w:pStyle w:val="yTableNAm"/>
              <w:tabs>
                <w:tab w:val="clear" w:pos="567"/>
                <w:tab w:val="left" w:pos="350"/>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NAm"/>
              <w:spacing w:before="0" w:after="60"/>
              <w:jc w:val="center"/>
              <w:rPr>
                <w:snapToGrid w:val="0"/>
                <w:sz w:val="16"/>
              </w:rPr>
            </w:pPr>
            <w:r>
              <w:rPr>
                <w:snapToGrid w:val="0"/>
                <w:sz w:val="16"/>
              </w:rPr>
              <w:t>name of licensee</w:t>
            </w:r>
          </w:p>
        </w:tc>
      </w:tr>
      <w:tr>
        <w:trPr>
          <w:cantSplit/>
        </w:trPr>
        <w:tc>
          <w:tcPr>
            <w:tcW w:w="5245" w:type="dxa"/>
          </w:tcPr>
          <w:p>
            <w:pPr>
              <w:pStyle w:val="yTableNAm"/>
              <w:tabs>
                <w:tab w:val="clear" w:pos="567"/>
                <w:tab w:val="left" w:pos="350"/>
              </w:tabs>
              <w:spacing w:before="40"/>
              <w:ind w:left="352" w:hanging="352"/>
              <w:rPr>
                <w:snapToGrid w:val="0"/>
                <w:sz w:val="16"/>
              </w:rPr>
            </w:pPr>
            <w:r>
              <w:rPr>
                <w:snapToGrid w:val="0"/>
                <w:sz w:val="16"/>
              </w:rPr>
              <w:t>(a)</w:t>
            </w:r>
            <w:r>
              <w:rPr>
                <w:snapToGrid w:val="0"/>
                <w:sz w:val="16"/>
              </w:rPr>
              <w:tab/>
              <w:t>I am the licensee of the above named premises; and</w:t>
            </w:r>
          </w:p>
          <w:p>
            <w:pPr>
              <w:pStyle w:val="yTableNAm"/>
              <w:tabs>
                <w:tab w:val="clear" w:pos="567"/>
                <w:tab w:val="left" w:pos="350"/>
              </w:tabs>
              <w:spacing w:before="100"/>
              <w:ind w:left="352" w:hanging="352"/>
              <w:rPr>
                <w:snapToGrid w:val="0"/>
                <w:sz w:val="16"/>
              </w:rPr>
            </w:pPr>
            <w:r>
              <w:rPr>
                <w:snapToGrid w:val="0"/>
                <w:sz w:val="16"/>
              </w:rPr>
              <w:t>(b)</w:t>
            </w:r>
            <w:r>
              <w:rPr>
                <w:snapToGrid w:val="0"/>
                <w:sz w:val="16"/>
              </w:rPr>
              <w:tab/>
              <w:t>the claim I am making for liquor subsidy is complete, true and correct; and</w:t>
            </w:r>
          </w:p>
          <w:p>
            <w:pPr>
              <w:pStyle w:val="yTableNAm"/>
              <w:tabs>
                <w:tab w:val="clear" w:pos="567"/>
                <w:tab w:val="left" w:pos="350"/>
              </w:tabs>
              <w:spacing w:before="100"/>
              <w:ind w:left="352" w:hanging="352"/>
              <w:rPr>
                <w:snapToGrid w:val="0"/>
                <w:sz w:val="16"/>
              </w:rPr>
            </w:pPr>
            <w:r>
              <w:rPr>
                <w:snapToGrid w:val="0"/>
                <w:sz w:val="16"/>
              </w:rPr>
              <w:t>(c)</w:t>
            </w:r>
            <w:r>
              <w:rPr>
                <w:snapToGrid w:val="0"/>
                <w:sz w:val="16"/>
              </w:rPr>
              <w:tab/>
              <w:t>the claim I am making is honestly based on my WET obligations; and</w:t>
            </w:r>
          </w:p>
          <w:p>
            <w:pPr>
              <w:pStyle w:val="yTableNAm"/>
              <w:tabs>
                <w:tab w:val="clear" w:pos="567"/>
                <w:tab w:val="left" w:pos="350"/>
              </w:tabs>
              <w:spacing w:before="100"/>
              <w:ind w:left="352" w:hanging="352"/>
              <w:rPr>
                <w:b/>
                <w:snapToGrid w:val="0"/>
                <w:sz w:val="16"/>
              </w:rPr>
            </w:pPr>
            <w:r>
              <w:rPr>
                <w:snapToGrid w:val="0"/>
                <w:sz w:val="16"/>
              </w:rPr>
              <w:t>(d)</w:t>
            </w:r>
            <w:r>
              <w:rPr>
                <w:snapToGrid w:val="0"/>
                <w:sz w:val="16"/>
              </w:rPr>
              <w:tab/>
              <w:t>I have all the necessary records to provide information to substantiate my claim; and</w:t>
            </w:r>
          </w:p>
        </w:tc>
        <w:tc>
          <w:tcPr>
            <w:tcW w:w="1701" w:type="dxa"/>
            <w:shd w:val="clear" w:color="auto" w:fill="000000"/>
          </w:tcPr>
          <w:p>
            <w:pPr>
              <w:pStyle w:val="yTableNAm"/>
              <w:jc w:val="center"/>
              <w:rPr>
                <w:snapToGrid w:val="0"/>
                <w:sz w:val="16"/>
              </w:rPr>
            </w:pPr>
            <w:r>
              <w:rPr>
                <w:snapToGrid w:val="0"/>
                <w:sz w:val="16"/>
              </w:rPr>
              <w:t>WARNING</w:t>
            </w:r>
          </w:p>
          <w:p>
            <w:pPr>
              <w:pStyle w:val="yTableNAm"/>
              <w:spacing w:before="60"/>
              <w:jc w:val="center"/>
              <w:rPr>
                <w:snapToGrid w:val="0"/>
              </w:rPr>
            </w:pPr>
            <w:r>
              <w:rPr>
                <w:snapToGrid w:val="0"/>
                <w:sz w:val="16"/>
              </w:rPr>
              <w:t xml:space="preserve">Penalties apply if you provide false or misleading information </w:t>
            </w:r>
          </w:p>
        </w:tc>
      </w:tr>
      <w:tr>
        <w:trPr>
          <w:cantSplit/>
        </w:trPr>
        <w:tc>
          <w:tcPr>
            <w:tcW w:w="5245" w:type="dxa"/>
          </w:tcPr>
          <w:p>
            <w:pPr>
              <w:pStyle w:val="yTableNAm"/>
              <w:tabs>
                <w:tab w:val="clear" w:pos="567"/>
                <w:tab w:val="left" w:pos="350"/>
              </w:tabs>
              <w:spacing w:before="100"/>
              <w:ind w:left="352" w:hanging="352"/>
              <w:rPr>
                <w:snapToGrid w:val="0"/>
                <w:sz w:val="16"/>
              </w:rPr>
            </w:pPr>
            <w:r>
              <w:rPr>
                <w:snapToGrid w:val="0"/>
                <w:sz w:val="16"/>
              </w:rPr>
              <w:t>(e)</w:t>
            </w:r>
            <w:r>
              <w:rPr>
                <w:snapToGrid w:val="0"/>
                <w:sz w:val="16"/>
              </w:rPr>
              <w:tab/>
              <w:t>I will provide information to substantiate my claim, if requested, at any time by the relevant authorities; and</w:t>
            </w:r>
          </w:p>
          <w:p>
            <w:pPr>
              <w:pStyle w:val="yTableNAm"/>
              <w:tabs>
                <w:tab w:val="clear" w:pos="567"/>
                <w:tab w:val="left" w:pos="350"/>
              </w:tabs>
              <w:spacing w:before="100"/>
              <w:ind w:left="352" w:hanging="352"/>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NAm"/>
              <w:tabs>
                <w:tab w:val="clear" w:pos="567"/>
                <w:tab w:val="left" w:pos="350"/>
              </w:tabs>
              <w:spacing w:before="100"/>
              <w:ind w:left="352" w:hanging="352"/>
              <w:rPr>
                <w:snapToGrid w:val="0"/>
                <w:sz w:val="16"/>
              </w:rPr>
            </w:pPr>
            <w:r>
              <w:rPr>
                <w:snapToGrid w:val="0"/>
                <w:sz w:val="16"/>
              </w:rPr>
              <w:t>(g)</w:t>
            </w:r>
            <w:r>
              <w:rPr>
                <w:snapToGrid w:val="0"/>
                <w:sz w:val="16"/>
              </w:rPr>
              <w:tab/>
              <w:t>my prices to my customers incorporate the amount of the subsidy.</w:t>
            </w:r>
          </w:p>
        </w:tc>
        <w:tc>
          <w:tcPr>
            <w:tcW w:w="1701" w:type="dxa"/>
          </w:tcPr>
          <w:p>
            <w:pPr>
              <w:pStyle w:val="yTableNAm"/>
              <w:rPr>
                <w:snapToGrid w:val="0"/>
                <w:color w:val="FFFFFF"/>
              </w:rPr>
            </w:pPr>
          </w:p>
        </w:tc>
      </w:tr>
    </w:tbl>
    <w:p>
      <w:pPr>
        <w:pStyle w:val="yTableNAm"/>
        <w:spacing w:before="160"/>
        <w:rPr>
          <w:b/>
          <w:bCs/>
          <w:snapToGrid w:val="0"/>
          <w:sz w:val="16"/>
        </w:rPr>
      </w:pPr>
      <w:r>
        <w:rPr>
          <w:b/>
          <w:bCs/>
          <w:snapToGrid w:val="0"/>
          <w:sz w:val="16"/>
        </w:rPr>
        <w:t>WHERE THE LICENSEE IS A COMPANY:</w:t>
      </w:r>
    </w:p>
    <w:p>
      <w:pPr>
        <w:pStyle w:val="yTableNAm"/>
        <w:spacing w:before="8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tabs>
          <w:tab w:val="left" w:pos="4440"/>
        </w:tabs>
        <w:spacing w:before="60"/>
        <w:jc w:val="center"/>
        <w:rPr>
          <w:sz w:val="2"/>
        </w:rPr>
      </w:pPr>
      <w:r>
        <w:rPr>
          <w:sz w:val="20"/>
        </w:rPr>
        <w:tab/>
      </w:r>
      <w:r>
        <w:rPr>
          <w:sz w:val="20"/>
        </w:rPr>
        <w:tab/>
      </w:r>
      <w:r>
        <w:rPr>
          <w:noProof/>
          <w:spacing w:val="-2"/>
          <w:sz w:val="16"/>
          <w:lang w:eastAsia="en-AU"/>
        </w:rPr>
        <w:drawing>
          <wp:inline distT="0" distB="0" distL="0" distR="0">
            <wp:extent cx="774700" cy="660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2760"/>
          <w:tab w:val="left" w:pos="5280"/>
        </w:tabs>
        <w:spacing w:before="60"/>
        <w:rPr>
          <w:snapToGrid w:val="0"/>
          <w:sz w:val="16"/>
        </w:rPr>
      </w:pPr>
      <w:r>
        <w:rPr>
          <w:snapToGrid w:val="0"/>
          <w:sz w:val="16"/>
        </w:rPr>
        <w:t>Name and Signature of Director(s)</w:t>
      </w:r>
      <w:r>
        <w:rPr>
          <w:snapToGrid w:val="0"/>
          <w:sz w:val="16"/>
        </w:rPr>
        <w:tab/>
      </w:r>
      <w:r>
        <w:rPr>
          <w:snapToGrid w:val="0"/>
          <w:sz w:val="16"/>
        </w:rPr>
        <w:tab/>
        <w:t>Common Seal</w:t>
      </w:r>
    </w:p>
    <w:p>
      <w:pPr>
        <w:pStyle w:val="yTableNAm"/>
        <w:spacing w:before="60"/>
        <w:rPr>
          <w:snapToGrid w:val="0"/>
          <w:sz w:val="16"/>
        </w:rPr>
      </w:pPr>
      <w:r>
        <w:rPr>
          <w:snapToGrid w:val="0"/>
          <w:sz w:val="16"/>
        </w:rPr>
        <w:t>________________________________</w:t>
      </w:r>
      <w:r>
        <w:rPr>
          <w:snapToGrid w:val="0"/>
          <w:sz w:val="16"/>
        </w:rPr>
        <w:tab/>
        <w:t>Date: ____ / ____ / ____</w:t>
      </w:r>
      <w:r>
        <w:rPr>
          <w:snapToGrid w:val="0"/>
          <w:sz w:val="16"/>
        </w:rPr>
        <w:tab/>
      </w:r>
      <w:r>
        <w:rPr>
          <w:snapToGrid w:val="0"/>
          <w:sz w:val="16"/>
        </w:rPr>
        <w:tab/>
        <w:t>Ph No: _________________</w:t>
      </w:r>
    </w:p>
    <w:p>
      <w:pPr>
        <w:pStyle w:val="yTableNAm"/>
        <w:tabs>
          <w:tab w:val="left" w:pos="2760"/>
        </w:tabs>
        <w:spacing w:before="60"/>
        <w:rPr>
          <w:snapToGrid w:val="0"/>
          <w:sz w:val="16"/>
        </w:rPr>
      </w:pPr>
      <w:r>
        <w:rPr>
          <w:snapToGrid w:val="0"/>
          <w:sz w:val="16"/>
        </w:rPr>
        <w:t>________________________________</w:t>
      </w:r>
      <w:r>
        <w:rPr>
          <w:snapToGrid w:val="0"/>
          <w:sz w:val="16"/>
        </w:rPr>
        <w:tab/>
      </w:r>
      <w:r>
        <w:rPr>
          <w:snapToGrid w:val="0"/>
          <w:sz w:val="16"/>
        </w:rPr>
        <w:tab/>
        <w:t>Date: ____ / ____ / ____</w:t>
      </w:r>
      <w:r>
        <w:rPr>
          <w:snapToGrid w:val="0"/>
          <w:sz w:val="16"/>
        </w:rPr>
        <w:tab/>
      </w:r>
      <w:r>
        <w:rPr>
          <w:snapToGrid w:val="0"/>
          <w:sz w:val="16"/>
        </w:rPr>
        <w:tab/>
        <w:t>Ph No: _________________</w:t>
      </w:r>
    </w:p>
    <w:p>
      <w:pPr>
        <w:pStyle w:val="yTableNAm"/>
        <w:tabs>
          <w:tab w:val="left" w:pos="2760"/>
        </w:tabs>
        <w:spacing w:before="160"/>
        <w:rPr>
          <w:b/>
          <w:snapToGrid w:val="0"/>
          <w:sz w:val="16"/>
        </w:rPr>
      </w:pPr>
      <w:r>
        <w:rPr>
          <w:b/>
          <w:snapToGrid w:val="0"/>
          <w:sz w:val="16"/>
        </w:rPr>
        <w:t>WHERE THE LICENSEE IS ONE OR MORE INDIVIDUAL PERSONS:</w:t>
      </w:r>
    </w:p>
    <w:p>
      <w:pPr>
        <w:pStyle w:val="yTableNAm"/>
        <w:tabs>
          <w:tab w:val="left" w:pos="2760"/>
        </w:tabs>
        <w:spacing w:before="60"/>
        <w:rPr>
          <w:snapToGrid w:val="0"/>
          <w:sz w:val="16"/>
        </w:rPr>
      </w:pPr>
      <w:r>
        <w:rPr>
          <w:snapToGrid w:val="0"/>
          <w:sz w:val="16"/>
        </w:rPr>
        <w:t>Signature(s)</w:t>
      </w:r>
    </w:p>
    <w:p>
      <w:pPr>
        <w:pStyle w:val="yTableNAm"/>
        <w:tabs>
          <w:tab w:val="left" w:pos="2760"/>
        </w:tabs>
        <w:spacing w:before="60"/>
        <w:rPr>
          <w:snapToGrid w:val="0"/>
          <w:sz w:val="16"/>
        </w:rPr>
      </w:pPr>
      <w:r>
        <w:rPr>
          <w:snapToGrid w:val="0"/>
          <w:sz w:val="16"/>
        </w:rPr>
        <w:t>________________________________</w:t>
      </w:r>
      <w:r>
        <w:rPr>
          <w:snapToGrid w:val="0"/>
          <w:sz w:val="16"/>
        </w:rPr>
        <w:tab/>
      </w:r>
      <w:r>
        <w:rPr>
          <w:snapToGrid w:val="0"/>
          <w:sz w:val="16"/>
        </w:rPr>
        <w:tab/>
        <w:t>Date: ____ / ____ / ____</w:t>
      </w:r>
      <w:r>
        <w:rPr>
          <w:snapToGrid w:val="0"/>
          <w:sz w:val="16"/>
        </w:rPr>
        <w:tab/>
      </w:r>
      <w:r>
        <w:rPr>
          <w:snapToGrid w:val="0"/>
          <w:sz w:val="16"/>
        </w:rPr>
        <w:tab/>
        <w:t>Ph No: _________________</w:t>
      </w:r>
    </w:p>
    <w:p>
      <w:pPr>
        <w:pStyle w:val="yTableNAm"/>
        <w:tabs>
          <w:tab w:val="left" w:pos="2760"/>
        </w:tabs>
        <w:spacing w:before="60"/>
        <w:rPr>
          <w:snapToGrid w:val="0"/>
          <w:sz w:val="16"/>
        </w:rPr>
      </w:pPr>
      <w:r>
        <w:rPr>
          <w:snapToGrid w:val="0"/>
          <w:sz w:val="16"/>
        </w:rPr>
        <w:t>________________________________</w:t>
      </w:r>
      <w:r>
        <w:rPr>
          <w:snapToGrid w:val="0"/>
          <w:sz w:val="16"/>
        </w:rPr>
        <w:tab/>
      </w:r>
      <w:r>
        <w:rPr>
          <w:snapToGrid w:val="0"/>
          <w:sz w:val="16"/>
        </w:rPr>
        <w:tab/>
        <w:t>Date: ____ / ____ / ____</w:t>
      </w:r>
      <w:r>
        <w:rPr>
          <w:snapToGrid w:val="0"/>
          <w:sz w:val="16"/>
        </w:rPr>
        <w:tab/>
      </w:r>
      <w:r>
        <w:rPr>
          <w:snapToGrid w:val="0"/>
          <w:sz w:val="16"/>
        </w:rPr>
        <w:tab/>
        <w:t>Ph No: _________________</w:t>
      </w:r>
    </w:p>
    <w:p>
      <w:pPr>
        <w:pStyle w:val="yTableNAm"/>
        <w:tabs>
          <w:tab w:val="left" w:pos="2760"/>
        </w:tabs>
        <w:spacing w:before="6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40"/>
        <w:gridCol w:w="2288"/>
      </w:tblGrid>
      <w:tr>
        <w:tc>
          <w:tcPr>
            <w:tcW w:w="1418" w:type="dxa"/>
            <w:tcBorders>
              <w:bottom w:val="nil"/>
            </w:tcBorders>
            <w:shd w:val="pct10" w:color="auto" w:fill="auto"/>
          </w:tcPr>
          <w:p>
            <w:pPr>
              <w:pStyle w:val="yTableNAm"/>
              <w:keepNext/>
              <w:keepLines/>
              <w:tabs>
                <w:tab w:val="left" w:pos="2760"/>
              </w:tabs>
              <w:spacing w:before="0"/>
              <w:rPr>
                <w:b/>
                <w:snapToGrid w:val="0"/>
                <w:sz w:val="16"/>
              </w:rPr>
            </w:pPr>
            <w:r>
              <w:rPr>
                <w:b/>
                <w:snapToGrid w:val="0"/>
                <w:sz w:val="16"/>
              </w:rPr>
              <w:t>FOR OFFICE</w:t>
            </w:r>
          </w:p>
        </w:tc>
        <w:tc>
          <w:tcPr>
            <w:tcW w:w="3240" w:type="dxa"/>
            <w:shd w:val="pct10" w:color="auto" w:fill="auto"/>
          </w:tcPr>
          <w:p>
            <w:pPr>
              <w:pStyle w:val="yTableNAm"/>
              <w:keepNext/>
              <w:keepLines/>
              <w:tabs>
                <w:tab w:val="left" w:pos="1572"/>
                <w:tab w:val="left" w:pos="2760"/>
              </w:tabs>
              <w:spacing w:before="0"/>
              <w:rPr>
                <w:b/>
                <w:snapToGrid w:val="0"/>
                <w:sz w:val="16"/>
              </w:rPr>
            </w:pPr>
            <w:r>
              <w:rPr>
                <w:b/>
                <w:snapToGrid w:val="0"/>
                <w:sz w:val="16"/>
              </w:rPr>
              <w:t>DATE RECEIVED:</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288" w:type="dxa"/>
            <w:shd w:val="pct10" w:color="auto" w:fill="auto"/>
          </w:tcPr>
          <w:p>
            <w:pPr>
              <w:pStyle w:val="yTableNAm"/>
              <w:keepNext/>
              <w:keepLines/>
              <w:tabs>
                <w:tab w:val="left" w:pos="2760"/>
              </w:tabs>
              <w:spacing w:before="0"/>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NAm"/>
              <w:tabs>
                <w:tab w:val="left" w:pos="2760"/>
              </w:tabs>
              <w:spacing w:before="0"/>
              <w:rPr>
                <w:b/>
                <w:snapToGrid w:val="0"/>
                <w:sz w:val="16"/>
              </w:rPr>
            </w:pPr>
            <w:r>
              <w:rPr>
                <w:b/>
                <w:snapToGrid w:val="0"/>
                <w:sz w:val="16"/>
              </w:rPr>
              <w:t>USE ONLY</w:t>
            </w:r>
          </w:p>
        </w:tc>
        <w:tc>
          <w:tcPr>
            <w:tcW w:w="3240" w:type="dxa"/>
            <w:shd w:val="pct10" w:color="auto" w:fill="auto"/>
          </w:tcPr>
          <w:p>
            <w:pPr>
              <w:pStyle w:val="yTableNAm"/>
              <w:tabs>
                <w:tab w:val="left" w:pos="1572"/>
                <w:tab w:val="left" w:pos="2760"/>
              </w:tabs>
              <w:spacing w:before="0"/>
              <w:rPr>
                <w:b/>
                <w:snapToGrid w:val="0"/>
                <w:sz w:val="16"/>
              </w:rPr>
            </w:pPr>
            <w:r>
              <w:rPr>
                <w:b/>
                <w:snapToGrid w:val="0"/>
                <w:sz w:val="16"/>
              </w:rPr>
              <w:t xml:space="preserve">DATE PAID: </w:t>
            </w:r>
            <w:r>
              <w:rPr>
                <w:b/>
                <w:snapToGrid w:val="0"/>
                <w:sz w:val="16"/>
              </w:rPr>
              <w:tab/>
            </w:r>
            <w:r>
              <w:rPr>
                <w:snapToGrid w:val="0"/>
                <w:sz w:val="16"/>
              </w:rPr>
              <w:t>____ / ____ / ____</w:t>
            </w:r>
          </w:p>
        </w:tc>
        <w:tc>
          <w:tcPr>
            <w:tcW w:w="2288" w:type="dxa"/>
            <w:shd w:val="pct10" w:color="auto" w:fill="auto"/>
          </w:tcPr>
          <w:p>
            <w:pPr>
              <w:pStyle w:val="yTableNAm"/>
              <w:tabs>
                <w:tab w:val="left" w:pos="2760"/>
              </w:tabs>
              <w:spacing w:before="0"/>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MiscellaneousBody"/>
        <w:pageBreakBefore/>
        <w:spacing w:before="0"/>
        <w:jc w:val="center"/>
        <w:rPr>
          <w:b/>
          <w:bCs/>
          <w:snapToGrid w:val="0"/>
        </w:rPr>
      </w:pPr>
      <w:r>
        <w:rPr>
          <w:b/>
          <w:bCs/>
          <w:snapToGrid w:val="0"/>
        </w:rPr>
        <w:t xml:space="preserve">Form </w:t>
      </w:r>
      <w:r>
        <w:rPr>
          <w:rStyle w:val="CharSClsNo"/>
          <w:b/>
        </w:rPr>
        <w:t>19A</w:t>
      </w:r>
    </w:p>
    <w:p>
      <w:pPr>
        <w:pStyle w:val="yMiscellaneousHeading"/>
        <w:rPr>
          <w:i/>
          <w:iCs/>
          <w:snapToGrid w:val="0"/>
          <w:sz w:val="20"/>
        </w:rPr>
      </w:pPr>
      <w:r>
        <w:rPr>
          <w:i/>
          <w:iCs/>
          <w:snapToGrid w:val="0"/>
          <w:sz w:val="20"/>
        </w:rPr>
        <w:t>Liquor Control Act 1988 </w:t>
      </w:r>
      <w:r>
        <w:rPr>
          <w:snapToGrid w:val="0"/>
          <w:sz w:val="20"/>
          <w:vertAlign w:val="superscript"/>
        </w:rPr>
        <w:t>2</w:t>
      </w:r>
    </w:p>
    <w:p>
      <w:pPr>
        <w:pStyle w:val="yShoulderClause"/>
        <w:spacing w:after="40"/>
        <w:rPr>
          <w:snapToGrid w:val="0"/>
          <w:sz w:val="20"/>
        </w:rPr>
      </w:pPr>
      <w:r>
        <w:rPr>
          <w:snapToGrid w:val="0"/>
          <w:sz w:val="20"/>
        </w:rPr>
        <w:t>[Regulation 19(1)]</w:t>
      </w:r>
    </w:p>
    <w:tbl>
      <w:tblPr>
        <w:tblW w:w="0" w:type="auto"/>
        <w:tblInd w:w="262" w:type="dxa"/>
        <w:tblLayout w:type="fixed"/>
        <w:tblCellMar>
          <w:left w:w="120" w:type="dxa"/>
          <w:right w:w="120" w:type="dxa"/>
        </w:tblCellMar>
        <w:tblLook w:val="0000" w:firstRow="0" w:lastRow="0" w:firstColumn="0" w:lastColumn="0" w:noHBand="0" w:noVBand="0"/>
      </w:tblPr>
      <w:tblGrid>
        <w:gridCol w:w="2511"/>
        <w:gridCol w:w="41"/>
        <w:gridCol w:w="379"/>
        <w:gridCol w:w="460"/>
        <w:gridCol w:w="436"/>
        <w:gridCol w:w="426"/>
        <w:gridCol w:w="425"/>
        <w:gridCol w:w="236"/>
        <w:gridCol w:w="47"/>
        <w:gridCol w:w="142"/>
        <w:gridCol w:w="425"/>
        <w:gridCol w:w="66"/>
        <w:gridCol w:w="142"/>
        <w:gridCol w:w="218"/>
        <w:gridCol w:w="992"/>
      </w:tblGrid>
      <w:tr>
        <w:tc>
          <w:tcPr>
            <w:tcW w:w="6946"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NAm"/>
              <w:spacing w:before="60"/>
              <w:jc w:val="center"/>
              <w:rPr>
                <w:b/>
                <w:bCs/>
                <w:sz w:val="20"/>
              </w:rPr>
            </w:pPr>
            <w:r>
              <w:rPr>
                <w:b/>
                <w:bCs/>
                <w:sz w:val="20"/>
              </w:rPr>
              <w:t>Application for Liquor Subsidy — Low Alcohol</w:t>
            </w:r>
          </w:p>
          <w:p>
            <w:pPr>
              <w:pStyle w:val="yTableNAm"/>
              <w:spacing w:before="60"/>
              <w:jc w:val="center"/>
              <w:rPr>
                <w:spacing w:val="-2"/>
              </w:rPr>
            </w:pPr>
            <w:r>
              <w:rPr>
                <w:spacing w:val="-2"/>
                <w:sz w:val="20"/>
              </w:rPr>
              <w:t>(WA Wholesalers/Beer Producers)</w:t>
            </w:r>
          </w:p>
        </w:tc>
      </w:tr>
      <w:tr>
        <w:tc>
          <w:tcPr>
            <w:tcW w:w="2552" w:type="dxa"/>
            <w:gridSpan w:val="2"/>
          </w:tcPr>
          <w:p>
            <w:pPr>
              <w:pStyle w:val="yTableNAm"/>
              <w:spacing w:before="60"/>
              <w:rPr>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552"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1.</w:t>
            </w:r>
            <w:r>
              <w:rPr>
                <w:b/>
                <w:bCs/>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hRule="exact" w:val="226"/>
        </w:trPr>
        <w:tc>
          <w:tcPr>
            <w:tcW w:w="2552" w:type="dxa"/>
            <w:gridSpan w:val="2"/>
          </w:tcPr>
          <w:p>
            <w:pPr>
              <w:pStyle w:val="yTableNAm"/>
              <w:tabs>
                <w:tab w:val="clear" w:pos="567"/>
                <w:tab w:val="left" w:pos="338"/>
              </w:tabs>
              <w:spacing w:before="60"/>
              <w:ind w:left="340" w:hanging="340"/>
              <w:rPr>
                <w:b/>
                <w:bCs/>
                <w:spacing w:val="-2"/>
                <w:sz w:val="16"/>
              </w:rPr>
            </w:pPr>
          </w:p>
        </w:tc>
        <w:tc>
          <w:tcPr>
            <w:tcW w:w="3042" w:type="dxa"/>
            <w:gridSpan w:val="10"/>
            <w:tcBorders>
              <w:top w:val="single" w:sz="8" w:space="0" w:color="auto"/>
              <w:bottom w:val="single" w:sz="8" w:space="0" w:color="auto"/>
            </w:tcBorders>
          </w:tcPr>
          <w:p>
            <w:pPr>
              <w:pStyle w:val="yTableNAm"/>
              <w:spacing w:before="0"/>
              <w:jc w:val="center"/>
              <w:rPr>
                <w:spacing w:val="-2"/>
                <w:sz w:val="16"/>
              </w:rPr>
            </w:pPr>
            <w:r>
              <w:rPr>
                <w:spacing w:val="-2"/>
                <w:sz w:val="16"/>
              </w:rPr>
              <w:t>Month/Quarter</w:t>
            </w:r>
          </w:p>
        </w:tc>
        <w:tc>
          <w:tcPr>
            <w:tcW w:w="1352" w:type="dxa"/>
            <w:gridSpan w:val="3"/>
            <w:tcBorders>
              <w:top w:val="single" w:sz="8" w:space="0" w:color="auto"/>
              <w:bottom w:val="single" w:sz="8" w:space="0" w:color="auto"/>
            </w:tcBorders>
          </w:tcPr>
          <w:p>
            <w:pPr>
              <w:pStyle w:val="yTableNAm"/>
              <w:spacing w:before="0"/>
              <w:jc w:val="center"/>
              <w:rPr>
                <w:spacing w:val="-2"/>
                <w:sz w:val="16"/>
              </w:rPr>
            </w:pPr>
            <w:r>
              <w:rPr>
                <w:spacing w:val="-2"/>
                <w:sz w:val="16"/>
              </w:rPr>
              <w:t>Year</w:t>
            </w:r>
          </w:p>
          <w:p>
            <w:pPr>
              <w:pStyle w:val="yTableNAm"/>
              <w:spacing w:before="0"/>
              <w:rPr>
                <w:spacing w:val="-2"/>
                <w:sz w:val="16"/>
              </w:rPr>
            </w:pPr>
          </w:p>
        </w:tc>
      </w:tr>
      <w:tr>
        <w:trPr>
          <w:cantSplit/>
        </w:trPr>
        <w:tc>
          <w:tcPr>
            <w:tcW w:w="2552"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2.</w:t>
            </w:r>
            <w:r>
              <w:rPr>
                <w:b/>
                <w:bCs/>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NAm"/>
              <w:spacing w:before="60"/>
              <w:rPr>
                <w:spacing w:val="-2"/>
                <w:sz w:val="16"/>
              </w:rPr>
            </w:pPr>
          </w:p>
        </w:tc>
        <w:tc>
          <w:tcPr>
            <w:tcW w:w="1352" w:type="dxa"/>
            <w:gridSpan w:val="3"/>
            <w:tcBorders>
              <w:top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552" w:type="dxa"/>
            <w:gridSpan w:val="2"/>
          </w:tcPr>
          <w:p>
            <w:pPr>
              <w:pStyle w:val="yTableNAm"/>
              <w:tabs>
                <w:tab w:val="clear" w:pos="567"/>
                <w:tab w:val="left" w:pos="338"/>
              </w:tabs>
              <w:spacing w:before="60"/>
              <w:ind w:left="340" w:hanging="340"/>
              <w:rPr>
                <w:b/>
                <w:bCs/>
                <w:spacing w:val="-2"/>
                <w:sz w:val="16"/>
              </w:rPr>
            </w:pPr>
          </w:p>
        </w:tc>
        <w:tc>
          <w:tcPr>
            <w:tcW w:w="2362" w:type="dxa"/>
            <w:gridSpan w:val="6"/>
            <w:tcBorders>
              <w:top w:val="single" w:sz="8" w:space="0" w:color="auto"/>
            </w:tcBorders>
          </w:tcPr>
          <w:p>
            <w:pPr>
              <w:pStyle w:val="yTableNAm"/>
              <w:spacing w:before="60"/>
              <w:rPr>
                <w:spacing w:val="-2"/>
                <w:sz w:val="16"/>
              </w:rPr>
            </w:pPr>
          </w:p>
        </w:tc>
        <w:tc>
          <w:tcPr>
            <w:tcW w:w="680" w:type="dxa"/>
            <w:gridSpan w:val="4"/>
            <w:tcBorders>
              <w:top w:val="single" w:sz="8" w:space="0" w:color="auto"/>
            </w:tcBorders>
          </w:tcPr>
          <w:p>
            <w:pPr>
              <w:pStyle w:val="yTableNAm"/>
              <w:spacing w:before="60"/>
              <w:rPr>
                <w:spacing w:val="-2"/>
                <w:sz w:val="16"/>
              </w:rPr>
            </w:pPr>
          </w:p>
        </w:tc>
        <w:tc>
          <w:tcPr>
            <w:tcW w:w="1352" w:type="dxa"/>
            <w:gridSpan w:val="3"/>
            <w:tcBorders>
              <w:top w:val="single" w:sz="8" w:space="0" w:color="auto"/>
            </w:tcBorders>
          </w:tcPr>
          <w:p>
            <w:pPr>
              <w:pStyle w:val="yTableNAm"/>
              <w:spacing w:before="60"/>
              <w:rPr>
                <w:spacing w:val="-2"/>
                <w:sz w:val="16"/>
              </w:rPr>
            </w:pPr>
          </w:p>
        </w:tc>
      </w:tr>
      <w:tr>
        <w:trPr>
          <w:gridAfter w:val="1"/>
          <w:wAfter w:w="992" w:type="dxa"/>
          <w:cantSplit/>
        </w:trPr>
        <w:tc>
          <w:tcPr>
            <w:tcW w:w="2552"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3.</w:t>
            </w:r>
            <w:r>
              <w:rPr>
                <w:b/>
                <w:bCs/>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552" w:type="dxa"/>
            <w:gridSpan w:val="2"/>
          </w:tcPr>
          <w:p>
            <w:pPr>
              <w:pStyle w:val="yTableNAm"/>
              <w:tabs>
                <w:tab w:val="clear" w:pos="567"/>
                <w:tab w:val="left" w:pos="338"/>
              </w:tabs>
              <w:spacing w:before="60"/>
              <w:ind w:left="340" w:hanging="340"/>
              <w:rPr>
                <w:b/>
                <w:bCs/>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552"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4.</w:t>
            </w:r>
            <w:r>
              <w:rPr>
                <w:b/>
                <w:bCs/>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552" w:type="dxa"/>
            <w:gridSpan w:val="2"/>
          </w:tcPr>
          <w:p>
            <w:pPr>
              <w:pStyle w:val="yTableNAm"/>
              <w:tabs>
                <w:tab w:val="clear" w:pos="567"/>
                <w:tab w:val="left" w:pos="338"/>
              </w:tabs>
              <w:spacing w:before="60"/>
              <w:ind w:left="340" w:hanging="340"/>
              <w:rPr>
                <w:b/>
                <w:bCs/>
                <w:spacing w:val="-2"/>
                <w:sz w:val="16"/>
              </w:rPr>
            </w:pPr>
          </w:p>
        </w:tc>
        <w:tc>
          <w:tcPr>
            <w:tcW w:w="2362" w:type="dxa"/>
            <w:gridSpan w:val="6"/>
            <w:tcBorders>
              <w:top w:val="single" w:sz="8" w:space="0" w:color="auto"/>
              <w:bottom w:val="single" w:sz="8" w:space="0" w:color="auto"/>
            </w:tcBorders>
          </w:tcPr>
          <w:p>
            <w:pPr>
              <w:pStyle w:val="yTableNAm"/>
              <w:spacing w:before="60"/>
              <w:rPr>
                <w:spacing w:val="-2"/>
                <w:sz w:val="16"/>
              </w:rPr>
            </w:pPr>
          </w:p>
        </w:tc>
        <w:tc>
          <w:tcPr>
            <w:tcW w:w="680" w:type="dxa"/>
            <w:gridSpan w:val="4"/>
            <w:tcBorders>
              <w:top w:val="single" w:sz="8" w:space="0" w:color="auto"/>
              <w:bottom w:val="single" w:sz="8" w:space="0" w:color="auto"/>
            </w:tcBorders>
          </w:tcPr>
          <w:p>
            <w:pPr>
              <w:pStyle w:val="yTableNAm"/>
              <w:spacing w:before="60"/>
              <w:rPr>
                <w:spacing w:val="-2"/>
                <w:sz w:val="16"/>
              </w:rPr>
            </w:pPr>
          </w:p>
        </w:tc>
        <w:tc>
          <w:tcPr>
            <w:tcW w:w="1352" w:type="dxa"/>
            <w:gridSpan w:val="3"/>
            <w:tcBorders>
              <w:top w:val="single" w:sz="8" w:space="0" w:color="auto"/>
              <w:bottom w:val="single" w:sz="8" w:space="0" w:color="auto"/>
            </w:tcBorders>
          </w:tcPr>
          <w:p>
            <w:pPr>
              <w:pStyle w:val="yTableNAm"/>
              <w:spacing w:before="60"/>
              <w:rPr>
                <w:spacing w:val="-2"/>
                <w:sz w:val="16"/>
              </w:rPr>
            </w:pPr>
          </w:p>
        </w:tc>
      </w:tr>
      <w:tr>
        <w:trPr>
          <w:cantSplit/>
        </w:trPr>
        <w:tc>
          <w:tcPr>
            <w:tcW w:w="2552"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5.</w:t>
            </w:r>
            <w:r>
              <w:rPr>
                <w:b/>
                <w:bCs/>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cantSplit/>
        </w:trPr>
        <w:tc>
          <w:tcPr>
            <w:tcW w:w="2552" w:type="dxa"/>
            <w:gridSpan w:val="2"/>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ab/>
              <w:t>ADDRESS OF LICENSED</w:t>
            </w:r>
          </w:p>
          <w:p>
            <w:pPr>
              <w:pStyle w:val="yTableNAm"/>
              <w:tabs>
                <w:tab w:val="left" w:pos="338"/>
              </w:tabs>
              <w:spacing w:before="0"/>
              <w:ind w:left="340" w:hanging="340"/>
              <w:rPr>
                <w:b/>
                <w:bCs/>
                <w:spacing w:val="-2"/>
                <w:sz w:val="16"/>
              </w:rPr>
            </w:pPr>
            <w:r>
              <w:rPr>
                <w:b/>
                <w:bCs/>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cantSplit/>
        </w:trPr>
        <w:tc>
          <w:tcPr>
            <w:tcW w:w="2552" w:type="dxa"/>
            <w:gridSpan w:val="2"/>
            <w:vMerge/>
            <w:tcBorders>
              <w:right w:val="single" w:sz="8" w:space="0" w:color="auto"/>
            </w:tcBorders>
          </w:tcPr>
          <w:p>
            <w:pPr>
              <w:pStyle w:val="yTableNAm"/>
              <w:tabs>
                <w:tab w:val="clear" w:pos="567"/>
                <w:tab w:val="left" w:pos="338"/>
              </w:tabs>
              <w:spacing w:before="60"/>
              <w:ind w:left="340" w:hanging="340"/>
              <w:rPr>
                <w:b/>
                <w:bCs/>
                <w:spacing w:val="-2"/>
                <w:sz w:val="16"/>
              </w:rPr>
            </w:pP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val="226"/>
        </w:trPr>
        <w:tc>
          <w:tcPr>
            <w:tcW w:w="2552" w:type="dxa"/>
            <w:gridSpan w:val="2"/>
          </w:tcPr>
          <w:p>
            <w:pPr>
              <w:pStyle w:val="yTableNAm"/>
              <w:tabs>
                <w:tab w:val="clear" w:pos="567"/>
                <w:tab w:val="left" w:pos="338"/>
              </w:tabs>
              <w:spacing w:before="60"/>
              <w:ind w:left="340" w:hanging="340"/>
              <w:rPr>
                <w:b/>
                <w:bCs/>
                <w:spacing w:val="-2"/>
                <w:sz w:val="16"/>
              </w:rPr>
            </w:pPr>
          </w:p>
        </w:tc>
        <w:tc>
          <w:tcPr>
            <w:tcW w:w="2409" w:type="dxa"/>
            <w:gridSpan w:val="7"/>
            <w:tcBorders>
              <w:top w:val="single" w:sz="8" w:space="0" w:color="auto"/>
            </w:tcBorders>
          </w:tcPr>
          <w:p>
            <w:pPr>
              <w:pStyle w:val="yTableNAm"/>
              <w:spacing w:before="60"/>
              <w:rPr>
                <w:spacing w:val="-2"/>
                <w:sz w:val="16"/>
              </w:rPr>
            </w:pPr>
          </w:p>
        </w:tc>
        <w:tc>
          <w:tcPr>
            <w:tcW w:w="1985" w:type="dxa"/>
            <w:gridSpan w:val="6"/>
            <w:tcBorders>
              <w:top w:val="single" w:sz="8" w:space="0" w:color="auto"/>
            </w:tcBorders>
          </w:tcPr>
          <w:p>
            <w:pPr>
              <w:pStyle w:val="yTableNAm"/>
              <w:spacing w:before="0" w:after="60"/>
              <w:jc w:val="center"/>
              <w:rPr>
                <w:spacing w:val="-2"/>
                <w:sz w:val="16"/>
              </w:rPr>
            </w:pPr>
            <w:r>
              <w:rPr>
                <w:spacing w:val="-2"/>
                <w:sz w:val="16"/>
              </w:rPr>
              <w:t>Postcode</w:t>
            </w:r>
          </w:p>
        </w:tc>
      </w:tr>
      <w:tr>
        <w:trPr>
          <w:cantSplit/>
        </w:trPr>
        <w:tc>
          <w:tcPr>
            <w:tcW w:w="2511" w:type="dxa"/>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6.</w:t>
            </w:r>
            <w:r>
              <w:rPr>
                <w:b/>
                <w:bCs/>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w:t>
            </w:r>
          </w:p>
        </w:tc>
      </w:tr>
      <w:tr>
        <w:trPr>
          <w:cantSplit/>
        </w:trPr>
        <w:tc>
          <w:tcPr>
            <w:tcW w:w="2511" w:type="dxa"/>
            <w:vMerge/>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w:t>
            </w:r>
          </w:p>
        </w:tc>
      </w:tr>
      <w:tr>
        <w:tc>
          <w:tcPr>
            <w:tcW w:w="2511" w:type="dxa"/>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b/>
                <w:bCs/>
                <w:spacing w:val="-2"/>
                <w:sz w:val="16"/>
              </w:rPr>
            </w:pPr>
            <w:r>
              <w:rPr>
                <w:b/>
                <w:bCs/>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spacing w:val="-2"/>
                <w:sz w:val="16"/>
              </w:rPr>
            </w:pPr>
            <w:r>
              <w:rPr>
                <w:spacing w:val="-2"/>
                <w:sz w:val="16"/>
              </w:rPr>
              <w:t>$</w:t>
            </w:r>
          </w:p>
        </w:tc>
      </w:tr>
      <w:tr>
        <w:tc>
          <w:tcPr>
            <w:tcW w:w="2511" w:type="dxa"/>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7.</w:t>
            </w:r>
            <w:r>
              <w:rPr>
                <w:b/>
                <w:bCs/>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p>
            <w:pPr>
              <w:pStyle w:val="yTableNAm"/>
              <w:spacing w:before="0"/>
              <w:rPr>
                <w:spacing w:val="-2"/>
                <w:sz w:val="16"/>
              </w:rPr>
            </w:pPr>
            <w:r>
              <w:rPr>
                <w:spacing w:val="-2"/>
                <w:sz w:val="16"/>
              </w:rPr>
              <w:t>$</w:t>
            </w:r>
          </w:p>
        </w:tc>
      </w:tr>
      <w:tr>
        <w:tc>
          <w:tcPr>
            <w:tcW w:w="2511" w:type="dxa"/>
            <w:tcBorders>
              <w:right w:val="single" w:sz="8" w:space="0" w:color="auto"/>
            </w:tcBorders>
          </w:tcPr>
          <w:p>
            <w:pPr>
              <w:pStyle w:val="yTableNAm"/>
              <w:spacing w:before="60"/>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b/>
                <w:bCs/>
                <w:spacing w:val="-2"/>
                <w:sz w:val="16"/>
              </w:rPr>
            </w:pPr>
            <w:r>
              <w:rPr>
                <w:b/>
                <w:bCs/>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spacing w:val="-2"/>
                <w:sz w:val="16"/>
              </w:rPr>
            </w:pPr>
            <w:r>
              <w:rPr>
                <w:spacing w:val="-2"/>
                <w:sz w:val="16"/>
              </w:rPr>
              <w:t>$</w:t>
            </w:r>
          </w:p>
        </w:tc>
      </w:tr>
    </w:tbl>
    <w:p>
      <w:pPr>
        <w:pStyle w:val="yTableNAm"/>
        <w:spacing w:before="0"/>
        <w:rPr>
          <w:snapToGrid w:val="0"/>
          <w:sz w:val="16"/>
        </w:rPr>
      </w:pPr>
    </w:p>
    <w:p>
      <w:pPr>
        <w:pStyle w:val="yMiscellaneousBody"/>
        <w:spacing w:before="60" w:after="60"/>
        <w:ind w:left="119"/>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NAm"/>
              <w:rPr>
                <w:sz w:val="16"/>
              </w:rPr>
            </w:pPr>
            <w:r>
              <w:rPr>
                <w:sz w:val="16"/>
              </w:rPr>
              <w:t>BANK NAME:</w:t>
            </w:r>
          </w:p>
        </w:tc>
        <w:tc>
          <w:tcPr>
            <w:tcW w:w="1985"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1559" w:type="dxa"/>
            <w:tcBorders>
              <w:left w:val="single" w:sz="8" w:space="0" w:color="auto"/>
              <w:right w:val="single" w:sz="8" w:space="0" w:color="auto"/>
            </w:tcBorders>
          </w:tcPr>
          <w:p>
            <w:pPr>
              <w:pStyle w:val="yTableNAm"/>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tbl>
      <w:tblPr>
        <w:tblW w:w="0" w:type="auto"/>
        <w:tblInd w:w="262" w:type="dxa"/>
        <w:tblLayout w:type="fixed"/>
        <w:tblCellMar>
          <w:left w:w="120" w:type="dxa"/>
          <w:right w:w="120" w:type="dxa"/>
        </w:tblCellMar>
        <w:tblLook w:val="0000" w:firstRow="0" w:lastRow="0" w:firstColumn="0" w:lastColumn="0" w:noHBand="0" w:noVBand="0"/>
      </w:tblPr>
      <w:tblGrid>
        <w:gridCol w:w="1701"/>
        <w:gridCol w:w="1985"/>
        <w:gridCol w:w="1559"/>
        <w:gridCol w:w="1701"/>
      </w:tblGrid>
      <w:tr>
        <w:tc>
          <w:tcPr>
            <w:tcW w:w="1701" w:type="dxa"/>
            <w:tcBorders>
              <w:right w:val="single" w:sz="8" w:space="0" w:color="auto"/>
            </w:tcBorders>
          </w:tcPr>
          <w:p>
            <w:pPr>
              <w:pStyle w:val="yTableNAm"/>
              <w:rPr>
                <w:sz w:val="16"/>
              </w:rPr>
            </w:pPr>
            <w:r>
              <w:rPr>
                <w:sz w:val="16"/>
              </w:rPr>
              <w:t>BSB No.</w:t>
            </w:r>
          </w:p>
        </w:tc>
        <w:tc>
          <w:tcPr>
            <w:tcW w:w="1985"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1559" w:type="dxa"/>
            <w:tcBorders>
              <w:left w:val="single" w:sz="8" w:space="0" w:color="auto"/>
              <w:right w:val="single" w:sz="8" w:space="0" w:color="auto"/>
            </w:tcBorders>
          </w:tcPr>
          <w:p>
            <w:pPr>
              <w:pStyle w:val="yTableNAm"/>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p>
      <w:pPr>
        <w:pStyle w:val="yTableNAm"/>
        <w:spacing w:before="0"/>
        <w:rPr>
          <w:snapToGrid w:val="0"/>
          <w:sz w:val="16"/>
        </w:rPr>
      </w:pPr>
    </w:p>
    <w:tbl>
      <w:tblPr>
        <w:tblW w:w="0" w:type="auto"/>
        <w:tblInd w:w="250" w:type="dxa"/>
        <w:tblLayout w:type="fixed"/>
        <w:tblLook w:val="0000" w:firstRow="0" w:lastRow="0" w:firstColumn="0" w:lastColumn="0" w:noHBand="0" w:noVBand="0"/>
      </w:tblPr>
      <w:tblGrid>
        <w:gridCol w:w="5245"/>
        <w:gridCol w:w="1701"/>
      </w:tblGrid>
      <w:tr>
        <w:trPr>
          <w:cantSplit/>
        </w:trPr>
        <w:tc>
          <w:tcPr>
            <w:tcW w:w="6946" w:type="dxa"/>
            <w:gridSpan w:val="2"/>
          </w:tcPr>
          <w:p>
            <w:pPr>
              <w:pStyle w:val="yTableNAm"/>
              <w:keepNext/>
              <w:keepLines/>
              <w:spacing w:before="0"/>
              <w:rPr>
                <w:snapToGrid w:val="0"/>
                <w:sz w:val="16"/>
              </w:rPr>
            </w:pPr>
            <w:r>
              <w:rPr>
                <w:b/>
                <w:bCs/>
                <w:snapToGrid w:val="0"/>
                <w:sz w:val="16"/>
              </w:rPr>
              <w:t>8.</w:t>
            </w:r>
            <w:r>
              <w:rPr>
                <w:b/>
                <w:bCs/>
                <w:snapToGrid w:val="0"/>
                <w:sz w:val="16"/>
              </w:rPr>
              <w:tab/>
              <w:t>DECLARATION:</w:t>
            </w:r>
            <w:r>
              <w:rPr>
                <w:snapToGrid w:val="0"/>
                <w:sz w:val="16"/>
              </w:rPr>
              <w:t xml:space="preserve">  I, _______________________________________________ certify that:</w:t>
            </w:r>
          </w:p>
          <w:p>
            <w:pPr>
              <w:pStyle w:val="yTableNAm"/>
              <w:keepNext/>
              <w:keepLines/>
              <w:spacing w:before="0"/>
              <w:jc w:val="center"/>
              <w:rPr>
                <w:snapToGrid w:val="0"/>
                <w:sz w:val="16"/>
              </w:rPr>
            </w:pPr>
            <w:r>
              <w:rPr>
                <w:snapToGrid w:val="0"/>
                <w:sz w:val="16"/>
              </w:rPr>
              <w:t>name of licensee</w:t>
            </w:r>
          </w:p>
        </w:tc>
      </w:tr>
      <w:tr>
        <w:trPr>
          <w:cantSplit/>
        </w:trPr>
        <w:tc>
          <w:tcPr>
            <w:tcW w:w="5245" w:type="dxa"/>
          </w:tcPr>
          <w:p>
            <w:pPr>
              <w:pStyle w:val="yTableNAm"/>
              <w:keepNext/>
              <w:tabs>
                <w:tab w:val="clear" w:pos="567"/>
                <w:tab w:val="left" w:pos="350"/>
              </w:tabs>
              <w:ind w:left="350" w:hanging="350"/>
              <w:rPr>
                <w:snapToGrid w:val="0"/>
                <w:sz w:val="16"/>
              </w:rPr>
            </w:pPr>
            <w:r>
              <w:rPr>
                <w:snapToGrid w:val="0"/>
                <w:sz w:val="16"/>
              </w:rPr>
              <w:t>(a)</w:t>
            </w:r>
            <w:r>
              <w:rPr>
                <w:snapToGrid w:val="0"/>
                <w:sz w:val="16"/>
              </w:rPr>
              <w:tab/>
              <w:t>I am the licensee of the above named premises; and</w:t>
            </w:r>
          </w:p>
          <w:p>
            <w:pPr>
              <w:pStyle w:val="yTableNAm"/>
              <w:keepNext/>
              <w:tabs>
                <w:tab w:val="clear" w:pos="567"/>
                <w:tab w:val="left" w:pos="350"/>
              </w:tabs>
              <w:ind w:left="350" w:hanging="350"/>
              <w:rPr>
                <w:snapToGrid w:val="0"/>
                <w:sz w:val="16"/>
              </w:rPr>
            </w:pPr>
            <w:r>
              <w:rPr>
                <w:snapToGrid w:val="0"/>
                <w:sz w:val="16"/>
              </w:rPr>
              <w:t>(b)</w:t>
            </w:r>
            <w:r>
              <w:rPr>
                <w:snapToGrid w:val="0"/>
                <w:sz w:val="16"/>
              </w:rPr>
              <w:tab/>
              <w:t>the claim I am making for liquor subsidy is complete, true and correct; and</w:t>
            </w:r>
          </w:p>
          <w:p>
            <w:pPr>
              <w:pStyle w:val="yTableNAm"/>
              <w:keepNext/>
              <w:tabs>
                <w:tab w:val="clear" w:pos="567"/>
                <w:tab w:val="left" w:pos="350"/>
              </w:tabs>
              <w:ind w:left="350" w:hanging="350"/>
              <w:rPr>
                <w:snapToGrid w:val="0"/>
                <w:sz w:val="16"/>
              </w:rPr>
            </w:pPr>
            <w:r>
              <w:rPr>
                <w:snapToGrid w:val="0"/>
                <w:sz w:val="16"/>
              </w:rPr>
              <w:t>(c)</w:t>
            </w:r>
            <w:r>
              <w:rPr>
                <w:snapToGrid w:val="0"/>
                <w:sz w:val="16"/>
              </w:rPr>
              <w:tab/>
              <w:t>I have all the necessary records to provide information to substantiate my claim; and</w:t>
            </w:r>
          </w:p>
        </w:tc>
        <w:tc>
          <w:tcPr>
            <w:tcW w:w="1701" w:type="dxa"/>
            <w:shd w:val="clear" w:color="auto" w:fill="000000"/>
          </w:tcPr>
          <w:p>
            <w:pPr>
              <w:pStyle w:val="yTableNAm"/>
              <w:keepNext/>
              <w:keepLines/>
              <w:spacing w:before="100" w:after="40"/>
              <w:jc w:val="center"/>
              <w:rPr>
                <w:snapToGrid w:val="0"/>
                <w:sz w:val="16"/>
              </w:rPr>
            </w:pPr>
            <w:r>
              <w:rPr>
                <w:snapToGrid w:val="0"/>
                <w:sz w:val="16"/>
              </w:rPr>
              <w:t>WARNING</w:t>
            </w:r>
          </w:p>
          <w:p>
            <w:pPr>
              <w:pStyle w:val="yTableNAm"/>
              <w:keepNext/>
              <w:keepLines/>
              <w:spacing w:before="0"/>
              <w:jc w:val="center"/>
              <w:rPr>
                <w:snapToGrid w:val="0"/>
                <w:sz w:val="16"/>
              </w:rPr>
            </w:pPr>
            <w:r>
              <w:rPr>
                <w:snapToGrid w:val="0"/>
                <w:sz w:val="16"/>
              </w:rPr>
              <w:t>Penalties apply if you provide false or misleading information</w:t>
            </w:r>
          </w:p>
        </w:tc>
      </w:tr>
      <w:tr>
        <w:trPr>
          <w:cantSplit/>
        </w:trPr>
        <w:tc>
          <w:tcPr>
            <w:tcW w:w="5245" w:type="dxa"/>
          </w:tcPr>
          <w:p>
            <w:pPr>
              <w:pStyle w:val="yTableNAm"/>
              <w:tabs>
                <w:tab w:val="clear" w:pos="567"/>
                <w:tab w:val="left" w:pos="350"/>
              </w:tabs>
              <w:ind w:left="350" w:hanging="350"/>
              <w:rPr>
                <w:snapToGrid w:val="0"/>
                <w:sz w:val="16"/>
              </w:rPr>
            </w:pPr>
            <w:r>
              <w:rPr>
                <w:snapToGrid w:val="0"/>
                <w:sz w:val="16"/>
              </w:rPr>
              <w:t>(d)</w:t>
            </w:r>
            <w:r>
              <w:rPr>
                <w:snapToGrid w:val="0"/>
                <w:sz w:val="16"/>
              </w:rPr>
              <w:tab/>
              <w:t>I will provide information to substantiate my claim, if requested, at any time by the relevant authorities; and</w:t>
            </w:r>
          </w:p>
          <w:p>
            <w:pPr>
              <w:pStyle w:val="yTableNAm"/>
              <w:tabs>
                <w:tab w:val="clear" w:pos="567"/>
                <w:tab w:val="left" w:pos="350"/>
              </w:tabs>
              <w:ind w:left="350" w:hanging="350"/>
              <w:rPr>
                <w:snapToGrid w:val="0"/>
                <w:sz w:val="16"/>
              </w:rPr>
            </w:pPr>
            <w:r>
              <w:rPr>
                <w:snapToGrid w:val="0"/>
                <w:sz w:val="16"/>
              </w:rPr>
              <w:t>(e)</w:t>
            </w:r>
            <w:r>
              <w:rPr>
                <w:snapToGrid w:val="0"/>
                <w:sz w:val="16"/>
              </w:rPr>
              <w:tab/>
              <w:t>I have prepared and issued invoices reflecting the liquor subsidy; and</w:t>
            </w:r>
          </w:p>
          <w:p>
            <w:pPr>
              <w:pStyle w:val="yTableNAm"/>
              <w:tabs>
                <w:tab w:val="clear" w:pos="567"/>
                <w:tab w:val="left" w:pos="350"/>
              </w:tabs>
              <w:ind w:left="350" w:hanging="350"/>
              <w:rPr>
                <w:snapToGrid w:val="0"/>
                <w:sz w:val="16"/>
              </w:rPr>
            </w:pPr>
            <w:r>
              <w:rPr>
                <w:snapToGrid w:val="0"/>
                <w:sz w:val="16"/>
              </w:rPr>
              <w:t>(f)</w:t>
            </w:r>
            <w:r>
              <w:rPr>
                <w:snapToGrid w:val="0"/>
                <w:sz w:val="16"/>
              </w:rPr>
              <w:tab/>
              <w:t>my prices to my customers incorporate the amount of the subsidy.</w:t>
            </w:r>
          </w:p>
        </w:tc>
        <w:tc>
          <w:tcPr>
            <w:tcW w:w="1701" w:type="dxa"/>
          </w:tcPr>
          <w:p>
            <w:pPr>
              <w:pStyle w:val="yTableNAm"/>
              <w:rPr>
                <w:snapToGrid w:val="0"/>
                <w:color w:val="FFFFFF"/>
                <w:sz w:val="16"/>
              </w:rPr>
            </w:pPr>
          </w:p>
        </w:tc>
      </w:tr>
    </w:tbl>
    <w:p>
      <w:pPr>
        <w:pStyle w:val="yTableNAm"/>
        <w:spacing w:before="160"/>
        <w:ind w:left="119"/>
        <w:rPr>
          <w:b/>
          <w:bCs/>
          <w:snapToGrid w:val="0"/>
          <w:sz w:val="16"/>
        </w:rPr>
      </w:pPr>
      <w:r>
        <w:rPr>
          <w:b/>
          <w:bCs/>
          <w:snapToGrid w:val="0"/>
          <w:sz w:val="16"/>
        </w:rPr>
        <w:t>WHERE THE LICENSEE IS A COMPANY:</w:t>
      </w:r>
    </w:p>
    <w:p>
      <w:pPr>
        <w:pStyle w:val="yTableNAm"/>
        <w:spacing w:before="60"/>
        <w:ind w:left="119"/>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ind w:left="120" w:right="848"/>
        <w:jc w:val="right"/>
        <w:rPr>
          <w:spacing w:val="-2"/>
          <w:sz w:val="16"/>
        </w:rPr>
      </w:pPr>
      <w:r>
        <w:rPr>
          <w:snapToGrid w:val="0"/>
          <w:sz w:val="16"/>
        </w:rPr>
        <w:tab/>
      </w:r>
      <w:r>
        <w:rPr>
          <w:noProof/>
          <w:spacing w:val="-2"/>
          <w:sz w:val="16"/>
          <w:lang w:eastAsia="en-AU"/>
        </w:rPr>
        <w:drawing>
          <wp:inline distT="0" distB="0" distL="0" distR="0">
            <wp:extent cx="774700" cy="660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spacing w:before="60"/>
        <w:ind w:left="119"/>
        <w:rPr>
          <w:snapToGrid w:val="0"/>
          <w:sz w:val="16"/>
        </w:rPr>
      </w:pPr>
      <w:r>
        <w:rPr>
          <w:snapToGrid w:val="0"/>
          <w:sz w:val="16"/>
        </w:rPr>
        <w:t>Name and Signature of Director(s)</w:t>
      </w:r>
      <w:r>
        <w:rPr>
          <w:snapToGrid w:val="0"/>
          <w:sz w:val="16"/>
        </w:rPr>
        <w:tab/>
      </w:r>
      <w:r>
        <w:rPr>
          <w:snapToGrid w:val="0"/>
          <w:sz w:val="16"/>
        </w:rPr>
        <w:tab/>
      </w:r>
      <w:r>
        <w:rPr>
          <w:snapToGrid w:val="0"/>
          <w:sz w:val="16"/>
        </w:rPr>
        <w:tab/>
      </w:r>
      <w:r>
        <w:rPr>
          <w:snapToGrid w:val="0"/>
          <w:sz w:val="16"/>
        </w:rPr>
        <w:tab/>
      </w:r>
      <w:r>
        <w:rPr>
          <w:snapToGrid w:val="0"/>
          <w:sz w:val="16"/>
        </w:rPr>
        <w:tab/>
        <w:t>Common Seal</w:t>
      </w:r>
    </w:p>
    <w:p>
      <w:pPr>
        <w:pStyle w:val="yTableNAm"/>
        <w:tabs>
          <w:tab w:val="left" w:pos="3000"/>
        </w:tabs>
        <w:ind w:left="12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3000"/>
        </w:tabs>
        <w:ind w:left="12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160"/>
        <w:ind w:left="119"/>
        <w:rPr>
          <w:b/>
          <w:bCs/>
          <w:snapToGrid w:val="0"/>
          <w:sz w:val="16"/>
        </w:rPr>
      </w:pPr>
      <w:r>
        <w:rPr>
          <w:b/>
          <w:bCs/>
          <w:snapToGrid w:val="0"/>
          <w:sz w:val="16"/>
        </w:rPr>
        <w:t>WHERE THE LICENSEE IS ONE OR MORE INDIVIDUAL PERSONS:</w:t>
      </w:r>
    </w:p>
    <w:p>
      <w:pPr>
        <w:pStyle w:val="yTableNAm"/>
        <w:spacing w:before="60"/>
        <w:ind w:left="120"/>
        <w:rPr>
          <w:snapToGrid w:val="0"/>
          <w:sz w:val="16"/>
        </w:rPr>
      </w:pPr>
      <w:r>
        <w:rPr>
          <w:snapToGrid w:val="0"/>
          <w:sz w:val="16"/>
        </w:rPr>
        <w:t>Signature(s)</w:t>
      </w:r>
    </w:p>
    <w:p>
      <w:pPr>
        <w:pStyle w:val="yTableNAm"/>
        <w:tabs>
          <w:tab w:val="left" w:pos="3000"/>
        </w:tabs>
        <w:ind w:left="12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3000"/>
        </w:tabs>
        <w:ind w:left="119"/>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24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502"/>
        <w:gridCol w:w="2026"/>
      </w:tblGrid>
      <w:tr>
        <w:tc>
          <w:tcPr>
            <w:tcW w:w="1276" w:type="dxa"/>
            <w:tcBorders>
              <w:bottom w:val="nil"/>
            </w:tcBorders>
            <w:shd w:val="pct10" w:color="auto" w:fill="auto"/>
          </w:tcPr>
          <w:p>
            <w:pPr>
              <w:pStyle w:val="yTableNAm"/>
              <w:spacing w:before="60"/>
              <w:rPr>
                <w:b/>
                <w:bCs/>
                <w:snapToGrid w:val="0"/>
                <w:sz w:val="16"/>
              </w:rPr>
            </w:pPr>
            <w:r>
              <w:rPr>
                <w:b/>
                <w:bCs/>
                <w:snapToGrid w:val="0"/>
                <w:sz w:val="16"/>
              </w:rPr>
              <w:t>FOR OFFICE</w:t>
            </w:r>
          </w:p>
        </w:tc>
        <w:tc>
          <w:tcPr>
            <w:tcW w:w="3502" w:type="dxa"/>
            <w:shd w:val="pct10" w:color="auto" w:fill="auto"/>
          </w:tcPr>
          <w:p>
            <w:pPr>
              <w:pStyle w:val="yTableNAm"/>
              <w:spacing w:before="60"/>
              <w:rPr>
                <w:b/>
                <w:bCs/>
                <w:snapToGrid w:val="0"/>
                <w:sz w:val="16"/>
              </w:rPr>
            </w:pPr>
            <w:r>
              <w:rPr>
                <w:b/>
                <w:bCs/>
                <w:snapToGrid w:val="0"/>
                <w:sz w:val="16"/>
              </w:rPr>
              <w:t xml:space="preserve">DATE RECEIVED: </w:t>
            </w:r>
            <w:r>
              <w:rPr>
                <w:b/>
                <w:bCs/>
                <w:snapToGrid w:val="0"/>
                <w:sz w:val="16"/>
              </w:rPr>
              <w:tab/>
              <w:t>____ / ____ / ____</w:t>
            </w:r>
          </w:p>
        </w:tc>
        <w:tc>
          <w:tcPr>
            <w:tcW w:w="2026" w:type="dxa"/>
            <w:shd w:val="pct10" w:color="auto" w:fill="auto"/>
          </w:tcPr>
          <w:p>
            <w:pPr>
              <w:pStyle w:val="yTableNAm"/>
              <w:spacing w:before="60"/>
              <w:rPr>
                <w:b/>
                <w:bCs/>
                <w:snapToGrid w:val="0"/>
                <w:sz w:val="16"/>
              </w:rPr>
            </w:pPr>
            <w:r>
              <w:rPr>
                <w:b/>
                <w:bCs/>
                <w:snapToGrid w:val="0"/>
                <w:sz w:val="16"/>
              </w:rPr>
              <w:t>AMOUNT PAYABLE: $</w:t>
            </w:r>
          </w:p>
        </w:tc>
      </w:tr>
      <w:tr>
        <w:tc>
          <w:tcPr>
            <w:tcW w:w="1276" w:type="dxa"/>
            <w:tcBorders>
              <w:top w:val="nil"/>
            </w:tcBorders>
            <w:shd w:val="pct10" w:color="auto" w:fill="auto"/>
          </w:tcPr>
          <w:p>
            <w:pPr>
              <w:pStyle w:val="yTableNAm"/>
              <w:spacing w:before="60"/>
              <w:rPr>
                <w:b/>
                <w:bCs/>
                <w:snapToGrid w:val="0"/>
                <w:sz w:val="16"/>
              </w:rPr>
            </w:pPr>
            <w:r>
              <w:rPr>
                <w:b/>
                <w:bCs/>
                <w:snapToGrid w:val="0"/>
                <w:sz w:val="16"/>
              </w:rPr>
              <w:t>USE ONLY</w:t>
            </w:r>
          </w:p>
        </w:tc>
        <w:tc>
          <w:tcPr>
            <w:tcW w:w="3502" w:type="dxa"/>
            <w:shd w:val="pct10" w:color="auto" w:fill="auto"/>
          </w:tcPr>
          <w:p>
            <w:pPr>
              <w:pStyle w:val="yTableNAm"/>
              <w:spacing w:before="60"/>
              <w:rPr>
                <w:b/>
                <w:bCs/>
                <w:snapToGrid w:val="0"/>
                <w:sz w:val="16"/>
              </w:rPr>
            </w:pPr>
            <w:r>
              <w:rPr>
                <w:b/>
                <w:bCs/>
                <w:snapToGrid w:val="0"/>
                <w:sz w:val="16"/>
              </w:rPr>
              <w:t>DATE PAID:</w:t>
            </w:r>
            <w:r>
              <w:rPr>
                <w:b/>
                <w:bCs/>
                <w:snapToGrid w:val="0"/>
                <w:sz w:val="16"/>
              </w:rPr>
              <w:tab/>
            </w:r>
            <w:r>
              <w:rPr>
                <w:b/>
                <w:bCs/>
                <w:snapToGrid w:val="0"/>
                <w:sz w:val="16"/>
              </w:rPr>
              <w:tab/>
              <w:t>____ / ____ / ____</w:t>
            </w:r>
          </w:p>
        </w:tc>
        <w:tc>
          <w:tcPr>
            <w:tcW w:w="2026" w:type="dxa"/>
            <w:shd w:val="pct10" w:color="auto" w:fill="auto"/>
          </w:tcPr>
          <w:p>
            <w:pPr>
              <w:pStyle w:val="yTableNAm"/>
              <w:spacing w:before="60"/>
              <w:rPr>
                <w:b/>
                <w:bCs/>
                <w:snapToGrid w:val="0"/>
                <w:sz w:val="16"/>
              </w:rPr>
            </w:pPr>
            <w:r>
              <w:rPr>
                <w:b/>
                <w:bCs/>
                <w:snapToGrid w:val="0"/>
                <w:sz w:val="16"/>
              </w:rPr>
              <w:t>PAYMENT DETAILS:</w:t>
            </w:r>
          </w:p>
        </w:tc>
      </w:tr>
    </w:tbl>
    <w:p>
      <w:pPr>
        <w:pStyle w:val="yFootnotesection"/>
      </w:pPr>
      <w:r>
        <w:tab/>
        <w:t>[Form 19A inserted in Gazette 9 Jul 2004 p. 2776</w:t>
      </w:r>
      <w:r>
        <w:noBreakHyphen/>
        <w:t>7.]</w:t>
      </w:r>
    </w:p>
    <w:p>
      <w:pPr>
        <w:pStyle w:val="yMiscellaneousBody"/>
        <w:keepNext/>
        <w:keepLines/>
        <w:pageBreakBefore/>
        <w:spacing w:before="0"/>
        <w:jc w:val="center"/>
        <w:rPr>
          <w:b/>
          <w:bCs/>
          <w:snapToGrid w:val="0"/>
        </w:rPr>
      </w:pPr>
      <w:r>
        <w:rPr>
          <w:b/>
          <w:bCs/>
          <w:snapToGrid w:val="0"/>
        </w:rPr>
        <w:t xml:space="preserve">Form </w:t>
      </w:r>
      <w:r>
        <w:rPr>
          <w:rStyle w:val="CharSClsNo"/>
          <w:b/>
        </w:rPr>
        <w:t>20</w:t>
      </w:r>
    </w:p>
    <w:p>
      <w:pPr>
        <w:pStyle w:val="yMiscellaneousHeading"/>
        <w:keepLines/>
        <w:rPr>
          <w:i/>
          <w:iCs/>
          <w:snapToGrid w:val="0"/>
          <w:sz w:val="20"/>
        </w:rPr>
      </w:pPr>
      <w:r>
        <w:rPr>
          <w:i/>
          <w:iCs/>
          <w:snapToGrid w:val="0"/>
          <w:sz w:val="20"/>
        </w:rPr>
        <w:t>Liquor Control Act 1988</w:t>
      </w:r>
      <w:r>
        <w:rPr>
          <w:snapToGrid w:val="0"/>
          <w:sz w:val="20"/>
          <w:vertAlign w:val="superscript"/>
        </w:rPr>
        <w:t> 2</w:t>
      </w:r>
    </w:p>
    <w:p>
      <w:pPr>
        <w:pStyle w:val="yShoulderClause"/>
        <w:rPr>
          <w:snapToGrid w:val="0"/>
          <w:sz w:val="20"/>
        </w:rPr>
      </w:pPr>
      <w:r>
        <w:rPr>
          <w:snapToGrid w:val="0"/>
          <w:sz w:val="20"/>
        </w:rPr>
        <w:t>[Section 161]</w:t>
      </w:r>
    </w:p>
    <w:p>
      <w:pPr>
        <w:pStyle w:val="yMiscellaneousHeading"/>
        <w:keepLines/>
        <w:rPr>
          <w:b/>
          <w:bCs/>
          <w:snapToGrid w:val="0"/>
          <w:sz w:val="20"/>
        </w:rPr>
      </w:pPr>
      <w:r>
        <w:rPr>
          <w:b/>
          <w:bCs/>
          <w:snapToGrid w:val="0"/>
          <w:sz w:val="20"/>
        </w:rPr>
        <w:t>SEARCH WARRANT</w:t>
      </w:r>
    </w:p>
    <w:p>
      <w:pPr>
        <w:pStyle w:val="yMiscellaneousBody"/>
        <w:keepNext/>
        <w:keepLines/>
        <w:rPr>
          <w:snapToGrid w:val="0"/>
          <w:sz w:val="20"/>
        </w:rPr>
      </w:pPr>
      <w:r>
        <w:rPr>
          <w:snapToGrid w:val="0"/>
          <w:sz w:val="20"/>
        </w:rPr>
        <w:t xml:space="preserve">Under section 161 of the </w:t>
      </w:r>
      <w:r>
        <w:rPr>
          <w:i/>
          <w:snapToGrid w:val="0"/>
          <w:sz w:val="20"/>
        </w:rPr>
        <w:t>Liquor Control Act 1988</w:t>
      </w:r>
      <w:r>
        <w:rPr>
          <w:sz w:val="20"/>
          <w:vertAlign w:val="superscript"/>
        </w:rPr>
        <w:t> 2</w:t>
      </w:r>
      <w:r>
        <w:rPr>
          <w:snapToGrid w:val="0"/>
          <w:sz w:val="20"/>
        </w:rPr>
        <w:t xml:space="preserve"> I, [insert name of Justice of the Peace granting the warrant], of</w:t>
      </w:r>
    </w:p>
    <w:p>
      <w:pPr>
        <w:pStyle w:val="yMiscellaneousBody"/>
        <w:keepNext/>
        <w:keepLines/>
        <w:spacing w:before="60"/>
        <w:rPr>
          <w:snapToGrid w:val="0"/>
          <w:sz w:val="20"/>
        </w:rPr>
      </w:pPr>
      <w:r>
        <w:rPr>
          <w:snapToGrid w:val="0"/>
          <w:sz w:val="20"/>
        </w:rPr>
        <w:t>.............................................................................................................................................</w:t>
      </w:r>
    </w:p>
    <w:p>
      <w:pPr>
        <w:pStyle w:val="yMiscellaneousBody"/>
        <w:spacing w:before="60"/>
        <w:rPr>
          <w:snapToGrid w:val="0"/>
          <w:sz w:val="20"/>
        </w:rPr>
      </w:pPr>
      <w:r>
        <w:rPr>
          <w:snapToGrid w:val="0"/>
          <w:sz w:val="20"/>
        </w:rPr>
        <w:t>being a Justice of the Peace and being satisfied upon application by [insert name of applicant] that there is reason to suspect that [insert description of circumstances justifying issue of warrant] .................................................................................................</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at [insert address of premises] ............................................................................................</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hereby grant to [insert name and designation of authorised officer] ..................................</w:t>
      </w:r>
    </w:p>
    <w:p>
      <w:pPr>
        <w:pStyle w:val="yMiscellaneousBody"/>
        <w:spacing w:before="0"/>
        <w:rPr>
          <w:snapToGrid w:val="0"/>
          <w:sz w:val="20"/>
        </w:rPr>
      </w:pPr>
      <w:r>
        <w:rPr>
          <w:snapToGrid w:val="0"/>
          <w:sz w:val="20"/>
        </w:rPr>
        <w:t>.............................................................................................................................................</w:t>
      </w:r>
    </w:p>
    <w:p>
      <w:pPr>
        <w:pStyle w:val="yMiscellaneousBody"/>
        <w:spacing w:before="0"/>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MiscellaneousBody"/>
        <w:spacing w:before="60"/>
        <w:rPr>
          <w:snapToGrid w:val="0"/>
          <w:sz w:val="20"/>
        </w:rPr>
      </w:pPr>
      <w:r>
        <w:rPr>
          <w:snapToGrid w:val="0"/>
          <w:sz w:val="20"/>
        </w:rPr>
        <w:t>Granted on the ........................... day of ................................. 20 .....................</w:t>
      </w:r>
    </w:p>
    <w:p>
      <w:pPr>
        <w:pStyle w:val="yMiscellaneousBody"/>
        <w:spacing w:before="60"/>
        <w:rPr>
          <w:snapToGrid w:val="0"/>
          <w:sz w:val="20"/>
        </w:rPr>
      </w:pPr>
      <w:r>
        <w:rPr>
          <w:snapToGrid w:val="0"/>
          <w:sz w:val="20"/>
        </w:rPr>
        <w:t>at .........................................................................................................................................</w:t>
      </w:r>
    </w:p>
    <w:p>
      <w:pPr>
        <w:pStyle w:val="yMiscellaneousBody"/>
        <w:spacing w:before="60"/>
        <w:jc w:val="right"/>
        <w:rPr>
          <w:snapToGrid w:val="0"/>
          <w:sz w:val="20"/>
        </w:rPr>
      </w:pPr>
      <w:r>
        <w:rPr>
          <w:snapToGrid w:val="0"/>
          <w:sz w:val="20"/>
        </w:rPr>
        <w:t>.................................................................</w:t>
      </w:r>
    </w:p>
    <w:p>
      <w:pPr>
        <w:pStyle w:val="yMiscellaneousBody"/>
        <w:spacing w:before="0"/>
        <w:jc w:val="right"/>
        <w:rPr>
          <w:snapToGrid w:val="0"/>
          <w:sz w:val="20"/>
        </w:rPr>
      </w:pPr>
      <w:r>
        <w:rPr>
          <w:snapToGrid w:val="0"/>
          <w:sz w:val="20"/>
        </w:rPr>
        <w:t>Signature of Justice of the Peace granting</w:t>
      </w:r>
    </w:p>
    <w:p>
      <w:pPr>
        <w:pStyle w:val="yMiscellaneousBody"/>
        <w:spacing w:before="0"/>
        <w:ind w:right="1208"/>
        <w:jc w:val="right"/>
        <w:rPr>
          <w:snapToGrid w:val="0"/>
        </w:rPr>
      </w:pPr>
      <w:r>
        <w:rPr>
          <w:snapToGrid w:val="0"/>
          <w:sz w:val="20"/>
        </w:rPr>
        <w:t>the warrant</w:t>
      </w:r>
    </w:p>
    <w:p>
      <w:pPr>
        <w:pStyle w:val="yFootnotesection"/>
      </w:pPr>
      <w:r>
        <w:tab/>
        <w:t>[Form 20 amended in Gazette 28 Sep 2007 p. 4930</w:t>
      </w:r>
      <w:r>
        <w:noBreakHyphen/>
        <w:t>1.]</w:t>
      </w:r>
    </w:p>
    <w:p>
      <w:pPr>
        <w:pStyle w:val="yMiscellaneousBody"/>
        <w:keepNext/>
        <w:keepLines/>
        <w:pageBreakBefore/>
        <w:spacing w:before="0" w:after="40"/>
        <w:jc w:val="center"/>
        <w:rPr>
          <w:b/>
          <w:bCs/>
          <w:snapToGrid w:val="0"/>
        </w:rPr>
      </w:pPr>
      <w:r>
        <w:rPr>
          <w:b/>
          <w:bCs/>
          <w:snapToGrid w:val="0"/>
        </w:rPr>
        <w:t xml:space="preserve">Form </w:t>
      </w:r>
      <w:r>
        <w:rPr>
          <w:rStyle w:val="CharSClsNo"/>
          <w:b/>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827"/>
      </w:tblGrid>
      <w:tr>
        <w:trPr>
          <w:cantSplit/>
          <w:trHeight w:val="286"/>
        </w:trPr>
        <w:tc>
          <w:tcPr>
            <w:tcW w:w="4253" w:type="dxa"/>
            <w:gridSpan w:val="2"/>
            <w:vMerge w:val="restart"/>
          </w:tcPr>
          <w:p>
            <w:pPr>
              <w:pStyle w:val="yTableNAm"/>
              <w:keepNext/>
              <w:keepLines/>
              <w:spacing w:before="0"/>
              <w:rPr>
                <w:b/>
                <w:bCs/>
                <w:i/>
                <w:iCs/>
                <w:sz w:val="20"/>
              </w:rPr>
            </w:pPr>
            <w:r>
              <w:rPr>
                <w:sz w:val="20"/>
              </w:rPr>
              <w:br w:type="page"/>
            </w:r>
            <w:r>
              <w:rPr>
                <w:b/>
                <w:bCs/>
                <w:i/>
                <w:iCs/>
                <w:sz w:val="20"/>
              </w:rPr>
              <w:t>Liquor Control Act 1988</w:t>
            </w:r>
          </w:p>
          <w:p>
            <w:pPr>
              <w:pStyle w:val="yTableNAm"/>
              <w:keepNext/>
              <w:keepLines/>
              <w:spacing w:before="0"/>
              <w:rPr>
                <w:b/>
                <w:bCs/>
                <w:sz w:val="26"/>
              </w:rPr>
            </w:pPr>
            <w:r>
              <w:rPr>
                <w:b/>
                <w:bCs/>
                <w:sz w:val="26"/>
              </w:rPr>
              <w:t>Infringement notice</w:t>
            </w:r>
          </w:p>
        </w:tc>
        <w:tc>
          <w:tcPr>
            <w:tcW w:w="2827" w:type="dxa"/>
            <w:tcBorders>
              <w:bottom w:val="single" w:sz="4" w:space="0" w:color="auto"/>
            </w:tcBorders>
          </w:tcPr>
          <w:p>
            <w:pPr>
              <w:pStyle w:val="yTableNAm"/>
              <w:keepNext/>
              <w:keepLines/>
              <w:spacing w:before="0"/>
              <w:rPr>
                <w:sz w:val="20"/>
              </w:rPr>
            </w:pPr>
            <w:r>
              <w:rPr>
                <w:sz w:val="20"/>
              </w:rPr>
              <w:t>Notice No.</w:t>
            </w:r>
          </w:p>
        </w:tc>
      </w:tr>
      <w:tr>
        <w:trPr>
          <w:cantSplit/>
          <w:trHeight w:val="285"/>
        </w:trPr>
        <w:tc>
          <w:tcPr>
            <w:tcW w:w="4253" w:type="dxa"/>
            <w:gridSpan w:val="2"/>
            <w:vMerge/>
          </w:tcPr>
          <w:p>
            <w:pPr>
              <w:pStyle w:val="yTableNAm"/>
              <w:keepNext/>
              <w:keepLines/>
              <w:spacing w:before="0"/>
              <w:rPr>
                <w:sz w:val="20"/>
              </w:rPr>
            </w:pPr>
          </w:p>
        </w:tc>
        <w:tc>
          <w:tcPr>
            <w:tcW w:w="2827" w:type="dxa"/>
            <w:tcBorders>
              <w:bottom w:val="single" w:sz="4" w:space="0" w:color="auto"/>
            </w:tcBorders>
          </w:tcPr>
          <w:p>
            <w:pPr>
              <w:pStyle w:val="yTableNAm"/>
              <w:keepNext/>
              <w:keepLines/>
              <w:spacing w:before="0"/>
              <w:rPr>
                <w:sz w:val="20"/>
              </w:rPr>
            </w:pPr>
            <w:r>
              <w:rPr>
                <w:sz w:val="20"/>
              </w:rPr>
              <w:t>Date of notice</w:t>
            </w:r>
          </w:p>
        </w:tc>
      </w:tr>
      <w:tr>
        <w:trPr>
          <w:cantSplit/>
          <w:trHeight w:val="150"/>
        </w:trPr>
        <w:tc>
          <w:tcPr>
            <w:tcW w:w="1560" w:type="dxa"/>
            <w:vMerge w:val="restart"/>
          </w:tcPr>
          <w:p>
            <w:pPr>
              <w:pStyle w:val="yTableNAm"/>
              <w:keepNext/>
              <w:keepLines/>
              <w:spacing w:before="60"/>
              <w:rPr>
                <w:b/>
                <w:bCs/>
                <w:sz w:val="20"/>
              </w:rPr>
            </w:pPr>
            <w:r>
              <w:rPr>
                <w:b/>
                <w:bCs/>
                <w:sz w:val="20"/>
              </w:rPr>
              <w:t>Alleged offender</w:t>
            </w:r>
          </w:p>
        </w:tc>
        <w:tc>
          <w:tcPr>
            <w:tcW w:w="5520" w:type="dxa"/>
            <w:gridSpan w:val="2"/>
          </w:tcPr>
          <w:p>
            <w:pPr>
              <w:pStyle w:val="yTableNAm"/>
              <w:keepNext/>
              <w:keepLines/>
              <w:tabs>
                <w:tab w:val="clear" w:pos="567"/>
                <w:tab w:val="left" w:pos="732"/>
              </w:tabs>
              <w:spacing w:before="60"/>
              <w:rPr>
                <w:sz w:val="20"/>
              </w:rPr>
            </w:pPr>
            <w:r>
              <w:rPr>
                <w:sz w:val="20"/>
              </w:rPr>
              <w:t>Name:</w:t>
            </w:r>
            <w:r>
              <w:rPr>
                <w:sz w:val="20"/>
              </w:rPr>
              <w:tab/>
              <w:t>Family name</w:t>
            </w:r>
          </w:p>
        </w:tc>
      </w:tr>
      <w:tr>
        <w:trPr>
          <w:cantSplit/>
          <w:trHeight w:val="150"/>
        </w:trPr>
        <w:tc>
          <w:tcPr>
            <w:tcW w:w="1560" w:type="dxa"/>
            <w:vMerge/>
          </w:tcPr>
          <w:p>
            <w:pPr>
              <w:pStyle w:val="yTableNAm"/>
              <w:keepNext/>
              <w:keepLines/>
              <w:spacing w:before="60"/>
              <w:rPr>
                <w:b/>
                <w:bCs/>
                <w:sz w:val="20"/>
              </w:rPr>
            </w:pPr>
          </w:p>
        </w:tc>
        <w:tc>
          <w:tcPr>
            <w:tcW w:w="5520" w:type="dxa"/>
            <w:gridSpan w:val="2"/>
          </w:tcPr>
          <w:p>
            <w:pPr>
              <w:pStyle w:val="yTableNAm"/>
              <w:keepNext/>
              <w:keepLines/>
              <w:tabs>
                <w:tab w:val="left" w:pos="732"/>
              </w:tabs>
              <w:spacing w:before="60"/>
              <w:rPr>
                <w:sz w:val="20"/>
              </w:rPr>
            </w:pPr>
            <w:r>
              <w:rPr>
                <w:sz w:val="20"/>
              </w:rPr>
              <w:tab/>
            </w:r>
            <w:r>
              <w:rPr>
                <w:sz w:val="20"/>
              </w:rPr>
              <w:tab/>
              <w:t>Given names</w:t>
            </w:r>
          </w:p>
        </w:tc>
      </w:tr>
      <w:tr>
        <w:trPr>
          <w:cantSplit/>
          <w:trHeight w:val="150"/>
        </w:trPr>
        <w:tc>
          <w:tcPr>
            <w:tcW w:w="1560" w:type="dxa"/>
            <w:vMerge/>
          </w:tcPr>
          <w:p>
            <w:pPr>
              <w:pStyle w:val="yTableNAm"/>
              <w:keepNext/>
              <w:keepLines/>
              <w:spacing w:before="60"/>
              <w:rPr>
                <w:b/>
                <w:bCs/>
                <w:sz w:val="20"/>
              </w:rPr>
            </w:pPr>
          </w:p>
        </w:tc>
        <w:tc>
          <w:tcPr>
            <w:tcW w:w="5520" w:type="dxa"/>
            <w:gridSpan w:val="2"/>
          </w:tcPr>
          <w:p>
            <w:pPr>
              <w:pStyle w:val="yTableNAm"/>
              <w:keepNext/>
              <w:keepLines/>
              <w:tabs>
                <w:tab w:val="left" w:pos="732"/>
                <w:tab w:val="left" w:pos="3492"/>
              </w:tabs>
              <w:spacing w:before="0"/>
              <w:ind w:right="-108"/>
              <w:rPr>
                <w:sz w:val="20"/>
              </w:rPr>
            </w:pPr>
            <w:r>
              <w:rPr>
                <w:sz w:val="20"/>
              </w:rPr>
              <w:t>Address ______________________________________________</w:t>
            </w:r>
          </w:p>
          <w:p>
            <w:pPr>
              <w:pStyle w:val="yTableNAm"/>
              <w:keepNext/>
              <w:keepLines/>
              <w:tabs>
                <w:tab w:val="left" w:pos="732"/>
                <w:tab w:val="left" w:pos="3492"/>
              </w:tabs>
              <w:spacing w:before="0"/>
              <w:ind w:right="838"/>
              <w:rPr>
                <w:sz w:val="20"/>
              </w:rPr>
            </w:pPr>
            <w:r>
              <w:rPr>
                <w:sz w:val="20"/>
              </w:rPr>
              <w:tab/>
            </w:r>
            <w:r>
              <w:rPr>
                <w:sz w:val="20"/>
              </w:rPr>
              <w:tab/>
            </w:r>
            <w:r>
              <w:rPr>
                <w:sz w:val="20"/>
              </w:rPr>
              <w:tab/>
              <w:t>Postcode</w:t>
            </w:r>
          </w:p>
        </w:tc>
      </w:tr>
      <w:tr>
        <w:trPr>
          <w:cantSplit/>
          <w:trHeight w:val="150"/>
        </w:trPr>
        <w:tc>
          <w:tcPr>
            <w:tcW w:w="1560" w:type="dxa"/>
            <w:vMerge/>
          </w:tcPr>
          <w:p>
            <w:pPr>
              <w:pStyle w:val="yTableNAm"/>
              <w:keepNext/>
              <w:keepLines/>
              <w:spacing w:before="60"/>
              <w:rPr>
                <w:b/>
                <w:bCs/>
                <w:sz w:val="20"/>
              </w:rPr>
            </w:pPr>
          </w:p>
        </w:tc>
        <w:tc>
          <w:tcPr>
            <w:tcW w:w="5520" w:type="dxa"/>
            <w:gridSpan w:val="2"/>
          </w:tcPr>
          <w:p>
            <w:pPr>
              <w:pStyle w:val="yTableNAm"/>
              <w:keepNext/>
              <w:keepLines/>
              <w:tabs>
                <w:tab w:val="left" w:pos="3492"/>
              </w:tabs>
              <w:spacing w:before="0"/>
              <w:ind w:right="238"/>
              <w:rPr>
                <w:sz w:val="20"/>
              </w:rPr>
            </w:pPr>
            <w:r>
              <w:rPr>
                <w:sz w:val="20"/>
              </w:rPr>
              <w:t>Date of birth</w:t>
            </w:r>
            <w:r>
              <w:rPr>
                <w:sz w:val="20"/>
              </w:rPr>
              <w:tab/>
              <w:t>Male / Female</w:t>
            </w:r>
          </w:p>
        </w:tc>
      </w:tr>
      <w:tr>
        <w:trPr>
          <w:cantSplit/>
          <w:trHeight w:val="150"/>
        </w:trPr>
        <w:tc>
          <w:tcPr>
            <w:tcW w:w="1560" w:type="dxa"/>
            <w:vMerge/>
          </w:tcPr>
          <w:p>
            <w:pPr>
              <w:pStyle w:val="yTableNAm"/>
              <w:spacing w:before="60"/>
              <w:rPr>
                <w:b/>
                <w:bCs/>
                <w:sz w:val="20"/>
              </w:rPr>
            </w:pPr>
          </w:p>
        </w:tc>
        <w:tc>
          <w:tcPr>
            <w:tcW w:w="5520" w:type="dxa"/>
            <w:gridSpan w:val="2"/>
          </w:tcPr>
          <w:p>
            <w:pPr>
              <w:pStyle w:val="yTableNAm"/>
              <w:spacing w:before="0"/>
              <w:rPr>
                <w:sz w:val="20"/>
              </w:rPr>
            </w:pPr>
            <w:r>
              <w:rPr>
                <w:sz w:val="20"/>
              </w:rPr>
              <w:t>Driver’s licence No. (if available)</w:t>
            </w:r>
          </w:p>
        </w:tc>
      </w:tr>
      <w:tr>
        <w:trPr>
          <w:cantSplit/>
        </w:trPr>
        <w:tc>
          <w:tcPr>
            <w:tcW w:w="1560" w:type="dxa"/>
            <w:vMerge w:val="restart"/>
          </w:tcPr>
          <w:p>
            <w:pPr>
              <w:pStyle w:val="yTableNAm"/>
              <w:spacing w:before="60"/>
              <w:rPr>
                <w:b/>
                <w:bCs/>
                <w:sz w:val="20"/>
              </w:rPr>
            </w:pPr>
            <w:r>
              <w:rPr>
                <w:b/>
                <w:bCs/>
                <w:sz w:val="20"/>
              </w:rPr>
              <w:t>Alleged offence</w:t>
            </w:r>
          </w:p>
        </w:tc>
        <w:tc>
          <w:tcPr>
            <w:tcW w:w="5520" w:type="dxa"/>
            <w:gridSpan w:val="2"/>
          </w:tcPr>
          <w:p>
            <w:pPr>
              <w:pStyle w:val="yTableNAm"/>
              <w:spacing w:before="0"/>
              <w:ind w:right="-108"/>
              <w:rPr>
                <w:sz w:val="20"/>
              </w:rPr>
            </w:pPr>
            <w:r>
              <w:rPr>
                <w:sz w:val="20"/>
              </w:rPr>
              <w:t>Description of offence ___________________________________</w:t>
            </w:r>
          </w:p>
          <w:p>
            <w:pPr>
              <w:pStyle w:val="yTableNAm"/>
              <w:spacing w:before="0"/>
              <w:rPr>
                <w:sz w:val="20"/>
              </w:rPr>
            </w:pPr>
          </w:p>
        </w:tc>
      </w:tr>
      <w:tr>
        <w:trPr>
          <w:cantSplit/>
        </w:trPr>
        <w:tc>
          <w:tcPr>
            <w:tcW w:w="1560" w:type="dxa"/>
            <w:vMerge/>
          </w:tcPr>
          <w:p>
            <w:pPr>
              <w:pStyle w:val="yTableNAm"/>
              <w:spacing w:before="60"/>
              <w:rPr>
                <w:b/>
                <w:bCs/>
                <w:sz w:val="20"/>
              </w:rPr>
            </w:pPr>
          </w:p>
        </w:tc>
        <w:tc>
          <w:tcPr>
            <w:tcW w:w="5520" w:type="dxa"/>
            <w:gridSpan w:val="2"/>
          </w:tcPr>
          <w:p>
            <w:pPr>
              <w:pStyle w:val="yTableNAm"/>
              <w:spacing w:before="0"/>
              <w:rPr>
                <w:sz w:val="20"/>
              </w:rPr>
            </w:pPr>
            <w:r>
              <w:rPr>
                <w:i/>
                <w:iCs/>
                <w:sz w:val="20"/>
              </w:rPr>
              <w:t xml:space="preserve">Liquor Control Act 1988 </w:t>
            </w:r>
            <w:r>
              <w:rPr>
                <w:sz w:val="20"/>
              </w:rPr>
              <w:t>s. ________</w:t>
            </w:r>
          </w:p>
          <w:p>
            <w:pPr>
              <w:pStyle w:val="yTableNAm"/>
              <w:spacing w:before="0"/>
              <w:rPr>
                <w:sz w:val="20"/>
              </w:rPr>
            </w:pPr>
            <w:r>
              <w:rPr>
                <w:i/>
                <w:iCs/>
                <w:sz w:val="20"/>
              </w:rPr>
              <w:t>Liquor Control Regulations 1989</w:t>
            </w:r>
            <w:r>
              <w:rPr>
                <w:sz w:val="20"/>
              </w:rPr>
              <w:t xml:space="preserve"> r. _________</w:t>
            </w:r>
          </w:p>
        </w:tc>
      </w:tr>
      <w:tr>
        <w:trPr>
          <w:cantSplit/>
        </w:trPr>
        <w:tc>
          <w:tcPr>
            <w:tcW w:w="1560" w:type="dxa"/>
            <w:vMerge/>
          </w:tcPr>
          <w:p>
            <w:pPr>
              <w:pStyle w:val="yTableNAm"/>
              <w:spacing w:before="60"/>
              <w:rPr>
                <w:b/>
                <w:bCs/>
                <w:sz w:val="20"/>
              </w:rPr>
            </w:pPr>
          </w:p>
        </w:tc>
        <w:tc>
          <w:tcPr>
            <w:tcW w:w="5520" w:type="dxa"/>
            <w:gridSpan w:val="2"/>
          </w:tcPr>
          <w:p>
            <w:pPr>
              <w:pStyle w:val="yTableNAm"/>
              <w:spacing w:before="0"/>
              <w:rPr>
                <w:sz w:val="20"/>
              </w:rPr>
            </w:pPr>
            <w:r>
              <w:rPr>
                <w:sz w:val="20"/>
              </w:rPr>
              <w:t>Location where offence committed</w:t>
            </w:r>
          </w:p>
          <w:p>
            <w:pPr>
              <w:pStyle w:val="yTableNAm"/>
              <w:spacing w:before="0"/>
              <w:ind w:right="-108"/>
              <w:rPr>
                <w:sz w:val="20"/>
              </w:rPr>
            </w:pPr>
            <w:r>
              <w:rPr>
                <w:sz w:val="20"/>
              </w:rPr>
              <w:t>Name of premises (if applicable)_____________________________________________</w:t>
            </w:r>
          </w:p>
          <w:p>
            <w:pPr>
              <w:pStyle w:val="yTableNAm"/>
              <w:spacing w:before="0"/>
              <w:ind w:right="-108"/>
              <w:rPr>
                <w:sz w:val="20"/>
              </w:rPr>
            </w:pPr>
            <w:r>
              <w:rPr>
                <w:sz w:val="20"/>
              </w:rPr>
              <w:t>Address _______________________________________________</w:t>
            </w:r>
          </w:p>
          <w:p>
            <w:pPr>
              <w:pStyle w:val="yTableNAm"/>
              <w:tabs>
                <w:tab w:val="left" w:pos="3492"/>
              </w:tabs>
              <w:spacing w:before="0"/>
              <w:rPr>
                <w:sz w:val="20"/>
              </w:rPr>
            </w:pPr>
            <w:r>
              <w:rPr>
                <w:sz w:val="20"/>
              </w:rPr>
              <w:tab/>
            </w:r>
            <w:r>
              <w:rPr>
                <w:sz w:val="20"/>
              </w:rPr>
              <w:tab/>
              <w:t>Postcode</w:t>
            </w:r>
          </w:p>
        </w:tc>
      </w:tr>
      <w:tr>
        <w:trPr>
          <w:cantSplit/>
        </w:trPr>
        <w:tc>
          <w:tcPr>
            <w:tcW w:w="1560" w:type="dxa"/>
            <w:vMerge/>
          </w:tcPr>
          <w:p>
            <w:pPr>
              <w:pStyle w:val="yTableNAm"/>
              <w:spacing w:before="60"/>
              <w:rPr>
                <w:b/>
                <w:bCs/>
                <w:sz w:val="20"/>
              </w:rPr>
            </w:pPr>
          </w:p>
        </w:tc>
        <w:tc>
          <w:tcPr>
            <w:tcW w:w="5520" w:type="dxa"/>
            <w:gridSpan w:val="2"/>
          </w:tcPr>
          <w:p>
            <w:pPr>
              <w:pStyle w:val="yTableNAm"/>
              <w:tabs>
                <w:tab w:val="clear" w:pos="567"/>
                <w:tab w:val="left" w:pos="972"/>
                <w:tab w:val="left" w:pos="1692"/>
                <w:tab w:val="left" w:pos="3012"/>
                <w:tab w:val="left" w:pos="4260"/>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560" w:type="dxa"/>
            <w:vMerge/>
          </w:tcPr>
          <w:p>
            <w:pPr>
              <w:pStyle w:val="yTableNAm"/>
              <w:spacing w:before="60"/>
              <w:rPr>
                <w:b/>
                <w:bCs/>
                <w:sz w:val="20"/>
              </w:rPr>
            </w:pPr>
          </w:p>
        </w:tc>
        <w:tc>
          <w:tcPr>
            <w:tcW w:w="5520" w:type="dxa"/>
            <w:gridSpan w:val="2"/>
          </w:tcPr>
          <w:p>
            <w:pPr>
              <w:pStyle w:val="yTableNAm"/>
              <w:spacing w:before="0"/>
              <w:rPr>
                <w:sz w:val="20"/>
              </w:rPr>
            </w:pPr>
            <w:r>
              <w:rPr>
                <w:sz w:val="20"/>
              </w:rPr>
              <w:t>Modified penalty  $</w:t>
            </w:r>
          </w:p>
        </w:tc>
      </w:tr>
      <w:tr>
        <w:trPr>
          <w:cantSplit/>
        </w:trPr>
        <w:tc>
          <w:tcPr>
            <w:tcW w:w="1560" w:type="dxa"/>
            <w:vMerge w:val="restart"/>
          </w:tcPr>
          <w:p>
            <w:pPr>
              <w:pStyle w:val="yTableNAm"/>
              <w:spacing w:before="60"/>
              <w:rPr>
                <w:b/>
                <w:bCs/>
                <w:sz w:val="20"/>
              </w:rPr>
            </w:pPr>
            <w:r>
              <w:rPr>
                <w:b/>
                <w:bCs/>
                <w:sz w:val="20"/>
              </w:rPr>
              <w:t>Officer issuing notice</w:t>
            </w:r>
          </w:p>
        </w:tc>
        <w:tc>
          <w:tcPr>
            <w:tcW w:w="5520" w:type="dxa"/>
            <w:gridSpan w:val="2"/>
          </w:tcPr>
          <w:p>
            <w:pPr>
              <w:pStyle w:val="yTableNAm"/>
              <w:spacing w:before="0"/>
              <w:rPr>
                <w:sz w:val="20"/>
              </w:rPr>
            </w:pPr>
            <w:r>
              <w:rPr>
                <w:sz w:val="20"/>
              </w:rPr>
              <w:t>Name</w:t>
            </w:r>
          </w:p>
        </w:tc>
      </w:tr>
      <w:tr>
        <w:trPr>
          <w:cantSplit/>
        </w:trPr>
        <w:tc>
          <w:tcPr>
            <w:tcW w:w="1560" w:type="dxa"/>
            <w:vMerge/>
          </w:tcPr>
          <w:p>
            <w:pPr>
              <w:pStyle w:val="yTableNAm"/>
              <w:spacing w:before="60"/>
              <w:rPr>
                <w:b/>
                <w:bCs/>
                <w:sz w:val="20"/>
              </w:rPr>
            </w:pPr>
          </w:p>
        </w:tc>
        <w:tc>
          <w:tcPr>
            <w:tcW w:w="5520" w:type="dxa"/>
            <w:gridSpan w:val="2"/>
          </w:tcPr>
          <w:p>
            <w:pPr>
              <w:pStyle w:val="yTableNAm"/>
              <w:spacing w:before="0"/>
              <w:rPr>
                <w:sz w:val="20"/>
              </w:rPr>
            </w:pPr>
            <w:r>
              <w:rPr>
                <w:sz w:val="20"/>
              </w:rPr>
              <w:t>Signature</w:t>
            </w:r>
          </w:p>
        </w:tc>
      </w:tr>
      <w:tr>
        <w:trPr>
          <w:cantSplit/>
        </w:trPr>
        <w:tc>
          <w:tcPr>
            <w:tcW w:w="1560" w:type="dxa"/>
            <w:vMerge/>
          </w:tcPr>
          <w:p>
            <w:pPr>
              <w:pStyle w:val="yTableNAm"/>
              <w:spacing w:before="60"/>
              <w:rPr>
                <w:b/>
                <w:bCs/>
                <w:sz w:val="20"/>
              </w:rPr>
            </w:pPr>
          </w:p>
        </w:tc>
        <w:tc>
          <w:tcPr>
            <w:tcW w:w="5520" w:type="dxa"/>
            <w:gridSpan w:val="2"/>
          </w:tcPr>
          <w:p>
            <w:pPr>
              <w:pStyle w:val="yTableNAm"/>
              <w:spacing w:before="0"/>
              <w:rPr>
                <w:sz w:val="20"/>
              </w:rPr>
            </w:pPr>
            <w:r>
              <w:rPr>
                <w:sz w:val="20"/>
              </w:rPr>
              <w:t xml:space="preserve">Station No. </w:t>
            </w:r>
          </w:p>
        </w:tc>
      </w:tr>
      <w:tr>
        <w:trPr>
          <w:trHeight w:val="1097"/>
        </w:trPr>
        <w:tc>
          <w:tcPr>
            <w:tcW w:w="1560" w:type="dxa"/>
          </w:tcPr>
          <w:p>
            <w:pPr>
              <w:pStyle w:val="yTableNAm"/>
              <w:spacing w:before="60"/>
              <w:rPr>
                <w:b/>
                <w:bCs/>
                <w:sz w:val="20"/>
              </w:rPr>
            </w:pPr>
            <w:r>
              <w:rPr>
                <w:b/>
                <w:bCs/>
                <w:sz w:val="20"/>
              </w:rPr>
              <w:t xml:space="preserve">Notice to alleged offender </w:t>
            </w:r>
          </w:p>
        </w:tc>
        <w:tc>
          <w:tcPr>
            <w:tcW w:w="5520" w:type="dxa"/>
            <w:gridSpan w:val="2"/>
            <w:tcBorders>
              <w:bottom w:val="single" w:sz="4" w:space="0" w:color="auto"/>
            </w:tcBorders>
          </w:tcPr>
          <w:p>
            <w:pPr>
              <w:pStyle w:val="yTableNAm"/>
              <w:spacing w:before="0"/>
              <w:rPr>
                <w:sz w:val="20"/>
              </w:rPr>
            </w:pPr>
            <w:r>
              <w:rPr>
                <w:sz w:val="20"/>
              </w:rPr>
              <w:t>It is alleged that you have committed the above offence.</w:t>
            </w:r>
          </w:p>
          <w:p>
            <w:pPr>
              <w:pStyle w:val="yTableNAm"/>
              <w:spacing w:before="0"/>
              <w:rPr>
                <w:sz w:val="20"/>
              </w:rPr>
            </w:pPr>
            <w:r>
              <w:rPr>
                <w:sz w:val="20"/>
              </w:rPr>
              <w:t>If you do not want to be prosecuted in court for the offence, pay the modified penalty within 28 days after the date of this notice.</w:t>
            </w:r>
          </w:p>
          <w:p>
            <w:pPr>
              <w:pStyle w:val="yTableNAm"/>
              <w:spacing w:before="0"/>
              <w:rPr>
                <w:b/>
                <w:bCs/>
                <w:sz w:val="20"/>
              </w:rPr>
            </w:pPr>
            <w:r>
              <w:rPr>
                <w:b/>
                <w:bCs/>
                <w:sz w:val="20"/>
              </w:rPr>
              <w:t>How to pay</w:t>
            </w:r>
          </w:p>
          <w:p>
            <w:pPr>
              <w:pStyle w:val="yTableNAm"/>
              <w:tabs>
                <w:tab w:val="left" w:pos="252"/>
              </w:tabs>
              <w:spacing w:before="0"/>
              <w:ind w:left="567" w:hanging="567"/>
              <w:rPr>
                <w:sz w:val="20"/>
              </w:rPr>
            </w:pPr>
            <w:r>
              <w:rPr>
                <w:b/>
                <w:bCs/>
                <w:sz w:val="20"/>
              </w:rPr>
              <w:tab/>
              <w:t>By post:</w:t>
            </w:r>
            <w:r>
              <w:rPr>
                <w:sz w:val="20"/>
              </w:rPr>
              <w:t xml:space="preserve"> Send a cheque, money order or postal note </w:t>
            </w:r>
            <w:r>
              <w:rPr>
                <w:sz w:val="20"/>
              </w:rPr>
              <w:br/>
              <w:t>and the ‘Cashier’s Copy’ of this notice to:</w:t>
            </w:r>
          </w:p>
          <w:p>
            <w:pPr>
              <w:pStyle w:val="yTableNAm"/>
              <w:spacing w:before="0"/>
              <w:ind w:left="1134" w:hanging="1134"/>
              <w:rPr>
                <w:sz w:val="20"/>
              </w:rPr>
            </w:pPr>
            <w:r>
              <w:rPr>
                <w:sz w:val="20"/>
              </w:rPr>
              <w:tab/>
            </w:r>
            <w:r>
              <w:rPr>
                <w:sz w:val="20"/>
              </w:rPr>
              <w:tab/>
              <w:t>Director of Liquor Licensing</w:t>
            </w:r>
          </w:p>
          <w:p>
            <w:pPr>
              <w:pStyle w:val="yTableNAm"/>
              <w:spacing w:before="0"/>
              <w:ind w:left="1134" w:hanging="1134"/>
              <w:rPr>
                <w:sz w:val="20"/>
              </w:rPr>
            </w:pPr>
            <w:r>
              <w:rPr>
                <w:sz w:val="20"/>
              </w:rPr>
              <w:tab/>
            </w:r>
            <w:r>
              <w:rPr>
                <w:sz w:val="20"/>
              </w:rPr>
              <w:tab/>
            </w:r>
            <w:smartTag w:uri="urn:schemas-microsoft-com:office:smarttags" w:element="address">
              <w:smartTag w:uri="urn:schemas-microsoft-com:office:smarttags" w:element="Street">
                <w:r>
                  <w:rPr>
                    <w:sz w:val="20"/>
                  </w:rPr>
                  <w:t>PO Box</w:t>
                </w:r>
              </w:smartTag>
              <w:r>
                <w:rPr>
                  <w:sz w:val="20"/>
                </w:rPr>
                <w:t xml:space="preserve"> 6119</w:t>
              </w:r>
            </w:smartTag>
          </w:p>
          <w:p>
            <w:pPr>
              <w:pStyle w:val="yTableNAm"/>
              <w:spacing w:before="0"/>
              <w:ind w:left="1134" w:hanging="1134"/>
              <w:rPr>
                <w:sz w:val="20"/>
              </w:rPr>
            </w:pPr>
            <w:r>
              <w:rPr>
                <w:sz w:val="20"/>
              </w:rPr>
              <w:tab/>
            </w:r>
            <w:r>
              <w:rPr>
                <w:sz w:val="20"/>
              </w:rPr>
              <w:tab/>
            </w:r>
            <w:smartTag w:uri="urn:schemas-microsoft-com:office:smarttags" w:element="place">
              <w:smartTag w:uri="urn:schemas-microsoft-com:office:smarttags" w:element="City">
                <w:r>
                  <w:rPr>
                    <w:sz w:val="20"/>
                  </w:rPr>
                  <w:t>East Perth</w:t>
                </w:r>
              </w:smartTag>
              <w:r>
                <w:rPr>
                  <w:sz w:val="20"/>
                </w:rPr>
                <w:t xml:space="preserve">  </w:t>
              </w:r>
              <w:smartTag w:uri="urn:schemas-microsoft-com:office:smarttags" w:element="State">
                <w:r>
                  <w:rPr>
                    <w:sz w:val="20"/>
                  </w:rPr>
                  <w:t>WA</w:t>
                </w:r>
              </w:smartTag>
            </w:smartTag>
            <w:r>
              <w:rPr>
                <w:sz w:val="20"/>
              </w:rPr>
              <w:t xml:space="preserve">  6892</w:t>
            </w:r>
          </w:p>
          <w:p>
            <w:pPr>
              <w:pStyle w:val="yTableNAm"/>
              <w:tabs>
                <w:tab w:val="left" w:pos="252"/>
              </w:tabs>
              <w:spacing w:before="0"/>
              <w:ind w:left="567" w:hanging="567"/>
              <w:rPr>
                <w:sz w:val="20"/>
              </w:rPr>
            </w:pPr>
            <w:r>
              <w:rPr>
                <w:b/>
                <w:bCs/>
                <w:sz w:val="20"/>
              </w:rPr>
              <w:tab/>
              <w:t>In person</w:t>
            </w:r>
            <w:r>
              <w:rPr>
                <w:sz w:val="20"/>
              </w:rPr>
              <w:t>: Take the</w:t>
            </w:r>
            <w:r>
              <w:rPr>
                <w:color w:val="0000FF"/>
                <w:sz w:val="20"/>
              </w:rPr>
              <w:t xml:space="preserve"> </w:t>
            </w:r>
            <w:r>
              <w:rPr>
                <w:sz w:val="20"/>
              </w:rPr>
              <w:t>‘Cashier’s Copy’</w:t>
            </w:r>
            <w:r>
              <w:rPr>
                <w:color w:val="0000FF"/>
                <w:sz w:val="20"/>
              </w:rPr>
              <w:t xml:space="preserve"> </w:t>
            </w:r>
            <w:r>
              <w:rPr>
                <w:sz w:val="20"/>
              </w:rPr>
              <w:t>of this notice and pay the cashier at:</w:t>
            </w:r>
          </w:p>
          <w:p>
            <w:pPr>
              <w:pStyle w:val="yTableNAm"/>
              <w:spacing w:before="0"/>
              <w:rPr>
                <w:sz w:val="20"/>
              </w:rPr>
            </w:pPr>
            <w:r>
              <w:rPr>
                <w:sz w:val="20"/>
              </w:rPr>
              <w:tab/>
            </w:r>
            <w:r>
              <w:rPr>
                <w:sz w:val="20"/>
              </w:rPr>
              <w:tab/>
              <w:t>Department of Racing, Gaming and Liquor</w:t>
            </w:r>
          </w:p>
          <w:p>
            <w:pPr>
              <w:pStyle w:val="yTableNAm"/>
              <w:spacing w:before="0"/>
              <w:rPr>
                <w:sz w:val="20"/>
              </w:rPr>
            </w:pPr>
            <w:r>
              <w:rPr>
                <w:sz w:val="20"/>
              </w:rPr>
              <w:tab/>
            </w:r>
            <w:r>
              <w:rPr>
                <w:sz w:val="20"/>
              </w:rPr>
              <w:tab/>
              <w:t>1</w:t>
            </w:r>
            <w:r>
              <w:rPr>
                <w:sz w:val="20"/>
                <w:vertAlign w:val="superscript"/>
              </w:rPr>
              <w:t>st</w:t>
            </w:r>
            <w:r>
              <w:rPr>
                <w:sz w:val="20"/>
              </w:rPr>
              <w:t xml:space="preserve"> floor, Hyatt Centre</w:t>
            </w:r>
          </w:p>
          <w:p>
            <w:pPr>
              <w:pStyle w:val="yTableNAm"/>
              <w:spacing w:before="0"/>
              <w:rPr>
                <w:sz w:val="20"/>
              </w:rPr>
            </w:pPr>
            <w:r>
              <w:rPr>
                <w:sz w:val="20"/>
              </w:rPr>
              <w:tab/>
            </w:r>
            <w:r>
              <w:rPr>
                <w:sz w:val="20"/>
              </w:rPr>
              <w:tab/>
              <w:t xml:space="preserve">87 </w:t>
            </w:r>
            <w:smartTag w:uri="urn:schemas-microsoft-com:office:smarttags" w:element="City">
              <w:r>
                <w:rPr>
                  <w:sz w:val="20"/>
                </w:rPr>
                <w:t>Adelaide</w:t>
              </w:r>
            </w:smartTag>
            <w:r>
              <w:rPr>
                <w:sz w:val="20"/>
              </w:rPr>
              <w:t xml:space="preserve"> Terrace,  </w:t>
            </w:r>
            <w:smartTag w:uri="urn:schemas-microsoft-com:office:smarttags" w:element="place">
              <w:smartTag w:uri="urn:schemas-microsoft-com:office:smarttags" w:element="City">
                <w:r>
                  <w:rPr>
                    <w:sz w:val="20"/>
                  </w:rPr>
                  <w:t>East Perth</w:t>
                </w:r>
              </w:smartTag>
              <w:r>
                <w:rPr>
                  <w:sz w:val="20"/>
                </w:rPr>
                <w:t xml:space="preserve">  </w:t>
              </w:r>
              <w:smartTag w:uri="urn:schemas-microsoft-com:office:smarttags" w:element="State">
                <w:r>
                  <w:rPr>
                    <w:sz w:val="20"/>
                  </w:rPr>
                  <w:t>WA</w:t>
                </w:r>
              </w:smartTag>
            </w:smartTag>
          </w:p>
          <w:p>
            <w:pPr>
              <w:pStyle w:val="yTableNAm"/>
              <w:spacing w:before="0"/>
              <w:rPr>
                <w:sz w:val="20"/>
              </w:rPr>
            </w:pPr>
            <w:r>
              <w:rPr>
                <w:sz w:val="20"/>
              </w:rPr>
              <w:tab/>
            </w:r>
            <w:r>
              <w:rPr>
                <w:sz w:val="20"/>
              </w:rPr>
              <w:tab/>
              <w:t xml:space="preserve">or at any </w:t>
            </w:r>
            <w:smartTag w:uri="urn:schemas-microsoft-com:office:smarttags" w:element="address">
              <w:smartTag w:uri="urn:schemas-microsoft-com:office:smarttags" w:element="Street">
                <w:r>
                  <w:rPr>
                    <w:sz w:val="20"/>
                  </w:rPr>
                  <w:t>Magistrates Court</w:t>
                </w:r>
              </w:smartTag>
            </w:smartTag>
            <w:r>
              <w:rPr>
                <w:sz w:val="20"/>
              </w:rPr>
              <w:t>.</w:t>
            </w:r>
          </w:p>
          <w:p>
            <w:pPr>
              <w:pStyle w:val="yTableNAm"/>
              <w:spacing w:before="0"/>
              <w:rPr>
                <w:sz w:val="20"/>
              </w:rPr>
            </w:pPr>
            <w:r>
              <w:rPr>
                <w:b/>
                <w:bCs/>
                <w:sz w:val="20"/>
              </w:rPr>
              <w:t>If you do not pay</w:t>
            </w:r>
            <w:r>
              <w:rPr>
                <w:sz w:val="20"/>
              </w:rPr>
              <w:t xml:space="preserve"> the modified penalty within 28 days, you may be prosecuted or enforcement action may be taken under the </w:t>
            </w:r>
            <w:r>
              <w:rPr>
                <w:i/>
                <w:iCs/>
                <w:sz w:val="20"/>
              </w:rPr>
              <w:t>Fines, Penalties and Infringement Notices Enforcement Act 1994</w:t>
            </w:r>
            <w:r>
              <w:rPr>
                <w:sz w:val="20"/>
              </w:rPr>
              <w:t>.  Under that Act your driver’s licence and/or vehicle licence may be suspended.</w:t>
            </w:r>
          </w:p>
          <w:p>
            <w:pPr>
              <w:pStyle w:val="yTableNAm"/>
              <w:spacing w:before="0"/>
              <w:rPr>
                <w:sz w:val="20"/>
              </w:rPr>
            </w:pPr>
            <w:r>
              <w:rPr>
                <w:b/>
                <w:bCs/>
                <w:sz w:val="20"/>
              </w:rPr>
              <w:t>If you need more time</w:t>
            </w:r>
            <w:r>
              <w:rPr>
                <w:sz w:val="20"/>
              </w:rPr>
              <w:t xml:space="preserve"> to pay the modified penalty, you can apply for an extension of time by writing to the Director of Liquor Licensing at the above postal address.</w:t>
            </w:r>
          </w:p>
          <w:p>
            <w:pPr>
              <w:pStyle w:val="yTableNAm"/>
              <w:spacing w:before="0"/>
              <w:rPr>
                <w:sz w:val="20"/>
              </w:rPr>
            </w:pPr>
            <w:r>
              <w:rPr>
                <w:b/>
                <w:bCs/>
                <w:sz w:val="20"/>
              </w:rPr>
              <w:t xml:space="preserve">If you want this matter to be dealt with by prosecution in court, </w:t>
            </w:r>
            <w:r>
              <w:rPr>
                <w:sz w:val="20"/>
              </w:rPr>
              <w:t>sign the ‘Cashier’s Copy’ of this notice here __________________________________________________</w:t>
            </w:r>
            <w:r>
              <w:rPr>
                <w:sz w:val="20"/>
              </w:rPr>
              <w:br/>
              <w:t xml:space="preserve">and post it to the Director of Liquor Licensing at the above postal address within 28 days after the date of this notice. </w:t>
            </w:r>
          </w:p>
        </w:tc>
      </w:tr>
    </w:tbl>
    <w:p>
      <w:pPr>
        <w:pStyle w:val="yFootnotesection"/>
      </w:pPr>
      <w:r>
        <w:tab/>
        <w:t>[Form 21 inserted in Gazette 28 Sep 2007 p. 4931.]</w:t>
      </w:r>
    </w:p>
    <w:p>
      <w:pPr>
        <w:pStyle w:val="yMiscellaneousBody"/>
        <w:keepNext/>
        <w:keepLines/>
        <w:spacing w:after="60"/>
        <w:jc w:val="center"/>
        <w:rPr>
          <w:b/>
          <w:bCs/>
          <w:snapToGrid w:val="0"/>
        </w:rPr>
      </w:pPr>
      <w:r>
        <w:rPr>
          <w:b/>
          <w:bCs/>
          <w:snapToGrid w:val="0"/>
        </w:rPr>
        <w:t xml:space="preserve">Form </w:t>
      </w:r>
      <w:r>
        <w:rPr>
          <w:rStyle w:val="CharSClsNo"/>
          <w:b/>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827"/>
      </w:tblGrid>
      <w:tr>
        <w:trPr>
          <w:cantSplit/>
          <w:trHeight w:val="279"/>
        </w:trPr>
        <w:tc>
          <w:tcPr>
            <w:tcW w:w="4253" w:type="dxa"/>
            <w:gridSpan w:val="2"/>
            <w:vMerge w:val="restart"/>
          </w:tcPr>
          <w:p>
            <w:pPr>
              <w:pStyle w:val="yTableNAm"/>
              <w:keepNext/>
              <w:keepLines/>
              <w:spacing w:before="0"/>
              <w:rPr>
                <w:b/>
                <w:bCs/>
                <w:i/>
                <w:iCs/>
                <w:sz w:val="20"/>
              </w:rPr>
            </w:pPr>
            <w:r>
              <w:rPr>
                <w:b/>
                <w:bCs/>
                <w:i/>
                <w:iCs/>
                <w:sz w:val="20"/>
              </w:rPr>
              <w:t>Liquor Control Act 1988</w:t>
            </w:r>
          </w:p>
          <w:p>
            <w:pPr>
              <w:pStyle w:val="yTableNAm"/>
              <w:keepNext/>
              <w:keepLines/>
              <w:spacing w:before="0"/>
              <w:rPr>
                <w:sz w:val="26"/>
              </w:rPr>
            </w:pPr>
            <w:r>
              <w:rPr>
                <w:b/>
                <w:bCs/>
                <w:sz w:val="26"/>
              </w:rPr>
              <w:t>Withdrawal of infringement notice</w:t>
            </w:r>
          </w:p>
        </w:tc>
        <w:tc>
          <w:tcPr>
            <w:tcW w:w="2827" w:type="dxa"/>
            <w:tcBorders>
              <w:bottom w:val="single" w:sz="4" w:space="0" w:color="auto"/>
            </w:tcBorders>
          </w:tcPr>
          <w:p>
            <w:pPr>
              <w:pStyle w:val="yTableNAm"/>
              <w:keepNext/>
              <w:keepLines/>
              <w:spacing w:before="0"/>
              <w:rPr>
                <w:sz w:val="20"/>
              </w:rPr>
            </w:pPr>
            <w:r>
              <w:rPr>
                <w:sz w:val="20"/>
              </w:rPr>
              <w:t>Withdrawal No.</w:t>
            </w:r>
          </w:p>
        </w:tc>
      </w:tr>
      <w:tr>
        <w:trPr>
          <w:cantSplit/>
          <w:trHeight w:val="278"/>
        </w:trPr>
        <w:tc>
          <w:tcPr>
            <w:tcW w:w="4253" w:type="dxa"/>
            <w:gridSpan w:val="2"/>
            <w:vMerge/>
          </w:tcPr>
          <w:p>
            <w:pPr>
              <w:pStyle w:val="yTableNAm"/>
              <w:keepNext/>
              <w:keepLines/>
              <w:spacing w:before="0"/>
              <w:rPr>
                <w:sz w:val="20"/>
              </w:rPr>
            </w:pPr>
          </w:p>
        </w:tc>
        <w:tc>
          <w:tcPr>
            <w:tcW w:w="2827" w:type="dxa"/>
            <w:tcBorders>
              <w:bottom w:val="single" w:sz="4" w:space="0" w:color="auto"/>
            </w:tcBorders>
          </w:tcPr>
          <w:p>
            <w:pPr>
              <w:pStyle w:val="yTableNAm"/>
              <w:keepNext/>
              <w:keepLines/>
              <w:spacing w:before="0"/>
              <w:rPr>
                <w:sz w:val="20"/>
              </w:rPr>
            </w:pPr>
            <w:r>
              <w:rPr>
                <w:sz w:val="20"/>
              </w:rPr>
              <w:t>Date of withdrawal</w:t>
            </w:r>
          </w:p>
        </w:tc>
      </w:tr>
      <w:tr>
        <w:trPr>
          <w:cantSplit/>
          <w:trHeight w:val="150"/>
        </w:trPr>
        <w:tc>
          <w:tcPr>
            <w:tcW w:w="1560" w:type="dxa"/>
            <w:vMerge w:val="restart"/>
          </w:tcPr>
          <w:p>
            <w:pPr>
              <w:pStyle w:val="yTableNAm"/>
              <w:keepNext/>
              <w:keepLines/>
              <w:spacing w:before="0"/>
              <w:rPr>
                <w:b/>
                <w:bCs/>
                <w:sz w:val="20"/>
              </w:rPr>
            </w:pPr>
            <w:r>
              <w:rPr>
                <w:b/>
                <w:bCs/>
                <w:sz w:val="20"/>
              </w:rPr>
              <w:t>Alleged offender</w:t>
            </w:r>
          </w:p>
        </w:tc>
        <w:tc>
          <w:tcPr>
            <w:tcW w:w="5520" w:type="dxa"/>
            <w:gridSpan w:val="2"/>
          </w:tcPr>
          <w:p>
            <w:pPr>
              <w:pStyle w:val="yTableNAm"/>
              <w:keepNext/>
              <w:keepLines/>
              <w:tabs>
                <w:tab w:val="clear" w:pos="567"/>
                <w:tab w:val="left" w:pos="732"/>
              </w:tabs>
              <w:spacing w:before="60"/>
              <w:rPr>
                <w:sz w:val="20"/>
              </w:rPr>
            </w:pPr>
            <w:r>
              <w:rPr>
                <w:sz w:val="20"/>
              </w:rPr>
              <w:t>Name:</w:t>
            </w:r>
            <w:r>
              <w:rPr>
                <w:sz w:val="20"/>
              </w:rPr>
              <w:tab/>
              <w:t>Family name</w:t>
            </w:r>
          </w:p>
        </w:tc>
      </w:tr>
      <w:tr>
        <w:trPr>
          <w:cantSplit/>
          <w:trHeight w:val="150"/>
        </w:trPr>
        <w:tc>
          <w:tcPr>
            <w:tcW w:w="1560" w:type="dxa"/>
            <w:vMerge/>
          </w:tcPr>
          <w:p>
            <w:pPr>
              <w:pStyle w:val="yTableNAm"/>
              <w:keepNext/>
              <w:keepLines/>
              <w:spacing w:before="0"/>
              <w:rPr>
                <w:b/>
                <w:bCs/>
                <w:sz w:val="20"/>
              </w:rPr>
            </w:pPr>
          </w:p>
        </w:tc>
        <w:tc>
          <w:tcPr>
            <w:tcW w:w="5520" w:type="dxa"/>
            <w:gridSpan w:val="2"/>
          </w:tcPr>
          <w:p>
            <w:pPr>
              <w:pStyle w:val="yTableNAm"/>
              <w:keepNext/>
              <w:keepLines/>
              <w:tabs>
                <w:tab w:val="clear" w:pos="567"/>
                <w:tab w:val="left" w:pos="732"/>
              </w:tabs>
              <w:spacing w:before="60"/>
              <w:rPr>
                <w:sz w:val="20"/>
              </w:rPr>
            </w:pPr>
            <w:r>
              <w:rPr>
                <w:sz w:val="20"/>
              </w:rPr>
              <w:tab/>
              <w:t>Given names</w:t>
            </w:r>
          </w:p>
        </w:tc>
      </w:tr>
      <w:tr>
        <w:trPr>
          <w:cantSplit/>
          <w:trHeight w:val="150"/>
        </w:trPr>
        <w:tc>
          <w:tcPr>
            <w:tcW w:w="1560" w:type="dxa"/>
            <w:vMerge/>
          </w:tcPr>
          <w:p>
            <w:pPr>
              <w:pStyle w:val="yTableNAm"/>
              <w:keepNext/>
              <w:keepLines/>
              <w:spacing w:before="0"/>
              <w:rPr>
                <w:b/>
                <w:bCs/>
                <w:sz w:val="20"/>
              </w:rPr>
            </w:pPr>
          </w:p>
        </w:tc>
        <w:tc>
          <w:tcPr>
            <w:tcW w:w="5520" w:type="dxa"/>
            <w:gridSpan w:val="2"/>
          </w:tcPr>
          <w:p>
            <w:pPr>
              <w:pStyle w:val="yTableNAm"/>
              <w:keepNext/>
              <w:keepLines/>
              <w:tabs>
                <w:tab w:val="clear" w:pos="567"/>
                <w:tab w:val="left" w:pos="732"/>
                <w:tab w:val="left" w:pos="3372"/>
              </w:tabs>
              <w:spacing w:before="60"/>
              <w:ind w:right="-108"/>
              <w:rPr>
                <w:sz w:val="20"/>
              </w:rPr>
            </w:pPr>
            <w:r>
              <w:rPr>
                <w:sz w:val="20"/>
              </w:rPr>
              <w:t>Address ______________________________________________</w:t>
            </w:r>
          </w:p>
          <w:p>
            <w:pPr>
              <w:pStyle w:val="yTableNAm"/>
              <w:keepNext/>
              <w:keepLines/>
              <w:tabs>
                <w:tab w:val="clear" w:pos="567"/>
                <w:tab w:val="left" w:pos="732"/>
                <w:tab w:val="left" w:pos="3372"/>
              </w:tabs>
              <w:spacing w:before="60"/>
              <w:rPr>
                <w:sz w:val="20"/>
              </w:rPr>
            </w:pPr>
            <w:r>
              <w:rPr>
                <w:sz w:val="20"/>
              </w:rPr>
              <w:tab/>
            </w:r>
            <w:r>
              <w:rPr>
                <w:sz w:val="20"/>
              </w:rPr>
              <w:tab/>
              <w:t>Postcode</w:t>
            </w:r>
          </w:p>
        </w:tc>
      </w:tr>
      <w:tr>
        <w:trPr>
          <w:cantSplit/>
        </w:trPr>
        <w:tc>
          <w:tcPr>
            <w:tcW w:w="1560" w:type="dxa"/>
            <w:vMerge w:val="restart"/>
          </w:tcPr>
          <w:p>
            <w:pPr>
              <w:pStyle w:val="yTableNAm"/>
              <w:keepNext/>
              <w:keepLines/>
              <w:spacing w:before="0"/>
              <w:rPr>
                <w:b/>
                <w:bCs/>
                <w:sz w:val="20"/>
              </w:rPr>
            </w:pPr>
            <w:r>
              <w:rPr>
                <w:b/>
                <w:bCs/>
                <w:sz w:val="20"/>
              </w:rPr>
              <w:t>Infringement notice</w:t>
            </w:r>
          </w:p>
        </w:tc>
        <w:tc>
          <w:tcPr>
            <w:tcW w:w="5520" w:type="dxa"/>
            <w:gridSpan w:val="2"/>
          </w:tcPr>
          <w:p>
            <w:pPr>
              <w:pStyle w:val="yTableNAm"/>
              <w:keepNext/>
              <w:keepLines/>
              <w:tabs>
                <w:tab w:val="clear" w:pos="567"/>
                <w:tab w:val="left" w:pos="732"/>
                <w:tab w:val="left" w:pos="3372"/>
              </w:tabs>
              <w:spacing w:before="0"/>
              <w:rPr>
                <w:sz w:val="20"/>
              </w:rPr>
            </w:pPr>
            <w:r>
              <w:rPr>
                <w:sz w:val="20"/>
              </w:rPr>
              <w:t>Infringement notice No.</w:t>
            </w:r>
          </w:p>
        </w:tc>
      </w:tr>
      <w:tr>
        <w:trPr>
          <w:cantSplit/>
        </w:trPr>
        <w:tc>
          <w:tcPr>
            <w:tcW w:w="1560" w:type="dxa"/>
            <w:vMerge/>
          </w:tcPr>
          <w:p>
            <w:pPr>
              <w:pStyle w:val="yTableNAm"/>
              <w:keepNext/>
              <w:keepLines/>
              <w:spacing w:before="0"/>
              <w:rPr>
                <w:b/>
                <w:bCs/>
                <w:sz w:val="20"/>
              </w:rPr>
            </w:pPr>
          </w:p>
        </w:tc>
        <w:tc>
          <w:tcPr>
            <w:tcW w:w="5520" w:type="dxa"/>
            <w:gridSpan w:val="2"/>
          </w:tcPr>
          <w:p>
            <w:pPr>
              <w:pStyle w:val="yTableNAm"/>
              <w:keepNext/>
              <w:keepLines/>
              <w:tabs>
                <w:tab w:val="clear" w:pos="567"/>
                <w:tab w:val="left" w:pos="732"/>
                <w:tab w:val="left" w:pos="3372"/>
              </w:tabs>
              <w:spacing w:before="0"/>
              <w:rPr>
                <w:sz w:val="20"/>
              </w:rPr>
            </w:pPr>
            <w:r>
              <w:rPr>
                <w:sz w:val="20"/>
              </w:rPr>
              <w:t xml:space="preserve">Date of issue  </w:t>
            </w:r>
            <w:r>
              <w:rPr>
                <w:sz w:val="20"/>
              </w:rPr>
              <w:tab/>
              <w:t>/</w:t>
            </w:r>
            <w:r>
              <w:rPr>
                <w:sz w:val="20"/>
              </w:rPr>
              <w:tab/>
              <w:t>/20</w:t>
            </w:r>
          </w:p>
        </w:tc>
      </w:tr>
      <w:tr>
        <w:trPr>
          <w:cantSplit/>
        </w:trPr>
        <w:tc>
          <w:tcPr>
            <w:tcW w:w="1560" w:type="dxa"/>
            <w:vMerge w:val="restart"/>
          </w:tcPr>
          <w:p>
            <w:pPr>
              <w:pStyle w:val="yTableNAm"/>
              <w:keepNext/>
              <w:keepLines/>
              <w:spacing w:before="0"/>
              <w:ind w:right="113"/>
              <w:rPr>
                <w:b/>
                <w:bCs/>
                <w:sz w:val="20"/>
              </w:rPr>
            </w:pPr>
            <w:r>
              <w:rPr>
                <w:b/>
                <w:bCs/>
                <w:sz w:val="20"/>
              </w:rPr>
              <w:t>Alleged offence</w:t>
            </w:r>
          </w:p>
        </w:tc>
        <w:tc>
          <w:tcPr>
            <w:tcW w:w="5520" w:type="dxa"/>
            <w:gridSpan w:val="2"/>
          </w:tcPr>
          <w:p>
            <w:pPr>
              <w:pStyle w:val="yTableNAm"/>
              <w:keepNext/>
              <w:keepLines/>
              <w:tabs>
                <w:tab w:val="clear" w:pos="567"/>
                <w:tab w:val="left" w:pos="732"/>
                <w:tab w:val="left" w:pos="3372"/>
              </w:tabs>
              <w:spacing w:before="0"/>
              <w:ind w:right="-108"/>
              <w:rPr>
                <w:sz w:val="20"/>
              </w:rPr>
            </w:pPr>
            <w:r>
              <w:rPr>
                <w:sz w:val="20"/>
              </w:rPr>
              <w:t>Description of offence ___________________________________</w:t>
            </w:r>
          </w:p>
          <w:p>
            <w:pPr>
              <w:pStyle w:val="yTableNAm"/>
              <w:keepNext/>
              <w:keepLines/>
              <w:tabs>
                <w:tab w:val="clear" w:pos="567"/>
                <w:tab w:val="left" w:pos="732"/>
                <w:tab w:val="left" w:pos="3372"/>
              </w:tabs>
              <w:spacing w:before="0"/>
              <w:rPr>
                <w:sz w:val="20"/>
              </w:rPr>
            </w:pPr>
          </w:p>
        </w:tc>
      </w:tr>
      <w:tr>
        <w:trPr>
          <w:cantSplit/>
        </w:trPr>
        <w:tc>
          <w:tcPr>
            <w:tcW w:w="1560" w:type="dxa"/>
            <w:vMerge/>
          </w:tcPr>
          <w:p>
            <w:pPr>
              <w:pStyle w:val="yTableNAm"/>
              <w:keepNext/>
              <w:keepLines/>
              <w:spacing w:before="0"/>
              <w:rPr>
                <w:b/>
                <w:bCs/>
                <w:sz w:val="20"/>
              </w:rPr>
            </w:pPr>
          </w:p>
        </w:tc>
        <w:tc>
          <w:tcPr>
            <w:tcW w:w="5520" w:type="dxa"/>
            <w:gridSpan w:val="2"/>
          </w:tcPr>
          <w:p>
            <w:pPr>
              <w:pStyle w:val="yTableNAm"/>
              <w:keepNext/>
              <w:keepLines/>
              <w:tabs>
                <w:tab w:val="clear" w:pos="567"/>
                <w:tab w:val="left" w:pos="732"/>
                <w:tab w:val="left" w:pos="3372"/>
              </w:tabs>
              <w:spacing w:before="0"/>
              <w:rPr>
                <w:sz w:val="20"/>
              </w:rPr>
            </w:pPr>
            <w:r>
              <w:rPr>
                <w:i/>
                <w:iCs/>
                <w:sz w:val="20"/>
              </w:rPr>
              <w:t>Liquor Control Act 1988</w:t>
            </w:r>
            <w:r>
              <w:rPr>
                <w:sz w:val="20"/>
              </w:rPr>
              <w:t xml:space="preserve"> s. ________</w:t>
            </w:r>
          </w:p>
          <w:p>
            <w:pPr>
              <w:pStyle w:val="yTableNAm"/>
              <w:keepNext/>
              <w:keepLines/>
              <w:tabs>
                <w:tab w:val="clear" w:pos="567"/>
                <w:tab w:val="left" w:pos="732"/>
                <w:tab w:val="left" w:pos="3372"/>
              </w:tabs>
              <w:spacing w:before="0"/>
              <w:rPr>
                <w:sz w:val="20"/>
              </w:rPr>
            </w:pPr>
            <w:r>
              <w:rPr>
                <w:i/>
                <w:iCs/>
                <w:sz w:val="20"/>
              </w:rPr>
              <w:t>Liquor Control Regulations 1989</w:t>
            </w:r>
            <w:r>
              <w:rPr>
                <w:sz w:val="20"/>
              </w:rPr>
              <w:t xml:space="preserve"> r. _________</w:t>
            </w:r>
          </w:p>
        </w:tc>
      </w:tr>
      <w:tr>
        <w:trPr>
          <w:cantSplit/>
        </w:trPr>
        <w:tc>
          <w:tcPr>
            <w:tcW w:w="1560" w:type="dxa"/>
            <w:vMerge/>
          </w:tcPr>
          <w:p>
            <w:pPr>
              <w:pStyle w:val="yTableNAm"/>
              <w:keepNext/>
              <w:keepLines/>
              <w:spacing w:before="0"/>
              <w:rPr>
                <w:b/>
                <w:bCs/>
                <w:sz w:val="20"/>
              </w:rPr>
            </w:pPr>
          </w:p>
        </w:tc>
        <w:tc>
          <w:tcPr>
            <w:tcW w:w="5520" w:type="dxa"/>
            <w:gridSpan w:val="2"/>
          </w:tcPr>
          <w:p>
            <w:pPr>
              <w:pStyle w:val="yTableNAm"/>
              <w:keepNext/>
              <w:keepLines/>
              <w:tabs>
                <w:tab w:val="clear" w:pos="567"/>
                <w:tab w:val="left" w:pos="732"/>
                <w:tab w:val="left" w:pos="3372"/>
              </w:tabs>
              <w:spacing w:before="0"/>
              <w:rPr>
                <w:sz w:val="20"/>
              </w:rPr>
            </w:pPr>
            <w:r>
              <w:rPr>
                <w:sz w:val="20"/>
              </w:rPr>
              <w:t>Location where offence committed</w:t>
            </w:r>
          </w:p>
          <w:p>
            <w:pPr>
              <w:pStyle w:val="yTableNAm"/>
              <w:keepNext/>
              <w:keepLines/>
              <w:tabs>
                <w:tab w:val="clear" w:pos="567"/>
                <w:tab w:val="left" w:pos="732"/>
                <w:tab w:val="left" w:pos="3372"/>
              </w:tabs>
              <w:spacing w:before="0"/>
              <w:ind w:right="-122"/>
              <w:rPr>
                <w:sz w:val="20"/>
              </w:rPr>
            </w:pPr>
            <w:r>
              <w:rPr>
                <w:sz w:val="20"/>
              </w:rPr>
              <w:t>Name of premises (if applicable)____________________________________________</w:t>
            </w:r>
          </w:p>
          <w:p>
            <w:pPr>
              <w:pStyle w:val="yTableNAm"/>
              <w:keepNext/>
              <w:keepLines/>
              <w:tabs>
                <w:tab w:val="clear" w:pos="567"/>
                <w:tab w:val="left" w:pos="732"/>
                <w:tab w:val="left" w:pos="3372"/>
              </w:tabs>
              <w:spacing w:before="0"/>
              <w:ind w:right="-108"/>
              <w:rPr>
                <w:sz w:val="20"/>
              </w:rPr>
            </w:pPr>
            <w:r>
              <w:rPr>
                <w:sz w:val="20"/>
              </w:rPr>
              <w:t>Address ______________________________________________</w:t>
            </w:r>
          </w:p>
          <w:p>
            <w:pPr>
              <w:pStyle w:val="yTableNAm"/>
              <w:keepNext/>
              <w:keepLines/>
              <w:tabs>
                <w:tab w:val="clear" w:pos="567"/>
                <w:tab w:val="left" w:pos="732"/>
                <w:tab w:val="left" w:pos="3372"/>
              </w:tabs>
              <w:spacing w:before="0"/>
              <w:rPr>
                <w:sz w:val="20"/>
              </w:rPr>
            </w:pPr>
            <w:r>
              <w:rPr>
                <w:sz w:val="20"/>
              </w:rPr>
              <w:tab/>
            </w:r>
            <w:r>
              <w:rPr>
                <w:sz w:val="20"/>
              </w:rPr>
              <w:tab/>
              <w:t>Postcode</w:t>
            </w:r>
          </w:p>
        </w:tc>
      </w:tr>
      <w:tr>
        <w:trPr>
          <w:cantSplit/>
        </w:trPr>
        <w:tc>
          <w:tcPr>
            <w:tcW w:w="1560" w:type="dxa"/>
            <w:vMerge/>
          </w:tcPr>
          <w:p>
            <w:pPr>
              <w:pStyle w:val="yTableNAm"/>
              <w:keepNext/>
              <w:keepLines/>
              <w:spacing w:before="0"/>
              <w:rPr>
                <w:b/>
                <w:bCs/>
                <w:sz w:val="20"/>
              </w:rPr>
            </w:pPr>
          </w:p>
        </w:tc>
        <w:tc>
          <w:tcPr>
            <w:tcW w:w="5520" w:type="dxa"/>
            <w:gridSpan w:val="2"/>
          </w:tcPr>
          <w:p>
            <w:pPr>
              <w:pStyle w:val="yTableNAm"/>
              <w:keepNext/>
              <w:keepLines/>
              <w:tabs>
                <w:tab w:val="clear" w:pos="567"/>
                <w:tab w:val="left" w:pos="852"/>
                <w:tab w:val="left" w:pos="1332"/>
                <w:tab w:val="left" w:pos="2292"/>
                <w:tab w:val="left" w:pos="3972"/>
              </w:tabs>
              <w:spacing w:before="0"/>
              <w:rPr>
                <w:sz w:val="20"/>
              </w:rPr>
            </w:pPr>
            <w:r>
              <w:rPr>
                <w:sz w:val="20"/>
              </w:rPr>
              <w:t>Date</w:t>
            </w:r>
            <w:r>
              <w:rPr>
                <w:sz w:val="20"/>
              </w:rPr>
              <w:tab/>
              <w:t>/</w:t>
            </w:r>
            <w:r>
              <w:rPr>
                <w:sz w:val="20"/>
              </w:rPr>
              <w:tab/>
              <w:t>/20</w:t>
            </w:r>
            <w:r>
              <w:rPr>
                <w:sz w:val="20"/>
              </w:rPr>
              <w:tab/>
              <w:t xml:space="preserve">Time </w:t>
            </w:r>
            <w:r>
              <w:rPr>
                <w:sz w:val="20"/>
              </w:rPr>
              <w:tab/>
              <w:t>a.m./p.m.</w:t>
            </w:r>
          </w:p>
        </w:tc>
      </w:tr>
      <w:tr>
        <w:trPr>
          <w:cantSplit/>
        </w:trPr>
        <w:tc>
          <w:tcPr>
            <w:tcW w:w="1560" w:type="dxa"/>
            <w:vMerge w:val="restart"/>
          </w:tcPr>
          <w:p>
            <w:pPr>
              <w:pStyle w:val="yTableNAm"/>
              <w:keepNext/>
              <w:keepLines/>
              <w:spacing w:before="0"/>
              <w:rPr>
                <w:b/>
                <w:bCs/>
                <w:sz w:val="20"/>
              </w:rPr>
            </w:pPr>
            <w:r>
              <w:rPr>
                <w:b/>
                <w:bCs/>
                <w:sz w:val="20"/>
              </w:rPr>
              <w:t xml:space="preserve">Officer withdrawing notice </w:t>
            </w:r>
          </w:p>
        </w:tc>
        <w:tc>
          <w:tcPr>
            <w:tcW w:w="5520" w:type="dxa"/>
            <w:gridSpan w:val="2"/>
          </w:tcPr>
          <w:p>
            <w:pPr>
              <w:pStyle w:val="yTableNAm"/>
              <w:keepNext/>
              <w:keepLines/>
              <w:spacing w:before="0"/>
              <w:rPr>
                <w:sz w:val="20"/>
              </w:rPr>
            </w:pPr>
            <w:r>
              <w:rPr>
                <w:sz w:val="20"/>
              </w:rPr>
              <w:t>Director of Liquor Licensing</w:t>
            </w:r>
          </w:p>
        </w:tc>
      </w:tr>
      <w:tr>
        <w:trPr>
          <w:cantSplit/>
        </w:trPr>
        <w:tc>
          <w:tcPr>
            <w:tcW w:w="1560" w:type="dxa"/>
            <w:vMerge/>
          </w:tcPr>
          <w:p>
            <w:pPr>
              <w:pStyle w:val="yTableNAm"/>
              <w:keepNext/>
              <w:keepLines/>
              <w:spacing w:before="0"/>
              <w:rPr>
                <w:b/>
                <w:bCs/>
                <w:sz w:val="20"/>
              </w:rPr>
            </w:pPr>
          </w:p>
        </w:tc>
        <w:tc>
          <w:tcPr>
            <w:tcW w:w="5520" w:type="dxa"/>
            <w:gridSpan w:val="2"/>
          </w:tcPr>
          <w:p>
            <w:pPr>
              <w:pStyle w:val="yTableNAm"/>
              <w:keepNext/>
              <w:keepLines/>
              <w:spacing w:before="0"/>
              <w:rPr>
                <w:sz w:val="20"/>
              </w:rPr>
            </w:pPr>
            <w:r>
              <w:rPr>
                <w:sz w:val="20"/>
              </w:rPr>
              <w:t>Signature</w:t>
            </w:r>
          </w:p>
        </w:tc>
      </w:tr>
      <w:tr>
        <w:trPr>
          <w:cantSplit/>
        </w:trPr>
        <w:tc>
          <w:tcPr>
            <w:tcW w:w="1560" w:type="dxa"/>
          </w:tcPr>
          <w:p>
            <w:pPr>
              <w:pStyle w:val="yTableNAm"/>
              <w:spacing w:before="0"/>
              <w:rPr>
                <w:b/>
                <w:bCs/>
                <w:sz w:val="20"/>
              </w:rPr>
            </w:pPr>
            <w:r>
              <w:rPr>
                <w:b/>
                <w:bCs/>
                <w:sz w:val="20"/>
              </w:rPr>
              <w:t>Withdrawal of infringement notice</w:t>
            </w:r>
          </w:p>
          <w:p>
            <w:pPr>
              <w:pStyle w:val="yTableNAm"/>
              <w:spacing w:before="0"/>
              <w:rPr>
                <w:b/>
                <w:bCs/>
                <w:sz w:val="20"/>
              </w:rPr>
            </w:pPr>
          </w:p>
          <w:p>
            <w:pPr>
              <w:pStyle w:val="yTableNAm"/>
              <w:spacing w:before="0"/>
              <w:rPr>
                <w:b/>
                <w:bCs/>
                <w:sz w:val="20"/>
              </w:rPr>
            </w:pPr>
          </w:p>
          <w:p>
            <w:pPr>
              <w:pStyle w:val="yTableNAm"/>
              <w:spacing w:before="0"/>
              <w:rPr>
                <w:i/>
                <w:iCs/>
                <w:sz w:val="16"/>
              </w:rPr>
            </w:pPr>
            <w:r>
              <w:rPr>
                <w:i/>
                <w:iCs/>
                <w:sz w:val="16"/>
              </w:rPr>
              <w:t xml:space="preserve">[*delete </w:t>
            </w:r>
            <w:r>
              <w:rPr>
                <w:i/>
                <w:iCs/>
                <w:sz w:val="16"/>
              </w:rPr>
              <w:br/>
              <w:t>whichever</w:t>
            </w:r>
            <w:r>
              <w:rPr>
                <w:i/>
                <w:iCs/>
                <w:sz w:val="16"/>
              </w:rPr>
              <w:br/>
              <w:t>is not applicable]</w:t>
            </w:r>
          </w:p>
        </w:tc>
        <w:tc>
          <w:tcPr>
            <w:tcW w:w="5520" w:type="dxa"/>
            <w:gridSpan w:val="2"/>
            <w:tcBorders>
              <w:bottom w:val="single" w:sz="4" w:space="0" w:color="auto"/>
            </w:tcBorders>
          </w:tcPr>
          <w:p>
            <w:pPr>
              <w:pStyle w:val="yTableNAm"/>
              <w:spacing w:before="0"/>
              <w:rPr>
                <w:sz w:val="20"/>
              </w:rPr>
            </w:pPr>
            <w:r>
              <w:rPr>
                <w:sz w:val="20"/>
              </w:rPr>
              <w:t>The above infringement notice issued against you has been withdrawn.</w:t>
            </w:r>
          </w:p>
          <w:p>
            <w:pPr>
              <w:pStyle w:val="yTableNAm"/>
              <w:spacing w:before="0"/>
              <w:rPr>
                <w:sz w:val="20"/>
              </w:rPr>
            </w:pPr>
            <w:r>
              <w:rPr>
                <w:sz w:val="20"/>
              </w:rPr>
              <w:t>If you have already paid the modified penalty for the alleged offence you are entitled to a refund.</w:t>
            </w:r>
          </w:p>
          <w:p>
            <w:pPr>
              <w:pStyle w:val="yTableNAm"/>
              <w:tabs>
                <w:tab w:val="clear" w:pos="567"/>
                <w:tab w:val="left" w:pos="252"/>
                <w:tab w:val="left" w:pos="732"/>
              </w:tabs>
              <w:spacing w:before="0"/>
              <w:rPr>
                <w:sz w:val="20"/>
              </w:rPr>
            </w:pPr>
            <w:r>
              <w:rPr>
                <w:sz w:val="20"/>
              </w:rPr>
              <w:t>*</w:t>
            </w:r>
            <w:r>
              <w:rPr>
                <w:sz w:val="20"/>
              </w:rPr>
              <w:tab/>
              <w:t>Your refund is enclosed.</w:t>
            </w:r>
          </w:p>
          <w:p>
            <w:pPr>
              <w:pStyle w:val="yTableNAm"/>
              <w:tabs>
                <w:tab w:val="clear" w:pos="567"/>
                <w:tab w:val="left" w:pos="252"/>
                <w:tab w:val="left" w:pos="732"/>
              </w:tabs>
              <w:spacing w:before="0"/>
              <w:rPr>
                <w:sz w:val="20"/>
              </w:rPr>
            </w:pPr>
            <w:r>
              <w:rPr>
                <w:sz w:val="20"/>
              </w:rPr>
              <w:t>or</w:t>
            </w:r>
          </w:p>
          <w:p>
            <w:pPr>
              <w:pStyle w:val="yTableNAm"/>
              <w:tabs>
                <w:tab w:val="clear" w:pos="567"/>
                <w:tab w:val="left" w:pos="252"/>
                <w:tab w:val="left" w:pos="732"/>
              </w:tabs>
              <w:spacing w:before="0"/>
              <w:rPr>
                <w:sz w:val="20"/>
              </w:rPr>
            </w:pPr>
            <w:r>
              <w:rPr>
                <w:sz w:val="20"/>
              </w:rPr>
              <w:t>*</w:t>
            </w:r>
            <w:r>
              <w:rPr>
                <w:sz w:val="20"/>
              </w:rPr>
              <w:tab/>
              <w:t xml:space="preserve">If you have paid the modified penalty but a refund is not </w:t>
            </w:r>
            <w:r>
              <w:rPr>
                <w:sz w:val="20"/>
              </w:rPr>
              <w:tab/>
              <w:t>enclosed, to claim your refund sign this notice and post it to:</w:t>
            </w:r>
          </w:p>
          <w:p>
            <w:pPr>
              <w:pStyle w:val="yTableNAm"/>
              <w:spacing w:before="0"/>
              <w:rPr>
                <w:sz w:val="20"/>
              </w:rPr>
            </w:pPr>
            <w:r>
              <w:rPr>
                <w:sz w:val="20"/>
              </w:rPr>
              <w:tab/>
              <w:t>Director of Liquor Licensing</w:t>
            </w:r>
          </w:p>
          <w:p>
            <w:pPr>
              <w:pStyle w:val="yTableNAm"/>
              <w:spacing w:before="0"/>
              <w:rPr>
                <w:sz w:val="20"/>
              </w:rPr>
            </w:pPr>
            <w:r>
              <w:rPr>
                <w:sz w:val="20"/>
              </w:rPr>
              <w:tab/>
            </w:r>
            <w:smartTag w:uri="urn:schemas-microsoft-com:office:smarttags" w:element="address">
              <w:smartTag w:uri="urn:schemas-microsoft-com:office:smarttags" w:element="Street">
                <w:r>
                  <w:rPr>
                    <w:sz w:val="20"/>
                  </w:rPr>
                  <w:t>PO Box</w:t>
                </w:r>
              </w:smartTag>
              <w:r>
                <w:rPr>
                  <w:sz w:val="20"/>
                </w:rPr>
                <w:t xml:space="preserve"> 6119</w:t>
              </w:r>
            </w:smartTag>
          </w:p>
          <w:p>
            <w:pPr>
              <w:pStyle w:val="yTableNAm"/>
              <w:spacing w:before="0"/>
              <w:rPr>
                <w:sz w:val="20"/>
              </w:rPr>
            </w:pPr>
            <w:r>
              <w:rPr>
                <w:sz w:val="20"/>
              </w:rPr>
              <w:tab/>
            </w:r>
            <w:smartTag w:uri="urn:schemas-microsoft-com:office:smarttags" w:element="place">
              <w:smartTag w:uri="urn:schemas-microsoft-com:office:smarttags" w:element="City">
                <w:r>
                  <w:rPr>
                    <w:sz w:val="20"/>
                  </w:rPr>
                  <w:t>East Perth</w:t>
                </w:r>
              </w:smartTag>
              <w:r>
                <w:rPr>
                  <w:sz w:val="20"/>
                </w:rPr>
                <w:t xml:space="preserve">  </w:t>
              </w:r>
              <w:smartTag w:uri="urn:schemas-microsoft-com:office:smarttags" w:element="State">
                <w:r>
                  <w:rPr>
                    <w:sz w:val="20"/>
                  </w:rPr>
                  <w:t>WA</w:t>
                </w:r>
              </w:smartTag>
            </w:smartTag>
            <w:r>
              <w:rPr>
                <w:sz w:val="20"/>
              </w:rPr>
              <w:t xml:space="preserve">  6892</w:t>
            </w:r>
          </w:p>
          <w:p>
            <w:pPr>
              <w:pStyle w:val="yTableNAm"/>
              <w:spacing w:before="0"/>
              <w:rPr>
                <w:sz w:val="20"/>
              </w:rPr>
            </w:pPr>
          </w:p>
          <w:p>
            <w:pPr>
              <w:pStyle w:val="yTableNAm"/>
              <w:tabs>
                <w:tab w:val="left" w:pos="4212"/>
              </w:tabs>
              <w:spacing w:before="0"/>
              <w:rPr>
                <w:sz w:val="20"/>
              </w:rPr>
            </w:pPr>
            <w:r>
              <w:rPr>
                <w:sz w:val="20"/>
              </w:rPr>
              <w:t>Signature</w:t>
            </w:r>
            <w:r>
              <w:rPr>
                <w:sz w:val="20"/>
              </w:rPr>
              <w:tab/>
              <w:t>/</w:t>
            </w:r>
            <w:r>
              <w:rPr>
                <w:sz w:val="20"/>
              </w:rPr>
              <w:tab/>
              <w:t>/20</w:t>
            </w:r>
          </w:p>
        </w:tc>
      </w:tr>
    </w:tbl>
    <w:p>
      <w:pPr>
        <w:pStyle w:val="yFootnotesection"/>
      </w:pPr>
      <w:r>
        <w:tab/>
        <w:t>[Form 22 inserted in Gazette 28 Sep 2007 p. 4932.]</w:t>
      </w:r>
    </w:p>
    <w:p>
      <w:pPr>
        <w:sectPr>
          <w:headerReference w:type="even" r:id="rId30"/>
          <w:headerReference w:type="default" r:id="rId31"/>
          <w:headerReference w:type="first" r:id="rId32"/>
          <w:pgSz w:w="11906" w:h="16838" w:code="9"/>
          <w:pgMar w:top="2381" w:right="2409" w:bottom="3543" w:left="2409" w:header="720" w:footer="3380" w:gutter="0"/>
          <w:cols w:space="720"/>
          <w:noEndnote/>
          <w:docGrid w:linePitch="326"/>
        </w:sectPr>
      </w:pPr>
      <w:bookmarkStart w:id="912" w:name="_Toc534780070"/>
      <w:bookmarkStart w:id="913" w:name="_Toc3352152"/>
      <w:bookmarkStart w:id="914" w:name="_Toc22966253"/>
      <w:bookmarkStart w:id="915" w:name="_Toc66263860"/>
      <w:bookmarkStart w:id="916" w:name="_Toc67978811"/>
      <w:bookmarkStart w:id="917" w:name="_Toc79826633"/>
      <w:bookmarkStart w:id="918" w:name="_Toc113176300"/>
      <w:bookmarkStart w:id="919" w:name="_Toc113180389"/>
      <w:bookmarkStart w:id="920" w:name="_Toc114391764"/>
      <w:bookmarkStart w:id="921" w:name="_Toc115171741"/>
      <w:bookmarkStart w:id="922" w:name="_Toc118609143"/>
      <w:bookmarkStart w:id="923" w:name="_Toc119294102"/>
      <w:bookmarkStart w:id="924" w:name="_Toc123633195"/>
      <w:bookmarkStart w:id="925" w:name="_Toc123633282"/>
      <w:bookmarkStart w:id="926" w:name="_Toc127594639"/>
      <w:bookmarkStart w:id="927" w:name="_Toc155066802"/>
      <w:bookmarkStart w:id="928" w:name="_Toc155084700"/>
      <w:bookmarkStart w:id="929" w:name="_Toc166316642"/>
      <w:bookmarkStart w:id="930" w:name="_Toc169665141"/>
      <w:bookmarkStart w:id="931" w:name="_Toc169672019"/>
      <w:bookmarkStart w:id="932" w:name="_Toc171323207"/>
      <w:bookmarkStart w:id="933" w:name="_Toc172713671"/>
      <w:bookmarkStart w:id="934" w:name="_Toc172713964"/>
      <w:bookmarkStart w:id="935" w:name="_Toc173550875"/>
      <w:bookmarkStart w:id="936" w:name="_Toc173560588"/>
      <w:bookmarkStart w:id="937" w:name="_Toc178676595"/>
      <w:bookmarkStart w:id="938" w:name="_Toc178676875"/>
      <w:bookmarkStart w:id="939" w:name="_Toc178677072"/>
      <w:bookmarkStart w:id="940" w:name="_Toc178734886"/>
      <w:bookmarkStart w:id="941" w:name="_Toc178741345"/>
      <w:bookmarkStart w:id="942" w:name="_Toc179100285"/>
      <w:bookmarkStart w:id="943" w:name="_Toc179103251"/>
      <w:bookmarkStart w:id="944" w:name="_Toc179708633"/>
      <w:bookmarkStart w:id="945" w:name="_Toc179708739"/>
      <w:bookmarkStart w:id="946" w:name="_Toc185652748"/>
      <w:bookmarkStart w:id="947" w:name="_Toc185654453"/>
      <w:bookmarkStart w:id="948" w:name="_Toc196630686"/>
      <w:bookmarkStart w:id="949" w:name="_Toc197489586"/>
      <w:bookmarkStart w:id="950" w:name="_Toc197489657"/>
      <w:bookmarkStart w:id="951" w:name="_Toc197493324"/>
      <w:bookmarkStart w:id="952" w:name="_Toc201728698"/>
      <w:bookmarkStart w:id="953" w:name="_Toc201738256"/>
      <w:bookmarkStart w:id="954" w:name="_Toc201738326"/>
      <w:bookmarkStart w:id="955" w:name="_Toc201741264"/>
      <w:bookmarkStart w:id="956" w:name="_Toc201741455"/>
      <w:bookmarkStart w:id="957" w:name="_Toc202058821"/>
      <w:bookmarkStart w:id="958" w:name="_Toc202842900"/>
      <w:bookmarkStart w:id="959" w:name="_Toc212535054"/>
      <w:bookmarkStart w:id="960" w:name="_Toc212605405"/>
      <w:bookmarkStart w:id="961" w:name="_Toc212947106"/>
      <w:bookmarkStart w:id="962" w:name="_Toc213749828"/>
      <w:bookmarkStart w:id="963" w:name="_Toc231026186"/>
      <w:bookmarkStart w:id="964" w:name="_Toc231026257"/>
      <w:bookmarkStart w:id="965" w:name="_Toc231694210"/>
      <w:bookmarkStart w:id="966" w:name="_Toc233777100"/>
      <w:bookmarkStart w:id="967" w:name="_Toc234034473"/>
      <w:bookmarkStart w:id="968" w:name="_Toc234036701"/>
      <w:bookmarkStart w:id="969" w:name="_Toc236127829"/>
      <w:bookmarkStart w:id="970" w:name="_Toc246401794"/>
      <w:bookmarkStart w:id="971" w:name="_Toc246403944"/>
      <w:bookmarkStart w:id="972" w:name="_Toc249257450"/>
      <w:bookmarkStart w:id="973" w:name="_Toc251246186"/>
      <w:bookmarkStart w:id="974" w:name="_Toc255309762"/>
      <w:bookmarkStart w:id="975" w:name="_Toc259617855"/>
      <w:bookmarkStart w:id="976" w:name="_Toc260654291"/>
      <w:bookmarkStart w:id="977" w:name="_Toc262460753"/>
      <w:bookmarkStart w:id="978" w:name="_Toc262656769"/>
      <w:bookmarkStart w:id="979" w:name="_Toc262718311"/>
      <w:bookmarkStart w:id="980" w:name="_Toc262718756"/>
      <w:bookmarkStart w:id="981" w:name="_Toc263073555"/>
      <w:bookmarkStart w:id="982" w:name="_Toc264018307"/>
      <w:bookmarkStart w:id="983" w:name="_Toc272322668"/>
      <w:bookmarkStart w:id="984" w:name="_Toc272411024"/>
      <w:bookmarkStart w:id="985" w:name="_Toc272411095"/>
      <w:bookmarkStart w:id="986" w:name="_Toc275443544"/>
      <w:bookmarkStart w:id="987" w:name="_Toc279141667"/>
      <w:bookmarkStart w:id="988" w:name="_Toc281463893"/>
      <w:bookmarkStart w:id="989" w:name="_Toc292112293"/>
      <w:bookmarkStart w:id="990" w:name="_Toc292112364"/>
      <w:bookmarkStart w:id="991" w:name="_Toc294260094"/>
      <w:bookmarkStart w:id="992" w:name="_Toc294860735"/>
      <w:bookmarkStart w:id="993" w:name="_Toc298410639"/>
      <w:bookmarkStart w:id="994" w:name="_Toc300583793"/>
      <w:bookmarkStart w:id="995" w:name="_Toc300837729"/>
      <w:bookmarkStart w:id="996" w:name="_Toc300926172"/>
      <w:bookmarkStart w:id="997" w:name="_Toc301770417"/>
      <w:bookmarkStart w:id="998" w:name="_Toc302391556"/>
    </w:p>
    <w:p>
      <w:pPr>
        <w:pStyle w:val="yScheduleHeading"/>
      </w:pPr>
      <w:bookmarkStart w:id="999" w:name="_Toc303261625"/>
      <w:bookmarkStart w:id="1000" w:name="_Toc303261709"/>
      <w:bookmarkStart w:id="1001" w:name="_Toc303323207"/>
      <w:bookmarkStart w:id="1002" w:name="_Toc303323524"/>
      <w:bookmarkStart w:id="1003" w:name="_Toc303323608"/>
      <w:bookmarkStart w:id="1004" w:name="_Toc303323692"/>
      <w:bookmarkStart w:id="1005" w:name="_Toc303323776"/>
      <w:bookmarkStart w:id="1006" w:name="_Toc303323860"/>
      <w:bookmarkStart w:id="1007" w:name="_Toc303323944"/>
      <w:bookmarkStart w:id="1008" w:name="_Toc303926990"/>
      <w:bookmarkStart w:id="1009" w:name="_Toc305158263"/>
      <w:bookmarkStart w:id="1010" w:name="_Toc305680048"/>
      <w:bookmarkStart w:id="1011" w:name="_Toc308164118"/>
      <w:bookmarkStart w:id="1012" w:name="_Toc310862769"/>
      <w:bookmarkStart w:id="1013" w:name="_Toc310863201"/>
      <w:bookmarkStart w:id="1014" w:name="_Toc312915545"/>
      <w:bookmarkStart w:id="1015" w:name="_Toc313530433"/>
      <w:bookmarkStart w:id="1016" w:name="_Toc332284851"/>
      <w:bookmarkStart w:id="1017" w:name="_Toc333819436"/>
      <w:bookmarkStart w:id="1018" w:name="_Toc333821735"/>
      <w:bookmarkStart w:id="1019" w:name="_Toc338407380"/>
      <w:bookmarkStart w:id="1020" w:name="_Toc339519214"/>
      <w:bookmarkStart w:id="1021" w:name="_Toc339522543"/>
      <w:bookmarkStart w:id="1022" w:name="_Toc339523104"/>
      <w:bookmarkStart w:id="1023" w:name="_Toc344975457"/>
      <w:bookmarkStart w:id="1024" w:name="_Toc344975547"/>
      <w:bookmarkStart w:id="1025" w:name="_Toc344979605"/>
      <w:bookmarkStart w:id="1026" w:name="_Toc346003591"/>
      <w:bookmarkStart w:id="1027" w:name="_Toc346605943"/>
      <w:bookmarkStart w:id="1028" w:name="_Toc346606030"/>
      <w:bookmarkStart w:id="1029" w:name="_Toc346606117"/>
      <w:bookmarkStart w:id="1030" w:name="_Toc346606204"/>
      <w:bookmarkStart w:id="1031" w:name="_Toc346607178"/>
      <w:bookmarkStart w:id="1032" w:name="_Toc346613838"/>
      <w:bookmarkStart w:id="1033" w:name="_Toc347319305"/>
      <w:bookmarkStart w:id="1034" w:name="_Toc354059368"/>
      <w:bookmarkStart w:id="1035" w:name="_Toc356826741"/>
      <w:bookmarkStart w:id="1036" w:name="_Toc356895937"/>
      <w:bookmarkStart w:id="1037" w:name="_Toc357698886"/>
      <w:r>
        <w:rPr>
          <w:rStyle w:val="CharSchNo"/>
        </w:rPr>
        <w:t>Schedule 2</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pPr>
        <w:pStyle w:val="yShoulderClause"/>
        <w:spacing w:before="60"/>
        <w:rPr>
          <w:snapToGrid w:val="0"/>
        </w:rPr>
      </w:pPr>
      <w:r>
        <w:rPr>
          <w:snapToGrid w:val="0"/>
        </w:rPr>
        <w:t>[Regulation 13]</w:t>
      </w:r>
    </w:p>
    <w:p>
      <w:pPr>
        <w:pStyle w:val="yHeading2"/>
        <w:spacing w:before="120" w:after="80"/>
      </w:pPr>
      <w:bookmarkStart w:id="1038" w:name="_Toc113176301"/>
      <w:bookmarkStart w:id="1039" w:name="_Toc113180390"/>
      <w:bookmarkStart w:id="1040" w:name="_Toc114391765"/>
      <w:bookmarkStart w:id="1041" w:name="_Toc115171742"/>
      <w:bookmarkStart w:id="1042" w:name="_Toc118609144"/>
      <w:bookmarkStart w:id="1043" w:name="_Toc119294103"/>
      <w:bookmarkStart w:id="1044" w:name="_Toc123633196"/>
      <w:bookmarkStart w:id="1045" w:name="_Toc123633283"/>
      <w:bookmarkStart w:id="1046" w:name="_Toc127594640"/>
      <w:bookmarkStart w:id="1047" w:name="_Toc155066803"/>
      <w:bookmarkStart w:id="1048" w:name="_Toc155084701"/>
      <w:bookmarkStart w:id="1049" w:name="_Toc166316643"/>
      <w:bookmarkStart w:id="1050" w:name="_Toc169665142"/>
      <w:bookmarkStart w:id="1051" w:name="_Toc169672020"/>
      <w:bookmarkStart w:id="1052" w:name="_Toc171323208"/>
      <w:bookmarkStart w:id="1053" w:name="_Toc172713672"/>
      <w:bookmarkStart w:id="1054" w:name="_Toc172713965"/>
      <w:bookmarkStart w:id="1055" w:name="_Toc173550876"/>
      <w:bookmarkStart w:id="1056" w:name="_Toc173560589"/>
      <w:bookmarkStart w:id="1057" w:name="_Toc178676596"/>
      <w:bookmarkStart w:id="1058" w:name="_Toc178676876"/>
      <w:bookmarkStart w:id="1059" w:name="_Toc178677073"/>
      <w:bookmarkStart w:id="1060" w:name="_Toc178734887"/>
      <w:bookmarkStart w:id="1061" w:name="_Toc178741346"/>
      <w:bookmarkStart w:id="1062" w:name="_Toc179100286"/>
      <w:bookmarkStart w:id="1063" w:name="_Toc179103252"/>
      <w:bookmarkStart w:id="1064" w:name="_Toc179708634"/>
      <w:bookmarkStart w:id="1065" w:name="_Toc179708740"/>
      <w:bookmarkStart w:id="1066" w:name="_Toc185652749"/>
      <w:bookmarkStart w:id="1067" w:name="_Toc185654454"/>
      <w:bookmarkStart w:id="1068" w:name="_Toc196630687"/>
      <w:bookmarkStart w:id="1069" w:name="_Toc197489587"/>
      <w:bookmarkStart w:id="1070" w:name="_Toc197489658"/>
      <w:bookmarkStart w:id="1071" w:name="_Toc197493325"/>
      <w:bookmarkStart w:id="1072" w:name="_Toc201728699"/>
      <w:bookmarkStart w:id="1073" w:name="_Toc201738257"/>
      <w:bookmarkStart w:id="1074" w:name="_Toc201738327"/>
      <w:bookmarkStart w:id="1075" w:name="_Toc201741265"/>
      <w:bookmarkStart w:id="1076" w:name="_Toc201741456"/>
      <w:bookmarkStart w:id="1077" w:name="_Toc202058822"/>
      <w:bookmarkStart w:id="1078" w:name="_Toc202842901"/>
      <w:bookmarkStart w:id="1079" w:name="_Toc212535055"/>
      <w:bookmarkStart w:id="1080" w:name="_Toc212605406"/>
      <w:bookmarkStart w:id="1081" w:name="_Toc212947107"/>
      <w:bookmarkStart w:id="1082" w:name="_Toc213749829"/>
      <w:bookmarkStart w:id="1083" w:name="_Toc231026187"/>
      <w:bookmarkStart w:id="1084" w:name="_Toc231026258"/>
      <w:bookmarkStart w:id="1085" w:name="_Toc231694211"/>
      <w:bookmarkStart w:id="1086" w:name="_Toc233777101"/>
      <w:bookmarkStart w:id="1087" w:name="_Toc234034474"/>
      <w:bookmarkStart w:id="1088" w:name="_Toc234036702"/>
      <w:bookmarkStart w:id="1089" w:name="_Toc236127830"/>
      <w:bookmarkStart w:id="1090" w:name="_Toc246401795"/>
      <w:bookmarkStart w:id="1091" w:name="_Toc246403945"/>
      <w:bookmarkStart w:id="1092" w:name="_Toc249257451"/>
      <w:bookmarkStart w:id="1093" w:name="_Toc251246187"/>
      <w:bookmarkStart w:id="1094" w:name="_Toc255309763"/>
      <w:bookmarkStart w:id="1095" w:name="_Toc259617856"/>
      <w:bookmarkStart w:id="1096" w:name="_Toc260654292"/>
      <w:bookmarkStart w:id="1097" w:name="_Toc262460754"/>
      <w:bookmarkStart w:id="1098" w:name="_Toc262656770"/>
      <w:bookmarkStart w:id="1099" w:name="_Toc262718312"/>
      <w:bookmarkStart w:id="1100" w:name="_Toc262718757"/>
      <w:bookmarkStart w:id="1101" w:name="_Toc263073556"/>
      <w:bookmarkStart w:id="1102" w:name="_Toc264018308"/>
      <w:bookmarkStart w:id="1103" w:name="_Toc272322669"/>
      <w:bookmarkStart w:id="1104" w:name="_Toc272411025"/>
      <w:bookmarkStart w:id="1105" w:name="_Toc272411096"/>
      <w:bookmarkStart w:id="1106" w:name="_Toc275443545"/>
      <w:bookmarkStart w:id="1107" w:name="_Toc279141668"/>
      <w:bookmarkStart w:id="1108" w:name="_Toc281463894"/>
      <w:bookmarkStart w:id="1109" w:name="_Toc292112294"/>
      <w:bookmarkStart w:id="1110" w:name="_Toc292112365"/>
      <w:bookmarkStart w:id="1111" w:name="_Toc294260095"/>
      <w:bookmarkStart w:id="1112" w:name="_Toc294860736"/>
      <w:bookmarkStart w:id="1113" w:name="_Toc298410640"/>
      <w:bookmarkStart w:id="1114" w:name="_Toc300583794"/>
      <w:bookmarkStart w:id="1115" w:name="_Toc300837730"/>
      <w:bookmarkStart w:id="1116" w:name="_Toc300926173"/>
      <w:bookmarkStart w:id="1117" w:name="_Toc301770418"/>
      <w:bookmarkStart w:id="1118" w:name="_Toc302391557"/>
      <w:bookmarkStart w:id="1119" w:name="_Toc303261626"/>
      <w:bookmarkStart w:id="1120" w:name="_Toc303261710"/>
      <w:bookmarkStart w:id="1121" w:name="_Toc303323208"/>
      <w:bookmarkStart w:id="1122" w:name="_Toc303323525"/>
      <w:bookmarkStart w:id="1123" w:name="_Toc303323609"/>
      <w:bookmarkStart w:id="1124" w:name="_Toc303323693"/>
      <w:bookmarkStart w:id="1125" w:name="_Toc303323777"/>
      <w:bookmarkStart w:id="1126" w:name="_Toc303323861"/>
      <w:bookmarkStart w:id="1127" w:name="_Toc303323945"/>
      <w:bookmarkStart w:id="1128" w:name="_Toc303926991"/>
      <w:bookmarkStart w:id="1129" w:name="_Toc305158264"/>
      <w:bookmarkStart w:id="1130" w:name="_Toc305680049"/>
      <w:bookmarkStart w:id="1131" w:name="_Toc308164119"/>
      <w:bookmarkStart w:id="1132" w:name="_Toc310862770"/>
      <w:bookmarkStart w:id="1133" w:name="_Toc310863202"/>
      <w:bookmarkStart w:id="1134" w:name="_Toc312915546"/>
      <w:bookmarkStart w:id="1135" w:name="_Toc313530434"/>
      <w:bookmarkStart w:id="1136" w:name="_Toc332284852"/>
      <w:bookmarkStart w:id="1137" w:name="_Toc333819437"/>
      <w:bookmarkStart w:id="1138" w:name="_Toc333821736"/>
      <w:bookmarkStart w:id="1139" w:name="_Toc338407381"/>
      <w:bookmarkStart w:id="1140" w:name="_Toc339519215"/>
      <w:bookmarkStart w:id="1141" w:name="_Toc339522544"/>
      <w:bookmarkStart w:id="1142" w:name="_Toc339523105"/>
      <w:bookmarkStart w:id="1143" w:name="_Toc344975458"/>
      <w:bookmarkStart w:id="1144" w:name="_Toc344975548"/>
      <w:bookmarkStart w:id="1145" w:name="_Toc344979606"/>
      <w:bookmarkStart w:id="1146" w:name="_Toc346003592"/>
      <w:bookmarkStart w:id="1147" w:name="_Toc346605944"/>
      <w:bookmarkStart w:id="1148" w:name="_Toc346606031"/>
      <w:bookmarkStart w:id="1149" w:name="_Toc346606118"/>
      <w:bookmarkStart w:id="1150" w:name="_Toc346606205"/>
      <w:bookmarkStart w:id="1151" w:name="_Toc346607179"/>
      <w:bookmarkStart w:id="1152" w:name="_Toc346613839"/>
      <w:bookmarkStart w:id="1153" w:name="_Toc347319306"/>
      <w:bookmarkStart w:id="1154" w:name="_Toc354059369"/>
      <w:bookmarkStart w:id="1155" w:name="_Toc356826742"/>
      <w:bookmarkStart w:id="1156" w:name="_Toc356895938"/>
      <w:bookmarkStart w:id="1157" w:name="_Toc357698887"/>
      <w:r>
        <w:rPr>
          <w:rStyle w:val="CharSchText"/>
        </w:rPr>
        <w:t>Details of applicant</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NAm"/>
              <w:spacing w:before="60" w:after="60"/>
              <w:rPr>
                <w:b/>
                <w:bCs/>
                <w:sz w:val="20"/>
              </w:rPr>
            </w:pPr>
            <w:r>
              <w:rPr>
                <w:b/>
                <w:bCs/>
                <w:sz w:val="20"/>
              </w:rPr>
              <w:t>Item</w:t>
            </w:r>
          </w:p>
        </w:tc>
        <w:tc>
          <w:tcPr>
            <w:tcW w:w="2296" w:type="dxa"/>
            <w:tcBorders>
              <w:top w:val="single" w:sz="4" w:space="0" w:color="auto"/>
              <w:bottom w:val="single" w:sz="4" w:space="0" w:color="auto"/>
            </w:tcBorders>
          </w:tcPr>
          <w:p>
            <w:pPr>
              <w:pStyle w:val="yTableNAm"/>
              <w:spacing w:before="60" w:after="60"/>
              <w:rPr>
                <w:b/>
                <w:bCs/>
                <w:sz w:val="20"/>
              </w:rPr>
            </w:pPr>
            <w:r>
              <w:rPr>
                <w:b/>
                <w:bCs/>
                <w:sz w:val="20"/>
              </w:rPr>
              <w:t>Category of applicant</w:t>
            </w:r>
          </w:p>
        </w:tc>
        <w:tc>
          <w:tcPr>
            <w:tcW w:w="4253" w:type="dxa"/>
            <w:tcBorders>
              <w:top w:val="single" w:sz="4" w:space="0" w:color="auto"/>
              <w:bottom w:val="single" w:sz="4" w:space="0" w:color="auto"/>
            </w:tcBorders>
          </w:tcPr>
          <w:p>
            <w:pPr>
              <w:pStyle w:val="yTableNAm"/>
              <w:spacing w:before="60" w:after="60"/>
              <w:rPr>
                <w:b/>
                <w:bCs/>
                <w:sz w:val="20"/>
              </w:rPr>
            </w:pPr>
            <w:r>
              <w:rPr>
                <w:b/>
                <w:bCs/>
                <w:sz w:val="20"/>
              </w:rPr>
              <w:t>Details to be provided</w:t>
            </w:r>
          </w:p>
        </w:tc>
      </w:tr>
      <w:tr>
        <w:tc>
          <w:tcPr>
            <w:tcW w:w="567" w:type="dxa"/>
          </w:tcPr>
          <w:p>
            <w:pPr>
              <w:pStyle w:val="yTableNAm"/>
              <w:rPr>
                <w:sz w:val="20"/>
              </w:rPr>
            </w:pPr>
            <w:r>
              <w:rPr>
                <w:sz w:val="20"/>
              </w:rPr>
              <w:t>1.</w:t>
            </w:r>
          </w:p>
        </w:tc>
        <w:tc>
          <w:tcPr>
            <w:tcW w:w="2296" w:type="dxa"/>
          </w:tcPr>
          <w:p>
            <w:pPr>
              <w:pStyle w:val="yTableNAm"/>
              <w:rPr>
                <w:sz w:val="20"/>
              </w:rPr>
            </w:pPr>
            <w:r>
              <w:rPr>
                <w:sz w:val="20"/>
              </w:rPr>
              <w:t>Natural person ..................</w:t>
            </w:r>
          </w:p>
        </w:tc>
        <w:tc>
          <w:tcPr>
            <w:tcW w:w="4253" w:type="dxa"/>
          </w:tcPr>
          <w:p>
            <w:pPr>
              <w:pStyle w:val="yTableNAm"/>
              <w:tabs>
                <w:tab w:val="clear" w:pos="567"/>
                <w:tab w:val="left" w:pos="497"/>
                <w:tab w:val="left" w:pos="857"/>
              </w:tabs>
              <w:ind w:left="497" w:hanging="497"/>
              <w:rPr>
                <w:sz w:val="20"/>
                <w:lang w:val="en-US"/>
              </w:rPr>
            </w:pPr>
            <w:r>
              <w:rPr>
                <w:sz w:val="20"/>
              </w:rPr>
              <w:t>(a)</w:t>
            </w:r>
            <w:r>
              <w:rPr>
                <w:sz w:val="20"/>
              </w:rPr>
              <w:tab/>
              <w:t>full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(b)</w:t>
            </w:r>
            <w:r>
              <w:rPr>
                <w:sz w:val="20"/>
              </w:rPr>
              <w:tab/>
              <w:t>any other name used now or previously;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(c)</w:t>
            </w:r>
            <w:r>
              <w:rPr>
                <w:sz w:val="20"/>
              </w:rPr>
              <w:tab/>
              <w:t>present residential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(d)</w:t>
            </w:r>
            <w:r>
              <w:rPr>
                <w:sz w:val="20"/>
              </w:rPr>
              <w:tab/>
              <w:t>any other residential address in the past 5 years, including dates of each change of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(e)</w:t>
            </w:r>
            <w:r>
              <w:rPr>
                <w:sz w:val="20"/>
              </w:rPr>
              <w:tab/>
              <w:t>date and place of birth;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(f)</w:t>
            </w:r>
            <w:r>
              <w:rPr>
                <w:sz w:val="20"/>
              </w:rPr>
              <w:tab/>
              <w:t>citizenship;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(g)</w:t>
            </w:r>
            <w:r>
              <w:rPr>
                <w:sz w:val="20"/>
              </w:rPr>
              <w:tab/>
              <w:t>if the applicant has a spouse or de facto partner who will assist in the conduct of business under the licence, the full name and date of birth of the spouse or de facto partner;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(h)</w:t>
            </w:r>
            <w:r>
              <w:rPr>
                <w:sz w:val="20"/>
              </w:rPr>
              <w:tab/>
              <w:t>present occupation, and name and address of employer;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i/>
                <w:iCs/>
                <w:sz w:val="20"/>
              </w:rPr>
            </w:pPr>
            <w:r>
              <w:rPr>
                <w:i/>
                <w:iCs/>
                <w:sz w:val="20"/>
              </w:rPr>
              <w:t>[(j)</w:t>
            </w:r>
            <w:r>
              <w:rPr>
                <w:i/>
                <w:iCs/>
                <w:sz w:val="20"/>
              </w:rPr>
              <w:tab/>
              <w:t>deleted]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(m)</w:t>
            </w:r>
            <w:r>
              <w:rPr>
                <w:sz w:val="20"/>
              </w:rPr>
              <w:tab/>
              <w:t>any other involvement in the operation of licences relating to the sale of liquor in the State or elsewhere;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(n)</w:t>
            </w:r>
            <w:r>
              <w:rPr>
                <w:sz w:val="20"/>
              </w:rPr>
              <w:tab/>
              <w:t>any position of authority held in a body corporate concerned with the proposed licence and a description of the position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(o)</w:t>
            </w:r>
            <w:r>
              <w:rPr>
                <w:sz w:val="20"/>
              </w:rPr>
              <w:tab/>
              <w:t>the number and nature of any convictions of that person for offences in any jurisdiction;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1217" w:hanging="1134"/>
              <w:rPr>
                <w:sz w:val="20"/>
              </w:rPr>
            </w:pPr>
            <w:r>
              <w:rPr>
                <w:sz w:val="20"/>
              </w:rPr>
              <w:tab/>
            </w:r>
            <w:r>
              <w:rPr>
                <w:sz w:val="20"/>
              </w:rPr>
              <w:tab/>
              <w:t>(i)</w:t>
            </w:r>
            <w:r>
              <w:rPr>
                <w:sz w:val="20"/>
              </w:rPr>
              <w:tab/>
              <w:t>a director; or</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1217" w:hanging="1134"/>
              <w:rPr>
                <w:sz w:val="20"/>
              </w:rPr>
            </w:pPr>
            <w:r>
              <w:rPr>
                <w:sz w:val="20"/>
              </w:rPr>
              <w:tab/>
            </w:r>
            <w:r>
              <w:rPr>
                <w:sz w:val="20"/>
              </w:rPr>
              <w:tab/>
              <w:t>(ii)</w:t>
            </w:r>
            <w:r>
              <w:rPr>
                <w:sz w:val="20"/>
              </w:rPr>
              <w:tab/>
              <w:t>where the corporation is a proprietary company, a shareholder,</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ab/>
              <w:t>or any such administration pending.</w:t>
            </w:r>
          </w:p>
        </w:tc>
      </w:tr>
      <w:tr>
        <w:tc>
          <w:tcPr>
            <w:tcW w:w="567" w:type="dxa"/>
          </w:tcPr>
          <w:p>
            <w:pPr>
              <w:pStyle w:val="yTableNAm"/>
              <w:rPr>
                <w:sz w:val="20"/>
              </w:rPr>
            </w:pPr>
            <w:r>
              <w:rPr>
                <w:sz w:val="20"/>
              </w:rPr>
              <w:t>2.</w:t>
            </w:r>
          </w:p>
        </w:tc>
        <w:tc>
          <w:tcPr>
            <w:tcW w:w="2296" w:type="dxa"/>
          </w:tcPr>
          <w:p>
            <w:pPr>
              <w:pStyle w:val="yTableNAm"/>
              <w:rPr>
                <w:sz w:val="20"/>
              </w:rPr>
            </w:pPr>
            <w:r>
              <w:rPr>
                <w:sz w:val="20"/>
              </w:rPr>
              <w:t>Company ..........................</w:t>
            </w:r>
          </w:p>
        </w:tc>
        <w:tc>
          <w:tcPr>
            <w:tcW w:w="4253" w:type="dxa"/>
          </w:tcPr>
          <w:p>
            <w:pPr>
              <w:pStyle w:val="yTableNAm"/>
              <w:tabs>
                <w:tab w:val="clear" w:pos="567"/>
                <w:tab w:val="left" w:pos="497"/>
                <w:tab w:val="left" w:pos="857"/>
              </w:tabs>
              <w:ind w:left="497" w:hanging="497"/>
              <w:rPr>
                <w:sz w:val="20"/>
              </w:rPr>
            </w:pPr>
            <w:r>
              <w:rPr>
                <w:sz w:val="20"/>
              </w:rPr>
              <w:t>(a)</w:t>
            </w:r>
            <w:r>
              <w:rPr>
                <w:sz w:val="20"/>
              </w:rPr>
              <w:tab/>
              <w:t>full name, registered office and address for service of documents;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(b)</w:t>
            </w:r>
            <w:r>
              <w:rPr>
                <w:sz w:val="20"/>
              </w:rPr>
              <w:tab/>
              <w:t>date and place of incorporation, including a copy of the certificate of incorporation;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(c)</w:t>
            </w:r>
            <w:r>
              <w:rPr>
                <w:sz w:val="20"/>
              </w:rPr>
              <w:tab/>
              <w:t>any change of the company name during the past 2 years, including the date of any such change of name;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(d)</w:t>
            </w:r>
            <w:r>
              <w:rPr>
                <w:sz w:val="20"/>
              </w:rPr>
              <w:tab/>
              <w:t>a list of directors;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(e)</w:t>
            </w:r>
            <w:r>
              <w:rPr>
                <w:sz w:val="20"/>
              </w:rPr>
              <w:tab/>
              <w:t>in respect of each director, the details set out in item 1;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(f)</w:t>
            </w:r>
            <w:r>
              <w:rPr>
                <w:sz w:val="20"/>
              </w:rPr>
              <w:tab/>
              <w:t>in the case of a proprietary company —</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1217" w:hanging="1134"/>
              <w:rPr>
                <w:sz w:val="20"/>
              </w:rPr>
            </w:pPr>
            <w:r>
              <w:rPr>
                <w:sz w:val="20"/>
              </w:rPr>
              <w:tab/>
            </w:r>
            <w:r>
              <w:rPr>
                <w:sz w:val="20"/>
              </w:rPr>
              <w:tab/>
              <w:t>(i)</w:t>
            </w:r>
            <w:r>
              <w:rPr>
                <w:sz w:val="20"/>
              </w:rPr>
              <w:tab/>
              <w:t>the full name, residential address and date of birth of each shareholder who is a natural person; 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1217" w:hanging="1134"/>
              <w:rPr>
                <w:sz w:val="20"/>
              </w:rPr>
            </w:pPr>
            <w:r>
              <w:rPr>
                <w:sz w:val="20"/>
              </w:rPr>
              <w:tab/>
            </w:r>
            <w:r>
              <w:rPr>
                <w:sz w:val="20"/>
              </w:rPr>
              <w:tab/>
              <w:t>(ii)</w:t>
            </w:r>
            <w:r>
              <w:rPr>
                <w:sz w:val="20"/>
              </w:rPr>
              <w:tab/>
              <w:t xml:space="preserve">the full name, date and place of incorporation of each shareholder that is a body corporate; </w:t>
            </w:r>
          </w:p>
          <w:p>
            <w:pPr>
              <w:pStyle w:val="yTableNAm"/>
              <w:tabs>
                <w:tab w:val="clear" w:pos="567"/>
                <w:tab w:val="left" w:pos="497"/>
                <w:tab w:val="left" w:pos="857"/>
              </w:tabs>
              <w:spacing w:before="100"/>
              <w:ind w:left="1217" w:hanging="1134"/>
              <w:rPr>
                <w:sz w:val="20"/>
              </w:rPr>
            </w:pPr>
            <w:r>
              <w:rPr>
                <w:sz w:val="20"/>
              </w:rPr>
              <w:tab/>
              <w:t>and</w:t>
            </w:r>
          </w:p>
        </w:tc>
      </w:tr>
      <w:tr>
        <w:tc>
          <w:tcPr>
            <w:tcW w:w="567" w:type="dxa"/>
          </w:tcPr>
          <w:p>
            <w:pPr>
              <w:pStyle w:val="yTableNAm"/>
              <w:spacing w:before="100"/>
              <w:rPr>
                <w:sz w:val="20"/>
              </w:rPr>
            </w:pPr>
          </w:p>
        </w:tc>
        <w:tc>
          <w:tcPr>
            <w:tcW w:w="2296" w:type="dxa"/>
          </w:tcPr>
          <w:p>
            <w:pPr>
              <w:pStyle w:val="yTableNAm"/>
              <w:spacing w:before="100"/>
              <w:rPr>
                <w:sz w:val="20"/>
              </w:rPr>
            </w:pPr>
          </w:p>
        </w:tc>
        <w:tc>
          <w:tcPr>
            <w:tcW w:w="4253" w:type="dxa"/>
          </w:tcPr>
          <w:p>
            <w:pPr>
              <w:pStyle w:val="yTableNAm"/>
              <w:tabs>
                <w:tab w:val="clear" w:pos="567"/>
                <w:tab w:val="left" w:pos="497"/>
                <w:tab w:val="left" w:pos="857"/>
              </w:tabs>
              <w:spacing w:before="100"/>
              <w:ind w:left="497" w:hanging="497"/>
              <w:rPr>
                <w:sz w:val="20"/>
              </w:rPr>
            </w:pPr>
            <w:r>
              <w:rPr>
                <w:sz w:val="20"/>
              </w:rPr>
              <w:t>(g)</w:t>
            </w:r>
            <w:r>
              <w:rPr>
                <w:sz w:val="20"/>
              </w:rPr>
              <w:tab/>
              <w:t>any liquidation, receivership or official management in force or pending in respect of the company;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NAm"/>
              <w:rPr>
                <w:sz w:val="20"/>
              </w:rPr>
            </w:pPr>
            <w:r>
              <w:rPr>
                <w:sz w:val="20"/>
              </w:rPr>
              <w:t>3.</w:t>
            </w:r>
          </w:p>
        </w:tc>
        <w:tc>
          <w:tcPr>
            <w:tcW w:w="2296" w:type="dxa"/>
          </w:tcPr>
          <w:p>
            <w:pPr>
              <w:pStyle w:val="yTableNAm"/>
              <w:rPr>
                <w:sz w:val="20"/>
              </w:rPr>
            </w:pPr>
            <w:r>
              <w:rPr>
                <w:sz w:val="20"/>
              </w:rPr>
              <w:t>Club or other body of persons .............................</w:t>
            </w:r>
          </w:p>
        </w:tc>
        <w:tc>
          <w:tcPr>
            <w:tcW w:w="4253" w:type="dxa"/>
          </w:tcPr>
          <w:p>
            <w:pPr>
              <w:pStyle w:val="yTableNAm"/>
              <w:tabs>
                <w:tab w:val="clear" w:pos="567"/>
                <w:tab w:val="left" w:pos="497"/>
                <w:tab w:val="left" w:pos="857"/>
              </w:tabs>
              <w:ind w:left="497" w:hanging="497"/>
              <w:rPr>
                <w:sz w:val="20"/>
              </w:rPr>
            </w:pPr>
          </w:p>
          <w:p>
            <w:pPr>
              <w:pStyle w:val="yTableNAm"/>
              <w:tabs>
                <w:tab w:val="clear" w:pos="567"/>
                <w:tab w:val="left" w:pos="497"/>
                <w:tab w:val="left" w:pos="857"/>
              </w:tabs>
              <w:spacing w:before="40"/>
              <w:ind w:left="499" w:hanging="499"/>
              <w:rPr>
                <w:sz w:val="20"/>
              </w:rPr>
            </w:pPr>
            <w:r>
              <w:rPr>
                <w:sz w:val="20"/>
              </w:rPr>
              <w:t>(a)</w:t>
            </w:r>
            <w:r>
              <w:rPr>
                <w:sz w:val="20"/>
              </w:rPr>
              <w:tab/>
              <w:t>full name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(b)</w:t>
            </w:r>
            <w:r>
              <w:rPr>
                <w:sz w:val="20"/>
              </w:rPr>
              <w:tab/>
              <w:t>date and place of formation;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(c)</w:t>
            </w:r>
            <w:r>
              <w:rPr>
                <w:sz w:val="20"/>
              </w:rPr>
              <w:tab/>
              <w:t>any change of name in the past 2 years;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(d)</w:t>
            </w:r>
            <w:r>
              <w:rPr>
                <w:sz w:val="20"/>
              </w:rPr>
              <w:tab/>
              <w:t>if incorporated, the 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497"/>
                <w:tab w:val="left" w:pos="857"/>
              </w:tabs>
              <w:ind w:left="497" w:hanging="497"/>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NAm"/>
              <w:rPr>
                <w:sz w:val="20"/>
              </w:rPr>
            </w:pPr>
          </w:p>
        </w:tc>
        <w:tc>
          <w:tcPr>
            <w:tcW w:w="2296" w:type="dxa"/>
            <w:tcBorders>
              <w:bottom w:val="single" w:sz="4" w:space="0" w:color="auto"/>
            </w:tcBorders>
          </w:tcPr>
          <w:p>
            <w:pPr>
              <w:pStyle w:val="yTableNAm"/>
              <w:rPr>
                <w:sz w:val="20"/>
              </w:rPr>
            </w:pPr>
          </w:p>
        </w:tc>
        <w:tc>
          <w:tcPr>
            <w:tcW w:w="4253" w:type="dxa"/>
            <w:tcBorders>
              <w:bottom w:val="single" w:sz="4" w:space="0" w:color="auto"/>
            </w:tcBorders>
          </w:tcPr>
          <w:p>
            <w:pPr>
              <w:pStyle w:val="yTableNAm"/>
              <w:tabs>
                <w:tab w:val="clear" w:pos="567"/>
                <w:tab w:val="left" w:pos="497"/>
                <w:tab w:val="left" w:pos="857"/>
              </w:tabs>
              <w:ind w:left="497" w:hanging="497"/>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8; 30 Jun 2003 p. 2612; 24 Oct 2008 p. 4683</w:t>
      </w:r>
      <w:r>
        <w:noBreakHyphen/>
        <w:t>4.]</w:t>
      </w:r>
    </w:p>
    <w:p>
      <w:pPr>
        <w:pStyle w:val="yScheduleHeading"/>
      </w:pPr>
      <w:bookmarkStart w:id="1158" w:name="_Toc343675146"/>
      <w:bookmarkStart w:id="1159" w:name="_Toc343675233"/>
      <w:bookmarkStart w:id="1160" w:name="_Toc344975459"/>
      <w:bookmarkStart w:id="1161" w:name="_Toc344975549"/>
      <w:bookmarkStart w:id="1162" w:name="_Toc344979607"/>
      <w:bookmarkStart w:id="1163" w:name="_Toc346003593"/>
      <w:bookmarkStart w:id="1164" w:name="_Toc346605945"/>
      <w:bookmarkStart w:id="1165" w:name="_Toc346606032"/>
      <w:bookmarkStart w:id="1166" w:name="_Toc346606119"/>
      <w:bookmarkStart w:id="1167" w:name="_Toc346606206"/>
      <w:bookmarkStart w:id="1168" w:name="_Toc346607180"/>
      <w:bookmarkStart w:id="1169" w:name="_Toc346613840"/>
      <w:bookmarkStart w:id="1170" w:name="_Toc347319307"/>
      <w:bookmarkStart w:id="1171" w:name="_Toc354059370"/>
      <w:bookmarkStart w:id="1172" w:name="_Toc356826743"/>
      <w:bookmarkStart w:id="1173" w:name="_Toc356895939"/>
      <w:bookmarkStart w:id="1174" w:name="_Toc357698888"/>
      <w:bookmarkStart w:id="1175" w:name="_Toc281463895"/>
      <w:bookmarkStart w:id="1176" w:name="_Toc292112295"/>
      <w:bookmarkStart w:id="1177" w:name="_Toc292112366"/>
      <w:bookmarkStart w:id="1178" w:name="_Toc294260096"/>
      <w:bookmarkStart w:id="1179" w:name="_Toc294860737"/>
      <w:bookmarkStart w:id="1180" w:name="_Toc298410641"/>
      <w:bookmarkStart w:id="1181" w:name="_Toc300583795"/>
      <w:bookmarkStart w:id="1182" w:name="_Toc300837731"/>
      <w:bookmarkStart w:id="1183" w:name="_Toc300926174"/>
      <w:bookmarkStart w:id="1184" w:name="_Toc301770419"/>
      <w:bookmarkStart w:id="1185" w:name="_Toc302391558"/>
      <w:bookmarkStart w:id="1186" w:name="_Toc303261627"/>
      <w:bookmarkStart w:id="1187" w:name="_Toc303261711"/>
      <w:bookmarkStart w:id="1188" w:name="_Toc303323209"/>
      <w:bookmarkStart w:id="1189" w:name="_Toc303323526"/>
      <w:bookmarkStart w:id="1190" w:name="_Toc303323610"/>
      <w:bookmarkStart w:id="1191" w:name="_Toc303323694"/>
      <w:bookmarkStart w:id="1192" w:name="_Toc303323778"/>
      <w:bookmarkStart w:id="1193" w:name="_Toc303323862"/>
      <w:bookmarkStart w:id="1194" w:name="_Toc303323946"/>
      <w:bookmarkStart w:id="1195" w:name="_Toc303926992"/>
      <w:bookmarkStart w:id="1196" w:name="_Toc305158265"/>
      <w:bookmarkStart w:id="1197" w:name="_Toc305680050"/>
      <w:bookmarkStart w:id="1198" w:name="_Toc308164120"/>
      <w:bookmarkStart w:id="1199" w:name="_Toc310862771"/>
      <w:bookmarkStart w:id="1200" w:name="_Toc310863203"/>
      <w:bookmarkStart w:id="1201" w:name="_Toc312915547"/>
      <w:bookmarkStart w:id="1202" w:name="_Toc313530435"/>
      <w:bookmarkStart w:id="1203" w:name="_Toc332284853"/>
      <w:bookmarkStart w:id="1204" w:name="_Toc334429911"/>
      <w:bookmarkStart w:id="1205" w:name="_Toc334430344"/>
      <w:bookmarkStart w:id="1206" w:name="_Toc335662581"/>
      <w:bookmarkStart w:id="1207" w:name="_Toc340761766"/>
      <w:bookmarkStart w:id="1208" w:name="_Toc343520502"/>
      <w:r>
        <w:rPr>
          <w:rStyle w:val="CharSchNo"/>
        </w:rPr>
        <w:t>Schedule 3</w:t>
      </w:r>
      <w:r>
        <w:rPr>
          <w:rStyle w:val="CharSDivNo"/>
        </w:rPr>
        <w:t> </w:t>
      </w:r>
      <w:r>
        <w:t>—</w:t>
      </w:r>
      <w:r>
        <w:rPr>
          <w:rStyle w:val="CharSDivText"/>
        </w:rPr>
        <w:t> </w:t>
      </w:r>
      <w:r>
        <w:rPr>
          <w:rStyle w:val="CharSchText"/>
        </w:rPr>
        <w:t>Fees</w:t>
      </w:r>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pPr>
        <w:pStyle w:val="yShoulderClause"/>
      </w:pPr>
      <w:r>
        <w:t>[r. 11, 14ADF, 18B and 26]</w:t>
      </w:r>
    </w:p>
    <w:p>
      <w:pPr>
        <w:pStyle w:val="yFootnoteheading"/>
        <w:spacing w:after="60"/>
      </w:pPr>
      <w:r>
        <w:tab/>
        <w:t>[Heading inserted in Gazette 16 Nov 2012 p. 5653.]</w:t>
      </w:r>
    </w:p>
    <w:tbl>
      <w:tblPr>
        <w:tblW w:w="70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684"/>
        <w:gridCol w:w="5529"/>
        <w:gridCol w:w="855"/>
      </w:tblGrid>
      <w:tr>
        <w:trPr>
          <w:tblHeader/>
        </w:trPr>
        <w:tc>
          <w:tcPr>
            <w:tcW w:w="684" w:type="dxa"/>
          </w:tcPr>
          <w:p>
            <w:pPr>
              <w:pStyle w:val="yTableNAm"/>
              <w:tabs>
                <w:tab w:val="left" w:leader="dot" w:pos="5387"/>
              </w:tabs>
              <w:rPr>
                <w:b/>
              </w:rPr>
            </w:pPr>
            <w:r>
              <w:rPr>
                <w:b/>
              </w:rPr>
              <w:t>Item</w:t>
            </w:r>
          </w:p>
        </w:tc>
        <w:tc>
          <w:tcPr>
            <w:tcW w:w="5529" w:type="dxa"/>
          </w:tcPr>
          <w:p>
            <w:pPr>
              <w:pStyle w:val="yTableNAm"/>
              <w:tabs>
                <w:tab w:val="left" w:leader="dot" w:pos="5387"/>
              </w:tabs>
              <w:rPr>
                <w:b/>
              </w:rPr>
            </w:pPr>
            <w:r>
              <w:rPr>
                <w:b/>
              </w:rPr>
              <w:t>Description</w:t>
            </w:r>
          </w:p>
        </w:tc>
        <w:tc>
          <w:tcPr>
            <w:tcW w:w="855" w:type="dxa"/>
          </w:tcPr>
          <w:p>
            <w:pPr>
              <w:pStyle w:val="yTableNAm"/>
              <w:tabs>
                <w:tab w:val="clear" w:pos="567"/>
                <w:tab w:val="left" w:leader="dot" w:pos="5387"/>
              </w:tabs>
              <w:jc w:val="center"/>
              <w:rPr>
                <w:b/>
              </w:rPr>
            </w:pPr>
            <w:r>
              <w:rPr>
                <w:b/>
              </w:rPr>
              <w:t>Fee</w:t>
            </w:r>
            <w:r>
              <w:rPr>
                <w:b/>
              </w:rPr>
              <w:br/>
              <w:t>$</w:t>
            </w:r>
          </w:p>
        </w:tc>
      </w:tr>
      <w:tr>
        <w:trPr>
          <w:cantSplit/>
        </w:trPr>
        <w:tc>
          <w:tcPr>
            <w:tcW w:w="684" w:type="dxa"/>
          </w:tcPr>
          <w:p>
            <w:pPr>
              <w:pStyle w:val="yTableNAm"/>
              <w:tabs>
                <w:tab w:val="left" w:leader="dot" w:pos="5387"/>
              </w:tabs>
            </w:pPr>
            <w:r>
              <w:t>1.</w:t>
            </w:r>
          </w:p>
        </w:tc>
        <w:tc>
          <w:tcPr>
            <w:tcW w:w="5529" w:type="dxa"/>
          </w:tcPr>
          <w:p>
            <w:pPr>
              <w:pStyle w:val="yTableNAm"/>
              <w:tabs>
                <w:tab w:val="left" w:leader="dot" w:pos="5387"/>
              </w:tabs>
            </w:pPr>
            <w:r>
              <w:t xml:space="preserve">Application for the grant or removal of a hotel licence, nightclub licence, casino liquor licence, special facility licence or liquor store licence </w:t>
            </w:r>
            <w:r>
              <w:tab/>
            </w:r>
          </w:p>
        </w:tc>
        <w:tc>
          <w:tcPr>
            <w:tcW w:w="855" w:type="dxa"/>
          </w:tcPr>
          <w:p>
            <w:pPr>
              <w:pStyle w:val="yTableNAm"/>
              <w:tabs>
                <w:tab w:val="clear" w:pos="567"/>
                <w:tab w:val="left" w:leader="dot" w:pos="5387"/>
              </w:tabs>
              <w:jc w:val="right"/>
            </w:pPr>
            <w:r>
              <w:br/>
            </w:r>
            <w:r>
              <w:br/>
              <w:t>3 186</w:t>
            </w:r>
          </w:p>
        </w:tc>
      </w:tr>
      <w:tr>
        <w:trPr>
          <w:cantSplit/>
        </w:trPr>
        <w:tc>
          <w:tcPr>
            <w:tcW w:w="684" w:type="dxa"/>
          </w:tcPr>
          <w:p>
            <w:pPr>
              <w:pStyle w:val="yTableNAm"/>
              <w:tabs>
                <w:tab w:val="left" w:leader="dot" w:pos="5387"/>
              </w:tabs>
            </w:pPr>
            <w:r>
              <w:t>2.</w:t>
            </w:r>
          </w:p>
        </w:tc>
        <w:tc>
          <w:tcPr>
            <w:tcW w:w="5529" w:type="dxa"/>
          </w:tcPr>
          <w:p>
            <w:pPr>
              <w:pStyle w:val="yTableNAm"/>
              <w:tabs>
                <w:tab w:val="left" w:leader="dot" w:pos="5387"/>
              </w:tabs>
            </w:pPr>
            <w:r>
              <w:t xml:space="preserve">Application for the grant or removal of a club licence, restaurant licence, producer’s licence or wholesaler’s licence </w:t>
            </w:r>
          </w:p>
        </w:tc>
        <w:tc>
          <w:tcPr>
            <w:tcW w:w="855" w:type="dxa"/>
          </w:tcPr>
          <w:p>
            <w:pPr>
              <w:pStyle w:val="yTableNAm"/>
              <w:tabs>
                <w:tab w:val="clear" w:pos="567"/>
                <w:tab w:val="left" w:leader="dot" w:pos="5387"/>
              </w:tabs>
              <w:jc w:val="right"/>
            </w:pPr>
            <w:r>
              <w:br/>
              <w:t>822</w:t>
            </w:r>
          </w:p>
        </w:tc>
      </w:tr>
      <w:tr>
        <w:trPr>
          <w:cantSplit/>
        </w:trPr>
        <w:tc>
          <w:tcPr>
            <w:tcW w:w="684" w:type="dxa"/>
          </w:tcPr>
          <w:p>
            <w:pPr>
              <w:pStyle w:val="yTableNAm"/>
              <w:tabs>
                <w:tab w:val="left" w:leader="dot" w:pos="5387"/>
              </w:tabs>
            </w:pPr>
            <w:r>
              <w:t>3.</w:t>
            </w:r>
          </w:p>
        </w:tc>
        <w:tc>
          <w:tcPr>
            <w:tcW w:w="5529" w:type="dxa"/>
          </w:tcPr>
          <w:p>
            <w:pPr>
              <w:pStyle w:val="yTableNAm"/>
              <w:tabs>
                <w:tab w:val="left" w:leader="dot" w:pos="5387"/>
              </w:tabs>
            </w:pPr>
            <w:r>
              <w:t xml:space="preserve">Application for the transfer of a licence </w:t>
            </w:r>
            <w:r>
              <w:tab/>
            </w:r>
          </w:p>
        </w:tc>
        <w:tc>
          <w:tcPr>
            <w:tcW w:w="855" w:type="dxa"/>
          </w:tcPr>
          <w:p>
            <w:pPr>
              <w:pStyle w:val="yTableNAm"/>
              <w:tabs>
                <w:tab w:val="clear" w:pos="567"/>
                <w:tab w:val="left" w:leader="dot" w:pos="5387"/>
              </w:tabs>
              <w:jc w:val="right"/>
            </w:pPr>
            <w:r>
              <w:t>785</w:t>
            </w:r>
          </w:p>
        </w:tc>
      </w:tr>
      <w:tr>
        <w:trPr>
          <w:cantSplit/>
        </w:trPr>
        <w:tc>
          <w:tcPr>
            <w:tcW w:w="684" w:type="dxa"/>
          </w:tcPr>
          <w:p>
            <w:pPr>
              <w:pStyle w:val="yTableNAm"/>
              <w:tabs>
                <w:tab w:val="left" w:leader="dot" w:pos="5387"/>
              </w:tabs>
            </w:pPr>
            <w:r>
              <w:t>4.</w:t>
            </w:r>
          </w:p>
        </w:tc>
        <w:tc>
          <w:tcPr>
            <w:tcW w:w="5529" w:type="dxa"/>
          </w:tcPr>
          <w:p>
            <w:pPr>
              <w:pStyle w:val="yTableNAm"/>
              <w:tabs>
                <w:tab w:val="left" w:leader="dot" w:pos="5387"/>
              </w:tabs>
            </w:pPr>
            <w:r>
              <w:t xml:space="preserve">Licence fee for any licence other than a club restricted licence </w:t>
            </w:r>
            <w:r>
              <w:tab/>
            </w:r>
          </w:p>
        </w:tc>
        <w:tc>
          <w:tcPr>
            <w:tcW w:w="855" w:type="dxa"/>
          </w:tcPr>
          <w:p>
            <w:pPr>
              <w:pStyle w:val="yTableNAm"/>
              <w:tabs>
                <w:tab w:val="clear" w:pos="567"/>
                <w:tab w:val="left" w:leader="dot" w:pos="5387"/>
              </w:tabs>
              <w:jc w:val="right"/>
            </w:pPr>
            <w:r>
              <w:br/>
              <w:t>539</w:t>
            </w:r>
          </w:p>
        </w:tc>
      </w:tr>
      <w:tr>
        <w:trPr>
          <w:cantSplit/>
        </w:trPr>
        <w:tc>
          <w:tcPr>
            <w:tcW w:w="684" w:type="dxa"/>
            <w:tcBorders>
              <w:bottom w:val="single" w:sz="4" w:space="0" w:color="auto"/>
            </w:tcBorders>
          </w:tcPr>
          <w:p>
            <w:pPr>
              <w:pStyle w:val="yTableNAm"/>
              <w:tabs>
                <w:tab w:val="left" w:leader="dot" w:pos="5387"/>
              </w:tabs>
            </w:pPr>
            <w:r>
              <w:t>5.</w:t>
            </w:r>
          </w:p>
        </w:tc>
        <w:tc>
          <w:tcPr>
            <w:tcW w:w="5529" w:type="dxa"/>
            <w:tcBorders>
              <w:bottom w:val="single" w:sz="4" w:space="0" w:color="auto"/>
            </w:tcBorders>
          </w:tcPr>
          <w:p>
            <w:pPr>
              <w:pStyle w:val="yTableNAm"/>
              <w:tabs>
                <w:tab w:val="left" w:leader="dot" w:pos="5387"/>
              </w:tabs>
            </w:pPr>
            <w:r>
              <w:t xml:space="preserve">Licence fee for a club restricted licence </w:t>
            </w:r>
            <w:r>
              <w:tab/>
            </w:r>
          </w:p>
        </w:tc>
        <w:tc>
          <w:tcPr>
            <w:tcW w:w="855" w:type="dxa"/>
            <w:tcBorders>
              <w:bottom w:val="single" w:sz="4" w:space="0" w:color="auto"/>
            </w:tcBorders>
          </w:tcPr>
          <w:p>
            <w:pPr>
              <w:pStyle w:val="yTableNAm"/>
              <w:tabs>
                <w:tab w:val="clear" w:pos="567"/>
                <w:tab w:val="left" w:leader="dot" w:pos="5387"/>
              </w:tabs>
              <w:jc w:val="right"/>
            </w:pPr>
            <w:r>
              <w:t>267</w:t>
            </w:r>
          </w:p>
        </w:tc>
      </w:tr>
      <w:tr>
        <w:trPr>
          <w:cantSplit/>
        </w:trPr>
        <w:tc>
          <w:tcPr>
            <w:tcW w:w="684" w:type="dxa"/>
            <w:tcBorders>
              <w:top w:val="single" w:sz="4" w:space="0" w:color="auto"/>
              <w:bottom w:val="nil"/>
            </w:tcBorders>
          </w:tcPr>
          <w:p>
            <w:pPr>
              <w:pStyle w:val="yTableNAm"/>
              <w:tabs>
                <w:tab w:val="left" w:leader="dot" w:pos="5387"/>
              </w:tabs>
            </w:pPr>
            <w:r>
              <w:t>6.</w:t>
            </w:r>
          </w:p>
        </w:tc>
        <w:tc>
          <w:tcPr>
            <w:tcW w:w="5529" w:type="dxa"/>
            <w:tcBorders>
              <w:top w:val="single" w:sz="4" w:space="0" w:color="auto"/>
              <w:bottom w:val="nil"/>
            </w:tcBorders>
          </w:tcPr>
          <w:p>
            <w:pPr>
              <w:pStyle w:val="yTableNAm"/>
              <w:tabs>
                <w:tab w:val="left" w:leader="dot" w:pos="5387"/>
              </w:tabs>
            </w:pPr>
            <w:r>
              <w:t xml:space="preserve">Application for an occasional licence if the anticipated number of patrons is — </w:t>
            </w:r>
          </w:p>
          <w:p>
            <w:pPr>
              <w:pStyle w:val="yTableNAm"/>
              <w:tabs>
                <w:tab w:val="left" w:leader="dot" w:pos="5387"/>
              </w:tabs>
            </w:pPr>
            <w:r>
              <w:t>(a)</w:t>
            </w:r>
            <w:r>
              <w:tab/>
              <w:t xml:space="preserve">up to 250 </w:t>
            </w:r>
            <w:r>
              <w:tab/>
            </w:r>
          </w:p>
          <w:p>
            <w:pPr>
              <w:pStyle w:val="yTableNAm"/>
              <w:tabs>
                <w:tab w:val="left" w:leader="dot" w:pos="5387"/>
              </w:tabs>
            </w:pPr>
            <w:r>
              <w:t>(b)</w:t>
            </w:r>
            <w:r>
              <w:tab/>
              <w:t xml:space="preserve">between 251 and 500 </w:t>
            </w:r>
            <w:r>
              <w:tab/>
            </w:r>
          </w:p>
        </w:tc>
        <w:tc>
          <w:tcPr>
            <w:tcW w:w="855" w:type="dxa"/>
            <w:tcBorders>
              <w:top w:val="single" w:sz="4" w:space="0" w:color="auto"/>
              <w:bottom w:val="nil"/>
            </w:tcBorders>
          </w:tcPr>
          <w:p>
            <w:pPr>
              <w:pStyle w:val="yTableNAm"/>
              <w:tabs>
                <w:tab w:val="clear" w:pos="567"/>
                <w:tab w:val="left" w:leader="dot" w:pos="5387"/>
              </w:tabs>
              <w:jc w:val="right"/>
            </w:pPr>
            <w:r>
              <w:br/>
            </w:r>
          </w:p>
          <w:p>
            <w:pPr>
              <w:pStyle w:val="yTableNAm"/>
              <w:tabs>
                <w:tab w:val="clear" w:pos="567"/>
                <w:tab w:val="left" w:leader="dot" w:pos="5387"/>
              </w:tabs>
              <w:jc w:val="right"/>
            </w:pPr>
            <w:r>
              <w:t>50</w:t>
            </w:r>
          </w:p>
          <w:p>
            <w:pPr>
              <w:pStyle w:val="yTableNAm"/>
              <w:tabs>
                <w:tab w:val="clear" w:pos="567"/>
                <w:tab w:val="left" w:leader="dot" w:pos="5387"/>
              </w:tabs>
              <w:jc w:val="right"/>
            </w:pPr>
            <w:r>
              <w:t>103</w:t>
            </w:r>
          </w:p>
        </w:tc>
      </w:tr>
      <w:tr>
        <w:trPr>
          <w:cantSplit/>
        </w:trPr>
        <w:tc>
          <w:tcPr>
            <w:tcW w:w="684" w:type="dxa"/>
            <w:tcBorders>
              <w:top w:val="nil"/>
              <w:bottom w:val="single" w:sz="4" w:space="0" w:color="auto"/>
            </w:tcBorders>
          </w:tcPr>
          <w:p>
            <w:pPr>
              <w:pStyle w:val="yTableNAm"/>
              <w:tabs>
                <w:tab w:val="left" w:leader="dot" w:pos="5387"/>
              </w:tabs>
            </w:pPr>
          </w:p>
        </w:tc>
        <w:tc>
          <w:tcPr>
            <w:tcW w:w="5529" w:type="dxa"/>
            <w:tcBorders>
              <w:top w:val="nil"/>
              <w:bottom w:val="single" w:sz="4" w:space="0" w:color="auto"/>
            </w:tcBorders>
          </w:tcPr>
          <w:p>
            <w:pPr>
              <w:pStyle w:val="yTableNAm"/>
              <w:tabs>
                <w:tab w:val="left" w:leader="dot" w:pos="5387"/>
              </w:tabs>
            </w:pPr>
            <w:r>
              <w:t>(c)</w:t>
            </w:r>
            <w:r>
              <w:tab/>
              <w:t xml:space="preserve">between 501 and 1 000 </w:t>
            </w:r>
            <w:r>
              <w:tab/>
            </w:r>
          </w:p>
          <w:p>
            <w:pPr>
              <w:pStyle w:val="yTableNAm"/>
              <w:tabs>
                <w:tab w:val="left" w:leader="dot" w:pos="5387"/>
              </w:tabs>
            </w:pPr>
            <w:r>
              <w:t>(d)</w:t>
            </w:r>
            <w:r>
              <w:tab/>
              <w:t xml:space="preserve">between 1 001 and 5 000 </w:t>
            </w:r>
            <w:r>
              <w:tab/>
            </w:r>
          </w:p>
          <w:p>
            <w:pPr>
              <w:pStyle w:val="yTableNAm"/>
              <w:tabs>
                <w:tab w:val="left" w:leader="dot" w:pos="5387"/>
              </w:tabs>
            </w:pPr>
            <w:r>
              <w:t>(e)</w:t>
            </w:r>
            <w:r>
              <w:tab/>
              <w:t xml:space="preserve">between 5 001 and 10 000 </w:t>
            </w:r>
            <w:r>
              <w:tab/>
            </w:r>
          </w:p>
          <w:p>
            <w:pPr>
              <w:pStyle w:val="yTableNAm"/>
              <w:tabs>
                <w:tab w:val="left" w:leader="dot" w:pos="5387"/>
              </w:tabs>
            </w:pPr>
            <w:r>
              <w:t>(f)</w:t>
            </w:r>
            <w:r>
              <w:tab/>
              <w:t xml:space="preserve">over 10 000 </w:t>
            </w:r>
            <w:r>
              <w:tab/>
            </w:r>
          </w:p>
        </w:tc>
        <w:tc>
          <w:tcPr>
            <w:tcW w:w="855" w:type="dxa"/>
            <w:tcBorders>
              <w:top w:val="nil"/>
              <w:bottom w:val="single" w:sz="4" w:space="0" w:color="auto"/>
            </w:tcBorders>
          </w:tcPr>
          <w:p>
            <w:pPr>
              <w:pStyle w:val="yTableNAm"/>
              <w:tabs>
                <w:tab w:val="clear" w:pos="567"/>
                <w:tab w:val="left" w:leader="dot" w:pos="5387"/>
              </w:tabs>
              <w:jc w:val="right"/>
            </w:pPr>
            <w:r>
              <w:t>210</w:t>
            </w:r>
          </w:p>
          <w:p>
            <w:pPr>
              <w:pStyle w:val="yTableNAm"/>
              <w:tabs>
                <w:tab w:val="clear" w:pos="567"/>
                <w:tab w:val="left" w:leader="dot" w:pos="5387"/>
              </w:tabs>
              <w:jc w:val="right"/>
            </w:pPr>
            <w:r>
              <w:t>1 050</w:t>
            </w:r>
          </w:p>
          <w:p>
            <w:pPr>
              <w:pStyle w:val="yTableNAm"/>
              <w:tabs>
                <w:tab w:val="clear" w:pos="567"/>
                <w:tab w:val="left" w:leader="dot" w:pos="5387"/>
              </w:tabs>
              <w:jc w:val="right"/>
            </w:pPr>
            <w:r>
              <w:t>2 100</w:t>
            </w:r>
          </w:p>
          <w:p>
            <w:pPr>
              <w:pStyle w:val="yTableNAm"/>
              <w:tabs>
                <w:tab w:val="clear" w:pos="567"/>
                <w:tab w:val="left" w:leader="dot" w:pos="5387"/>
              </w:tabs>
              <w:jc w:val="right"/>
            </w:pPr>
            <w:r>
              <w:t>4 205</w:t>
            </w:r>
          </w:p>
        </w:tc>
      </w:tr>
      <w:tr>
        <w:trPr>
          <w:cantSplit/>
        </w:trPr>
        <w:tc>
          <w:tcPr>
            <w:tcW w:w="684" w:type="dxa"/>
            <w:tcBorders>
              <w:top w:val="nil"/>
              <w:bottom w:val="single" w:sz="4" w:space="0" w:color="auto"/>
            </w:tcBorders>
          </w:tcPr>
          <w:p>
            <w:pPr>
              <w:pStyle w:val="yTableNAm"/>
              <w:tabs>
                <w:tab w:val="left" w:leader="dot" w:pos="5387"/>
              </w:tabs>
            </w:pPr>
            <w:r>
              <w:t>7.</w:t>
            </w:r>
          </w:p>
        </w:tc>
        <w:tc>
          <w:tcPr>
            <w:tcW w:w="5529" w:type="dxa"/>
            <w:tcBorders>
              <w:top w:val="nil"/>
              <w:bottom w:val="single" w:sz="4" w:space="0" w:color="auto"/>
            </w:tcBorders>
          </w:tcPr>
          <w:p>
            <w:pPr>
              <w:pStyle w:val="yTableNAm"/>
              <w:tabs>
                <w:tab w:val="left" w:leader="dot" w:pos="5387"/>
              </w:tabs>
            </w:pPr>
            <w:r>
              <w:t>Application for extended trading permit for a period of over 21 days —</w:t>
            </w:r>
          </w:p>
        </w:tc>
        <w:tc>
          <w:tcPr>
            <w:tcW w:w="855" w:type="dxa"/>
            <w:tcBorders>
              <w:top w:val="nil"/>
              <w:bottom w:val="single" w:sz="4" w:space="0" w:color="auto"/>
            </w:tcBorders>
            <w:vAlign w:val="center"/>
          </w:tcPr>
          <w:p>
            <w:pPr>
              <w:pStyle w:val="yTableNAm"/>
              <w:tabs>
                <w:tab w:val="clear" w:pos="567"/>
                <w:tab w:val="left" w:leader="dot" w:pos="5387"/>
              </w:tabs>
              <w:jc w:val="both"/>
              <w:rPr>
                <w:rFonts w:ascii="Arial" w:hAnsi="Arial"/>
                <w:b/>
              </w:rPr>
            </w:pPr>
            <w:r>
              <w:br/>
            </w:r>
          </w:p>
        </w:tc>
      </w:tr>
      <w:tr>
        <w:trPr>
          <w:cantSplit/>
        </w:trPr>
        <w:tc>
          <w:tcPr>
            <w:tcW w:w="684" w:type="dxa"/>
            <w:tcBorders>
              <w:top w:val="nil"/>
              <w:bottom w:val="single" w:sz="4" w:space="0" w:color="auto"/>
            </w:tcBorders>
          </w:tcPr>
          <w:p>
            <w:pPr>
              <w:pStyle w:val="yTableNAm"/>
              <w:tabs>
                <w:tab w:val="left" w:leader="dot" w:pos="5387"/>
              </w:tabs>
            </w:pPr>
          </w:p>
        </w:tc>
        <w:tc>
          <w:tcPr>
            <w:tcW w:w="5529" w:type="dxa"/>
            <w:tcBorders>
              <w:top w:val="nil"/>
              <w:bottom w:val="single" w:sz="4" w:space="0" w:color="auto"/>
            </w:tcBorders>
          </w:tcPr>
          <w:p>
            <w:pPr>
              <w:pStyle w:val="yTableNAm"/>
              <w:tabs>
                <w:tab w:val="left" w:pos="1005"/>
                <w:tab w:val="left" w:leader="dot" w:pos="5954"/>
              </w:tabs>
              <w:ind w:left="567" w:hanging="567"/>
              <w:rPr>
                <w:rFonts w:ascii="Arial" w:hAnsi="Arial"/>
                <w:b/>
              </w:rPr>
            </w:pPr>
            <w:r>
              <w:t>(a)</w:t>
            </w:r>
            <w:r>
              <w:tab/>
              <w:t xml:space="preserve">issued for the purpose referred to in section 60(4)(ca) — </w:t>
            </w:r>
          </w:p>
          <w:p>
            <w:pPr>
              <w:pStyle w:val="yTableNAm"/>
              <w:tabs>
                <w:tab w:val="left" w:pos="1005"/>
                <w:tab w:val="left" w:leader="dot" w:pos="5954"/>
              </w:tabs>
              <w:rPr>
                <w:rFonts w:ascii="Arial" w:hAnsi="Arial"/>
                <w:b/>
              </w:rPr>
            </w:pPr>
            <w:r>
              <w:tab/>
              <w:t>(i)</w:t>
            </w:r>
            <w:r>
              <w:tab/>
              <w:t xml:space="preserve">if regulation 9F(2) applies </w:t>
            </w:r>
            <w:r>
              <w:tab/>
            </w:r>
          </w:p>
          <w:p>
            <w:pPr>
              <w:pStyle w:val="yTableNAm"/>
              <w:tabs>
                <w:tab w:val="left" w:pos="1005"/>
                <w:tab w:val="left" w:leader="dot" w:pos="5954"/>
              </w:tabs>
              <w:rPr>
                <w:rFonts w:ascii="Arial" w:hAnsi="Arial"/>
                <w:b/>
              </w:rPr>
            </w:pPr>
            <w:r>
              <w:tab/>
              <w:t>(ii)</w:t>
            </w:r>
            <w:r>
              <w:tab/>
              <w:t>if regulation 9F(2) does not apply</w:t>
            </w:r>
            <w:r>
              <w:tab/>
            </w:r>
          </w:p>
        </w:tc>
        <w:tc>
          <w:tcPr>
            <w:tcW w:w="855" w:type="dxa"/>
            <w:tcBorders>
              <w:top w:val="nil"/>
              <w:bottom w:val="single" w:sz="4" w:space="0" w:color="auto"/>
            </w:tcBorders>
            <w:vAlign w:val="center"/>
          </w:tcPr>
          <w:p>
            <w:pPr>
              <w:pStyle w:val="yTableNAm"/>
              <w:jc w:val="right"/>
              <w:rPr>
                <w:rFonts w:ascii="Arial" w:hAnsi="Arial"/>
                <w:b/>
              </w:rPr>
            </w:pPr>
            <w:r>
              <w:br/>
            </w:r>
          </w:p>
          <w:p>
            <w:pPr>
              <w:pStyle w:val="yTableNAm"/>
              <w:jc w:val="right"/>
            </w:pPr>
            <w:r>
              <w:t>50</w:t>
            </w:r>
          </w:p>
          <w:p>
            <w:pPr>
              <w:pStyle w:val="yTableNAm"/>
              <w:tabs>
                <w:tab w:val="clear" w:pos="567"/>
                <w:tab w:val="left" w:leader="dot" w:pos="5387"/>
              </w:tabs>
              <w:jc w:val="right"/>
            </w:pPr>
            <w:r>
              <w:t>431</w:t>
            </w:r>
          </w:p>
        </w:tc>
      </w:tr>
      <w:tr>
        <w:trPr>
          <w:cantSplit/>
        </w:trPr>
        <w:tc>
          <w:tcPr>
            <w:tcW w:w="684" w:type="dxa"/>
            <w:tcBorders>
              <w:top w:val="nil"/>
              <w:bottom w:val="single" w:sz="4" w:space="0" w:color="auto"/>
            </w:tcBorders>
          </w:tcPr>
          <w:p>
            <w:pPr>
              <w:pStyle w:val="yTableNAm"/>
              <w:tabs>
                <w:tab w:val="left" w:leader="dot" w:pos="5387"/>
              </w:tabs>
            </w:pPr>
          </w:p>
        </w:tc>
        <w:tc>
          <w:tcPr>
            <w:tcW w:w="5529" w:type="dxa"/>
            <w:tcBorders>
              <w:top w:val="nil"/>
              <w:bottom w:val="single" w:sz="4" w:space="0" w:color="auto"/>
            </w:tcBorders>
          </w:tcPr>
          <w:p>
            <w:pPr>
              <w:pStyle w:val="yTableNAm"/>
              <w:tabs>
                <w:tab w:val="left" w:pos="1005"/>
                <w:tab w:val="left" w:leader="dot" w:pos="5954"/>
              </w:tabs>
              <w:ind w:left="567" w:hanging="567"/>
              <w:rPr>
                <w:rFonts w:ascii="Arial" w:hAnsi="Arial"/>
                <w:b/>
              </w:rPr>
            </w:pPr>
            <w:r>
              <w:t>(b)</w:t>
            </w:r>
            <w:r>
              <w:tab/>
              <w:t xml:space="preserve">issued for the purpose referred to in </w:t>
            </w:r>
            <w:r>
              <w:br/>
              <w:t xml:space="preserve">section 60(4)(h) </w:t>
            </w:r>
            <w:r>
              <w:tab/>
            </w:r>
          </w:p>
        </w:tc>
        <w:tc>
          <w:tcPr>
            <w:tcW w:w="855" w:type="dxa"/>
            <w:tcBorders>
              <w:top w:val="nil"/>
              <w:bottom w:val="single" w:sz="4" w:space="0" w:color="auto"/>
            </w:tcBorders>
            <w:vAlign w:val="center"/>
          </w:tcPr>
          <w:p>
            <w:pPr>
              <w:pStyle w:val="yTableNAm"/>
              <w:jc w:val="right"/>
              <w:rPr>
                <w:rFonts w:ascii="Arial" w:hAnsi="Arial"/>
                <w:b/>
              </w:rPr>
            </w:pPr>
            <w:r>
              <w:br/>
              <w:t>323</w:t>
            </w:r>
          </w:p>
        </w:tc>
      </w:tr>
      <w:tr>
        <w:trPr>
          <w:cantSplit/>
        </w:trPr>
        <w:tc>
          <w:tcPr>
            <w:tcW w:w="684" w:type="dxa"/>
            <w:tcBorders>
              <w:top w:val="nil"/>
              <w:bottom w:val="single" w:sz="4" w:space="0" w:color="auto"/>
            </w:tcBorders>
          </w:tcPr>
          <w:p>
            <w:pPr>
              <w:pStyle w:val="yTableNAm"/>
              <w:tabs>
                <w:tab w:val="left" w:leader="dot" w:pos="5387"/>
              </w:tabs>
            </w:pPr>
          </w:p>
        </w:tc>
        <w:tc>
          <w:tcPr>
            <w:tcW w:w="5529" w:type="dxa"/>
            <w:tcBorders>
              <w:top w:val="nil"/>
              <w:bottom w:val="single" w:sz="4" w:space="0" w:color="auto"/>
            </w:tcBorders>
          </w:tcPr>
          <w:p>
            <w:pPr>
              <w:pStyle w:val="yTableNAm"/>
              <w:tabs>
                <w:tab w:val="left" w:leader="dot" w:pos="5954"/>
              </w:tabs>
              <w:jc w:val="both"/>
              <w:rPr>
                <w:rFonts w:ascii="Arial" w:hAnsi="Arial"/>
                <w:b/>
              </w:rPr>
            </w:pPr>
            <w:r>
              <w:t>(c)</w:t>
            </w:r>
            <w:r>
              <w:tab/>
              <w:t xml:space="preserve">issued for any other purpose </w:t>
            </w:r>
            <w:r>
              <w:tab/>
            </w:r>
          </w:p>
        </w:tc>
        <w:tc>
          <w:tcPr>
            <w:tcW w:w="855" w:type="dxa"/>
            <w:tcBorders>
              <w:top w:val="nil"/>
              <w:bottom w:val="single" w:sz="4" w:space="0" w:color="auto"/>
            </w:tcBorders>
            <w:vAlign w:val="center"/>
          </w:tcPr>
          <w:p>
            <w:pPr>
              <w:pStyle w:val="yTableNAm"/>
              <w:jc w:val="right"/>
              <w:rPr>
                <w:rFonts w:ascii="Arial" w:hAnsi="Arial"/>
                <w:b/>
              </w:rPr>
            </w:pPr>
            <w:r>
              <w:t>1 079</w:t>
            </w:r>
          </w:p>
        </w:tc>
      </w:tr>
      <w:tr>
        <w:trPr>
          <w:cantSplit/>
        </w:trPr>
        <w:tc>
          <w:tcPr>
            <w:tcW w:w="684" w:type="dxa"/>
            <w:tcBorders>
              <w:top w:val="single" w:sz="4" w:space="0" w:color="auto"/>
              <w:bottom w:val="nil"/>
            </w:tcBorders>
          </w:tcPr>
          <w:p>
            <w:pPr>
              <w:pStyle w:val="yTableNAm"/>
              <w:keepNext/>
              <w:tabs>
                <w:tab w:val="left" w:leader="dot" w:pos="5387"/>
              </w:tabs>
            </w:pPr>
            <w:r>
              <w:t>8.</w:t>
            </w:r>
          </w:p>
        </w:tc>
        <w:tc>
          <w:tcPr>
            <w:tcW w:w="5529" w:type="dxa"/>
            <w:tcBorders>
              <w:top w:val="single" w:sz="4" w:space="0" w:color="auto"/>
              <w:bottom w:val="nil"/>
            </w:tcBorders>
          </w:tcPr>
          <w:p>
            <w:pPr>
              <w:pStyle w:val="yTableNAm"/>
              <w:keepNext/>
              <w:tabs>
                <w:tab w:val="left" w:leader="dot" w:pos="5387"/>
              </w:tabs>
            </w:pPr>
            <w:r>
              <w:t>Application for extended trading permit (in respect of a licence other than a club restricted licence) for a period of 21 days or less if the anticipated number of patrons is —</w:t>
            </w:r>
          </w:p>
        </w:tc>
        <w:tc>
          <w:tcPr>
            <w:tcW w:w="855" w:type="dxa"/>
            <w:tcBorders>
              <w:top w:val="single" w:sz="4" w:space="0" w:color="auto"/>
              <w:bottom w:val="nil"/>
            </w:tcBorders>
          </w:tcPr>
          <w:p>
            <w:pPr>
              <w:pStyle w:val="yTableNAm"/>
              <w:keepNext/>
              <w:tabs>
                <w:tab w:val="clear" w:pos="567"/>
                <w:tab w:val="left" w:leader="dot" w:pos="5387"/>
              </w:tabs>
              <w:jc w:val="right"/>
            </w:pPr>
          </w:p>
        </w:tc>
      </w:tr>
      <w:tr>
        <w:trPr>
          <w:cantSplit/>
        </w:trPr>
        <w:tc>
          <w:tcPr>
            <w:tcW w:w="684" w:type="dxa"/>
            <w:tcBorders>
              <w:top w:val="nil"/>
              <w:bottom w:val="nil"/>
            </w:tcBorders>
          </w:tcPr>
          <w:p>
            <w:pPr>
              <w:pStyle w:val="yTableNAm"/>
              <w:tabs>
                <w:tab w:val="left" w:leader="dot" w:pos="5387"/>
              </w:tabs>
            </w:pPr>
          </w:p>
        </w:tc>
        <w:tc>
          <w:tcPr>
            <w:tcW w:w="5529" w:type="dxa"/>
            <w:tcBorders>
              <w:top w:val="nil"/>
              <w:bottom w:val="nil"/>
            </w:tcBorders>
          </w:tcPr>
          <w:p>
            <w:pPr>
              <w:pStyle w:val="yTableNAm"/>
              <w:tabs>
                <w:tab w:val="left" w:leader="dot" w:pos="5387"/>
              </w:tabs>
            </w:pPr>
            <w:r>
              <w:t>(a)</w:t>
            </w:r>
            <w:r>
              <w:tab/>
              <w:t xml:space="preserve">up to 500 </w:t>
            </w:r>
            <w:r>
              <w:tab/>
            </w:r>
          </w:p>
        </w:tc>
        <w:tc>
          <w:tcPr>
            <w:tcW w:w="855" w:type="dxa"/>
            <w:tcBorders>
              <w:top w:val="nil"/>
              <w:bottom w:val="nil"/>
            </w:tcBorders>
          </w:tcPr>
          <w:p>
            <w:pPr>
              <w:pStyle w:val="yTableNAm"/>
              <w:tabs>
                <w:tab w:val="clear" w:pos="567"/>
                <w:tab w:val="left" w:leader="dot" w:pos="5387"/>
              </w:tabs>
              <w:jc w:val="right"/>
            </w:pPr>
            <w:r>
              <w:t>103</w:t>
            </w:r>
          </w:p>
        </w:tc>
      </w:tr>
      <w:tr>
        <w:trPr>
          <w:cantSplit/>
        </w:trPr>
        <w:tc>
          <w:tcPr>
            <w:tcW w:w="684" w:type="dxa"/>
            <w:tcBorders>
              <w:top w:val="nil"/>
              <w:bottom w:val="nil"/>
            </w:tcBorders>
          </w:tcPr>
          <w:p>
            <w:pPr>
              <w:pStyle w:val="yTableNAm"/>
              <w:tabs>
                <w:tab w:val="left" w:leader="dot" w:pos="5387"/>
              </w:tabs>
            </w:pPr>
          </w:p>
        </w:tc>
        <w:tc>
          <w:tcPr>
            <w:tcW w:w="5529" w:type="dxa"/>
            <w:tcBorders>
              <w:top w:val="nil"/>
              <w:bottom w:val="nil"/>
            </w:tcBorders>
          </w:tcPr>
          <w:p>
            <w:pPr>
              <w:pStyle w:val="yTableNAm"/>
              <w:tabs>
                <w:tab w:val="left" w:leader="dot" w:pos="5387"/>
              </w:tabs>
            </w:pPr>
            <w:r>
              <w:t>(b)</w:t>
            </w:r>
            <w:r>
              <w:tab/>
              <w:t xml:space="preserve">between 501 and 1 000 </w:t>
            </w:r>
            <w:r>
              <w:tab/>
            </w:r>
          </w:p>
        </w:tc>
        <w:tc>
          <w:tcPr>
            <w:tcW w:w="855" w:type="dxa"/>
            <w:tcBorders>
              <w:top w:val="nil"/>
              <w:bottom w:val="nil"/>
            </w:tcBorders>
          </w:tcPr>
          <w:p>
            <w:pPr>
              <w:pStyle w:val="yTableNAm"/>
              <w:tabs>
                <w:tab w:val="clear" w:pos="567"/>
                <w:tab w:val="left" w:leader="dot" w:pos="5387"/>
              </w:tabs>
              <w:jc w:val="right"/>
            </w:pPr>
            <w:r>
              <w:t>210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(c)</w:t>
            </w:r>
            <w:r>
              <w:tab/>
              <w:t xml:space="preserve">between 1 001 and 5 000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1 050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(d)</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2 100</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leader="dot" w:pos="5387"/>
              </w:tabs>
            </w:pPr>
            <w:r>
              <w:t>(e)</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4 205</w:t>
            </w:r>
          </w:p>
        </w:tc>
      </w:tr>
      <w:tr>
        <w:trPr>
          <w:cantSplit/>
        </w:trPr>
        <w:tc>
          <w:tcPr>
            <w:tcW w:w="684" w:type="dxa"/>
            <w:tcBorders>
              <w:top w:val="single" w:sz="4" w:space="0" w:color="auto"/>
              <w:bottom w:val="single" w:sz="4" w:space="0" w:color="auto"/>
            </w:tcBorders>
          </w:tcPr>
          <w:p>
            <w:pPr>
              <w:pStyle w:val="yTableNAm"/>
              <w:tabs>
                <w:tab w:val="left" w:leader="dot" w:pos="5387"/>
              </w:tabs>
            </w:pPr>
            <w:r>
              <w:t>9A.</w:t>
            </w:r>
          </w:p>
        </w:tc>
        <w:tc>
          <w:tcPr>
            <w:tcW w:w="5529" w:type="dxa"/>
            <w:tcBorders>
              <w:top w:val="single" w:sz="4" w:space="0" w:color="auto"/>
              <w:bottom w:val="single" w:sz="4" w:space="0" w:color="auto"/>
            </w:tcBorders>
          </w:tcPr>
          <w:p>
            <w:pPr>
              <w:pStyle w:val="yTableNAm"/>
              <w:tabs>
                <w:tab w:val="left" w:leader="dot" w:pos="5387"/>
              </w:tabs>
            </w:pPr>
            <w:r>
              <w:t xml:space="preserve">Application for extended trading permit (in respect of a club restricted licence) for a period of 21 days or less </w:t>
            </w:r>
            <w:r>
              <w:tab/>
            </w:r>
          </w:p>
        </w:tc>
        <w:tc>
          <w:tcPr>
            <w:tcW w:w="855" w:type="dxa"/>
            <w:tcBorders>
              <w:top w:val="single" w:sz="4" w:space="0" w:color="auto"/>
              <w:bottom w:val="single" w:sz="4" w:space="0" w:color="auto"/>
            </w:tcBorders>
          </w:tcPr>
          <w:p>
            <w:pPr>
              <w:pStyle w:val="yTableNAm"/>
              <w:tabs>
                <w:tab w:val="clear" w:pos="567"/>
                <w:tab w:val="left" w:leader="dot" w:pos="5387"/>
              </w:tabs>
              <w:jc w:val="right"/>
            </w:pPr>
            <w:r>
              <w:br/>
              <w:t>40</w:t>
            </w:r>
          </w:p>
        </w:tc>
      </w:tr>
      <w:tr>
        <w:trPr>
          <w:cantSplit/>
        </w:trPr>
        <w:tc>
          <w:tcPr>
            <w:tcW w:w="684" w:type="dxa"/>
            <w:tcBorders>
              <w:top w:val="single" w:sz="4" w:space="0" w:color="auto"/>
              <w:left w:val="single" w:sz="4" w:space="0" w:color="auto"/>
              <w:bottom w:val="nil"/>
              <w:right w:val="single" w:sz="4" w:space="0" w:color="auto"/>
            </w:tcBorders>
          </w:tcPr>
          <w:p>
            <w:pPr>
              <w:pStyle w:val="yTableNAm"/>
              <w:tabs>
                <w:tab w:val="left" w:leader="dot" w:pos="5387"/>
              </w:tabs>
            </w:pPr>
            <w:r>
              <w:t>9.</w:t>
            </w:r>
          </w:p>
        </w:tc>
        <w:tc>
          <w:tcPr>
            <w:tcW w:w="5529" w:type="dxa"/>
            <w:tcBorders>
              <w:top w:val="single" w:sz="4" w:space="0" w:color="auto"/>
              <w:left w:val="single" w:sz="4" w:space="0" w:color="auto"/>
              <w:bottom w:val="nil"/>
              <w:right w:val="single" w:sz="4" w:space="0" w:color="auto"/>
            </w:tcBorders>
          </w:tcPr>
          <w:p>
            <w:pPr>
              <w:pStyle w:val="yTableNAm"/>
              <w:tabs>
                <w:tab w:val="left" w:leader="dot" w:pos="5387"/>
              </w:tabs>
            </w:pPr>
            <w:r>
              <w:t xml:space="preserve">Application for manager’s approval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(a)</w:t>
            </w:r>
            <w:r>
              <w:tab/>
              <w:t xml:space="preserve">lodged under r. 14ADA(3)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165</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(b)</w:t>
            </w:r>
            <w:r>
              <w:tab/>
              <w:t xml:space="preserve">lodged under r. 14ADA(4)(a)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55</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leader="dot" w:pos="5387"/>
              </w:tabs>
            </w:pPr>
            <w:r>
              <w:t>(c)</w:t>
            </w:r>
            <w:r>
              <w:tab/>
              <w:t xml:space="preserve">lodged under r. 14ADA(4)(b)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15</w:t>
            </w:r>
          </w:p>
        </w:tc>
      </w:tr>
      <w:tr>
        <w:trPr>
          <w:cantSplit/>
        </w:trPr>
        <w:tc>
          <w:tcPr>
            <w:tcW w:w="684" w:type="dxa"/>
            <w:tcBorders>
              <w:top w:val="single" w:sz="4" w:space="0" w:color="auto"/>
              <w:left w:val="single" w:sz="4" w:space="0" w:color="auto"/>
              <w:bottom w:val="nil"/>
              <w:right w:val="single" w:sz="4" w:space="0" w:color="auto"/>
            </w:tcBorders>
          </w:tcPr>
          <w:p>
            <w:pPr>
              <w:pStyle w:val="yTableNAm"/>
              <w:tabs>
                <w:tab w:val="left" w:leader="dot" w:pos="5387"/>
              </w:tabs>
            </w:pPr>
            <w:r>
              <w:t>10A.</w:t>
            </w:r>
          </w:p>
        </w:tc>
        <w:tc>
          <w:tcPr>
            <w:tcW w:w="5529" w:type="dxa"/>
            <w:tcBorders>
              <w:top w:val="single" w:sz="4" w:space="0" w:color="auto"/>
              <w:left w:val="single" w:sz="4" w:space="0" w:color="auto"/>
              <w:bottom w:val="nil"/>
              <w:right w:val="single" w:sz="4" w:space="0" w:color="auto"/>
            </w:tcBorders>
          </w:tcPr>
          <w:p>
            <w:pPr>
              <w:pStyle w:val="yTableNAm"/>
              <w:tabs>
                <w:tab w:val="left" w:leader="dot" w:pos="5387"/>
              </w:tabs>
            </w:pPr>
            <w:r>
              <w:t xml:space="preserve">Application for renewal of manager’s approval (other than transitioned approval under r. 14ADG) — </w:t>
            </w:r>
          </w:p>
        </w:tc>
        <w:tc>
          <w:tcPr>
            <w:tcW w:w="855" w:type="dxa"/>
            <w:tcBorders>
              <w:top w:val="single" w:sz="4" w:space="0" w:color="auto"/>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(a)</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160</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leader="dot" w:pos="5387"/>
              </w:tabs>
            </w:pPr>
            <w:r>
              <w:t>(b)</w:t>
            </w:r>
            <w:r>
              <w:tab/>
              <w:t xml:space="preserve">lodged under r. 14ADD(3)(b)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120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r>
              <w:t>10B.</w:t>
            </w:r>
          </w:p>
        </w:tc>
        <w:tc>
          <w:tcPr>
            <w:tcW w:w="5529" w:type="dxa"/>
            <w:tcBorders>
              <w:top w:val="nil"/>
              <w:left w:val="single" w:sz="4" w:space="0" w:color="auto"/>
              <w:bottom w:val="nil"/>
              <w:right w:val="single" w:sz="4" w:space="0" w:color="auto"/>
            </w:tcBorders>
          </w:tcPr>
          <w:p>
            <w:pPr>
              <w:pStyle w:val="yTableNAm"/>
              <w:tabs>
                <w:tab w:val="left" w:leader="dot" w:pos="5387"/>
              </w:tabs>
            </w:pPr>
            <w:r>
              <w:t xml:space="preserve">Application for renewal of manager’s approval (transitioned approval under r. 14ADG) — </w:t>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(a)</w:t>
            </w:r>
            <w:r>
              <w:tab/>
              <w:t xml:space="preserve">for 1 year — </w:t>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70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(ii)</w:t>
            </w:r>
            <w:r>
              <w:tab/>
              <w:t xml:space="preserve">lodged under r. 14ADD(3)(b)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30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(b)</w:t>
            </w:r>
            <w:r>
              <w:tab/>
              <w:t xml:space="preserve">for 3 years — </w:t>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115</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pos="994"/>
                <w:tab w:val="left" w:leader="dot" w:pos="5387"/>
              </w:tabs>
            </w:pPr>
            <w:r>
              <w:tab/>
              <w:t>(ii)</w:t>
            </w:r>
            <w:r>
              <w:tab/>
              <w:t xml:space="preserve">lodged under r. 14ADD(3)(b)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75</w:t>
            </w:r>
          </w:p>
        </w:tc>
      </w:tr>
      <w:tr>
        <w:trPr>
          <w:cantSplit/>
        </w:trPr>
        <w:tc>
          <w:tcPr>
            <w:tcW w:w="684" w:type="dxa"/>
            <w:tcBorders>
              <w:top w:val="single" w:sz="4" w:space="0" w:color="auto"/>
              <w:left w:val="single" w:sz="4" w:space="0" w:color="auto"/>
              <w:bottom w:val="nil"/>
              <w:right w:val="single" w:sz="4" w:space="0" w:color="auto"/>
            </w:tcBorders>
          </w:tcPr>
          <w:p>
            <w:pPr>
              <w:pStyle w:val="yTableNAm"/>
              <w:keepNext/>
              <w:tabs>
                <w:tab w:val="left" w:leader="dot" w:pos="5387"/>
              </w:tabs>
            </w:pPr>
          </w:p>
        </w:tc>
        <w:tc>
          <w:tcPr>
            <w:tcW w:w="5529" w:type="dxa"/>
            <w:tcBorders>
              <w:top w:val="single" w:sz="4" w:space="0" w:color="auto"/>
              <w:left w:val="single" w:sz="4" w:space="0" w:color="auto"/>
              <w:bottom w:val="nil"/>
              <w:right w:val="single" w:sz="4" w:space="0" w:color="auto"/>
            </w:tcBorders>
          </w:tcPr>
          <w:p>
            <w:pPr>
              <w:pStyle w:val="yTableNAm"/>
              <w:keepNext/>
              <w:tabs>
                <w:tab w:val="left" w:leader="dot" w:pos="5387"/>
              </w:tabs>
            </w:pPr>
            <w:r>
              <w:t>(c)</w:t>
            </w:r>
            <w:r>
              <w:tab/>
              <w:t xml:space="preserve">for 5 years — </w:t>
            </w:r>
          </w:p>
        </w:tc>
        <w:tc>
          <w:tcPr>
            <w:tcW w:w="855" w:type="dxa"/>
            <w:tcBorders>
              <w:top w:val="single" w:sz="4" w:space="0" w:color="auto"/>
              <w:left w:val="single" w:sz="4" w:space="0" w:color="auto"/>
              <w:bottom w:val="nil"/>
              <w:right w:val="single" w:sz="4" w:space="0" w:color="auto"/>
            </w:tcBorders>
          </w:tcPr>
          <w:p>
            <w:pPr>
              <w:pStyle w:val="yTableNAm"/>
              <w:keepNext/>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160</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pos="994"/>
                <w:tab w:val="left" w:leader="dot" w:pos="5387"/>
              </w:tabs>
            </w:pPr>
            <w:r>
              <w:tab/>
              <w:t>(ii)</w:t>
            </w:r>
            <w:r>
              <w:tab/>
              <w:t xml:space="preserve">lodged under r. 14ADD(3)(b)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120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r>
              <w:t>10C.</w:t>
            </w:r>
          </w:p>
        </w:tc>
        <w:tc>
          <w:tcPr>
            <w:tcW w:w="5529" w:type="dxa"/>
            <w:tcBorders>
              <w:top w:val="nil"/>
              <w:left w:val="single" w:sz="4" w:space="0" w:color="auto"/>
              <w:bottom w:val="nil"/>
              <w:right w:val="single" w:sz="4" w:space="0" w:color="auto"/>
            </w:tcBorders>
          </w:tcPr>
          <w:p>
            <w:pPr>
              <w:pStyle w:val="yTableNAm"/>
              <w:tabs>
                <w:tab w:val="left" w:leader="dot" w:pos="5387"/>
              </w:tabs>
            </w:pPr>
            <w:r>
              <w:t xml:space="preserve">Application for replacement identification card — </w:t>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pPr>
            <w:r>
              <w:t>(a)</w:t>
            </w:r>
            <w:r>
              <w:tab/>
              <w:t xml:space="preserve">lodged under r. 14ADF(2)(b)(i)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50</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leader="dot" w:pos="5387"/>
              </w:tabs>
            </w:pPr>
            <w:r>
              <w:t>(b)</w:t>
            </w:r>
            <w:r>
              <w:tab/>
              <w:t xml:space="preserve">lodged under r. 14ADF(2)(b)(ii)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10</w:t>
            </w:r>
          </w:p>
        </w:tc>
      </w:tr>
      <w:tr>
        <w:trPr>
          <w:cantSplit/>
        </w:trPr>
        <w:tc>
          <w:tcPr>
            <w:tcW w:w="684" w:type="dxa"/>
            <w:tcBorders>
              <w:bottom w:val="nil"/>
            </w:tcBorders>
          </w:tcPr>
          <w:p>
            <w:pPr>
              <w:pStyle w:val="yTableNAm"/>
              <w:tabs>
                <w:tab w:val="left" w:leader="dot" w:pos="5387"/>
              </w:tabs>
            </w:pPr>
            <w:r>
              <w:t>10.</w:t>
            </w:r>
          </w:p>
        </w:tc>
        <w:tc>
          <w:tcPr>
            <w:tcW w:w="5529" w:type="dxa"/>
            <w:tcBorders>
              <w:bottom w:val="nil"/>
            </w:tcBorders>
          </w:tcPr>
          <w:p>
            <w:pPr>
              <w:pStyle w:val="yTableNAm"/>
              <w:tabs>
                <w:tab w:val="left" w:leader="dot" w:pos="5387"/>
              </w:tabs>
            </w:pPr>
            <w:r>
              <w:t xml:space="preserve">Application for approval of person in position of authority — </w:t>
            </w:r>
          </w:p>
        </w:tc>
        <w:tc>
          <w:tcPr>
            <w:tcW w:w="855" w:type="dxa"/>
            <w:tcBorders>
              <w:bottom w:val="nil"/>
            </w:tcBorders>
          </w:tcPr>
          <w:p>
            <w:pPr>
              <w:pStyle w:val="yTableNAm"/>
              <w:tabs>
                <w:tab w:val="clear" w:pos="567"/>
                <w:tab w:val="left" w:leader="dot" w:pos="5387"/>
              </w:tabs>
              <w:jc w:val="right"/>
            </w:pPr>
            <w:r>
              <w:br/>
            </w:r>
          </w:p>
        </w:tc>
      </w:tr>
      <w:tr>
        <w:trPr>
          <w:cantSplit/>
        </w:trPr>
        <w:tc>
          <w:tcPr>
            <w:tcW w:w="684" w:type="dxa"/>
            <w:tcBorders>
              <w:top w:val="nil"/>
              <w:bottom w:val="nil"/>
            </w:tcBorders>
          </w:tcPr>
          <w:p>
            <w:pPr>
              <w:pStyle w:val="yTableNAm"/>
              <w:tabs>
                <w:tab w:val="left" w:leader="dot" w:pos="5387"/>
              </w:tabs>
            </w:pPr>
          </w:p>
        </w:tc>
        <w:tc>
          <w:tcPr>
            <w:tcW w:w="5529" w:type="dxa"/>
            <w:tcBorders>
              <w:top w:val="nil"/>
              <w:bottom w:val="nil"/>
            </w:tcBorders>
          </w:tcPr>
          <w:p>
            <w:pPr>
              <w:pStyle w:val="yTableNAm"/>
              <w:tabs>
                <w:tab w:val="left" w:leader="dot" w:pos="5387"/>
              </w:tabs>
              <w:ind w:left="567" w:hanging="567"/>
            </w:pPr>
            <w:r>
              <w:t>(a)</w:t>
            </w:r>
            <w:r>
              <w:tab/>
              <w:t xml:space="preserve">under licence other than club licence or club restricted licence </w:t>
            </w:r>
            <w:r>
              <w:tab/>
            </w:r>
          </w:p>
        </w:tc>
        <w:tc>
          <w:tcPr>
            <w:tcW w:w="855" w:type="dxa"/>
            <w:tcBorders>
              <w:top w:val="nil"/>
              <w:bottom w:val="nil"/>
            </w:tcBorders>
          </w:tcPr>
          <w:p>
            <w:pPr>
              <w:pStyle w:val="yTableNAm"/>
              <w:tabs>
                <w:tab w:val="clear" w:pos="567"/>
                <w:tab w:val="left" w:leader="dot" w:pos="5387"/>
              </w:tabs>
              <w:jc w:val="right"/>
            </w:pPr>
            <w:r>
              <w:br/>
              <w:t>149</w:t>
            </w:r>
          </w:p>
        </w:tc>
      </w:tr>
      <w:tr>
        <w:trPr>
          <w:cantSplit/>
        </w:trPr>
        <w:tc>
          <w:tcPr>
            <w:tcW w:w="684" w:type="dxa"/>
            <w:tcBorders>
              <w:top w:val="nil"/>
            </w:tcBorders>
          </w:tcPr>
          <w:p>
            <w:pPr>
              <w:pStyle w:val="yTableNAm"/>
              <w:tabs>
                <w:tab w:val="left" w:leader="dot" w:pos="5387"/>
              </w:tabs>
            </w:pPr>
          </w:p>
        </w:tc>
        <w:tc>
          <w:tcPr>
            <w:tcW w:w="5529" w:type="dxa"/>
            <w:tcBorders>
              <w:top w:val="nil"/>
            </w:tcBorders>
          </w:tcPr>
          <w:p>
            <w:pPr>
              <w:pStyle w:val="yTableNAm"/>
              <w:tabs>
                <w:tab w:val="left" w:leader="dot" w:pos="5387"/>
              </w:tabs>
            </w:pPr>
            <w:r>
              <w:t>(b)</w:t>
            </w:r>
            <w:r>
              <w:tab/>
              <w:t xml:space="preserve">under club licence or club restricted licence </w:t>
            </w:r>
            <w:r>
              <w:tab/>
            </w:r>
          </w:p>
        </w:tc>
        <w:tc>
          <w:tcPr>
            <w:tcW w:w="855" w:type="dxa"/>
            <w:tcBorders>
              <w:top w:val="nil"/>
            </w:tcBorders>
          </w:tcPr>
          <w:p>
            <w:pPr>
              <w:pStyle w:val="yTableNAm"/>
              <w:tabs>
                <w:tab w:val="clear" w:pos="567"/>
                <w:tab w:val="left" w:leader="dot" w:pos="5387"/>
              </w:tabs>
              <w:jc w:val="right"/>
            </w:pPr>
            <w:r>
              <w:t>102</w:t>
            </w:r>
          </w:p>
        </w:tc>
      </w:tr>
      <w:tr>
        <w:trPr>
          <w:cantSplit/>
        </w:trPr>
        <w:tc>
          <w:tcPr>
            <w:tcW w:w="684" w:type="dxa"/>
          </w:tcPr>
          <w:p>
            <w:pPr>
              <w:pStyle w:val="yTableNAm"/>
              <w:tabs>
                <w:tab w:val="left" w:leader="dot" w:pos="5387"/>
              </w:tabs>
            </w:pPr>
            <w:r>
              <w:t>11.</w:t>
            </w:r>
          </w:p>
        </w:tc>
        <w:tc>
          <w:tcPr>
            <w:tcW w:w="5529" w:type="dxa"/>
          </w:tcPr>
          <w:p>
            <w:pPr>
              <w:pStyle w:val="yTableNAm"/>
              <w:tabs>
                <w:tab w:val="left" w:leader="dot" w:pos="5387"/>
              </w:tabs>
            </w:pPr>
            <w:r>
              <w:t xml:space="preserve">Application for approval for alteration or redefinition of licensed premises </w:t>
            </w:r>
            <w:r>
              <w:tab/>
            </w:r>
          </w:p>
        </w:tc>
        <w:tc>
          <w:tcPr>
            <w:tcW w:w="855" w:type="dxa"/>
          </w:tcPr>
          <w:p>
            <w:pPr>
              <w:pStyle w:val="yTableNAm"/>
              <w:tabs>
                <w:tab w:val="clear" w:pos="567"/>
                <w:tab w:val="left" w:leader="dot" w:pos="5387"/>
              </w:tabs>
              <w:jc w:val="right"/>
            </w:pPr>
            <w:r>
              <w:br/>
              <w:t>370</w:t>
            </w:r>
          </w:p>
        </w:tc>
      </w:tr>
      <w:tr>
        <w:trPr>
          <w:cantSplit/>
        </w:trPr>
        <w:tc>
          <w:tcPr>
            <w:tcW w:w="684" w:type="dxa"/>
          </w:tcPr>
          <w:p>
            <w:pPr>
              <w:pStyle w:val="yTableNAm"/>
              <w:tabs>
                <w:tab w:val="left" w:leader="dot" w:pos="5387"/>
              </w:tabs>
            </w:pPr>
            <w:r>
              <w:t>12.</w:t>
            </w:r>
          </w:p>
        </w:tc>
        <w:tc>
          <w:tcPr>
            <w:tcW w:w="5529" w:type="dxa"/>
          </w:tcPr>
          <w:p>
            <w:pPr>
              <w:pStyle w:val="yTableNAm"/>
              <w:tabs>
                <w:tab w:val="left" w:leader="dot" w:pos="5387"/>
              </w:tabs>
            </w:pPr>
            <w:r>
              <w:t xml:space="preserve">Application for a protection order under section 87(1) </w:t>
            </w:r>
            <w:r>
              <w:tab/>
            </w:r>
          </w:p>
        </w:tc>
        <w:tc>
          <w:tcPr>
            <w:tcW w:w="855" w:type="dxa"/>
          </w:tcPr>
          <w:p>
            <w:pPr>
              <w:pStyle w:val="yTableNAm"/>
              <w:tabs>
                <w:tab w:val="clear" w:pos="567"/>
                <w:tab w:val="left" w:leader="dot" w:pos="5387"/>
              </w:tabs>
              <w:jc w:val="right"/>
            </w:pPr>
            <w:r>
              <w:t>215</w:t>
            </w:r>
          </w:p>
        </w:tc>
      </w:tr>
      <w:tr>
        <w:trPr>
          <w:cantSplit/>
        </w:trPr>
        <w:tc>
          <w:tcPr>
            <w:tcW w:w="684" w:type="dxa"/>
          </w:tcPr>
          <w:p>
            <w:pPr>
              <w:pStyle w:val="yTableNAm"/>
              <w:tabs>
                <w:tab w:val="left" w:leader="dot" w:pos="5387"/>
              </w:tabs>
            </w:pPr>
            <w:r>
              <w:t>13.</w:t>
            </w:r>
          </w:p>
        </w:tc>
        <w:tc>
          <w:tcPr>
            <w:tcW w:w="5529" w:type="dxa"/>
          </w:tcPr>
          <w:p>
            <w:pPr>
              <w:pStyle w:val="yTableNAm"/>
              <w:tabs>
                <w:tab w:val="left" w:leader="dot" w:pos="5387"/>
              </w:tabs>
            </w:pPr>
            <w:r>
              <w:t xml:space="preserve">Application for duplicate licence </w:t>
            </w:r>
            <w:r>
              <w:tab/>
            </w:r>
          </w:p>
        </w:tc>
        <w:tc>
          <w:tcPr>
            <w:tcW w:w="855" w:type="dxa"/>
          </w:tcPr>
          <w:p>
            <w:pPr>
              <w:pStyle w:val="yTableNAm"/>
              <w:tabs>
                <w:tab w:val="clear" w:pos="567"/>
                <w:tab w:val="left" w:leader="dot" w:pos="5387"/>
              </w:tabs>
              <w:jc w:val="right"/>
            </w:pPr>
            <w:r>
              <w:t>35</w:t>
            </w:r>
          </w:p>
        </w:tc>
      </w:tr>
      <w:tr>
        <w:trPr>
          <w:cantSplit/>
        </w:trPr>
        <w:tc>
          <w:tcPr>
            <w:tcW w:w="684" w:type="dxa"/>
          </w:tcPr>
          <w:p>
            <w:pPr>
              <w:pStyle w:val="yTableNAm"/>
              <w:tabs>
                <w:tab w:val="left" w:leader="dot" w:pos="5387"/>
              </w:tabs>
            </w:pPr>
            <w:r>
              <w:t>14.</w:t>
            </w:r>
          </w:p>
        </w:tc>
        <w:tc>
          <w:tcPr>
            <w:tcW w:w="5529" w:type="dxa"/>
          </w:tcPr>
          <w:p>
            <w:pPr>
              <w:pStyle w:val="yTableNAm"/>
              <w:tabs>
                <w:tab w:val="left" w:leader="dot" w:pos="5387"/>
              </w:tabs>
            </w:pPr>
            <w:r>
              <w:t xml:space="preserve">Application for approval of change of name of licensed premises </w:t>
            </w:r>
            <w:r>
              <w:tab/>
            </w:r>
          </w:p>
        </w:tc>
        <w:tc>
          <w:tcPr>
            <w:tcW w:w="855" w:type="dxa"/>
          </w:tcPr>
          <w:p>
            <w:pPr>
              <w:pStyle w:val="yTableNAm"/>
              <w:tabs>
                <w:tab w:val="clear" w:pos="567"/>
                <w:tab w:val="left" w:leader="dot" w:pos="5387"/>
              </w:tabs>
              <w:jc w:val="right"/>
            </w:pPr>
            <w:r>
              <w:br/>
              <w:t>70</w:t>
            </w:r>
          </w:p>
        </w:tc>
      </w:tr>
      <w:tr>
        <w:trPr>
          <w:cantSplit/>
        </w:trPr>
        <w:tc>
          <w:tcPr>
            <w:tcW w:w="684" w:type="dxa"/>
            <w:tcBorders>
              <w:bottom w:val="nil"/>
            </w:tcBorders>
          </w:tcPr>
          <w:p>
            <w:pPr>
              <w:pStyle w:val="yTableNAm"/>
              <w:tabs>
                <w:tab w:val="left" w:leader="dot" w:pos="5387"/>
              </w:tabs>
            </w:pPr>
            <w:r>
              <w:t>15.</w:t>
            </w:r>
          </w:p>
        </w:tc>
        <w:tc>
          <w:tcPr>
            <w:tcW w:w="5529" w:type="dxa"/>
            <w:tcBorders>
              <w:bottom w:val="nil"/>
            </w:tcBorders>
          </w:tcPr>
          <w:p>
            <w:pPr>
              <w:pStyle w:val="yTableNAm"/>
              <w:tabs>
                <w:tab w:val="left" w:leader="dot" w:pos="5387"/>
              </w:tabs>
            </w:pPr>
            <w:r>
              <w:t xml:space="preserve">Application to add, vary or cancel condition of licence or permit (other than club restricted licence) — </w:t>
            </w:r>
          </w:p>
        </w:tc>
        <w:tc>
          <w:tcPr>
            <w:tcW w:w="855" w:type="dxa"/>
            <w:tcBorders>
              <w:bottom w:val="nil"/>
            </w:tcBorders>
          </w:tcPr>
          <w:p>
            <w:pPr>
              <w:pStyle w:val="yTableNAm"/>
              <w:tabs>
                <w:tab w:val="clear" w:pos="567"/>
                <w:tab w:val="left" w:leader="dot" w:pos="5387"/>
              </w:tabs>
              <w:jc w:val="right"/>
            </w:pPr>
          </w:p>
        </w:tc>
      </w:tr>
      <w:tr>
        <w:trPr>
          <w:cantSplit/>
        </w:trPr>
        <w:tc>
          <w:tcPr>
            <w:tcW w:w="684" w:type="dxa"/>
            <w:tcBorders>
              <w:top w:val="nil"/>
              <w:bottom w:val="nil"/>
            </w:tcBorders>
          </w:tcPr>
          <w:p>
            <w:pPr>
              <w:pStyle w:val="yTableNAm"/>
              <w:tabs>
                <w:tab w:val="left" w:leader="dot" w:pos="5387"/>
              </w:tabs>
            </w:pPr>
          </w:p>
        </w:tc>
        <w:tc>
          <w:tcPr>
            <w:tcW w:w="5529" w:type="dxa"/>
            <w:tcBorders>
              <w:top w:val="nil"/>
              <w:bottom w:val="nil"/>
            </w:tcBorders>
          </w:tcPr>
          <w:p>
            <w:pPr>
              <w:pStyle w:val="yTableNAm"/>
              <w:tabs>
                <w:tab w:val="left" w:leader="dot" w:pos="5387"/>
              </w:tabs>
            </w:pPr>
            <w:r>
              <w:t>(a)</w:t>
            </w:r>
            <w:r>
              <w:tab/>
              <w:t xml:space="preserve">for a period of over 21 days </w:t>
            </w:r>
            <w:r>
              <w:tab/>
            </w:r>
          </w:p>
        </w:tc>
        <w:tc>
          <w:tcPr>
            <w:tcW w:w="855" w:type="dxa"/>
            <w:tcBorders>
              <w:top w:val="nil"/>
              <w:bottom w:val="nil"/>
            </w:tcBorders>
          </w:tcPr>
          <w:p>
            <w:pPr>
              <w:pStyle w:val="yTableNAm"/>
              <w:tabs>
                <w:tab w:val="clear" w:pos="567"/>
                <w:tab w:val="left" w:leader="dot" w:pos="5387"/>
              </w:tabs>
              <w:jc w:val="right"/>
            </w:pPr>
            <w:r>
              <w:t>221</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leader="dot" w:pos="5387"/>
              </w:tabs>
              <w:ind w:left="567" w:hanging="567"/>
            </w:pPr>
            <w:r>
              <w:t>(b)</w:t>
            </w:r>
            <w:r>
              <w:tab/>
              <w:t>for a period of 21 days or less if the anticipated number of patrons is —</w:t>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w:t>
            </w:r>
            <w:r>
              <w:tab/>
              <w:t xml:space="preserve">up to 500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103</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(ii)</w:t>
            </w:r>
            <w:r>
              <w:tab/>
              <w:t xml:space="preserve">between 501 and 1 000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210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(iii)</w:t>
            </w:r>
            <w:r>
              <w:tab/>
              <w:t xml:space="preserve">between 1 001 and 5 000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1 050</w:t>
            </w:r>
          </w:p>
        </w:tc>
      </w:tr>
      <w:tr>
        <w:trPr>
          <w:cantSplit/>
        </w:trPr>
        <w:tc>
          <w:tcPr>
            <w:tcW w:w="684" w:type="dxa"/>
            <w:tcBorders>
              <w:top w:val="nil"/>
              <w:left w:val="single" w:sz="4" w:space="0" w:color="auto"/>
              <w:bottom w:val="nil"/>
              <w:right w:val="single" w:sz="4" w:space="0" w:color="auto"/>
            </w:tcBorders>
          </w:tcPr>
          <w:p>
            <w:pPr>
              <w:pStyle w:val="yTableNAm"/>
              <w:tabs>
                <w:tab w:val="left" w:leader="dot" w:pos="5387"/>
              </w:tabs>
            </w:pPr>
          </w:p>
        </w:tc>
        <w:tc>
          <w:tcPr>
            <w:tcW w:w="5529" w:type="dxa"/>
            <w:tcBorders>
              <w:top w:val="nil"/>
              <w:left w:val="single" w:sz="4" w:space="0" w:color="auto"/>
              <w:bottom w:val="nil"/>
              <w:right w:val="single" w:sz="4" w:space="0" w:color="auto"/>
            </w:tcBorders>
          </w:tcPr>
          <w:p>
            <w:pPr>
              <w:pStyle w:val="yTableNAm"/>
              <w:tabs>
                <w:tab w:val="left" w:pos="994"/>
                <w:tab w:val="left" w:leader="dot" w:pos="5387"/>
              </w:tabs>
            </w:pPr>
            <w:r>
              <w:tab/>
              <w:t>(iv)</w:t>
            </w:r>
            <w:r>
              <w:tab/>
              <w:t>between 5 001 and 10 000 ..</w:t>
            </w:r>
            <w:r>
              <w:tab/>
            </w:r>
          </w:p>
        </w:tc>
        <w:tc>
          <w:tcPr>
            <w:tcW w:w="855" w:type="dxa"/>
            <w:tcBorders>
              <w:top w:val="nil"/>
              <w:left w:val="single" w:sz="4" w:space="0" w:color="auto"/>
              <w:bottom w:val="nil"/>
              <w:right w:val="single" w:sz="4" w:space="0" w:color="auto"/>
            </w:tcBorders>
          </w:tcPr>
          <w:p>
            <w:pPr>
              <w:pStyle w:val="yTableNAm"/>
              <w:tabs>
                <w:tab w:val="clear" w:pos="567"/>
                <w:tab w:val="left" w:leader="dot" w:pos="5387"/>
              </w:tabs>
              <w:jc w:val="right"/>
            </w:pPr>
            <w:r>
              <w:t>2 100</w:t>
            </w:r>
          </w:p>
        </w:tc>
      </w:tr>
      <w:tr>
        <w:trPr>
          <w:cantSplit/>
        </w:trPr>
        <w:tc>
          <w:tcPr>
            <w:tcW w:w="684" w:type="dxa"/>
            <w:tcBorders>
              <w:top w:val="nil"/>
              <w:left w:val="single" w:sz="4" w:space="0" w:color="auto"/>
              <w:bottom w:val="single" w:sz="4" w:space="0" w:color="auto"/>
              <w:right w:val="single" w:sz="4" w:space="0" w:color="auto"/>
            </w:tcBorders>
          </w:tcPr>
          <w:p>
            <w:pPr>
              <w:pStyle w:val="yTableNAm"/>
              <w:tabs>
                <w:tab w:val="left" w:leader="dot" w:pos="5387"/>
              </w:tabs>
            </w:pPr>
          </w:p>
        </w:tc>
        <w:tc>
          <w:tcPr>
            <w:tcW w:w="5529" w:type="dxa"/>
            <w:tcBorders>
              <w:top w:val="nil"/>
              <w:left w:val="single" w:sz="4" w:space="0" w:color="auto"/>
              <w:bottom w:val="single" w:sz="4" w:space="0" w:color="auto"/>
              <w:right w:val="single" w:sz="4" w:space="0" w:color="auto"/>
            </w:tcBorders>
          </w:tcPr>
          <w:p>
            <w:pPr>
              <w:pStyle w:val="yTableNAm"/>
              <w:tabs>
                <w:tab w:val="left" w:pos="994"/>
                <w:tab w:val="left" w:leader="dot" w:pos="5387"/>
              </w:tabs>
            </w:pPr>
            <w:r>
              <w:tab/>
              <w:t>(v)</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tabs>
                <w:tab w:val="clear" w:pos="567"/>
                <w:tab w:val="left" w:leader="dot" w:pos="5387"/>
              </w:tabs>
              <w:jc w:val="right"/>
            </w:pPr>
            <w:r>
              <w:t>4 205</w:t>
            </w:r>
          </w:p>
        </w:tc>
      </w:tr>
      <w:tr>
        <w:trPr>
          <w:cantSplit/>
        </w:trPr>
        <w:tc>
          <w:tcPr>
            <w:tcW w:w="684" w:type="dxa"/>
          </w:tcPr>
          <w:p>
            <w:pPr>
              <w:pStyle w:val="yTableNAm"/>
              <w:tabs>
                <w:tab w:val="left" w:leader="dot" w:pos="5387"/>
              </w:tabs>
            </w:pPr>
            <w:r>
              <w:t>16.</w:t>
            </w:r>
          </w:p>
        </w:tc>
        <w:tc>
          <w:tcPr>
            <w:tcW w:w="5529" w:type="dxa"/>
          </w:tcPr>
          <w:p>
            <w:pPr>
              <w:pStyle w:val="yTableNAm"/>
              <w:tabs>
                <w:tab w:val="left" w:leader="dot" w:pos="5387"/>
              </w:tabs>
            </w:pPr>
            <w:r>
              <w:t xml:space="preserve">Application to add, vary or cancel condition of club restricted licence </w:t>
            </w:r>
            <w:r>
              <w:tab/>
            </w:r>
          </w:p>
        </w:tc>
        <w:tc>
          <w:tcPr>
            <w:tcW w:w="855" w:type="dxa"/>
          </w:tcPr>
          <w:p>
            <w:pPr>
              <w:pStyle w:val="yTableNAm"/>
              <w:tabs>
                <w:tab w:val="clear" w:pos="567"/>
                <w:tab w:val="left" w:leader="dot" w:pos="5387"/>
              </w:tabs>
              <w:jc w:val="right"/>
            </w:pPr>
            <w:r>
              <w:br/>
              <w:t>41</w:t>
            </w:r>
          </w:p>
        </w:tc>
      </w:tr>
      <w:tr>
        <w:trPr>
          <w:cantSplit/>
        </w:trPr>
        <w:tc>
          <w:tcPr>
            <w:tcW w:w="684" w:type="dxa"/>
          </w:tcPr>
          <w:p>
            <w:pPr>
              <w:pStyle w:val="yTableNAm"/>
              <w:tabs>
                <w:tab w:val="left" w:leader="dot" w:pos="5387"/>
              </w:tabs>
            </w:pPr>
            <w:r>
              <w:t>17.</w:t>
            </w:r>
          </w:p>
        </w:tc>
        <w:tc>
          <w:tcPr>
            <w:tcW w:w="5529" w:type="dxa"/>
          </w:tcPr>
          <w:p>
            <w:pPr>
              <w:pStyle w:val="yTableNAm"/>
              <w:tabs>
                <w:tab w:val="left" w:leader="dot" w:pos="5387"/>
              </w:tabs>
            </w:pPr>
            <w:r>
              <w:t xml:space="preserve">Application under section 62(6) to vary any plans or specifications the subject of a condition </w:t>
            </w:r>
            <w:r>
              <w:tab/>
            </w:r>
          </w:p>
        </w:tc>
        <w:tc>
          <w:tcPr>
            <w:tcW w:w="855" w:type="dxa"/>
          </w:tcPr>
          <w:p>
            <w:pPr>
              <w:pStyle w:val="yTableNAm"/>
              <w:tabs>
                <w:tab w:val="clear" w:pos="567"/>
                <w:tab w:val="left" w:leader="dot" w:pos="5387"/>
              </w:tabs>
              <w:jc w:val="right"/>
            </w:pPr>
            <w:r>
              <w:br/>
              <w:t>257</w:t>
            </w:r>
          </w:p>
        </w:tc>
      </w:tr>
      <w:tr>
        <w:trPr>
          <w:cantSplit/>
        </w:trPr>
        <w:tc>
          <w:tcPr>
            <w:tcW w:w="684" w:type="dxa"/>
          </w:tcPr>
          <w:p>
            <w:pPr>
              <w:pStyle w:val="yTableNAm"/>
              <w:tabs>
                <w:tab w:val="left" w:leader="dot" w:pos="5387"/>
              </w:tabs>
            </w:pPr>
            <w:r>
              <w:t>18.</w:t>
            </w:r>
          </w:p>
        </w:tc>
        <w:tc>
          <w:tcPr>
            <w:tcW w:w="5529" w:type="dxa"/>
          </w:tcPr>
          <w:p>
            <w:pPr>
              <w:pStyle w:val="yTableNAm"/>
              <w:tabs>
                <w:tab w:val="left" w:leader="dot" w:pos="5387"/>
              </w:tabs>
            </w:pPr>
            <w:r>
              <w:t xml:space="preserve">Application for approval of agreement or arrangement </w:t>
            </w:r>
            <w:r>
              <w:tab/>
            </w:r>
          </w:p>
          <w:p>
            <w:pPr>
              <w:pStyle w:val="yTableNAm"/>
              <w:tabs>
                <w:tab w:val="left" w:leader="dot" w:pos="5387"/>
              </w:tabs>
            </w:pPr>
            <w:r>
              <w:t>and</w:t>
            </w:r>
          </w:p>
          <w:p>
            <w:pPr>
              <w:pStyle w:val="yTableNAm"/>
              <w:tabs>
                <w:tab w:val="left" w:leader="dot" w:pos="5387"/>
              </w:tabs>
            </w:pPr>
            <w:r>
              <w:t xml:space="preserve">for each person who is a party to the agreement or arrangement and in relation to whom a background check is sought from the Police Service </w:t>
            </w:r>
            <w:r>
              <w:tab/>
            </w:r>
          </w:p>
        </w:tc>
        <w:tc>
          <w:tcPr>
            <w:tcW w:w="855" w:type="dxa"/>
          </w:tcPr>
          <w:p>
            <w:pPr>
              <w:pStyle w:val="yTableNAm"/>
              <w:tabs>
                <w:tab w:val="clear" w:pos="567"/>
                <w:tab w:val="left" w:leader="dot" w:pos="5387"/>
              </w:tabs>
              <w:jc w:val="right"/>
            </w:pPr>
            <w:r>
              <w:t>215</w:t>
            </w:r>
          </w:p>
          <w:p>
            <w:pPr>
              <w:pStyle w:val="yTableNAm"/>
              <w:tabs>
                <w:tab w:val="clear" w:pos="567"/>
                <w:tab w:val="left" w:leader="dot" w:pos="5387"/>
              </w:tabs>
              <w:jc w:val="right"/>
            </w:pPr>
          </w:p>
          <w:p>
            <w:pPr>
              <w:pStyle w:val="yTableNAm"/>
              <w:tabs>
                <w:tab w:val="clear" w:pos="567"/>
                <w:tab w:val="left" w:leader="dot" w:pos="5387"/>
              </w:tabs>
              <w:jc w:val="right"/>
            </w:pPr>
            <w:r>
              <w:br/>
            </w:r>
            <w:r>
              <w:br/>
              <w:t>140</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tabs>
                <w:tab w:val="left" w:leader="dot" w:pos="5387"/>
              </w:tabs>
            </w:pPr>
            <w:r>
              <w:t>19A.</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387"/>
              </w:tabs>
            </w:pPr>
            <w:r>
              <w:t xml:space="preserve">Application under section 115AD for review of decision to give notice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left" w:leader="dot" w:pos="5387"/>
              </w:tabs>
              <w:jc w:val="right"/>
            </w:pPr>
            <w:r>
              <w:br/>
              <w:t>228</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tabs>
                <w:tab w:val="left" w:leader="dot" w:pos="5387"/>
              </w:tabs>
            </w:pPr>
            <w:r>
              <w:t>19B.</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387"/>
              </w:tabs>
            </w:pPr>
            <w:r>
              <w:t>Application under section 119A for approval to conduct non</w:t>
            </w:r>
            <w:r>
              <w:noBreakHyphen/>
              <w:t xml:space="preserve">liquor business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left" w:leader="dot" w:pos="5387"/>
              </w:tabs>
              <w:jc w:val="right"/>
            </w:pPr>
            <w:r>
              <w:br/>
              <w:t>205</w:t>
            </w:r>
          </w:p>
        </w:tc>
      </w:tr>
      <w:tr>
        <w:trPr>
          <w:cantSplit/>
        </w:trPr>
        <w:tc>
          <w:tcPr>
            <w:tcW w:w="684" w:type="dxa"/>
            <w:tcBorders>
              <w:top w:val="single" w:sz="4" w:space="0" w:color="auto"/>
              <w:left w:val="single" w:sz="4" w:space="0" w:color="auto"/>
              <w:bottom w:val="single" w:sz="4" w:space="0" w:color="auto"/>
              <w:right w:val="single" w:sz="4" w:space="0" w:color="auto"/>
            </w:tcBorders>
          </w:tcPr>
          <w:p>
            <w:pPr>
              <w:pStyle w:val="yTableNAm"/>
              <w:tabs>
                <w:tab w:val="left" w:leader="dot" w:pos="5387"/>
              </w:tabs>
            </w:pPr>
            <w:r>
              <w:t>19C.</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387"/>
              </w:tabs>
            </w:pPr>
            <w:r>
              <w:t xml:space="preserve">Application under section 152W(3), other than by an occupier of premises, for a liquor restriction declaration in relation to the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tabs>
                <w:tab w:val="clear" w:pos="567"/>
                <w:tab w:val="left" w:leader="dot" w:pos="5387"/>
              </w:tabs>
              <w:jc w:val="right"/>
            </w:pPr>
            <w:r>
              <w:br/>
            </w:r>
            <w:r>
              <w:br/>
              <w:t>250</w:t>
            </w:r>
          </w:p>
        </w:tc>
      </w:tr>
      <w:tr>
        <w:trPr>
          <w:cantSplit/>
        </w:trPr>
        <w:tc>
          <w:tcPr>
            <w:tcW w:w="684" w:type="dxa"/>
          </w:tcPr>
          <w:p>
            <w:pPr>
              <w:pStyle w:val="yTableNAm"/>
              <w:tabs>
                <w:tab w:val="left" w:leader="dot" w:pos="5387"/>
              </w:tabs>
            </w:pPr>
            <w:r>
              <w:t>19.</w:t>
            </w:r>
          </w:p>
        </w:tc>
        <w:tc>
          <w:tcPr>
            <w:tcW w:w="5529" w:type="dxa"/>
          </w:tcPr>
          <w:p>
            <w:pPr>
              <w:pStyle w:val="yTableNAm"/>
              <w:tabs>
                <w:tab w:val="left" w:leader="dot" w:pos="5387"/>
              </w:tabs>
            </w:pPr>
            <w:r>
              <w:t xml:space="preserve">Application under section 126A for approval of entertainment for juveniles on licensed premises </w:t>
            </w:r>
            <w:r>
              <w:tab/>
            </w:r>
          </w:p>
        </w:tc>
        <w:tc>
          <w:tcPr>
            <w:tcW w:w="855" w:type="dxa"/>
          </w:tcPr>
          <w:p>
            <w:pPr>
              <w:pStyle w:val="yTableNAm"/>
              <w:tabs>
                <w:tab w:val="clear" w:pos="567"/>
                <w:tab w:val="left" w:leader="dot" w:pos="5387"/>
              </w:tabs>
              <w:jc w:val="right"/>
            </w:pPr>
            <w:r>
              <w:br/>
              <w:t>61</w:t>
            </w:r>
          </w:p>
        </w:tc>
      </w:tr>
      <w:tr>
        <w:trPr>
          <w:cantSplit/>
        </w:trPr>
        <w:tc>
          <w:tcPr>
            <w:tcW w:w="684" w:type="dxa"/>
          </w:tcPr>
          <w:p>
            <w:pPr>
              <w:pStyle w:val="yTableNAm"/>
              <w:tabs>
                <w:tab w:val="left" w:leader="dot" w:pos="5387"/>
              </w:tabs>
            </w:pPr>
            <w:r>
              <w:t>20.</w:t>
            </w:r>
          </w:p>
        </w:tc>
        <w:tc>
          <w:tcPr>
            <w:tcW w:w="5529" w:type="dxa"/>
          </w:tcPr>
          <w:p>
            <w:pPr>
              <w:pStyle w:val="yTableNAm"/>
              <w:tabs>
                <w:tab w:val="left" w:leader="dot" w:pos="5387"/>
              </w:tabs>
            </w:pPr>
            <w:r>
              <w:t xml:space="preserve">Application for Proof of Age Card </w:t>
            </w:r>
            <w:r>
              <w:tab/>
            </w:r>
          </w:p>
        </w:tc>
        <w:tc>
          <w:tcPr>
            <w:tcW w:w="855" w:type="dxa"/>
          </w:tcPr>
          <w:p>
            <w:pPr>
              <w:pStyle w:val="yTableNAm"/>
              <w:tabs>
                <w:tab w:val="clear" w:pos="567"/>
                <w:tab w:val="left" w:leader="dot" w:pos="5387"/>
              </w:tabs>
              <w:jc w:val="right"/>
            </w:pPr>
            <w:r>
              <w:t>25</w:t>
            </w:r>
          </w:p>
        </w:tc>
      </w:tr>
      <w:tr>
        <w:trPr>
          <w:cantSplit/>
        </w:trPr>
        <w:tc>
          <w:tcPr>
            <w:tcW w:w="684" w:type="dxa"/>
          </w:tcPr>
          <w:p>
            <w:pPr>
              <w:pStyle w:val="yTableNAm"/>
              <w:tabs>
                <w:tab w:val="left" w:leader="dot" w:pos="5387"/>
              </w:tabs>
            </w:pPr>
            <w:r>
              <w:t>21.</w:t>
            </w:r>
          </w:p>
        </w:tc>
        <w:tc>
          <w:tcPr>
            <w:tcW w:w="5529" w:type="dxa"/>
          </w:tcPr>
          <w:p>
            <w:pPr>
              <w:pStyle w:val="yTableNAm"/>
              <w:tabs>
                <w:tab w:val="left" w:leader="dot" w:pos="5387"/>
              </w:tabs>
            </w:pPr>
            <w:r>
              <w:t xml:space="preserve">Supply of a list of licensed premises or a list of owners of licensed premises </w:t>
            </w:r>
            <w:r>
              <w:tab/>
            </w:r>
          </w:p>
        </w:tc>
        <w:tc>
          <w:tcPr>
            <w:tcW w:w="855" w:type="dxa"/>
          </w:tcPr>
          <w:p>
            <w:pPr>
              <w:pStyle w:val="yTableNAm"/>
              <w:tabs>
                <w:tab w:val="clear" w:pos="567"/>
                <w:tab w:val="left" w:leader="dot" w:pos="5387"/>
              </w:tabs>
              <w:jc w:val="right"/>
            </w:pPr>
            <w:r>
              <w:br/>
              <w:t>85</w:t>
            </w:r>
          </w:p>
        </w:tc>
      </w:tr>
      <w:tr>
        <w:trPr>
          <w:cantSplit/>
        </w:trPr>
        <w:tc>
          <w:tcPr>
            <w:tcW w:w="684" w:type="dxa"/>
          </w:tcPr>
          <w:p>
            <w:pPr>
              <w:pStyle w:val="yTableNAm"/>
              <w:tabs>
                <w:tab w:val="left" w:leader="dot" w:pos="5387"/>
              </w:tabs>
            </w:pPr>
            <w:r>
              <w:t>22.</w:t>
            </w:r>
          </w:p>
        </w:tc>
        <w:tc>
          <w:tcPr>
            <w:tcW w:w="5529" w:type="dxa"/>
          </w:tcPr>
          <w:p>
            <w:pPr>
              <w:pStyle w:val="yTableNAm"/>
              <w:tabs>
                <w:tab w:val="left" w:leader="dot" w:pos="5387"/>
              </w:tabs>
            </w:pPr>
            <w:r>
              <w:t xml:space="preserve">Supply of a list of licensed premises on computer disk </w:t>
            </w:r>
            <w:r>
              <w:tab/>
            </w:r>
          </w:p>
        </w:tc>
        <w:tc>
          <w:tcPr>
            <w:tcW w:w="855" w:type="dxa"/>
          </w:tcPr>
          <w:p>
            <w:pPr>
              <w:pStyle w:val="yTableNAm"/>
              <w:tabs>
                <w:tab w:val="clear" w:pos="567"/>
                <w:tab w:val="left" w:leader="dot" w:pos="5387"/>
              </w:tabs>
              <w:jc w:val="right"/>
            </w:pPr>
            <w:r>
              <w:t>55</w:t>
            </w:r>
          </w:p>
        </w:tc>
      </w:tr>
      <w:tr>
        <w:trPr>
          <w:cantSplit/>
        </w:trPr>
        <w:tc>
          <w:tcPr>
            <w:tcW w:w="684" w:type="dxa"/>
          </w:tcPr>
          <w:p>
            <w:pPr>
              <w:pStyle w:val="yTableNAm"/>
              <w:tabs>
                <w:tab w:val="left" w:leader="dot" w:pos="5387"/>
              </w:tabs>
            </w:pPr>
            <w:r>
              <w:t>23.</w:t>
            </w:r>
          </w:p>
        </w:tc>
        <w:tc>
          <w:tcPr>
            <w:tcW w:w="5529" w:type="dxa"/>
          </w:tcPr>
          <w:p>
            <w:pPr>
              <w:pStyle w:val="yTableNAm"/>
              <w:tabs>
                <w:tab w:val="left" w:leader="dot" w:pos="5387"/>
              </w:tabs>
            </w:pPr>
            <w:r>
              <w:t xml:space="preserve">Supply of address labels for licensed premises </w:t>
            </w:r>
            <w:r>
              <w:tab/>
            </w:r>
          </w:p>
        </w:tc>
        <w:tc>
          <w:tcPr>
            <w:tcW w:w="855" w:type="dxa"/>
          </w:tcPr>
          <w:p>
            <w:pPr>
              <w:pStyle w:val="yTableNAm"/>
              <w:tabs>
                <w:tab w:val="clear" w:pos="567"/>
                <w:tab w:val="left" w:leader="dot" w:pos="5387"/>
              </w:tabs>
              <w:jc w:val="right"/>
            </w:pPr>
            <w:r>
              <w:t>135</w:t>
            </w:r>
          </w:p>
        </w:tc>
      </w:tr>
      <w:tr>
        <w:trPr>
          <w:cantSplit/>
        </w:trPr>
        <w:tc>
          <w:tcPr>
            <w:tcW w:w="684" w:type="dxa"/>
          </w:tcPr>
          <w:p>
            <w:pPr>
              <w:pStyle w:val="yTableNAm"/>
              <w:tabs>
                <w:tab w:val="left" w:leader="dot" w:pos="5387"/>
              </w:tabs>
            </w:pPr>
            <w:r>
              <w:t>24.</w:t>
            </w:r>
          </w:p>
        </w:tc>
        <w:tc>
          <w:tcPr>
            <w:tcW w:w="5529" w:type="dxa"/>
          </w:tcPr>
          <w:p>
            <w:pPr>
              <w:pStyle w:val="yTableNAm"/>
              <w:tabs>
                <w:tab w:val="left" w:leader="dot" w:pos="5387"/>
              </w:tabs>
            </w:pPr>
            <w:r>
              <w:t xml:space="preserve">Supply of approved heading for advertising an application </w:t>
            </w:r>
            <w:r>
              <w:tab/>
            </w:r>
          </w:p>
        </w:tc>
        <w:tc>
          <w:tcPr>
            <w:tcW w:w="855" w:type="dxa"/>
          </w:tcPr>
          <w:p>
            <w:pPr>
              <w:pStyle w:val="yTableNAm"/>
              <w:tabs>
                <w:tab w:val="clear" w:pos="567"/>
                <w:tab w:val="left" w:leader="dot" w:pos="5387"/>
              </w:tabs>
              <w:jc w:val="right"/>
            </w:pPr>
            <w:r>
              <w:t>25</w:t>
            </w:r>
          </w:p>
        </w:tc>
      </w:tr>
      <w:tr>
        <w:trPr>
          <w:cantSplit/>
        </w:trPr>
        <w:tc>
          <w:tcPr>
            <w:tcW w:w="684" w:type="dxa"/>
          </w:tcPr>
          <w:p>
            <w:pPr>
              <w:pStyle w:val="yTableNAm"/>
              <w:tabs>
                <w:tab w:val="left" w:leader="dot" w:pos="5387"/>
              </w:tabs>
            </w:pPr>
            <w:r>
              <w:t>25.</w:t>
            </w:r>
          </w:p>
        </w:tc>
        <w:tc>
          <w:tcPr>
            <w:tcW w:w="5529" w:type="dxa"/>
          </w:tcPr>
          <w:p>
            <w:pPr>
              <w:pStyle w:val="yTableNAm"/>
              <w:tabs>
                <w:tab w:val="left" w:leader="dot" w:pos="5387"/>
              </w:tabs>
            </w:pPr>
            <w:r>
              <w:t xml:space="preserve">Supply of copy of plan — for each sheet </w:t>
            </w:r>
            <w:r>
              <w:tab/>
            </w:r>
          </w:p>
        </w:tc>
        <w:tc>
          <w:tcPr>
            <w:tcW w:w="855" w:type="dxa"/>
          </w:tcPr>
          <w:p>
            <w:pPr>
              <w:pStyle w:val="yTableNAm"/>
              <w:tabs>
                <w:tab w:val="clear" w:pos="567"/>
                <w:tab w:val="left" w:leader="dot" w:pos="5387"/>
              </w:tabs>
              <w:jc w:val="right"/>
            </w:pPr>
            <w:r>
              <w:t>25</w:t>
            </w:r>
            <w:r>
              <w:br/>
              <w:t>(up to a max. of 200)</w:t>
            </w:r>
          </w:p>
        </w:tc>
      </w:tr>
      <w:tr>
        <w:trPr>
          <w:cantSplit/>
        </w:trPr>
        <w:tc>
          <w:tcPr>
            <w:tcW w:w="684" w:type="dxa"/>
          </w:tcPr>
          <w:p>
            <w:pPr>
              <w:pStyle w:val="yTableNAm"/>
              <w:tabs>
                <w:tab w:val="left" w:leader="dot" w:pos="5387"/>
              </w:tabs>
            </w:pPr>
            <w:r>
              <w:t>26.</w:t>
            </w:r>
          </w:p>
        </w:tc>
        <w:tc>
          <w:tcPr>
            <w:tcW w:w="5529" w:type="dxa"/>
          </w:tcPr>
          <w:p>
            <w:pPr>
              <w:pStyle w:val="yTableNAm"/>
              <w:tabs>
                <w:tab w:val="left" w:leader="dot" w:pos="5387"/>
              </w:tabs>
            </w:pPr>
            <w:r>
              <w:t xml:space="preserve">Supply of certified copy of plan defining licensed premises </w:t>
            </w:r>
            <w:r>
              <w:tab/>
            </w:r>
          </w:p>
        </w:tc>
        <w:tc>
          <w:tcPr>
            <w:tcW w:w="855" w:type="dxa"/>
          </w:tcPr>
          <w:p>
            <w:pPr>
              <w:pStyle w:val="yTableNAm"/>
              <w:tabs>
                <w:tab w:val="clear" w:pos="567"/>
                <w:tab w:val="left" w:leader="dot" w:pos="5387"/>
              </w:tabs>
              <w:jc w:val="right"/>
            </w:pPr>
            <w:r>
              <w:t>35</w:t>
            </w:r>
          </w:p>
        </w:tc>
      </w:tr>
      <w:tr>
        <w:trPr>
          <w:cantSplit/>
        </w:trPr>
        <w:tc>
          <w:tcPr>
            <w:tcW w:w="684" w:type="dxa"/>
          </w:tcPr>
          <w:p>
            <w:pPr>
              <w:pStyle w:val="yTableNAm"/>
              <w:tabs>
                <w:tab w:val="left" w:leader="dot" w:pos="5387"/>
              </w:tabs>
            </w:pPr>
            <w:r>
              <w:t>27.</w:t>
            </w:r>
          </w:p>
        </w:tc>
        <w:tc>
          <w:tcPr>
            <w:tcW w:w="5529" w:type="dxa"/>
          </w:tcPr>
          <w:p>
            <w:pPr>
              <w:pStyle w:val="yTableNAm"/>
              <w:tabs>
                <w:tab w:val="left" w:leader="dot" w:pos="5387"/>
              </w:tabs>
            </w:pPr>
            <w:r>
              <w:t xml:space="preserve">Supply of copy of a licence, a permit or a decision of the Commission (or the former </w:t>
            </w:r>
            <w:smartTag w:uri="urn:schemas-microsoft-com:office:smarttags" w:element="Street">
              <w:smartTag w:uri="urn:schemas-microsoft-com:office:smarttags" w:element="address">
                <w:r>
                  <w:t>Liquor Licensing Court</w:t>
                </w:r>
              </w:smartTag>
            </w:smartTag>
            <w:r>
              <w:t xml:space="preserve">) or the Director </w:t>
            </w:r>
            <w:r>
              <w:tab/>
            </w:r>
          </w:p>
        </w:tc>
        <w:tc>
          <w:tcPr>
            <w:tcW w:w="855" w:type="dxa"/>
          </w:tcPr>
          <w:p>
            <w:pPr>
              <w:pStyle w:val="yTableNAm"/>
              <w:tabs>
                <w:tab w:val="clear" w:pos="567"/>
                <w:tab w:val="left" w:leader="dot" w:pos="5387"/>
              </w:tabs>
              <w:jc w:val="right"/>
            </w:pPr>
            <w:r>
              <w:br/>
            </w:r>
            <w:r>
              <w:br/>
              <w:t>25</w:t>
            </w:r>
          </w:p>
        </w:tc>
      </w:tr>
      <w:tr>
        <w:trPr>
          <w:cantSplit/>
        </w:trPr>
        <w:tc>
          <w:tcPr>
            <w:tcW w:w="684" w:type="dxa"/>
          </w:tcPr>
          <w:p>
            <w:pPr>
              <w:pStyle w:val="yTableNAm"/>
              <w:tabs>
                <w:tab w:val="left" w:leader="dot" w:pos="5387"/>
              </w:tabs>
            </w:pPr>
            <w:r>
              <w:t>28.</w:t>
            </w:r>
          </w:p>
        </w:tc>
        <w:tc>
          <w:tcPr>
            <w:tcW w:w="5529" w:type="dxa"/>
          </w:tcPr>
          <w:p>
            <w:pPr>
              <w:pStyle w:val="yTableNAm"/>
              <w:tabs>
                <w:tab w:val="left" w:leader="dot" w:pos="5387"/>
              </w:tabs>
            </w:pPr>
            <w:r>
              <w:t xml:space="preserve">For the certification of a copy of a licence, a permit or a decision of the Commission (or the former </w:t>
            </w:r>
            <w:smartTag w:uri="urn:schemas-microsoft-com:office:smarttags" w:element="Street">
              <w:smartTag w:uri="urn:schemas-microsoft-com:office:smarttags" w:element="address">
                <w:r>
                  <w:t>Liquor Licensing Court</w:t>
                </w:r>
              </w:smartTag>
            </w:smartTag>
            <w:r>
              <w:t>) or the Director </w:t>
            </w:r>
            <w:r>
              <w:tab/>
            </w:r>
            <w:r>
              <w:br/>
            </w:r>
            <w:r>
              <w:rPr>
                <w:sz w:val="20"/>
              </w:rPr>
              <w:t>[In addition to the fee under item 27]</w:t>
            </w:r>
          </w:p>
        </w:tc>
        <w:tc>
          <w:tcPr>
            <w:tcW w:w="855" w:type="dxa"/>
          </w:tcPr>
          <w:p>
            <w:pPr>
              <w:pStyle w:val="yTableNAm"/>
              <w:tabs>
                <w:tab w:val="clear" w:pos="567"/>
                <w:tab w:val="left" w:leader="dot" w:pos="5387"/>
              </w:tabs>
              <w:jc w:val="right"/>
            </w:pPr>
            <w:r>
              <w:br/>
            </w:r>
            <w:r>
              <w:br/>
              <w:t>25</w:t>
            </w:r>
          </w:p>
        </w:tc>
      </w:tr>
      <w:tr>
        <w:trPr>
          <w:cantSplit/>
        </w:trPr>
        <w:tc>
          <w:tcPr>
            <w:tcW w:w="684" w:type="dxa"/>
          </w:tcPr>
          <w:p>
            <w:pPr>
              <w:pStyle w:val="yTableNAm"/>
              <w:tabs>
                <w:tab w:val="left" w:leader="dot" w:pos="5387"/>
              </w:tabs>
            </w:pPr>
            <w:r>
              <w:t>29.</w:t>
            </w:r>
          </w:p>
        </w:tc>
        <w:tc>
          <w:tcPr>
            <w:tcW w:w="5529" w:type="dxa"/>
          </w:tcPr>
          <w:p>
            <w:pPr>
              <w:pStyle w:val="yTableNAm"/>
              <w:tabs>
                <w:tab w:val="left" w:leader="dot" w:pos="5387"/>
              </w:tabs>
            </w:pPr>
            <w:r>
              <w:t xml:space="preserve">Supply of copy of documentation, other than that already prescribed, per page </w:t>
            </w:r>
            <w:r>
              <w:tab/>
            </w:r>
          </w:p>
        </w:tc>
        <w:tc>
          <w:tcPr>
            <w:tcW w:w="855" w:type="dxa"/>
          </w:tcPr>
          <w:p>
            <w:pPr>
              <w:pStyle w:val="yTableNAm"/>
              <w:tabs>
                <w:tab w:val="clear" w:pos="567"/>
                <w:tab w:val="left" w:leader="dot" w:pos="5387"/>
              </w:tabs>
              <w:jc w:val="right"/>
            </w:pPr>
            <w:r>
              <w:br/>
              <w:t>4</w:t>
            </w:r>
          </w:p>
        </w:tc>
      </w:tr>
      <w:tr>
        <w:trPr>
          <w:cantSplit/>
        </w:trPr>
        <w:tc>
          <w:tcPr>
            <w:tcW w:w="684" w:type="dxa"/>
          </w:tcPr>
          <w:p>
            <w:pPr>
              <w:pStyle w:val="yTableNAm"/>
              <w:tabs>
                <w:tab w:val="left" w:leader="dot" w:pos="5387"/>
              </w:tabs>
            </w:pPr>
            <w:r>
              <w:t>30.</w:t>
            </w:r>
          </w:p>
        </w:tc>
        <w:tc>
          <w:tcPr>
            <w:tcW w:w="5529" w:type="dxa"/>
          </w:tcPr>
          <w:p>
            <w:pPr>
              <w:pStyle w:val="yTableNAm"/>
              <w:tabs>
                <w:tab w:val="left" w:leader="dot" w:pos="5387"/>
              </w:tabs>
            </w:pPr>
            <w:r>
              <w:t xml:space="preserve">Issue of a summons to a witness </w:t>
            </w:r>
            <w:r>
              <w:tab/>
            </w:r>
          </w:p>
        </w:tc>
        <w:tc>
          <w:tcPr>
            <w:tcW w:w="855" w:type="dxa"/>
          </w:tcPr>
          <w:p>
            <w:pPr>
              <w:pStyle w:val="yTableNAm"/>
              <w:tabs>
                <w:tab w:val="clear" w:pos="567"/>
                <w:tab w:val="left" w:leader="dot" w:pos="5387"/>
              </w:tabs>
              <w:jc w:val="right"/>
            </w:pPr>
            <w:r>
              <w:t>20</w:t>
            </w:r>
          </w:p>
        </w:tc>
      </w:tr>
      <w:tr>
        <w:trPr>
          <w:cantSplit/>
        </w:trPr>
        <w:tc>
          <w:tcPr>
            <w:tcW w:w="684" w:type="dxa"/>
          </w:tcPr>
          <w:p>
            <w:pPr>
              <w:pStyle w:val="yTableNAm"/>
              <w:tabs>
                <w:tab w:val="left" w:leader="dot" w:pos="5387"/>
              </w:tabs>
            </w:pPr>
            <w:r>
              <w:t>31.</w:t>
            </w:r>
          </w:p>
        </w:tc>
        <w:tc>
          <w:tcPr>
            <w:tcW w:w="5529" w:type="dxa"/>
          </w:tcPr>
          <w:p>
            <w:pPr>
              <w:pStyle w:val="yTableNAm"/>
              <w:tabs>
                <w:tab w:val="left" w:leader="dot" w:pos="5387"/>
              </w:tabs>
            </w:pPr>
            <w:r>
              <w:t xml:space="preserve">For a search of the database of records of licences — per licence </w:t>
            </w:r>
            <w:r>
              <w:tab/>
            </w:r>
          </w:p>
        </w:tc>
        <w:tc>
          <w:tcPr>
            <w:tcW w:w="855" w:type="dxa"/>
          </w:tcPr>
          <w:p>
            <w:pPr>
              <w:pStyle w:val="yTableNAm"/>
              <w:tabs>
                <w:tab w:val="clear" w:pos="567"/>
                <w:tab w:val="left" w:leader="dot" w:pos="5387"/>
              </w:tabs>
              <w:jc w:val="right"/>
            </w:pPr>
            <w:r>
              <w:br/>
              <w:t>35</w:t>
            </w:r>
          </w:p>
        </w:tc>
      </w:tr>
      <w:tr>
        <w:trPr>
          <w:cantSplit/>
        </w:trPr>
        <w:tc>
          <w:tcPr>
            <w:tcW w:w="684" w:type="dxa"/>
          </w:tcPr>
          <w:p>
            <w:pPr>
              <w:pStyle w:val="yTableNAm"/>
              <w:tabs>
                <w:tab w:val="left" w:leader="dot" w:pos="5387"/>
              </w:tabs>
            </w:pPr>
            <w:r>
              <w:t>32.</w:t>
            </w:r>
          </w:p>
        </w:tc>
        <w:tc>
          <w:tcPr>
            <w:tcW w:w="5529" w:type="dxa"/>
          </w:tcPr>
          <w:p>
            <w:pPr>
              <w:pStyle w:val="yTableNAm"/>
              <w:tabs>
                <w:tab w:val="left" w:leader="dot" w:pos="5387"/>
              </w:tabs>
            </w:pPr>
            <w:r>
              <w:t xml:space="preserve">For a full search of a licence record </w:t>
            </w:r>
            <w:r>
              <w:tab/>
            </w:r>
          </w:p>
        </w:tc>
        <w:tc>
          <w:tcPr>
            <w:tcW w:w="855" w:type="dxa"/>
          </w:tcPr>
          <w:p>
            <w:pPr>
              <w:pStyle w:val="yTableNAm"/>
              <w:tabs>
                <w:tab w:val="clear" w:pos="567"/>
                <w:tab w:val="left" w:leader="dot" w:pos="5387"/>
              </w:tabs>
              <w:jc w:val="right"/>
            </w:pPr>
            <w:r>
              <w:t>50</w:t>
            </w:r>
          </w:p>
        </w:tc>
      </w:tr>
      <w:tr>
        <w:trPr>
          <w:cantSplit/>
        </w:trPr>
        <w:tc>
          <w:tcPr>
            <w:tcW w:w="684" w:type="dxa"/>
            <w:tcBorders>
              <w:bottom w:val="nil"/>
            </w:tcBorders>
          </w:tcPr>
          <w:p>
            <w:pPr>
              <w:pStyle w:val="yTableNAm"/>
              <w:tabs>
                <w:tab w:val="left" w:leader="dot" w:pos="5387"/>
              </w:tabs>
            </w:pPr>
            <w:r>
              <w:t>33.</w:t>
            </w:r>
          </w:p>
        </w:tc>
        <w:tc>
          <w:tcPr>
            <w:tcW w:w="5529" w:type="dxa"/>
            <w:tcBorders>
              <w:bottom w:val="nil"/>
            </w:tcBorders>
          </w:tcPr>
          <w:p>
            <w:pPr>
              <w:pStyle w:val="yTableNAm"/>
              <w:tabs>
                <w:tab w:val="left" w:leader="dot" w:pos="5387"/>
              </w:tabs>
            </w:pPr>
            <w:r>
              <w:t>For a search of postcodes — </w:t>
            </w:r>
          </w:p>
        </w:tc>
        <w:tc>
          <w:tcPr>
            <w:tcW w:w="855" w:type="dxa"/>
            <w:tcBorders>
              <w:bottom w:val="nil"/>
            </w:tcBorders>
          </w:tcPr>
          <w:p>
            <w:pPr>
              <w:pStyle w:val="yTableNAm"/>
              <w:tabs>
                <w:tab w:val="clear" w:pos="567"/>
                <w:tab w:val="left" w:leader="dot" w:pos="5387"/>
              </w:tabs>
              <w:jc w:val="right"/>
            </w:pPr>
          </w:p>
        </w:tc>
      </w:tr>
      <w:tr>
        <w:trPr>
          <w:cantSplit/>
        </w:trPr>
        <w:tc>
          <w:tcPr>
            <w:tcW w:w="684" w:type="dxa"/>
            <w:tcBorders>
              <w:top w:val="nil"/>
              <w:bottom w:val="nil"/>
            </w:tcBorders>
          </w:tcPr>
          <w:p>
            <w:pPr>
              <w:pStyle w:val="yTableNAm"/>
              <w:tabs>
                <w:tab w:val="left" w:leader="dot" w:pos="5387"/>
              </w:tabs>
            </w:pPr>
          </w:p>
        </w:tc>
        <w:tc>
          <w:tcPr>
            <w:tcW w:w="5529" w:type="dxa"/>
            <w:tcBorders>
              <w:top w:val="nil"/>
              <w:bottom w:val="nil"/>
            </w:tcBorders>
          </w:tcPr>
          <w:p>
            <w:pPr>
              <w:pStyle w:val="yTableNAm"/>
              <w:tabs>
                <w:tab w:val="left" w:leader="dot" w:pos="5387"/>
              </w:tabs>
            </w:pPr>
            <w:r>
              <w:t>(a)</w:t>
            </w:r>
            <w:r>
              <w:tab/>
              <w:t xml:space="preserve">1 to 10 postcodes </w:t>
            </w:r>
            <w:r>
              <w:tab/>
            </w:r>
          </w:p>
        </w:tc>
        <w:tc>
          <w:tcPr>
            <w:tcW w:w="855" w:type="dxa"/>
            <w:tcBorders>
              <w:top w:val="nil"/>
              <w:bottom w:val="nil"/>
            </w:tcBorders>
          </w:tcPr>
          <w:p>
            <w:pPr>
              <w:pStyle w:val="yTableNAm"/>
              <w:tabs>
                <w:tab w:val="clear" w:pos="567"/>
                <w:tab w:val="left" w:leader="dot" w:pos="5387"/>
              </w:tabs>
              <w:jc w:val="right"/>
            </w:pPr>
            <w:r>
              <w:t>35</w:t>
            </w:r>
          </w:p>
        </w:tc>
      </w:tr>
      <w:tr>
        <w:trPr>
          <w:cantSplit/>
        </w:trPr>
        <w:tc>
          <w:tcPr>
            <w:tcW w:w="684" w:type="dxa"/>
            <w:tcBorders>
              <w:top w:val="nil"/>
            </w:tcBorders>
          </w:tcPr>
          <w:p>
            <w:pPr>
              <w:pStyle w:val="yTableNAm"/>
              <w:tabs>
                <w:tab w:val="left" w:leader="dot" w:pos="5387"/>
              </w:tabs>
            </w:pPr>
          </w:p>
        </w:tc>
        <w:tc>
          <w:tcPr>
            <w:tcW w:w="5529" w:type="dxa"/>
            <w:tcBorders>
              <w:top w:val="nil"/>
            </w:tcBorders>
          </w:tcPr>
          <w:p>
            <w:pPr>
              <w:pStyle w:val="yTableNAm"/>
              <w:tabs>
                <w:tab w:val="left" w:leader="dot" w:pos="5387"/>
              </w:tabs>
            </w:pPr>
            <w:r>
              <w:t>(b)</w:t>
            </w:r>
            <w:r>
              <w:tab/>
              <w:t xml:space="preserve">more than 10 postcodes </w:t>
            </w:r>
            <w:r>
              <w:tab/>
            </w:r>
          </w:p>
        </w:tc>
        <w:tc>
          <w:tcPr>
            <w:tcW w:w="855" w:type="dxa"/>
            <w:tcBorders>
              <w:top w:val="nil"/>
            </w:tcBorders>
          </w:tcPr>
          <w:p>
            <w:pPr>
              <w:pStyle w:val="yTableNAm"/>
              <w:tabs>
                <w:tab w:val="clear" w:pos="567"/>
                <w:tab w:val="left" w:leader="dot" w:pos="5387"/>
              </w:tabs>
              <w:jc w:val="right"/>
            </w:pPr>
            <w:r>
              <w:t>75</w:t>
            </w:r>
          </w:p>
        </w:tc>
      </w:tr>
    </w:tbl>
    <w:p>
      <w:pPr>
        <w:pStyle w:val="yFootnotesection"/>
      </w:pPr>
      <w:r>
        <w:tab/>
        <w:t>[Schedule 3 inserted in Gazette 16 Nov 2012 p. 5653</w:t>
      </w:r>
      <w:r>
        <w:noBreakHyphen/>
        <w:t>6; amended in Gazette 31 May 2013 p. 2119.]</w:t>
      </w:r>
    </w:p>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Pr>
        <w:pStyle w:val="CentredBaseLine"/>
        <w:jc w:val="center"/>
      </w:pPr>
      <w:r>
        <w:rPr>
          <w:noProof/>
          <w:lang w:eastAsia="en-AU"/>
        </w:rPr>
        <w:drawing>
          <wp:inline distT="0" distB="0" distL="0" distR="0">
            <wp:extent cx="933450" cy="171450"/>
            <wp:effectExtent l="0" t="0" r="0" b="0"/>
            <wp:docPr id="5" name="Picture 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384"/>
          <w:tab w:val="left" w:pos="493"/>
          <w:tab w:val="left" w:pos="624"/>
          <w:tab w:val="right" w:pos="777"/>
          <w:tab w:val="left" w:leader="dot" w:pos="3821"/>
          <w:tab w:val="left" w:leader="dot" w:pos="4664"/>
        </w:tabs>
        <w:spacing w:before="60"/>
        <w:ind w:left="493" w:right="120" w:hanging="493"/>
        <w:sectPr>
          <w:headerReference w:type="even" r:id="rId34"/>
          <w:headerReference w:type="default" r:id="rId35"/>
          <w:pgSz w:w="11906" w:h="16838" w:code="9"/>
          <w:pgMar w:top="2381" w:right="2409" w:bottom="3543" w:left="2409" w:header="720" w:footer="3380" w:gutter="0"/>
          <w:cols w:space="720"/>
          <w:noEndnote/>
          <w:docGrid w:linePitch="326"/>
        </w:sectPr>
      </w:pPr>
    </w:p>
    <w:p>
      <w:pPr>
        <w:pStyle w:val="nHeading2"/>
      </w:pPr>
      <w:bookmarkStart w:id="1209" w:name="_Toc66263862"/>
      <w:bookmarkStart w:id="1210" w:name="_Toc72140219"/>
      <w:bookmarkStart w:id="1211" w:name="_Toc79826637"/>
      <w:bookmarkStart w:id="1212" w:name="_Toc89577182"/>
      <w:bookmarkStart w:id="1213" w:name="_Toc89580193"/>
      <w:bookmarkStart w:id="1214" w:name="_Toc92425375"/>
      <w:bookmarkStart w:id="1215" w:name="_Toc93288107"/>
      <w:bookmarkStart w:id="1216" w:name="_Toc112152488"/>
      <w:bookmarkStart w:id="1217" w:name="_Toc113173950"/>
      <w:bookmarkStart w:id="1218" w:name="_Toc113174007"/>
      <w:bookmarkStart w:id="1219" w:name="_Toc113176304"/>
      <w:bookmarkStart w:id="1220" w:name="_Toc113180393"/>
      <w:bookmarkStart w:id="1221" w:name="_Toc114391768"/>
      <w:bookmarkStart w:id="1222" w:name="_Toc115171745"/>
      <w:bookmarkStart w:id="1223" w:name="_Toc118609147"/>
      <w:bookmarkStart w:id="1224" w:name="_Toc119294106"/>
      <w:bookmarkStart w:id="1225" w:name="_Toc123633199"/>
      <w:bookmarkStart w:id="1226" w:name="_Toc123633286"/>
      <w:bookmarkStart w:id="1227" w:name="_Toc127594642"/>
      <w:bookmarkStart w:id="1228" w:name="_Toc155066805"/>
      <w:bookmarkStart w:id="1229" w:name="_Toc155084703"/>
      <w:bookmarkStart w:id="1230" w:name="_Toc166316645"/>
      <w:bookmarkStart w:id="1231" w:name="_Toc169665144"/>
      <w:bookmarkStart w:id="1232" w:name="_Toc169672022"/>
      <w:bookmarkStart w:id="1233" w:name="_Toc171323210"/>
      <w:bookmarkStart w:id="1234" w:name="_Toc172713674"/>
      <w:bookmarkStart w:id="1235" w:name="_Toc172713967"/>
      <w:bookmarkStart w:id="1236" w:name="_Toc173550878"/>
      <w:bookmarkStart w:id="1237" w:name="_Toc173560591"/>
      <w:bookmarkStart w:id="1238" w:name="_Toc178676598"/>
      <w:bookmarkStart w:id="1239" w:name="_Toc178676878"/>
      <w:bookmarkStart w:id="1240" w:name="_Toc178677075"/>
      <w:bookmarkStart w:id="1241" w:name="_Toc178734889"/>
      <w:bookmarkStart w:id="1242" w:name="_Toc178741348"/>
      <w:bookmarkStart w:id="1243" w:name="_Toc179100288"/>
      <w:bookmarkStart w:id="1244" w:name="_Toc179103254"/>
      <w:bookmarkStart w:id="1245" w:name="_Toc179708636"/>
      <w:bookmarkStart w:id="1246" w:name="_Toc179708742"/>
      <w:bookmarkStart w:id="1247" w:name="_Toc185652752"/>
      <w:bookmarkStart w:id="1248" w:name="_Toc185654456"/>
      <w:bookmarkStart w:id="1249" w:name="_Toc196630689"/>
      <w:bookmarkStart w:id="1250" w:name="_Toc197489589"/>
      <w:bookmarkStart w:id="1251" w:name="_Toc197489660"/>
      <w:bookmarkStart w:id="1252" w:name="_Toc197493327"/>
      <w:bookmarkStart w:id="1253" w:name="_Toc201728701"/>
      <w:bookmarkStart w:id="1254" w:name="_Toc201738259"/>
      <w:bookmarkStart w:id="1255" w:name="_Toc201738329"/>
      <w:bookmarkStart w:id="1256" w:name="_Toc201741267"/>
      <w:bookmarkStart w:id="1257" w:name="_Toc201741458"/>
      <w:bookmarkStart w:id="1258" w:name="_Toc202058824"/>
      <w:bookmarkStart w:id="1259" w:name="_Toc202842903"/>
      <w:bookmarkStart w:id="1260" w:name="_Toc212535058"/>
      <w:bookmarkStart w:id="1261" w:name="_Toc212605408"/>
      <w:bookmarkStart w:id="1262" w:name="_Toc212947109"/>
      <w:bookmarkStart w:id="1263" w:name="_Toc213749831"/>
      <w:bookmarkStart w:id="1264" w:name="_Toc231026189"/>
      <w:bookmarkStart w:id="1265" w:name="_Toc231026260"/>
      <w:bookmarkStart w:id="1266" w:name="_Toc231694213"/>
      <w:bookmarkStart w:id="1267" w:name="_Toc233777103"/>
      <w:bookmarkStart w:id="1268" w:name="_Toc234034476"/>
      <w:bookmarkStart w:id="1269" w:name="_Toc234036704"/>
      <w:bookmarkStart w:id="1270" w:name="_Toc236127832"/>
      <w:bookmarkStart w:id="1271" w:name="_Toc246401797"/>
      <w:bookmarkStart w:id="1272" w:name="_Toc246403947"/>
      <w:bookmarkStart w:id="1273" w:name="_Toc249257453"/>
      <w:bookmarkStart w:id="1274" w:name="_Toc251246189"/>
      <w:bookmarkStart w:id="1275" w:name="_Toc255309765"/>
      <w:bookmarkStart w:id="1276" w:name="_Toc259617858"/>
      <w:bookmarkStart w:id="1277" w:name="_Toc260654294"/>
      <w:bookmarkStart w:id="1278" w:name="_Toc262460756"/>
      <w:bookmarkStart w:id="1279" w:name="_Toc262656772"/>
      <w:bookmarkStart w:id="1280" w:name="_Toc262718314"/>
      <w:bookmarkStart w:id="1281" w:name="_Toc262718759"/>
      <w:bookmarkStart w:id="1282" w:name="_Toc263073558"/>
      <w:bookmarkStart w:id="1283" w:name="_Toc264018310"/>
      <w:bookmarkStart w:id="1284" w:name="_Toc272322671"/>
      <w:bookmarkStart w:id="1285" w:name="_Toc272411027"/>
      <w:bookmarkStart w:id="1286" w:name="_Toc272411098"/>
      <w:bookmarkStart w:id="1287" w:name="_Toc275443547"/>
      <w:bookmarkStart w:id="1288" w:name="_Toc279141670"/>
      <w:bookmarkStart w:id="1289" w:name="_Toc281463896"/>
      <w:bookmarkStart w:id="1290" w:name="_Toc292112296"/>
      <w:bookmarkStart w:id="1291" w:name="_Toc292112367"/>
      <w:bookmarkStart w:id="1292" w:name="_Toc294260097"/>
      <w:bookmarkStart w:id="1293" w:name="_Toc294860738"/>
      <w:bookmarkStart w:id="1294" w:name="_Toc298410642"/>
      <w:bookmarkStart w:id="1295" w:name="_Toc300583796"/>
      <w:bookmarkStart w:id="1296" w:name="_Toc300837732"/>
      <w:bookmarkStart w:id="1297" w:name="_Toc300926175"/>
      <w:bookmarkStart w:id="1298" w:name="_Toc301770420"/>
      <w:bookmarkStart w:id="1299" w:name="_Toc302391559"/>
      <w:bookmarkStart w:id="1300" w:name="_Toc303261628"/>
      <w:bookmarkStart w:id="1301" w:name="_Toc303261712"/>
      <w:bookmarkStart w:id="1302" w:name="_Toc303323210"/>
      <w:bookmarkStart w:id="1303" w:name="_Toc303323527"/>
      <w:bookmarkStart w:id="1304" w:name="_Toc303323611"/>
      <w:bookmarkStart w:id="1305" w:name="_Toc303323695"/>
      <w:bookmarkStart w:id="1306" w:name="_Toc303323779"/>
      <w:bookmarkStart w:id="1307" w:name="_Toc303323863"/>
      <w:bookmarkStart w:id="1308" w:name="_Toc303323947"/>
      <w:bookmarkStart w:id="1309" w:name="_Toc303926993"/>
      <w:bookmarkStart w:id="1310" w:name="_Toc305158266"/>
      <w:bookmarkStart w:id="1311" w:name="_Toc305680051"/>
      <w:bookmarkStart w:id="1312" w:name="_Toc308164121"/>
      <w:bookmarkStart w:id="1313" w:name="_Toc310862772"/>
      <w:bookmarkStart w:id="1314" w:name="_Toc310863204"/>
      <w:bookmarkStart w:id="1315" w:name="_Toc312915548"/>
      <w:bookmarkStart w:id="1316" w:name="_Toc313530436"/>
      <w:bookmarkStart w:id="1317" w:name="_Toc332284854"/>
      <w:bookmarkStart w:id="1318" w:name="_Toc333819439"/>
      <w:bookmarkStart w:id="1319" w:name="_Toc333821738"/>
      <w:bookmarkStart w:id="1320" w:name="_Toc338407383"/>
      <w:bookmarkStart w:id="1321" w:name="_Toc339519217"/>
      <w:bookmarkStart w:id="1322" w:name="_Toc339522546"/>
      <w:bookmarkStart w:id="1323" w:name="_Toc339523107"/>
      <w:bookmarkStart w:id="1324" w:name="_Toc344975460"/>
      <w:bookmarkStart w:id="1325" w:name="_Toc344975550"/>
      <w:bookmarkStart w:id="1326" w:name="_Toc344979608"/>
      <w:bookmarkStart w:id="1327" w:name="_Toc346003594"/>
      <w:bookmarkStart w:id="1328" w:name="_Toc346605946"/>
      <w:bookmarkStart w:id="1329" w:name="_Toc346606033"/>
      <w:bookmarkStart w:id="1330" w:name="_Toc346606120"/>
      <w:bookmarkStart w:id="1331" w:name="_Toc346606207"/>
      <w:bookmarkStart w:id="1332" w:name="_Toc346607181"/>
      <w:bookmarkStart w:id="1333" w:name="_Toc346613841"/>
      <w:bookmarkStart w:id="1334" w:name="_Toc347319308"/>
      <w:bookmarkStart w:id="1335" w:name="_Toc354059371"/>
      <w:bookmarkStart w:id="1336" w:name="_Toc356826744"/>
      <w:bookmarkStart w:id="1337" w:name="_Toc356895940"/>
      <w:bookmarkStart w:id="1338" w:name="_Toc357698889"/>
      <w:r>
        <w:t>Notes</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pPr>
        <w:pStyle w:val="nSubsection"/>
        <w:rPr>
          <w:snapToGrid w:val="0"/>
        </w:rPr>
      </w:pPr>
      <w:r>
        <w:rPr>
          <w:snapToGrid w:val="0"/>
          <w:vertAlign w:val="superscript"/>
        </w:rPr>
        <w:t>1</w:t>
      </w:r>
      <w:r>
        <w:rPr>
          <w:snapToGrid w:val="0"/>
        </w:rPr>
        <w:tab/>
        <w:t xml:space="preserve">This is a compilation of the </w:t>
      </w:r>
      <w:r>
        <w:rPr>
          <w:i/>
          <w:noProof/>
          <w:snapToGrid w:val="0"/>
        </w:rPr>
        <w:t>Liquor Control Regulations 1989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339" w:name="_Toc357698890"/>
      <w:r>
        <w:rPr>
          <w:snapToGrid w:val="0"/>
        </w:rPr>
        <w:t>Compilation table</w:t>
      </w:r>
      <w:bookmarkEnd w:id="133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rPr>
          <w:cantSplit/>
        </w:trPr>
        <w:tc>
          <w:tcPr>
            <w:tcW w:w="3119" w:type="dxa"/>
          </w:tcPr>
          <w:p>
            <w:pPr>
              <w:pStyle w:val="nTable"/>
              <w:spacing w:after="40"/>
              <w:ind w:right="113"/>
              <w:rPr>
                <w:iCs/>
                <w:sz w:val="19"/>
              </w:rPr>
            </w:pPr>
            <w:r>
              <w:rPr>
                <w:i/>
                <w:sz w:val="19"/>
              </w:rPr>
              <w:t>Liquor Licensing Regulations 1989</w:t>
            </w:r>
            <w:r>
              <w:rPr>
                <w:iCs/>
                <w:sz w:val="19"/>
                <w:vertAlign w:val="superscript"/>
              </w:rPr>
              <w:t> 6</w:t>
            </w:r>
          </w:p>
        </w:tc>
        <w:tc>
          <w:tcPr>
            <w:tcW w:w="1276" w:type="dxa"/>
          </w:tcPr>
          <w:p>
            <w:pPr>
              <w:pStyle w:val="nTable"/>
              <w:spacing w:after="40"/>
              <w:rPr>
                <w:sz w:val="19"/>
              </w:rPr>
            </w:pPr>
            <w:r>
              <w:rPr>
                <w:sz w:val="19"/>
              </w:rPr>
              <w:t>27 Jan 1989 p. 209</w:t>
            </w:r>
            <w:r>
              <w:rPr>
                <w:sz w:val="19"/>
              </w:rPr>
              <w:noBreakHyphen/>
              <w:t>61</w:t>
            </w:r>
          </w:p>
        </w:tc>
        <w:tc>
          <w:tcPr>
            <w:tcW w:w="2693" w:type="dxa"/>
          </w:tcPr>
          <w:p>
            <w:pPr>
              <w:pStyle w:val="nTable"/>
              <w:spacing w:after="40"/>
              <w:rPr>
                <w:sz w:val="19"/>
              </w:rPr>
            </w:pPr>
            <w:r>
              <w:rPr>
                <w:sz w:val="19"/>
              </w:rPr>
              <w:t xml:space="preserve">1 Feb 1989 (see r. 2 and </w:t>
            </w:r>
            <w:r>
              <w:rPr>
                <w:i/>
                <w:sz w:val="19"/>
              </w:rPr>
              <w:t>Gazette</w:t>
            </w:r>
            <w:r>
              <w:rPr>
                <w:sz w:val="19"/>
              </w:rPr>
              <w:t xml:space="preserve"> 27 Jan 1989 p. 263)</w:t>
            </w:r>
          </w:p>
        </w:tc>
      </w:tr>
      <w:tr>
        <w:trPr>
          <w:cantSplit/>
        </w:trPr>
        <w:tc>
          <w:tcPr>
            <w:tcW w:w="3119" w:type="dxa"/>
          </w:tcPr>
          <w:p>
            <w:pPr>
              <w:pStyle w:val="nTable"/>
              <w:spacing w:after="40"/>
              <w:ind w:right="113"/>
              <w:rPr>
                <w:i/>
                <w:sz w:val="19"/>
              </w:rPr>
            </w:pPr>
            <w:r>
              <w:rPr>
                <w:i/>
                <w:sz w:val="19"/>
              </w:rPr>
              <w:t>Liquor Licensing (Amendment) Regulations 1990</w:t>
            </w:r>
          </w:p>
        </w:tc>
        <w:tc>
          <w:tcPr>
            <w:tcW w:w="1276" w:type="dxa"/>
          </w:tcPr>
          <w:p>
            <w:pPr>
              <w:pStyle w:val="nTable"/>
              <w:spacing w:after="40"/>
              <w:rPr>
                <w:sz w:val="19"/>
              </w:rPr>
            </w:pPr>
            <w:r>
              <w:rPr>
                <w:sz w:val="19"/>
              </w:rPr>
              <w:t>3 Aug 1990 p. 3791</w:t>
            </w:r>
          </w:p>
        </w:tc>
        <w:tc>
          <w:tcPr>
            <w:tcW w:w="2693" w:type="dxa"/>
          </w:tcPr>
          <w:p>
            <w:pPr>
              <w:pStyle w:val="nTable"/>
              <w:spacing w:after="40"/>
              <w:rPr>
                <w:sz w:val="19"/>
              </w:rPr>
            </w:pPr>
            <w:r>
              <w:rPr>
                <w:sz w:val="19"/>
              </w:rPr>
              <w:t>3 Aug 1990</w:t>
            </w:r>
          </w:p>
        </w:tc>
      </w:tr>
      <w:tr>
        <w:trPr>
          <w:cantSplit/>
        </w:trPr>
        <w:tc>
          <w:tcPr>
            <w:tcW w:w="3119" w:type="dxa"/>
          </w:tcPr>
          <w:p>
            <w:pPr>
              <w:pStyle w:val="nTable"/>
              <w:spacing w:after="40"/>
              <w:ind w:right="113"/>
              <w:rPr>
                <w:i/>
                <w:sz w:val="19"/>
              </w:rPr>
            </w:pPr>
            <w:r>
              <w:rPr>
                <w:i/>
                <w:sz w:val="19"/>
              </w:rPr>
              <w:t>Liquor Licensing (Amendment) (No. 2) Regulations 1990</w:t>
            </w:r>
          </w:p>
        </w:tc>
        <w:tc>
          <w:tcPr>
            <w:tcW w:w="1276" w:type="dxa"/>
          </w:tcPr>
          <w:p>
            <w:pPr>
              <w:pStyle w:val="nTable"/>
              <w:spacing w:after="40"/>
              <w:rPr>
                <w:sz w:val="19"/>
              </w:rPr>
            </w:pPr>
            <w:r>
              <w:rPr>
                <w:sz w:val="19"/>
              </w:rPr>
              <w:t>24 Aug 1990 p. 4337</w:t>
            </w:r>
          </w:p>
        </w:tc>
        <w:tc>
          <w:tcPr>
            <w:tcW w:w="2693" w:type="dxa"/>
          </w:tcPr>
          <w:p>
            <w:pPr>
              <w:pStyle w:val="nTable"/>
              <w:spacing w:after="40"/>
              <w:rPr>
                <w:sz w:val="19"/>
              </w:rPr>
            </w:pPr>
            <w:r>
              <w:rPr>
                <w:sz w:val="19"/>
              </w:rPr>
              <w:t>24 Aug 1990</w:t>
            </w:r>
          </w:p>
        </w:tc>
      </w:tr>
      <w:tr>
        <w:trPr>
          <w:cantSplit/>
        </w:trPr>
        <w:tc>
          <w:tcPr>
            <w:tcW w:w="3119" w:type="dxa"/>
          </w:tcPr>
          <w:p>
            <w:pPr>
              <w:pStyle w:val="nTable"/>
              <w:spacing w:after="40"/>
              <w:ind w:right="113"/>
              <w:rPr>
                <w:sz w:val="19"/>
                <w:vertAlign w:val="superscript"/>
              </w:rPr>
            </w:pPr>
            <w:r>
              <w:rPr>
                <w:i/>
                <w:sz w:val="19"/>
              </w:rPr>
              <w:t>Liquor Licensing Amendment Regulations 1991</w:t>
            </w:r>
            <w:r>
              <w:rPr>
                <w:sz w:val="19"/>
                <w:vertAlign w:val="superscript"/>
              </w:rPr>
              <w:t> 7</w:t>
            </w:r>
          </w:p>
        </w:tc>
        <w:tc>
          <w:tcPr>
            <w:tcW w:w="1276" w:type="dxa"/>
          </w:tcPr>
          <w:p>
            <w:pPr>
              <w:pStyle w:val="nTable"/>
              <w:spacing w:after="40"/>
              <w:rPr>
                <w:sz w:val="19"/>
              </w:rPr>
            </w:pPr>
            <w:r>
              <w:rPr>
                <w:sz w:val="19"/>
              </w:rPr>
              <w:t>8 Nov 1991 p. 5768</w:t>
            </w:r>
            <w:r>
              <w:rPr>
                <w:sz w:val="19"/>
              </w:rPr>
              <w:noBreakHyphen/>
              <w:t>9</w:t>
            </w:r>
          </w:p>
        </w:tc>
        <w:tc>
          <w:tcPr>
            <w:tcW w:w="2693" w:type="dxa"/>
          </w:tcPr>
          <w:p>
            <w:pPr>
              <w:pStyle w:val="nTable"/>
              <w:spacing w:after="40"/>
              <w:rPr>
                <w:sz w:val="19"/>
              </w:rPr>
            </w:pPr>
            <w:r>
              <w:rPr>
                <w:sz w:val="19"/>
              </w:rPr>
              <w:t>8 Nov 1991</w:t>
            </w:r>
          </w:p>
        </w:tc>
      </w:tr>
      <w:tr>
        <w:trPr>
          <w:cantSplit/>
        </w:trPr>
        <w:tc>
          <w:tcPr>
            <w:tcW w:w="3119" w:type="dxa"/>
          </w:tcPr>
          <w:p>
            <w:pPr>
              <w:pStyle w:val="nTable"/>
              <w:spacing w:after="40"/>
              <w:ind w:right="113"/>
              <w:rPr>
                <w:i/>
                <w:sz w:val="19"/>
              </w:rPr>
            </w:pPr>
            <w:r>
              <w:rPr>
                <w:i/>
                <w:sz w:val="19"/>
              </w:rPr>
              <w:t>Liquor Licensing Amendment Regulations 1992</w:t>
            </w:r>
          </w:p>
        </w:tc>
        <w:tc>
          <w:tcPr>
            <w:tcW w:w="1276" w:type="dxa"/>
          </w:tcPr>
          <w:p>
            <w:pPr>
              <w:pStyle w:val="nTable"/>
              <w:spacing w:after="40"/>
              <w:rPr>
                <w:sz w:val="19"/>
              </w:rPr>
            </w:pPr>
            <w:r>
              <w:rPr>
                <w:sz w:val="19"/>
              </w:rPr>
              <w:t>21 Feb 1992 p. 933</w:t>
            </w:r>
            <w:r>
              <w:rPr>
                <w:sz w:val="19"/>
              </w:rPr>
              <w:noBreakHyphen/>
              <w:t>4</w:t>
            </w:r>
          </w:p>
        </w:tc>
        <w:tc>
          <w:tcPr>
            <w:tcW w:w="2693" w:type="dxa"/>
          </w:tcPr>
          <w:p>
            <w:pPr>
              <w:pStyle w:val="nTable"/>
              <w:spacing w:after="40"/>
              <w:rPr>
                <w:sz w:val="19"/>
              </w:rPr>
            </w:pPr>
            <w:r>
              <w:rPr>
                <w:sz w:val="19"/>
              </w:rPr>
              <w:t>21 Feb 1992</w:t>
            </w:r>
          </w:p>
        </w:tc>
      </w:tr>
      <w:tr>
        <w:trPr>
          <w:cantSplit/>
        </w:trPr>
        <w:tc>
          <w:tcPr>
            <w:tcW w:w="3119" w:type="dxa"/>
          </w:tcPr>
          <w:p>
            <w:pPr>
              <w:pStyle w:val="nTable"/>
              <w:spacing w:after="40"/>
              <w:ind w:right="113"/>
              <w:rPr>
                <w:i/>
                <w:sz w:val="19"/>
              </w:rPr>
            </w:pPr>
            <w:r>
              <w:rPr>
                <w:i/>
                <w:sz w:val="19"/>
              </w:rPr>
              <w:t>Liquor Licensing Amendment Regulations (No. 2) 1992</w:t>
            </w:r>
          </w:p>
        </w:tc>
        <w:tc>
          <w:tcPr>
            <w:tcW w:w="1276" w:type="dxa"/>
          </w:tcPr>
          <w:p>
            <w:pPr>
              <w:pStyle w:val="nTable"/>
              <w:spacing w:after="40"/>
              <w:rPr>
                <w:sz w:val="19"/>
              </w:rPr>
            </w:pPr>
            <w:r>
              <w:rPr>
                <w:sz w:val="19"/>
              </w:rPr>
              <w:t>20 Nov 1992 p. 5695</w:t>
            </w:r>
          </w:p>
        </w:tc>
        <w:tc>
          <w:tcPr>
            <w:tcW w:w="2693" w:type="dxa"/>
          </w:tcPr>
          <w:p>
            <w:pPr>
              <w:pStyle w:val="nTable"/>
              <w:spacing w:after="40"/>
              <w:rPr>
                <w:sz w:val="19"/>
              </w:rPr>
            </w:pPr>
            <w:r>
              <w:rPr>
                <w:sz w:val="19"/>
              </w:rPr>
              <w:t>1 Jan 1993 (see r. 2)</w:t>
            </w:r>
          </w:p>
        </w:tc>
      </w:tr>
      <w:tr>
        <w:trPr>
          <w:cantSplit/>
        </w:trPr>
        <w:tc>
          <w:tcPr>
            <w:tcW w:w="3119" w:type="dxa"/>
          </w:tcPr>
          <w:p>
            <w:pPr>
              <w:pStyle w:val="nTable"/>
              <w:spacing w:after="40"/>
              <w:ind w:right="113"/>
              <w:rPr>
                <w:i/>
                <w:sz w:val="19"/>
              </w:rPr>
            </w:pPr>
            <w:r>
              <w:rPr>
                <w:i/>
                <w:sz w:val="19"/>
              </w:rPr>
              <w:t>Liquor Licensing Amendment Regulations 1994</w:t>
            </w:r>
          </w:p>
        </w:tc>
        <w:tc>
          <w:tcPr>
            <w:tcW w:w="1276" w:type="dxa"/>
          </w:tcPr>
          <w:p>
            <w:pPr>
              <w:pStyle w:val="nTable"/>
              <w:spacing w:after="40"/>
              <w:rPr>
                <w:sz w:val="19"/>
              </w:rPr>
            </w:pPr>
            <w:r>
              <w:rPr>
                <w:sz w:val="19"/>
              </w:rPr>
              <w:t>23 Sep 1994 p. 4901</w:t>
            </w:r>
          </w:p>
        </w:tc>
        <w:tc>
          <w:tcPr>
            <w:tcW w:w="2693" w:type="dxa"/>
          </w:tcPr>
          <w:p>
            <w:pPr>
              <w:pStyle w:val="nTable"/>
              <w:spacing w:after="40"/>
              <w:rPr>
                <w:sz w:val="19"/>
              </w:rPr>
            </w:pPr>
            <w:r>
              <w:rPr>
                <w:sz w:val="19"/>
              </w:rPr>
              <w:t>23 Sep 1994</w:t>
            </w:r>
          </w:p>
        </w:tc>
      </w:tr>
      <w:tr>
        <w:trPr>
          <w:cantSplit/>
        </w:trPr>
        <w:tc>
          <w:tcPr>
            <w:tcW w:w="3119" w:type="dxa"/>
          </w:tcPr>
          <w:p>
            <w:pPr>
              <w:pStyle w:val="nTable"/>
              <w:spacing w:after="40"/>
              <w:ind w:right="113"/>
              <w:rPr>
                <w:i/>
                <w:sz w:val="19"/>
              </w:rPr>
            </w:pPr>
            <w:r>
              <w:rPr>
                <w:i/>
                <w:sz w:val="19"/>
              </w:rPr>
              <w:t>Liquor Licensing Amendment Regulations (No. 2) 1994</w:t>
            </w:r>
          </w:p>
        </w:tc>
        <w:tc>
          <w:tcPr>
            <w:tcW w:w="1276" w:type="dxa"/>
          </w:tcPr>
          <w:p>
            <w:pPr>
              <w:pStyle w:val="nTable"/>
              <w:spacing w:after="40"/>
              <w:rPr>
                <w:sz w:val="19"/>
              </w:rPr>
            </w:pPr>
            <w:r>
              <w:rPr>
                <w:sz w:val="19"/>
              </w:rPr>
              <w:t>30 Dec 1994 p. 7329</w:t>
            </w:r>
            <w:r>
              <w:rPr>
                <w:sz w:val="19"/>
              </w:rPr>
              <w:noBreakHyphen/>
              <w:t>30</w:t>
            </w:r>
          </w:p>
        </w:tc>
        <w:tc>
          <w:tcPr>
            <w:tcW w:w="2693" w:type="dxa"/>
          </w:tcPr>
          <w:p>
            <w:pPr>
              <w:pStyle w:val="nTable"/>
              <w:spacing w:after="40"/>
              <w:rPr>
                <w:sz w:val="19"/>
              </w:rPr>
            </w:pPr>
            <w:r>
              <w:rPr>
                <w:sz w:val="19"/>
              </w:rPr>
              <w:t>30 Dec 1994</w:t>
            </w:r>
          </w:p>
        </w:tc>
      </w:tr>
      <w:tr>
        <w:trPr>
          <w:cantSplit/>
        </w:trPr>
        <w:tc>
          <w:tcPr>
            <w:tcW w:w="3119" w:type="dxa"/>
          </w:tcPr>
          <w:p>
            <w:pPr>
              <w:pStyle w:val="nTable"/>
              <w:spacing w:after="40"/>
              <w:ind w:right="113"/>
              <w:rPr>
                <w:i/>
                <w:sz w:val="19"/>
              </w:rPr>
            </w:pPr>
            <w:r>
              <w:rPr>
                <w:i/>
                <w:sz w:val="19"/>
              </w:rPr>
              <w:t>Liquor Licensing Amendment Regulations 1995</w:t>
            </w:r>
          </w:p>
        </w:tc>
        <w:tc>
          <w:tcPr>
            <w:tcW w:w="1276" w:type="dxa"/>
          </w:tcPr>
          <w:p>
            <w:pPr>
              <w:pStyle w:val="nTable"/>
              <w:spacing w:after="40"/>
              <w:rPr>
                <w:sz w:val="19"/>
              </w:rPr>
            </w:pPr>
            <w:r>
              <w:rPr>
                <w:sz w:val="19"/>
              </w:rPr>
              <w:t>16 May 1995 p. 1859</w:t>
            </w:r>
          </w:p>
        </w:tc>
        <w:tc>
          <w:tcPr>
            <w:tcW w:w="2693" w:type="dxa"/>
          </w:tcPr>
          <w:p>
            <w:pPr>
              <w:pStyle w:val="nTable"/>
              <w:spacing w:after="40"/>
              <w:rPr>
                <w:sz w:val="19"/>
              </w:rPr>
            </w:pPr>
            <w:r>
              <w:rPr>
                <w:sz w:val="19"/>
              </w:rPr>
              <w:t>16 May 1995</w:t>
            </w:r>
          </w:p>
        </w:tc>
      </w:tr>
      <w:tr>
        <w:trPr>
          <w:cantSplit/>
        </w:trPr>
        <w:tc>
          <w:tcPr>
            <w:tcW w:w="3119" w:type="dxa"/>
          </w:tcPr>
          <w:p>
            <w:pPr>
              <w:pStyle w:val="nTable"/>
              <w:spacing w:after="40"/>
              <w:ind w:right="113"/>
              <w:rPr>
                <w:i/>
                <w:sz w:val="19"/>
              </w:rPr>
            </w:pPr>
            <w:r>
              <w:rPr>
                <w:i/>
                <w:sz w:val="19"/>
              </w:rPr>
              <w:t>Liquor Licensing Amendment Regulations 1996</w:t>
            </w:r>
          </w:p>
        </w:tc>
        <w:tc>
          <w:tcPr>
            <w:tcW w:w="1276" w:type="dxa"/>
          </w:tcPr>
          <w:p>
            <w:pPr>
              <w:pStyle w:val="nTable"/>
              <w:spacing w:after="40"/>
              <w:rPr>
                <w:sz w:val="19"/>
              </w:rPr>
            </w:pPr>
            <w:r>
              <w:rPr>
                <w:sz w:val="19"/>
              </w:rPr>
              <w:t>26 Nov 1996 p. 6629</w:t>
            </w:r>
            <w:r>
              <w:rPr>
                <w:sz w:val="19"/>
              </w:rPr>
              <w:noBreakHyphen/>
              <w:t>30</w:t>
            </w:r>
          </w:p>
        </w:tc>
        <w:tc>
          <w:tcPr>
            <w:tcW w:w="2693" w:type="dxa"/>
          </w:tcPr>
          <w:p>
            <w:pPr>
              <w:pStyle w:val="nTable"/>
              <w:spacing w:after="40"/>
              <w:rPr>
                <w:sz w:val="19"/>
              </w:rPr>
            </w:pPr>
            <w:r>
              <w:rPr>
                <w:sz w:val="19"/>
              </w:rPr>
              <w:t>26 Nov 1996</w:t>
            </w:r>
          </w:p>
        </w:tc>
      </w:tr>
      <w:tr>
        <w:trPr>
          <w:cantSplit/>
        </w:trPr>
        <w:tc>
          <w:tcPr>
            <w:tcW w:w="3119" w:type="dxa"/>
          </w:tcPr>
          <w:p>
            <w:pPr>
              <w:pStyle w:val="nTable"/>
              <w:spacing w:after="40"/>
              <w:ind w:right="113"/>
              <w:rPr>
                <w:i/>
                <w:sz w:val="19"/>
              </w:rPr>
            </w:pPr>
            <w:r>
              <w:rPr>
                <w:i/>
                <w:sz w:val="19"/>
              </w:rPr>
              <w:t>Liquor Licensing Amendment Regulations (No. 2) 1996</w:t>
            </w:r>
          </w:p>
        </w:tc>
        <w:tc>
          <w:tcPr>
            <w:tcW w:w="1276" w:type="dxa"/>
          </w:tcPr>
          <w:p>
            <w:pPr>
              <w:pStyle w:val="nTable"/>
              <w:spacing w:after="40"/>
              <w:rPr>
                <w:sz w:val="19"/>
              </w:rPr>
            </w:pPr>
            <w:r>
              <w:rPr>
                <w:sz w:val="19"/>
              </w:rPr>
              <w:t>3 Dec 1996 p. 6689</w:t>
            </w:r>
            <w:r>
              <w:rPr>
                <w:sz w:val="19"/>
              </w:rPr>
              <w:noBreakHyphen/>
              <w:t>91</w:t>
            </w:r>
          </w:p>
        </w:tc>
        <w:tc>
          <w:tcPr>
            <w:tcW w:w="2693" w:type="dxa"/>
          </w:tcPr>
          <w:p>
            <w:pPr>
              <w:pStyle w:val="nTable"/>
              <w:spacing w:after="40"/>
              <w:rPr>
                <w:sz w:val="19"/>
              </w:rPr>
            </w:pPr>
            <w:r>
              <w:rPr>
                <w:sz w:val="19"/>
              </w:rPr>
              <w:t>3 Dec 1996</w:t>
            </w:r>
          </w:p>
        </w:tc>
      </w:tr>
      <w:tr>
        <w:trPr>
          <w:cantSplit/>
        </w:trPr>
        <w:tc>
          <w:tcPr>
            <w:tcW w:w="7088" w:type="dxa"/>
            <w:gridSpan w:val="3"/>
          </w:tcPr>
          <w:p>
            <w:pPr>
              <w:pStyle w:val="nTable"/>
              <w:spacing w:after="40"/>
              <w:rPr>
                <w:sz w:val="19"/>
              </w:rPr>
            </w:pPr>
            <w:r>
              <w:rPr>
                <w:b/>
                <w:sz w:val="19"/>
              </w:rPr>
              <w:t xml:space="preserve">Reprint of the </w:t>
            </w:r>
            <w:r>
              <w:rPr>
                <w:b/>
                <w:i/>
                <w:sz w:val="19"/>
              </w:rPr>
              <w:t>Liquor Licensing Regulations 1989</w:t>
            </w:r>
            <w:r>
              <w:rPr>
                <w:b/>
                <w:sz w:val="19"/>
              </w:rPr>
              <w:t xml:space="preserve"> as at 8 Sep 1997</w:t>
            </w:r>
            <w:r>
              <w:rPr>
                <w:sz w:val="19"/>
              </w:rPr>
              <w:t xml:space="preserve"> (includes amendments listed above)</w:t>
            </w:r>
          </w:p>
        </w:tc>
      </w:tr>
      <w:tr>
        <w:trPr>
          <w:cantSplit/>
        </w:trPr>
        <w:tc>
          <w:tcPr>
            <w:tcW w:w="3119" w:type="dxa"/>
          </w:tcPr>
          <w:p>
            <w:pPr>
              <w:pStyle w:val="nTable"/>
              <w:spacing w:after="40"/>
              <w:ind w:right="113"/>
              <w:rPr>
                <w:sz w:val="19"/>
              </w:rPr>
            </w:pPr>
            <w:r>
              <w:rPr>
                <w:i/>
                <w:sz w:val="19"/>
              </w:rPr>
              <w:t>Liquor Licensing Amendment Regulations 1997</w:t>
            </w:r>
          </w:p>
        </w:tc>
        <w:tc>
          <w:tcPr>
            <w:tcW w:w="1276" w:type="dxa"/>
          </w:tcPr>
          <w:p>
            <w:pPr>
              <w:pStyle w:val="nTable"/>
              <w:spacing w:after="40"/>
              <w:rPr>
                <w:sz w:val="19"/>
              </w:rPr>
            </w:pPr>
            <w:r>
              <w:rPr>
                <w:sz w:val="19"/>
              </w:rPr>
              <w:t>14 Nov 1997 p. 6446</w:t>
            </w:r>
            <w:r>
              <w:rPr>
                <w:sz w:val="19"/>
              </w:rPr>
              <w:noBreakHyphen/>
              <w:t>8</w:t>
            </w:r>
          </w:p>
        </w:tc>
        <w:tc>
          <w:tcPr>
            <w:tcW w:w="2693" w:type="dxa"/>
          </w:tcPr>
          <w:p>
            <w:pPr>
              <w:pStyle w:val="nTable"/>
              <w:spacing w:after="40"/>
              <w:rPr>
                <w:sz w:val="19"/>
              </w:rPr>
            </w:pPr>
            <w:r>
              <w:rPr>
                <w:sz w:val="19"/>
              </w:rPr>
              <w:t>1 Jan 1998 (see r. 2)</w:t>
            </w:r>
          </w:p>
        </w:tc>
      </w:tr>
      <w:tr>
        <w:trPr>
          <w:cantSplit/>
        </w:trPr>
        <w:tc>
          <w:tcPr>
            <w:tcW w:w="3119" w:type="dxa"/>
          </w:tcPr>
          <w:p>
            <w:pPr>
              <w:pStyle w:val="nTable"/>
              <w:spacing w:after="40"/>
              <w:ind w:right="113"/>
              <w:rPr>
                <w:sz w:val="19"/>
              </w:rPr>
            </w:pPr>
            <w:r>
              <w:rPr>
                <w:i/>
                <w:sz w:val="19"/>
              </w:rPr>
              <w:t>Liquor Licensing Amendment Regulations 1998</w:t>
            </w:r>
          </w:p>
        </w:tc>
        <w:tc>
          <w:tcPr>
            <w:tcW w:w="1276" w:type="dxa"/>
          </w:tcPr>
          <w:p>
            <w:pPr>
              <w:pStyle w:val="nTable"/>
              <w:spacing w:after="40"/>
              <w:rPr>
                <w:sz w:val="19"/>
              </w:rPr>
            </w:pPr>
            <w:r>
              <w:rPr>
                <w:sz w:val="19"/>
              </w:rPr>
              <w:t>30 Jan 1998 p. 559</w:t>
            </w:r>
            <w:r>
              <w:rPr>
                <w:sz w:val="19"/>
              </w:rPr>
              <w:noBreakHyphen/>
              <w:t>73</w:t>
            </w:r>
            <w:r>
              <w:rPr>
                <w:sz w:val="19"/>
              </w:rPr>
              <w:br/>
              <w:t>(correction 6 Feb 1998 p. 662)</w:t>
            </w:r>
          </w:p>
        </w:tc>
        <w:tc>
          <w:tcPr>
            <w:tcW w:w="2693" w:type="dxa"/>
          </w:tcPr>
          <w:p>
            <w:pPr>
              <w:pStyle w:val="nTable"/>
              <w:spacing w:after="40"/>
              <w:rPr>
                <w:sz w:val="19"/>
              </w:rPr>
            </w:pPr>
            <w:r>
              <w:rPr>
                <w:sz w:val="19"/>
              </w:rPr>
              <w:t xml:space="preserve">31 Jan 1998 (see r. 2 and </w:t>
            </w:r>
            <w:r>
              <w:rPr>
                <w:i/>
                <w:sz w:val="19"/>
              </w:rPr>
              <w:t>Gazette</w:t>
            </w:r>
            <w:r>
              <w:rPr>
                <w:sz w:val="19"/>
              </w:rPr>
              <w:t xml:space="preserve"> 30 Jan 1998 p. 577)</w:t>
            </w:r>
          </w:p>
        </w:tc>
      </w:tr>
      <w:tr>
        <w:trPr>
          <w:cantSplit/>
        </w:trPr>
        <w:tc>
          <w:tcPr>
            <w:tcW w:w="3119" w:type="dxa"/>
          </w:tcPr>
          <w:p>
            <w:pPr>
              <w:pStyle w:val="nTable"/>
              <w:spacing w:after="40"/>
              <w:ind w:right="113"/>
              <w:rPr>
                <w:sz w:val="19"/>
              </w:rPr>
            </w:pPr>
            <w:r>
              <w:rPr>
                <w:i/>
                <w:sz w:val="19"/>
              </w:rPr>
              <w:t>Liquor Licensing Amendment Regulations (No. 2) 1998</w:t>
            </w:r>
          </w:p>
        </w:tc>
        <w:tc>
          <w:tcPr>
            <w:tcW w:w="1276" w:type="dxa"/>
          </w:tcPr>
          <w:p>
            <w:pPr>
              <w:pStyle w:val="nTable"/>
              <w:spacing w:after="40"/>
              <w:rPr>
                <w:sz w:val="19"/>
              </w:rPr>
            </w:pPr>
            <w:r>
              <w:rPr>
                <w:sz w:val="19"/>
              </w:rPr>
              <w:t>28 Apr 1998</w:t>
            </w:r>
            <w:r>
              <w:rPr>
                <w:sz w:val="19"/>
              </w:rPr>
              <w:br/>
              <w:t>p. 2198</w:t>
            </w:r>
          </w:p>
        </w:tc>
        <w:tc>
          <w:tcPr>
            <w:tcW w:w="2693" w:type="dxa"/>
          </w:tcPr>
          <w:p>
            <w:pPr>
              <w:pStyle w:val="nTable"/>
              <w:spacing w:after="40"/>
              <w:rPr>
                <w:sz w:val="19"/>
              </w:rPr>
            </w:pPr>
            <w:r>
              <w:rPr>
                <w:sz w:val="19"/>
              </w:rPr>
              <w:t>28 Apr 1998</w:t>
            </w:r>
          </w:p>
        </w:tc>
      </w:tr>
      <w:tr>
        <w:trPr>
          <w:cantSplit/>
        </w:trPr>
        <w:tc>
          <w:tcPr>
            <w:tcW w:w="3119" w:type="dxa"/>
          </w:tcPr>
          <w:p>
            <w:pPr>
              <w:pStyle w:val="nTable"/>
              <w:spacing w:after="40"/>
              <w:ind w:right="113"/>
              <w:rPr>
                <w:sz w:val="19"/>
              </w:rPr>
            </w:pPr>
            <w:r>
              <w:rPr>
                <w:i/>
                <w:sz w:val="19"/>
              </w:rPr>
              <w:t>Liquor Licensing Amendment Regulations (No. 3) 1998</w:t>
            </w:r>
          </w:p>
        </w:tc>
        <w:tc>
          <w:tcPr>
            <w:tcW w:w="1276" w:type="dxa"/>
          </w:tcPr>
          <w:p>
            <w:pPr>
              <w:pStyle w:val="nTable"/>
              <w:spacing w:after="40"/>
              <w:rPr>
                <w:sz w:val="19"/>
              </w:rPr>
            </w:pPr>
            <w:r>
              <w:rPr>
                <w:sz w:val="19"/>
              </w:rPr>
              <w:t>22 May 1998 p. 2940</w:t>
            </w:r>
            <w:r>
              <w:rPr>
                <w:sz w:val="19"/>
              </w:rPr>
              <w:noBreakHyphen/>
              <w:t>4</w:t>
            </w:r>
          </w:p>
        </w:tc>
        <w:tc>
          <w:tcPr>
            <w:tcW w:w="2693" w:type="dxa"/>
          </w:tcPr>
          <w:p>
            <w:pPr>
              <w:pStyle w:val="nTable"/>
              <w:spacing w:after="40"/>
              <w:rPr>
                <w:sz w:val="19"/>
              </w:rPr>
            </w:pPr>
            <w:r>
              <w:rPr>
                <w:sz w:val="19"/>
              </w:rPr>
              <w:t xml:space="preserve">23 May 1998 (see r. 2 and </w:t>
            </w:r>
            <w:r>
              <w:rPr>
                <w:i/>
                <w:sz w:val="19"/>
              </w:rPr>
              <w:t>Gazette</w:t>
            </w:r>
            <w:r>
              <w:rPr>
                <w:sz w:val="19"/>
              </w:rPr>
              <w:t xml:space="preserve"> 22 May 1998 p. 2921)</w:t>
            </w:r>
          </w:p>
        </w:tc>
      </w:tr>
      <w:tr>
        <w:trPr>
          <w:cantSplit/>
        </w:trPr>
        <w:tc>
          <w:tcPr>
            <w:tcW w:w="3119" w:type="dxa"/>
          </w:tcPr>
          <w:p>
            <w:pPr>
              <w:pStyle w:val="nTable"/>
              <w:spacing w:after="40"/>
              <w:ind w:right="113"/>
              <w:rPr>
                <w:sz w:val="19"/>
              </w:rPr>
            </w:pPr>
            <w:r>
              <w:rPr>
                <w:i/>
                <w:sz w:val="19"/>
              </w:rPr>
              <w:t>Liquor Licensing Amendment Regulations (No. 4) 1998</w:t>
            </w:r>
          </w:p>
        </w:tc>
        <w:tc>
          <w:tcPr>
            <w:tcW w:w="1276" w:type="dxa"/>
          </w:tcPr>
          <w:p>
            <w:pPr>
              <w:pStyle w:val="nTable"/>
              <w:spacing w:after="40"/>
              <w:rPr>
                <w:sz w:val="19"/>
              </w:rPr>
            </w:pPr>
            <w:r>
              <w:rPr>
                <w:sz w:val="19"/>
              </w:rPr>
              <w:t>6 Oct 1998 p. 5563</w:t>
            </w:r>
            <w:r>
              <w:rPr>
                <w:sz w:val="19"/>
              </w:rPr>
              <w:noBreakHyphen/>
              <w:t>7</w:t>
            </w:r>
          </w:p>
        </w:tc>
        <w:tc>
          <w:tcPr>
            <w:tcW w:w="2693" w:type="dxa"/>
          </w:tcPr>
          <w:p>
            <w:pPr>
              <w:pStyle w:val="nTable"/>
              <w:spacing w:after="40"/>
              <w:rPr>
                <w:sz w:val="19"/>
              </w:rPr>
            </w:pPr>
            <w:r>
              <w:rPr>
                <w:sz w:val="19"/>
              </w:rPr>
              <w:t>6 Oct 1998</w:t>
            </w:r>
          </w:p>
        </w:tc>
      </w:tr>
      <w:tr>
        <w:trPr>
          <w:cantSplit/>
        </w:trPr>
        <w:tc>
          <w:tcPr>
            <w:tcW w:w="3119" w:type="dxa"/>
          </w:tcPr>
          <w:p>
            <w:pPr>
              <w:pStyle w:val="nTable"/>
              <w:spacing w:after="40"/>
              <w:ind w:right="113"/>
              <w:rPr>
                <w:sz w:val="19"/>
              </w:rPr>
            </w:pPr>
            <w:r>
              <w:rPr>
                <w:i/>
                <w:sz w:val="19"/>
              </w:rPr>
              <w:t>Liquor Licensing Amendment Regulations (No. 5) 1998</w:t>
            </w:r>
          </w:p>
        </w:tc>
        <w:tc>
          <w:tcPr>
            <w:tcW w:w="1276" w:type="dxa"/>
          </w:tcPr>
          <w:p>
            <w:pPr>
              <w:pStyle w:val="nTable"/>
              <w:spacing w:after="40"/>
              <w:rPr>
                <w:sz w:val="19"/>
              </w:rPr>
            </w:pPr>
            <w:r>
              <w:rPr>
                <w:sz w:val="19"/>
              </w:rPr>
              <w:t>30 Oct 1998 p. 6015</w:t>
            </w:r>
          </w:p>
        </w:tc>
        <w:tc>
          <w:tcPr>
            <w:tcW w:w="2693" w:type="dxa"/>
          </w:tcPr>
          <w:p>
            <w:pPr>
              <w:pStyle w:val="nTable"/>
              <w:spacing w:after="40"/>
              <w:rPr>
                <w:sz w:val="19"/>
              </w:rPr>
            </w:pPr>
            <w:r>
              <w:rPr>
                <w:sz w:val="19"/>
              </w:rPr>
              <w:t>1 Dec 1998 (see r. 2)</w:t>
            </w:r>
          </w:p>
        </w:tc>
      </w:tr>
      <w:tr>
        <w:trPr>
          <w:cantSplit/>
        </w:trPr>
        <w:tc>
          <w:tcPr>
            <w:tcW w:w="3119" w:type="dxa"/>
          </w:tcPr>
          <w:p>
            <w:pPr>
              <w:pStyle w:val="nTable"/>
              <w:spacing w:after="40"/>
              <w:ind w:right="113"/>
              <w:rPr>
                <w:i/>
                <w:sz w:val="19"/>
              </w:rPr>
            </w:pPr>
            <w:r>
              <w:rPr>
                <w:i/>
                <w:sz w:val="19"/>
              </w:rPr>
              <w:t>Liquor Licensing Amendment Regulations 1999</w:t>
            </w:r>
          </w:p>
        </w:tc>
        <w:tc>
          <w:tcPr>
            <w:tcW w:w="1276" w:type="dxa"/>
          </w:tcPr>
          <w:p>
            <w:pPr>
              <w:pStyle w:val="nTable"/>
              <w:spacing w:after="40"/>
              <w:rPr>
                <w:sz w:val="19"/>
              </w:rPr>
            </w:pPr>
            <w:r>
              <w:rPr>
                <w:sz w:val="19"/>
              </w:rPr>
              <w:t>30 Apr 1999 p. 1820</w:t>
            </w:r>
            <w:r>
              <w:rPr>
                <w:sz w:val="19"/>
              </w:rPr>
              <w:noBreakHyphen/>
              <w:t>1</w:t>
            </w:r>
          </w:p>
        </w:tc>
        <w:tc>
          <w:tcPr>
            <w:tcW w:w="2693" w:type="dxa"/>
          </w:tcPr>
          <w:p>
            <w:pPr>
              <w:pStyle w:val="nTable"/>
              <w:spacing w:after="40"/>
              <w:rPr>
                <w:sz w:val="19"/>
              </w:rPr>
            </w:pPr>
            <w:r>
              <w:rPr>
                <w:sz w:val="19"/>
              </w:rPr>
              <w:t>30 Apr 1999 (see r. 2)</w:t>
            </w:r>
          </w:p>
        </w:tc>
      </w:tr>
      <w:tr>
        <w:trPr>
          <w:cantSplit/>
        </w:trPr>
        <w:tc>
          <w:tcPr>
            <w:tcW w:w="3119" w:type="dxa"/>
          </w:tcPr>
          <w:p>
            <w:pPr>
              <w:pStyle w:val="nTable"/>
              <w:spacing w:after="40"/>
              <w:ind w:right="113"/>
              <w:rPr>
                <w:sz w:val="19"/>
              </w:rPr>
            </w:pPr>
            <w:r>
              <w:rPr>
                <w:i/>
                <w:sz w:val="19"/>
              </w:rPr>
              <w:t>Liquor Licensing Amendment Regulations (No. 2) 1999</w:t>
            </w:r>
          </w:p>
        </w:tc>
        <w:tc>
          <w:tcPr>
            <w:tcW w:w="1276" w:type="dxa"/>
          </w:tcPr>
          <w:p>
            <w:pPr>
              <w:pStyle w:val="nTable"/>
              <w:spacing w:after="40"/>
              <w:rPr>
                <w:sz w:val="19"/>
              </w:rPr>
            </w:pPr>
            <w:r>
              <w:rPr>
                <w:sz w:val="19"/>
              </w:rPr>
              <w:t>31 Aug 1999 p. 4256</w:t>
            </w:r>
            <w:r>
              <w:rPr>
                <w:sz w:val="19"/>
              </w:rPr>
              <w:noBreakHyphen/>
              <w:t>9</w:t>
            </w:r>
          </w:p>
        </w:tc>
        <w:tc>
          <w:tcPr>
            <w:tcW w:w="2693" w:type="dxa"/>
          </w:tcPr>
          <w:p>
            <w:pPr>
              <w:pStyle w:val="nTable"/>
              <w:spacing w:after="40"/>
              <w:rPr>
                <w:sz w:val="19"/>
              </w:rPr>
            </w:pPr>
            <w:r>
              <w:rPr>
                <w:sz w:val="19"/>
              </w:rPr>
              <w:t>31 Aug 1999</w:t>
            </w:r>
          </w:p>
        </w:tc>
      </w:tr>
      <w:tr>
        <w:trPr>
          <w:cantSplit/>
        </w:trPr>
        <w:tc>
          <w:tcPr>
            <w:tcW w:w="3119" w:type="dxa"/>
          </w:tcPr>
          <w:p>
            <w:pPr>
              <w:pStyle w:val="nTable"/>
              <w:spacing w:after="40"/>
              <w:ind w:right="113"/>
              <w:rPr>
                <w:i/>
                <w:sz w:val="19"/>
              </w:rPr>
            </w:pPr>
            <w:r>
              <w:rPr>
                <w:i/>
                <w:sz w:val="19"/>
              </w:rPr>
              <w:t>Liquor Licensing Amendment Regulations (No. 3) 1999</w:t>
            </w:r>
          </w:p>
        </w:tc>
        <w:tc>
          <w:tcPr>
            <w:tcW w:w="1276" w:type="dxa"/>
          </w:tcPr>
          <w:p>
            <w:pPr>
              <w:pStyle w:val="nTable"/>
              <w:spacing w:after="40"/>
              <w:rPr>
                <w:sz w:val="19"/>
              </w:rPr>
            </w:pPr>
            <w:r>
              <w:rPr>
                <w:sz w:val="19"/>
              </w:rPr>
              <w:t>21 Dec 1999 p. 6418</w:t>
            </w:r>
            <w:r>
              <w:rPr>
                <w:sz w:val="19"/>
              </w:rPr>
              <w:noBreakHyphen/>
              <w:t>20</w:t>
            </w:r>
          </w:p>
        </w:tc>
        <w:tc>
          <w:tcPr>
            <w:tcW w:w="2693" w:type="dxa"/>
          </w:tcPr>
          <w:p>
            <w:pPr>
              <w:pStyle w:val="nTable"/>
              <w:spacing w:after="40"/>
              <w:rPr>
                <w:sz w:val="19"/>
              </w:rPr>
            </w:pPr>
            <w:r>
              <w:rPr>
                <w:sz w:val="19"/>
              </w:rPr>
              <w:t>1 Jan 2000 (see r. 2)</w:t>
            </w:r>
          </w:p>
        </w:tc>
      </w:tr>
      <w:tr>
        <w:trPr>
          <w:cantSplit/>
        </w:trPr>
        <w:tc>
          <w:tcPr>
            <w:tcW w:w="7088" w:type="dxa"/>
            <w:gridSpan w:val="3"/>
          </w:tcPr>
          <w:p>
            <w:pPr>
              <w:pStyle w:val="nTable"/>
              <w:spacing w:after="40"/>
              <w:rPr>
                <w:sz w:val="19"/>
              </w:rPr>
            </w:pPr>
            <w:r>
              <w:rPr>
                <w:b/>
                <w:sz w:val="19"/>
              </w:rPr>
              <w:t xml:space="preserve">Reprint of the </w:t>
            </w:r>
            <w:r>
              <w:rPr>
                <w:b/>
                <w:i/>
                <w:sz w:val="19"/>
              </w:rPr>
              <w:t xml:space="preserve">Liquor Licensing Regulations 1989 </w:t>
            </w:r>
            <w:r>
              <w:rPr>
                <w:b/>
                <w:sz w:val="19"/>
              </w:rPr>
              <w:t xml:space="preserve">as at 7 Jan 2000 </w:t>
            </w:r>
            <w:r>
              <w:rPr>
                <w:sz w:val="19"/>
              </w:rPr>
              <w:t>(includes amendments listed above)</w:t>
            </w:r>
          </w:p>
        </w:tc>
      </w:tr>
      <w:tr>
        <w:trPr>
          <w:cantSplit/>
        </w:trPr>
        <w:tc>
          <w:tcPr>
            <w:tcW w:w="3119" w:type="dxa"/>
          </w:tcPr>
          <w:p>
            <w:pPr>
              <w:pStyle w:val="nTable"/>
              <w:spacing w:after="40"/>
              <w:ind w:right="113"/>
              <w:rPr>
                <w:i/>
                <w:sz w:val="19"/>
              </w:rPr>
            </w:pPr>
            <w:r>
              <w:rPr>
                <w:i/>
                <w:sz w:val="19"/>
              </w:rPr>
              <w:t>Liquor Licensing Amendment Regulations 2000</w:t>
            </w:r>
          </w:p>
        </w:tc>
        <w:tc>
          <w:tcPr>
            <w:tcW w:w="1276" w:type="dxa"/>
          </w:tcPr>
          <w:p>
            <w:pPr>
              <w:pStyle w:val="nTable"/>
              <w:spacing w:after="40"/>
              <w:rPr>
                <w:sz w:val="19"/>
              </w:rPr>
            </w:pPr>
            <w:r>
              <w:rPr>
                <w:sz w:val="19"/>
              </w:rPr>
              <w:t xml:space="preserve">12 May 2000 </w:t>
            </w:r>
            <w:r>
              <w:rPr>
                <w:sz w:val="19"/>
              </w:rPr>
              <w:br/>
              <w:t>p. 2286</w:t>
            </w:r>
          </w:p>
        </w:tc>
        <w:tc>
          <w:tcPr>
            <w:tcW w:w="2693"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Liquor Licensing Amendment Regulations (No. 2) 2000</w:t>
            </w:r>
          </w:p>
        </w:tc>
        <w:tc>
          <w:tcPr>
            <w:tcW w:w="1276" w:type="dxa"/>
          </w:tcPr>
          <w:p>
            <w:pPr>
              <w:pStyle w:val="nTable"/>
              <w:spacing w:after="40"/>
              <w:rPr>
                <w:sz w:val="19"/>
              </w:rPr>
            </w:pPr>
            <w:r>
              <w:rPr>
                <w:sz w:val="19"/>
              </w:rPr>
              <w:t>28 Jul 2000 p. 4029</w:t>
            </w:r>
            <w:r>
              <w:rPr>
                <w:sz w:val="19"/>
              </w:rPr>
              <w:noBreakHyphen/>
              <w:t>32</w:t>
            </w:r>
          </w:p>
        </w:tc>
        <w:tc>
          <w:tcPr>
            <w:tcW w:w="2693" w:type="dxa"/>
          </w:tcPr>
          <w:p>
            <w:pPr>
              <w:pStyle w:val="nTable"/>
              <w:spacing w:after="40"/>
              <w:rPr>
                <w:sz w:val="19"/>
              </w:rPr>
            </w:pPr>
            <w:r>
              <w:rPr>
                <w:sz w:val="19"/>
              </w:rPr>
              <w:t xml:space="preserve">28 Jul 2000 </w:t>
            </w:r>
          </w:p>
        </w:tc>
      </w:tr>
      <w:tr>
        <w:trPr>
          <w:cantSplit/>
        </w:trPr>
        <w:tc>
          <w:tcPr>
            <w:tcW w:w="3119" w:type="dxa"/>
          </w:tcPr>
          <w:p>
            <w:pPr>
              <w:pStyle w:val="nTable"/>
              <w:spacing w:after="40"/>
              <w:ind w:right="113"/>
              <w:rPr>
                <w:i/>
                <w:sz w:val="19"/>
              </w:rPr>
            </w:pPr>
            <w:r>
              <w:rPr>
                <w:i/>
                <w:sz w:val="19"/>
              </w:rPr>
              <w:t>Liquor Licensing Amendment Regulations (No. 3) 2000</w:t>
            </w:r>
          </w:p>
        </w:tc>
        <w:tc>
          <w:tcPr>
            <w:tcW w:w="1276" w:type="dxa"/>
          </w:tcPr>
          <w:p>
            <w:pPr>
              <w:pStyle w:val="nTable"/>
              <w:spacing w:after="40"/>
              <w:rPr>
                <w:sz w:val="19"/>
              </w:rPr>
            </w:pPr>
            <w:r>
              <w:rPr>
                <w:sz w:val="19"/>
              </w:rPr>
              <w:t>29 Sep 2000 p. 5549</w:t>
            </w:r>
          </w:p>
        </w:tc>
        <w:tc>
          <w:tcPr>
            <w:tcW w:w="2693" w:type="dxa"/>
          </w:tcPr>
          <w:p>
            <w:pPr>
              <w:pStyle w:val="nTable"/>
              <w:spacing w:after="40"/>
              <w:rPr>
                <w:sz w:val="19"/>
              </w:rPr>
            </w:pPr>
            <w:r>
              <w:rPr>
                <w:sz w:val="19"/>
              </w:rPr>
              <w:t>30 Sep 2000 (see r. 2 and </w:t>
            </w:r>
            <w:r>
              <w:rPr>
                <w:i/>
                <w:sz w:val="19"/>
              </w:rPr>
              <w:t>Gazette</w:t>
            </w:r>
            <w:r>
              <w:rPr>
                <w:sz w:val="19"/>
              </w:rPr>
              <w:t xml:space="preserve"> 29 Sep 2000 p. 5533)</w:t>
            </w:r>
          </w:p>
        </w:tc>
      </w:tr>
      <w:tr>
        <w:trPr>
          <w:cantSplit/>
        </w:trPr>
        <w:tc>
          <w:tcPr>
            <w:tcW w:w="3119" w:type="dxa"/>
          </w:tcPr>
          <w:p>
            <w:pPr>
              <w:pStyle w:val="nTable"/>
              <w:spacing w:after="40"/>
              <w:ind w:right="113"/>
              <w:rPr>
                <w:i/>
                <w:sz w:val="19"/>
              </w:rPr>
            </w:pPr>
            <w:r>
              <w:rPr>
                <w:i/>
                <w:sz w:val="19"/>
              </w:rPr>
              <w:t>Liquor Licensing Amendment Regulations 2001</w:t>
            </w:r>
          </w:p>
        </w:tc>
        <w:tc>
          <w:tcPr>
            <w:tcW w:w="1276" w:type="dxa"/>
          </w:tcPr>
          <w:p>
            <w:pPr>
              <w:pStyle w:val="nTable"/>
              <w:spacing w:after="40"/>
              <w:rPr>
                <w:sz w:val="19"/>
              </w:rPr>
            </w:pPr>
            <w:r>
              <w:rPr>
                <w:sz w:val="19"/>
              </w:rPr>
              <w:t>6 Jul 2001</w:t>
            </w:r>
            <w:r>
              <w:rPr>
                <w:sz w:val="19"/>
              </w:rPr>
              <w:br/>
              <w:t>p. 3415</w:t>
            </w:r>
          </w:p>
        </w:tc>
        <w:tc>
          <w:tcPr>
            <w:tcW w:w="2693" w:type="dxa"/>
          </w:tcPr>
          <w:p>
            <w:pPr>
              <w:pStyle w:val="nTable"/>
              <w:spacing w:after="40"/>
              <w:rPr>
                <w:sz w:val="19"/>
              </w:rPr>
            </w:pPr>
            <w:r>
              <w:rPr>
                <w:sz w:val="19"/>
              </w:rPr>
              <w:t>6 Jul 2001</w:t>
            </w:r>
          </w:p>
        </w:tc>
      </w:tr>
      <w:tr>
        <w:trPr>
          <w:cantSplit/>
        </w:trPr>
        <w:tc>
          <w:tcPr>
            <w:tcW w:w="3119" w:type="dxa"/>
          </w:tcPr>
          <w:p>
            <w:pPr>
              <w:pStyle w:val="nTable"/>
              <w:spacing w:after="40"/>
              <w:ind w:right="113"/>
              <w:rPr>
                <w:i/>
                <w:sz w:val="19"/>
                <w:vertAlign w:val="superscript"/>
              </w:rPr>
            </w:pPr>
            <w:r>
              <w:rPr>
                <w:i/>
                <w:sz w:val="19"/>
              </w:rPr>
              <w:t>Liquor Licensing Amendment Regulations (No. 2) 2001</w:t>
            </w:r>
            <w:r>
              <w:rPr>
                <w:i/>
                <w:sz w:val="19"/>
                <w:vertAlign w:val="superscript"/>
              </w:rPr>
              <w:t> </w:t>
            </w:r>
            <w:r>
              <w:rPr>
                <w:sz w:val="19"/>
                <w:vertAlign w:val="superscript"/>
              </w:rPr>
              <w:t>8</w:t>
            </w:r>
          </w:p>
        </w:tc>
        <w:tc>
          <w:tcPr>
            <w:tcW w:w="1276" w:type="dxa"/>
          </w:tcPr>
          <w:p>
            <w:pPr>
              <w:pStyle w:val="nTable"/>
              <w:spacing w:after="40"/>
              <w:rPr>
                <w:sz w:val="19"/>
              </w:rPr>
            </w:pPr>
            <w:r>
              <w:rPr>
                <w:sz w:val="19"/>
              </w:rPr>
              <w:t>17 Jul 2001 p. 3637</w:t>
            </w:r>
            <w:r>
              <w:rPr>
                <w:sz w:val="19"/>
              </w:rPr>
              <w:noBreakHyphen/>
              <w:t>8</w:t>
            </w:r>
          </w:p>
        </w:tc>
        <w:tc>
          <w:tcPr>
            <w:tcW w:w="2693" w:type="dxa"/>
          </w:tcPr>
          <w:p>
            <w:pPr>
              <w:pStyle w:val="nTable"/>
              <w:spacing w:after="40"/>
              <w:rPr>
                <w:sz w:val="19"/>
              </w:rPr>
            </w:pPr>
            <w:r>
              <w:rPr>
                <w:sz w:val="19"/>
              </w:rPr>
              <w:t>17 Jul 2001</w:t>
            </w:r>
          </w:p>
        </w:tc>
      </w:tr>
      <w:tr>
        <w:trPr>
          <w:cantSplit/>
        </w:trPr>
        <w:tc>
          <w:tcPr>
            <w:tcW w:w="3119" w:type="dxa"/>
          </w:tcPr>
          <w:p>
            <w:pPr>
              <w:pStyle w:val="nTable"/>
              <w:spacing w:after="40"/>
              <w:ind w:right="113"/>
              <w:rPr>
                <w:i/>
                <w:sz w:val="19"/>
              </w:rPr>
            </w:pPr>
            <w:r>
              <w:rPr>
                <w:i/>
                <w:sz w:val="19"/>
              </w:rPr>
              <w:t xml:space="preserve">Corporations (Consequential Amendments) Regulations 2001 </w:t>
            </w:r>
            <w:r>
              <w:rPr>
                <w:sz w:val="19"/>
              </w:rPr>
              <w:t>Pt. 8</w:t>
            </w:r>
          </w:p>
        </w:tc>
        <w:tc>
          <w:tcPr>
            <w:tcW w:w="1276" w:type="dxa"/>
          </w:tcPr>
          <w:p>
            <w:pPr>
              <w:pStyle w:val="nTable"/>
              <w:spacing w:after="40"/>
              <w:rPr>
                <w:sz w:val="19"/>
              </w:rPr>
            </w:pPr>
            <w:r>
              <w:rPr>
                <w:sz w:val="19"/>
              </w:rPr>
              <w:t>28 Sep 2001</w:t>
            </w:r>
            <w:r>
              <w:rPr>
                <w:sz w:val="19"/>
              </w:rPr>
              <w:br/>
              <w:t>p. 5353</w:t>
            </w:r>
            <w:r>
              <w:rPr>
                <w:sz w:val="19"/>
              </w:rPr>
              <w:noBreakHyphen/>
              <w:t>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Liquor Licensing Amendment Regulations (No. 3) 2001</w:t>
            </w:r>
          </w:p>
        </w:tc>
        <w:tc>
          <w:tcPr>
            <w:tcW w:w="1276" w:type="dxa"/>
          </w:tcPr>
          <w:p>
            <w:pPr>
              <w:pStyle w:val="nTable"/>
              <w:spacing w:after="40"/>
              <w:rPr>
                <w:sz w:val="19"/>
              </w:rPr>
            </w:pPr>
            <w:r>
              <w:rPr>
                <w:sz w:val="19"/>
              </w:rPr>
              <w:t>2 Oct 2001</w:t>
            </w:r>
            <w:r>
              <w:rPr>
                <w:sz w:val="19"/>
              </w:rPr>
              <w:br/>
              <w:t>p. 5455</w:t>
            </w:r>
            <w:r>
              <w:rPr>
                <w:sz w:val="19"/>
              </w:rPr>
              <w:noBreakHyphen/>
              <w:t>7</w:t>
            </w:r>
          </w:p>
        </w:tc>
        <w:tc>
          <w:tcPr>
            <w:tcW w:w="2693" w:type="dxa"/>
          </w:tcPr>
          <w:p>
            <w:pPr>
              <w:pStyle w:val="nTable"/>
              <w:spacing w:after="40"/>
              <w:rPr>
                <w:sz w:val="19"/>
              </w:rPr>
            </w:pPr>
            <w:r>
              <w:rPr>
                <w:sz w:val="19"/>
              </w:rPr>
              <w:t>2 Oct 2001</w:t>
            </w:r>
          </w:p>
        </w:tc>
      </w:tr>
      <w:tr>
        <w:trPr>
          <w:cantSplit/>
        </w:trPr>
        <w:tc>
          <w:tcPr>
            <w:tcW w:w="3119" w:type="dxa"/>
          </w:tcPr>
          <w:p>
            <w:pPr>
              <w:pStyle w:val="nTable"/>
              <w:spacing w:after="40"/>
              <w:ind w:right="113"/>
              <w:rPr>
                <w:i/>
                <w:sz w:val="19"/>
              </w:rPr>
            </w:pPr>
            <w:r>
              <w:rPr>
                <w:i/>
                <w:sz w:val="19"/>
              </w:rPr>
              <w:t>Liquor Licensing Amendment Regulations (No. 4) 2001</w:t>
            </w:r>
          </w:p>
        </w:tc>
        <w:tc>
          <w:tcPr>
            <w:tcW w:w="1276" w:type="dxa"/>
          </w:tcPr>
          <w:p>
            <w:pPr>
              <w:pStyle w:val="nTable"/>
              <w:spacing w:after="40"/>
              <w:rPr>
                <w:sz w:val="19"/>
              </w:rPr>
            </w:pPr>
            <w:r>
              <w:rPr>
                <w:sz w:val="19"/>
              </w:rPr>
              <w:t>4 Jan 2002 p. 7</w:t>
            </w:r>
            <w:r>
              <w:rPr>
                <w:sz w:val="19"/>
              </w:rPr>
              <w:noBreakHyphen/>
              <w:t>15</w:t>
            </w:r>
          </w:p>
        </w:tc>
        <w:tc>
          <w:tcPr>
            <w:tcW w:w="2693" w:type="dxa"/>
          </w:tcPr>
          <w:p>
            <w:pPr>
              <w:pStyle w:val="nTable"/>
              <w:spacing w:after="40"/>
              <w:rPr>
                <w:sz w:val="19"/>
              </w:rPr>
            </w:pPr>
            <w:r>
              <w:rPr>
                <w:sz w:val="19"/>
              </w:rPr>
              <w:t xml:space="preserve">7 Jan 2002 (see r. 2 and </w:t>
            </w:r>
            <w:r>
              <w:rPr>
                <w:i/>
                <w:sz w:val="19"/>
              </w:rPr>
              <w:t>Gazette</w:t>
            </w:r>
            <w:r>
              <w:rPr>
                <w:sz w:val="19"/>
              </w:rPr>
              <w:t xml:space="preserve"> 4 Jan 2002 p. 3)</w:t>
            </w:r>
          </w:p>
        </w:tc>
      </w:tr>
      <w:tr>
        <w:trPr>
          <w:cantSplit/>
        </w:trPr>
        <w:tc>
          <w:tcPr>
            <w:tcW w:w="7088" w:type="dxa"/>
            <w:gridSpan w:val="3"/>
          </w:tcPr>
          <w:p>
            <w:pPr>
              <w:pStyle w:val="nTable"/>
              <w:spacing w:after="40"/>
              <w:rPr>
                <w:sz w:val="19"/>
              </w:rPr>
            </w:pPr>
            <w:r>
              <w:rPr>
                <w:b/>
                <w:sz w:val="19"/>
              </w:rPr>
              <w:t xml:space="preserve">Reprint of the </w:t>
            </w:r>
            <w:r>
              <w:rPr>
                <w:b/>
                <w:i/>
                <w:sz w:val="19"/>
              </w:rPr>
              <w:t>Liquor Licensing Regulations 1989</w:t>
            </w:r>
            <w:r>
              <w:rPr>
                <w:b/>
                <w:sz w:val="19"/>
              </w:rPr>
              <w:t xml:space="preserve"> as at 8 Mar 2002 </w:t>
            </w:r>
            <w:r>
              <w:rPr>
                <w:sz w:val="19"/>
              </w:rPr>
              <w:t>(includes amendments listed above)</w:t>
            </w:r>
          </w:p>
        </w:tc>
      </w:tr>
      <w:tr>
        <w:trPr>
          <w:cantSplit/>
        </w:trPr>
        <w:tc>
          <w:tcPr>
            <w:tcW w:w="3119" w:type="dxa"/>
          </w:tcPr>
          <w:p>
            <w:pPr>
              <w:pStyle w:val="nTable"/>
              <w:spacing w:after="40"/>
              <w:rPr>
                <w:i/>
                <w:sz w:val="19"/>
              </w:rPr>
            </w:pPr>
            <w:r>
              <w:rPr>
                <w:i/>
                <w:sz w:val="19"/>
              </w:rPr>
              <w:t>Liquor Licensing Amendment Regulations 2002</w:t>
            </w:r>
          </w:p>
        </w:tc>
        <w:tc>
          <w:tcPr>
            <w:tcW w:w="1276" w:type="dxa"/>
          </w:tcPr>
          <w:p>
            <w:pPr>
              <w:pStyle w:val="nTable"/>
              <w:spacing w:after="40"/>
              <w:rPr>
                <w:sz w:val="19"/>
              </w:rPr>
            </w:pPr>
            <w:r>
              <w:rPr>
                <w:sz w:val="19"/>
              </w:rPr>
              <w:t>28 Jun 2002 p. 3105</w:t>
            </w:r>
            <w:r>
              <w:rPr>
                <w:sz w:val="19"/>
              </w:rPr>
              <w:noBreakHyphen/>
              <w:t>6</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rPr>
                <w:i/>
                <w:sz w:val="19"/>
              </w:rPr>
            </w:pPr>
            <w:r>
              <w:rPr>
                <w:i/>
                <w:sz w:val="19"/>
              </w:rPr>
              <w:t>Liquor Licensing Amendment Regulations (No. 2) 2002</w:t>
            </w:r>
          </w:p>
        </w:tc>
        <w:tc>
          <w:tcPr>
            <w:tcW w:w="1276" w:type="dxa"/>
          </w:tcPr>
          <w:p>
            <w:pPr>
              <w:pStyle w:val="nTable"/>
              <w:spacing w:after="40"/>
              <w:rPr>
                <w:sz w:val="19"/>
              </w:rPr>
            </w:pPr>
            <w:r>
              <w:rPr>
                <w:sz w:val="19"/>
              </w:rPr>
              <w:t>22 Oct 2002 p. 5254</w:t>
            </w:r>
            <w:r>
              <w:rPr>
                <w:sz w:val="19"/>
              </w:rPr>
              <w:noBreakHyphen/>
              <w:t>5</w:t>
            </w:r>
          </w:p>
        </w:tc>
        <w:tc>
          <w:tcPr>
            <w:tcW w:w="2693" w:type="dxa"/>
          </w:tcPr>
          <w:p>
            <w:pPr>
              <w:pStyle w:val="nTable"/>
              <w:spacing w:after="40"/>
              <w:rPr>
                <w:sz w:val="19"/>
              </w:rPr>
            </w:pPr>
            <w:r>
              <w:rPr>
                <w:sz w:val="19"/>
              </w:rPr>
              <w:t>22 Oct 2002</w:t>
            </w:r>
          </w:p>
        </w:tc>
      </w:tr>
      <w:tr>
        <w:trPr>
          <w:cantSplit/>
        </w:trPr>
        <w:tc>
          <w:tcPr>
            <w:tcW w:w="3119" w:type="dxa"/>
          </w:tcPr>
          <w:p>
            <w:pPr>
              <w:pStyle w:val="nTable"/>
              <w:spacing w:after="40"/>
              <w:rPr>
                <w:i/>
                <w:sz w:val="19"/>
              </w:rPr>
            </w:pPr>
            <w:r>
              <w:rPr>
                <w:i/>
                <w:sz w:val="19"/>
              </w:rPr>
              <w:t>Liquor Licensing Amendment Regulations (No. 3) 2002</w:t>
            </w:r>
          </w:p>
        </w:tc>
        <w:tc>
          <w:tcPr>
            <w:tcW w:w="1276" w:type="dxa"/>
          </w:tcPr>
          <w:p>
            <w:pPr>
              <w:pStyle w:val="nTable"/>
              <w:spacing w:after="40"/>
              <w:rPr>
                <w:sz w:val="19"/>
              </w:rPr>
            </w:pPr>
            <w:r>
              <w:rPr>
                <w:sz w:val="19"/>
              </w:rPr>
              <w:t>19 Nov 2002 p. 5515</w:t>
            </w:r>
            <w:r>
              <w:rPr>
                <w:sz w:val="19"/>
              </w:rPr>
              <w:noBreakHyphen/>
              <w:t>16</w:t>
            </w:r>
          </w:p>
        </w:tc>
        <w:tc>
          <w:tcPr>
            <w:tcW w:w="2693" w:type="dxa"/>
          </w:tcPr>
          <w:p>
            <w:pPr>
              <w:pStyle w:val="nTable"/>
              <w:spacing w:after="40"/>
              <w:rPr>
                <w:sz w:val="19"/>
              </w:rPr>
            </w:pPr>
            <w:r>
              <w:rPr>
                <w:sz w:val="19"/>
              </w:rPr>
              <w:t>1 Jan 2003 (see r. 2)</w:t>
            </w:r>
          </w:p>
        </w:tc>
      </w:tr>
      <w:tr>
        <w:trPr>
          <w:cantSplit/>
        </w:trPr>
        <w:tc>
          <w:tcPr>
            <w:tcW w:w="3119" w:type="dxa"/>
          </w:tcPr>
          <w:p>
            <w:pPr>
              <w:pStyle w:val="nTable"/>
              <w:spacing w:after="40"/>
              <w:rPr>
                <w:i/>
                <w:sz w:val="19"/>
              </w:rPr>
            </w:pPr>
            <w:r>
              <w:rPr>
                <w:i/>
                <w:sz w:val="19"/>
              </w:rPr>
              <w:t>Liquor Licensing Amendment Regulations 2003</w:t>
            </w:r>
          </w:p>
        </w:tc>
        <w:tc>
          <w:tcPr>
            <w:tcW w:w="1276" w:type="dxa"/>
          </w:tcPr>
          <w:p>
            <w:pPr>
              <w:pStyle w:val="nTable"/>
              <w:spacing w:after="40"/>
              <w:rPr>
                <w:sz w:val="19"/>
              </w:rPr>
            </w:pPr>
            <w:r>
              <w:rPr>
                <w:sz w:val="19"/>
              </w:rPr>
              <w:t>28 Feb 2003 p. 676</w:t>
            </w:r>
            <w:r>
              <w:rPr>
                <w:sz w:val="19"/>
              </w:rPr>
              <w:noBreakHyphen/>
              <w:t>7</w:t>
            </w:r>
          </w:p>
        </w:tc>
        <w:tc>
          <w:tcPr>
            <w:tcW w:w="2693" w:type="dxa"/>
          </w:tcPr>
          <w:p>
            <w:pPr>
              <w:pStyle w:val="nTable"/>
              <w:spacing w:after="40"/>
              <w:rPr>
                <w:sz w:val="19"/>
              </w:rPr>
            </w:pPr>
            <w:r>
              <w:rPr>
                <w:sz w:val="19"/>
              </w:rPr>
              <w:t>28 Feb 2003</w:t>
            </w:r>
          </w:p>
        </w:tc>
      </w:tr>
      <w:tr>
        <w:trPr>
          <w:cantSplit/>
        </w:trPr>
        <w:tc>
          <w:tcPr>
            <w:tcW w:w="3119" w:type="dxa"/>
          </w:tcPr>
          <w:p>
            <w:pPr>
              <w:pStyle w:val="nTable"/>
              <w:spacing w:after="40"/>
              <w:rPr>
                <w:i/>
                <w:sz w:val="19"/>
              </w:rPr>
            </w:pPr>
            <w:r>
              <w:rPr>
                <w:i/>
                <w:sz w:val="19"/>
              </w:rPr>
              <w:t>Liquor Licensing Amendment Regulations (No. 2) 2003</w:t>
            </w:r>
          </w:p>
        </w:tc>
        <w:tc>
          <w:tcPr>
            <w:tcW w:w="1276" w:type="dxa"/>
          </w:tcPr>
          <w:p>
            <w:pPr>
              <w:pStyle w:val="nTable"/>
              <w:spacing w:after="40"/>
              <w:rPr>
                <w:sz w:val="19"/>
              </w:rPr>
            </w:pPr>
            <w:r>
              <w:rPr>
                <w:sz w:val="19"/>
              </w:rPr>
              <w:t>28 Mar 2003 p. 983</w:t>
            </w:r>
            <w:r>
              <w:rPr>
                <w:sz w:val="19"/>
              </w:rPr>
              <w:noBreakHyphen/>
              <w:t>4</w:t>
            </w:r>
          </w:p>
        </w:tc>
        <w:tc>
          <w:tcPr>
            <w:tcW w:w="2693" w:type="dxa"/>
          </w:tcPr>
          <w:p>
            <w:pPr>
              <w:pStyle w:val="nTable"/>
              <w:spacing w:after="40"/>
              <w:rPr>
                <w:sz w:val="19"/>
              </w:rPr>
            </w:pPr>
            <w:r>
              <w:rPr>
                <w:sz w:val="19"/>
              </w:rPr>
              <w:t>28 Mar 2003</w:t>
            </w:r>
          </w:p>
        </w:tc>
      </w:tr>
      <w:tr>
        <w:trPr>
          <w:cantSplit/>
        </w:trPr>
        <w:tc>
          <w:tcPr>
            <w:tcW w:w="3119" w:type="dxa"/>
          </w:tcPr>
          <w:p>
            <w:pPr>
              <w:pStyle w:val="nTable"/>
              <w:spacing w:after="40"/>
              <w:rPr>
                <w:i/>
                <w:sz w:val="19"/>
              </w:rPr>
            </w:pPr>
            <w:r>
              <w:rPr>
                <w:i/>
                <w:sz w:val="19"/>
              </w:rPr>
              <w:t>Equality of Status Subsidiary Legislation Amendment Regulations 2003</w:t>
            </w:r>
            <w:r>
              <w:rPr>
                <w:sz w:val="19"/>
              </w:rPr>
              <w:t xml:space="preserve"> Pt. 22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9" w:type="dxa"/>
          </w:tcPr>
          <w:p>
            <w:pPr>
              <w:pStyle w:val="nTable"/>
              <w:spacing w:after="40"/>
              <w:rPr>
                <w:i/>
                <w:sz w:val="19"/>
              </w:rPr>
            </w:pPr>
            <w:r>
              <w:rPr>
                <w:i/>
                <w:sz w:val="19"/>
              </w:rPr>
              <w:t>Liquor Licensing Amendment Regulations (No. 4) 2003</w:t>
            </w:r>
          </w:p>
        </w:tc>
        <w:tc>
          <w:tcPr>
            <w:tcW w:w="1276" w:type="dxa"/>
          </w:tcPr>
          <w:p>
            <w:pPr>
              <w:pStyle w:val="nTable"/>
              <w:spacing w:after="40"/>
              <w:rPr>
                <w:sz w:val="19"/>
              </w:rPr>
            </w:pPr>
            <w:r>
              <w:rPr>
                <w:sz w:val="19"/>
              </w:rPr>
              <w:t>11 Jul 2003 p. 2741</w:t>
            </w:r>
            <w:r>
              <w:rPr>
                <w:sz w:val="19"/>
              </w:rPr>
              <w:noBreakHyphen/>
              <w:t>2</w:t>
            </w:r>
          </w:p>
        </w:tc>
        <w:tc>
          <w:tcPr>
            <w:tcW w:w="2693" w:type="dxa"/>
          </w:tcPr>
          <w:p>
            <w:pPr>
              <w:pStyle w:val="nTable"/>
              <w:spacing w:after="40"/>
              <w:rPr>
                <w:sz w:val="19"/>
              </w:rPr>
            </w:pPr>
            <w:r>
              <w:rPr>
                <w:sz w:val="19"/>
              </w:rPr>
              <w:t>11 Jul 2003</w:t>
            </w:r>
          </w:p>
        </w:tc>
      </w:tr>
      <w:tr>
        <w:trPr>
          <w:cantSplit/>
        </w:trPr>
        <w:tc>
          <w:tcPr>
            <w:tcW w:w="3119" w:type="dxa"/>
          </w:tcPr>
          <w:p>
            <w:pPr>
              <w:pStyle w:val="nTable"/>
              <w:spacing w:after="40"/>
              <w:rPr>
                <w:i/>
                <w:sz w:val="19"/>
              </w:rPr>
            </w:pPr>
            <w:r>
              <w:rPr>
                <w:i/>
                <w:sz w:val="19"/>
              </w:rPr>
              <w:t>Liquor Licensing Amendment Regulations (No. 5) 2003</w:t>
            </w:r>
          </w:p>
        </w:tc>
        <w:tc>
          <w:tcPr>
            <w:tcW w:w="1276" w:type="dxa"/>
          </w:tcPr>
          <w:p>
            <w:pPr>
              <w:pStyle w:val="nTable"/>
              <w:spacing w:after="40"/>
              <w:rPr>
                <w:sz w:val="19"/>
              </w:rPr>
            </w:pPr>
            <w:r>
              <w:rPr>
                <w:sz w:val="19"/>
              </w:rPr>
              <w:t>26 Sep 2003 p. 4223</w:t>
            </w:r>
            <w:r>
              <w:rPr>
                <w:sz w:val="19"/>
              </w:rPr>
              <w:noBreakHyphen/>
              <w:t>4</w:t>
            </w:r>
          </w:p>
        </w:tc>
        <w:tc>
          <w:tcPr>
            <w:tcW w:w="2693" w:type="dxa"/>
          </w:tcPr>
          <w:p>
            <w:pPr>
              <w:pStyle w:val="nTable"/>
              <w:spacing w:after="40"/>
              <w:rPr>
                <w:sz w:val="19"/>
              </w:rPr>
            </w:pPr>
            <w:r>
              <w:rPr>
                <w:sz w:val="19"/>
              </w:rPr>
              <w:t>1 Jan 2004 (see r. 2)</w:t>
            </w:r>
          </w:p>
        </w:tc>
      </w:tr>
      <w:tr>
        <w:trPr>
          <w:cantSplit/>
        </w:trPr>
        <w:tc>
          <w:tcPr>
            <w:tcW w:w="3119" w:type="dxa"/>
          </w:tcPr>
          <w:p>
            <w:pPr>
              <w:pStyle w:val="nTable"/>
              <w:spacing w:after="40"/>
              <w:rPr>
                <w:i/>
                <w:sz w:val="19"/>
              </w:rPr>
            </w:pPr>
            <w:r>
              <w:rPr>
                <w:i/>
                <w:sz w:val="19"/>
              </w:rPr>
              <w:t>Liquor Licensing Amendment Regulations (No. 3) 2003</w:t>
            </w:r>
          </w:p>
        </w:tc>
        <w:tc>
          <w:tcPr>
            <w:tcW w:w="1276" w:type="dxa"/>
          </w:tcPr>
          <w:p>
            <w:pPr>
              <w:pStyle w:val="nTable"/>
              <w:spacing w:after="40"/>
              <w:rPr>
                <w:sz w:val="19"/>
              </w:rPr>
            </w:pPr>
            <w:r>
              <w:rPr>
                <w:sz w:val="19"/>
              </w:rPr>
              <w:t>10 Oct 2003 p. 4405</w:t>
            </w:r>
            <w:r>
              <w:rPr>
                <w:sz w:val="19"/>
              </w:rPr>
              <w:noBreakHyphen/>
              <w:t>6</w:t>
            </w:r>
          </w:p>
        </w:tc>
        <w:tc>
          <w:tcPr>
            <w:tcW w:w="2693" w:type="dxa"/>
          </w:tcPr>
          <w:p>
            <w:pPr>
              <w:pStyle w:val="nTable"/>
              <w:spacing w:after="40"/>
              <w:rPr>
                <w:sz w:val="19"/>
              </w:rPr>
            </w:pPr>
            <w:r>
              <w:rPr>
                <w:sz w:val="19"/>
              </w:rPr>
              <w:t xml:space="preserve">10 Oct 2003 </w:t>
            </w:r>
          </w:p>
        </w:tc>
      </w:tr>
      <w:tr>
        <w:trPr>
          <w:cantSplit/>
        </w:trPr>
        <w:tc>
          <w:tcPr>
            <w:tcW w:w="3119" w:type="dxa"/>
          </w:tcPr>
          <w:p>
            <w:pPr>
              <w:pStyle w:val="nTable"/>
              <w:spacing w:after="40"/>
              <w:rPr>
                <w:i/>
                <w:sz w:val="19"/>
              </w:rPr>
            </w:pPr>
            <w:r>
              <w:rPr>
                <w:i/>
                <w:sz w:val="19"/>
              </w:rPr>
              <w:t>Liquor Licensing Amendment Regulations (No. 6) 2003</w:t>
            </w:r>
          </w:p>
        </w:tc>
        <w:tc>
          <w:tcPr>
            <w:tcW w:w="1276" w:type="dxa"/>
          </w:tcPr>
          <w:p>
            <w:pPr>
              <w:pStyle w:val="nTable"/>
              <w:spacing w:after="40"/>
              <w:rPr>
                <w:sz w:val="19"/>
              </w:rPr>
            </w:pPr>
            <w:r>
              <w:rPr>
                <w:sz w:val="19"/>
              </w:rPr>
              <w:t>28 Oct 2003 p. 4527</w:t>
            </w:r>
            <w:r>
              <w:rPr>
                <w:sz w:val="19"/>
              </w:rPr>
              <w:noBreakHyphen/>
              <w:t>9</w:t>
            </w:r>
          </w:p>
        </w:tc>
        <w:tc>
          <w:tcPr>
            <w:tcW w:w="2693" w:type="dxa"/>
          </w:tcPr>
          <w:p>
            <w:pPr>
              <w:pStyle w:val="nTable"/>
              <w:spacing w:after="40"/>
              <w:rPr>
                <w:sz w:val="19"/>
              </w:rPr>
            </w:pPr>
            <w:r>
              <w:rPr>
                <w:sz w:val="19"/>
              </w:rPr>
              <w:t>28 Oct 2003</w:t>
            </w:r>
          </w:p>
        </w:tc>
      </w:tr>
      <w:tr>
        <w:trPr>
          <w:cantSplit/>
        </w:trPr>
        <w:tc>
          <w:tcPr>
            <w:tcW w:w="3119" w:type="dxa"/>
          </w:tcPr>
          <w:p>
            <w:pPr>
              <w:pStyle w:val="nTable"/>
              <w:spacing w:after="40"/>
              <w:rPr>
                <w:sz w:val="19"/>
              </w:rPr>
            </w:pPr>
            <w:r>
              <w:rPr>
                <w:i/>
                <w:sz w:val="19"/>
              </w:rPr>
              <w:t>Racing and Gambling (Miscellaneous) Amendment Regulations 2004</w:t>
            </w:r>
            <w:r>
              <w:rPr>
                <w:sz w:val="19"/>
              </w:rPr>
              <w:t xml:space="preserve"> Pt. 7</w:t>
            </w:r>
          </w:p>
        </w:tc>
        <w:tc>
          <w:tcPr>
            <w:tcW w:w="1276" w:type="dxa"/>
          </w:tcPr>
          <w:p>
            <w:pPr>
              <w:pStyle w:val="nTable"/>
              <w:spacing w:after="40"/>
              <w:rPr>
                <w:sz w:val="19"/>
              </w:rPr>
            </w:pPr>
            <w:r>
              <w:rPr>
                <w:sz w:val="19"/>
              </w:rPr>
              <w:t>30 Jan 2004 p. 413</w:t>
            </w:r>
            <w:r>
              <w:rPr>
                <w:sz w:val="19"/>
              </w:rPr>
              <w:noBreakHyphen/>
              <w:t>18</w:t>
            </w:r>
          </w:p>
        </w:tc>
        <w:tc>
          <w:tcPr>
            <w:tcW w:w="2693" w:type="dxa"/>
          </w:tcPr>
          <w:p>
            <w:pPr>
              <w:pStyle w:val="nTable"/>
              <w:spacing w:after="40"/>
              <w:rPr>
                <w:sz w:val="19"/>
              </w:rPr>
            </w:pPr>
            <w:r>
              <w:rPr>
                <w:sz w:val="19"/>
              </w:rPr>
              <w:t>30 Jan 2004 (see r. 2)</w:t>
            </w:r>
          </w:p>
        </w:tc>
      </w:tr>
      <w:tr>
        <w:trPr>
          <w:cantSplit/>
        </w:trPr>
        <w:tc>
          <w:tcPr>
            <w:tcW w:w="7088" w:type="dxa"/>
            <w:gridSpan w:val="3"/>
          </w:tcPr>
          <w:p>
            <w:pPr>
              <w:pStyle w:val="nTable"/>
              <w:spacing w:after="40"/>
              <w:rPr>
                <w:sz w:val="19"/>
              </w:rPr>
            </w:pPr>
            <w:r>
              <w:rPr>
                <w:b/>
                <w:sz w:val="19"/>
              </w:rPr>
              <w:t xml:space="preserve">Reprint 4: The </w:t>
            </w:r>
            <w:r>
              <w:rPr>
                <w:b/>
                <w:i/>
                <w:sz w:val="19"/>
              </w:rPr>
              <w:t>Liquor Licensing Regulations 1989</w:t>
            </w:r>
            <w:r>
              <w:rPr>
                <w:b/>
                <w:sz w:val="19"/>
              </w:rPr>
              <w:t xml:space="preserve"> as at 2 Apr 2004 </w:t>
            </w:r>
            <w:r>
              <w:rPr>
                <w:sz w:val="19"/>
              </w:rPr>
              <w:t>(includes amendments listed above)</w:t>
            </w:r>
          </w:p>
        </w:tc>
      </w:tr>
      <w:tr>
        <w:trPr>
          <w:cantSplit/>
        </w:trPr>
        <w:tc>
          <w:tcPr>
            <w:tcW w:w="3119" w:type="dxa"/>
          </w:tcPr>
          <w:p>
            <w:pPr>
              <w:pStyle w:val="nTable"/>
              <w:spacing w:after="40"/>
              <w:rPr>
                <w:sz w:val="19"/>
              </w:rPr>
            </w:pPr>
            <w:r>
              <w:rPr>
                <w:i/>
                <w:sz w:val="19"/>
              </w:rPr>
              <w:t>Liquor Licensing Amendment Regulations 2004</w:t>
            </w:r>
            <w:r>
              <w:rPr>
                <w:sz w:val="19"/>
              </w:rPr>
              <w:t xml:space="preserve"> </w:t>
            </w:r>
            <w:r>
              <w:rPr>
                <w:sz w:val="19"/>
                <w:vertAlign w:val="superscript"/>
              </w:rPr>
              <w:t>9</w:t>
            </w:r>
          </w:p>
        </w:tc>
        <w:tc>
          <w:tcPr>
            <w:tcW w:w="1276" w:type="dxa"/>
          </w:tcPr>
          <w:p>
            <w:pPr>
              <w:pStyle w:val="nTable"/>
              <w:spacing w:after="40"/>
              <w:rPr>
                <w:sz w:val="19"/>
              </w:rPr>
            </w:pPr>
            <w:r>
              <w:rPr>
                <w:sz w:val="19"/>
              </w:rPr>
              <w:t>9 Jul 2004 p. 2773</w:t>
            </w:r>
            <w:r>
              <w:rPr>
                <w:sz w:val="19"/>
              </w:rPr>
              <w:noBreakHyphen/>
              <w:t>7</w:t>
            </w:r>
          </w:p>
        </w:tc>
        <w:tc>
          <w:tcPr>
            <w:tcW w:w="2693" w:type="dxa"/>
          </w:tcPr>
          <w:p>
            <w:pPr>
              <w:pStyle w:val="nTable"/>
              <w:spacing w:after="40"/>
              <w:rPr>
                <w:sz w:val="19"/>
              </w:rPr>
            </w:pPr>
            <w:r>
              <w:rPr>
                <w:sz w:val="19"/>
              </w:rPr>
              <w:t>9 Jul 2004</w:t>
            </w:r>
          </w:p>
        </w:tc>
      </w:tr>
      <w:tr>
        <w:trPr>
          <w:cantSplit/>
        </w:trPr>
        <w:tc>
          <w:tcPr>
            <w:tcW w:w="3119" w:type="dxa"/>
          </w:tcPr>
          <w:p>
            <w:pPr>
              <w:pStyle w:val="nTable"/>
              <w:spacing w:after="40"/>
              <w:rPr>
                <w:i/>
                <w:sz w:val="19"/>
              </w:rPr>
            </w:pPr>
            <w:r>
              <w:rPr>
                <w:i/>
                <w:sz w:val="19"/>
              </w:rPr>
              <w:t>Liquor Licensing Amendment Regulations (No. 2) 2004</w:t>
            </w:r>
          </w:p>
        </w:tc>
        <w:tc>
          <w:tcPr>
            <w:tcW w:w="1276" w:type="dxa"/>
          </w:tcPr>
          <w:p>
            <w:pPr>
              <w:pStyle w:val="nTable"/>
              <w:spacing w:after="40"/>
              <w:rPr>
                <w:sz w:val="19"/>
              </w:rPr>
            </w:pPr>
            <w:r>
              <w:rPr>
                <w:sz w:val="19"/>
              </w:rPr>
              <w:t>9 Jul 2004 p. 2778</w:t>
            </w:r>
            <w:r>
              <w:rPr>
                <w:sz w:val="19"/>
              </w:rPr>
              <w:noBreakHyphen/>
              <w:t>80</w:t>
            </w:r>
          </w:p>
        </w:tc>
        <w:tc>
          <w:tcPr>
            <w:tcW w:w="2693" w:type="dxa"/>
          </w:tcPr>
          <w:p>
            <w:pPr>
              <w:pStyle w:val="nTable"/>
              <w:spacing w:after="40"/>
              <w:rPr>
                <w:sz w:val="19"/>
              </w:rPr>
            </w:pPr>
            <w:r>
              <w:rPr>
                <w:sz w:val="19"/>
              </w:rPr>
              <w:t>1 Jan 2005 (see r. 2)</w:t>
            </w:r>
          </w:p>
        </w:tc>
      </w:tr>
      <w:tr>
        <w:trPr>
          <w:cantSplit/>
        </w:trPr>
        <w:tc>
          <w:tcPr>
            <w:tcW w:w="3119" w:type="dxa"/>
          </w:tcPr>
          <w:p>
            <w:pPr>
              <w:pStyle w:val="nTable"/>
              <w:spacing w:after="40"/>
              <w:rPr>
                <w:i/>
                <w:sz w:val="19"/>
              </w:rPr>
            </w:pPr>
            <w:r>
              <w:rPr>
                <w:i/>
                <w:sz w:val="19"/>
              </w:rPr>
              <w:t>Liquor Licensing Amendment Regulations (No. 3) 2004</w:t>
            </w:r>
          </w:p>
        </w:tc>
        <w:tc>
          <w:tcPr>
            <w:tcW w:w="1276" w:type="dxa"/>
          </w:tcPr>
          <w:p>
            <w:pPr>
              <w:pStyle w:val="nTable"/>
              <w:spacing w:after="40"/>
              <w:rPr>
                <w:sz w:val="19"/>
              </w:rPr>
            </w:pPr>
            <w:r>
              <w:rPr>
                <w:sz w:val="19"/>
              </w:rPr>
              <w:t>10 Aug 2004 p. 3186</w:t>
            </w:r>
          </w:p>
        </w:tc>
        <w:tc>
          <w:tcPr>
            <w:tcW w:w="2693" w:type="dxa"/>
          </w:tcPr>
          <w:p>
            <w:pPr>
              <w:pStyle w:val="nTable"/>
              <w:spacing w:after="40"/>
              <w:rPr>
                <w:sz w:val="19"/>
              </w:rPr>
            </w:pPr>
            <w:r>
              <w:rPr>
                <w:sz w:val="19"/>
              </w:rPr>
              <w:t>10 Aug 2004</w:t>
            </w:r>
          </w:p>
        </w:tc>
      </w:tr>
      <w:tr>
        <w:trPr>
          <w:cantSplit/>
        </w:trPr>
        <w:tc>
          <w:tcPr>
            <w:tcW w:w="3119" w:type="dxa"/>
          </w:tcPr>
          <w:p>
            <w:pPr>
              <w:pStyle w:val="nTable"/>
              <w:spacing w:after="40"/>
              <w:rPr>
                <w:i/>
                <w:sz w:val="19"/>
              </w:rPr>
            </w:pPr>
            <w:r>
              <w:rPr>
                <w:i/>
                <w:sz w:val="19"/>
              </w:rPr>
              <w:t>Liquor Licensing Amendment Regulations (No. 6) 2004</w:t>
            </w:r>
          </w:p>
        </w:tc>
        <w:tc>
          <w:tcPr>
            <w:tcW w:w="1276" w:type="dxa"/>
          </w:tcPr>
          <w:p>
            <w:pPr>
              <w:pStyle w:val="nTable"/>
              <w:spacing w:after="40"/>
              <w:rPr>
                <w:sz w:val="19"/>
              </w:rPr>
            </w:pPr>
            <w:r>
              <w:rPr>
                <w:sz w:val="19"/>
              </w:rPr>
              <w:t>30 Nov 2004 p. 5491</w:t>
            </w:r>
          </w:p>
        </w:tc>
        <w:tc>
          <w:tcPr>
            <w:tcW w:w="2693" w:type="dxa"/>
          </w:tcPr>
          <w:p>
            <w:pPr>
              <w:pStyle w:val="nTable"/>
              <w:spacing w:after="40"/>
              <w:rPr>
                <w:sz w:val="19"/>
              </w:rPr>
            </w:pPr>
            <w:r>
              <w:rPr>
                <w:sz w:val="19"/>
              </w:rPr>
              <w:t>30 Nov 2004</w:t>
            </w:r>
          </w:p>
        </w:tc>
      </w:tr>
      <w:tr>
        <w:trPr>
          <w:cantSplit/>
        </w:trPr>
        <w:tc>
          <w:tcPr>
            <w:tcW w:w="3119" w:type="dxa"/>
          </w:tcPr>
          <w:p>
            <w:pPr>
              <w:pStyle w:val="nTable"/>
              <w:spacing w:after="40"/>
              <w:rPr>
                <w:i/>
                <w:sz w:val="19"/>
              </w:rPr>
            </w:pPr>
            <w:r>
              <w:rPr>
                <w:i/>
                <w:sz w:val="19"/>
              </w:rPr>
              <w:t>Liquor Licensing Amendment Regulations 2005</w:t>
            </w:r>
          </w:p>
        </w:tc>
        <w:tc>
          <w:tcPr>
            <w:tcW w:w="1276" w:type="dxa"/>
          </w:tcPr>
          <w:p>
            <w:pPr>
              <w:pStyle w:val="nTable"/>
              <w:spacing w:after="40"/>
              <w:rPr>
                <w:sz w:val="19"/>
              </w:rPr>
            </w:pPr>
            <w:r>
              <w:rPr>
                <w:sz w:val="19"/>
              </w:rPr>
              <w:t>11 Jan 2005 p. 98</w:t>
            </w:r>
            <w:r>
              <w:rPr>
                <w:sz w:val="19"/>
              </w:rPr>
              <w:noBreakHyphen/>
              <w:t>9</w:t>
            </w:r>
          </w:p>
        </w:tc>
        <w:tc>
          <w:tcPr>
            <w:tcW w:w="2693" w:type="dxa"/>
          </w:tcPr>
          <w:p>
            <w:pPr>
              <w:pStyle w:val="nTable"/>
              <w:spacing w:after="40"/>
              <w:rPr>
                <w:sz w:val="19"/>
              </w:rPr>
            </w:pPr>
            <w:r>
              <w:rPr>
                <w:sz w:val="19"/>
              </w:rPr>
              <w:t>11 Jan 2005</w:t>
            </w:r>
          </w:p>
        </w:tc>
      </w:tr>
      <w:tr>
        <w:trPr>
          <w:cantSplit/>
        </w:trPr>
        <w:tc>
          <w:tcPr>
            <w:tcW w:w="3119" w:type="dxa"/>
          </w:tcPr>
          <w:p>
            <w:pPr>
              <w:pStyle w:val="nTable"/>
              <w:spacing w:after="40"/>
              <w:rPr>
                <w:i/>
                <w:sz w:val="19"/>
              </w:rPr>
            </w:pPr>
            <w:r>
              <w:rPr>
                <w:i/>
                <w:sz w:val="19"/>
              </w:rPr>
              <w:t>Liquor Licensing Amendment Regulations (No. 2) 2005</w:t>
            </w:r>
          </w:p>
        </w:tc>
        <w:tc>
          <w:tcPr>
            <w:tcW w:w="1276" w:type="dxa"/>
          </w:tcPr>
          <w:p>
            <w:pPr>
              <w:pStyle w:val="nTable"/>
              <w:spacing w:after="40"/>
              <w:rPr>
                <w:sz w:val="19"/>
              </w:rPr>
            </w:pPr>
            <w:r>
              <w:rPr>
                <w:sz w:val="19"/>
              </w:rPr>
              <w:t>19 Aug 2005 p. 3873</w:t>
            </w:r>
            <w:r>
              <w:rPr>
                <w:sz w:val="19"/>
              </w:rPr>
              <w:noBreakHyphen/>
              <w:t>4</w:t>
            </w:r>
          </w:p>
        </w:tc>
        <w:tc>
          <w:tcPr>
            <w:tcW w:w="2693" w:type="dxa"/>
          </w:tcPr>
          <w:p>
            <w:pPr>
              <w:pStyle w:val="nTable"/>
              <w:spacing w:after="40"/>
              <w:rPr>
                <w:sz w:val="19"/>
              </w:rPr>
            </w:pPr>
            <w:r>
              <w:rPr>
                <w:sz w:val="19"/>
              </w:rPr>
              <w:t>19 Aug 2005</w:t>
            </w:r>
          </w:p>
        </w:tc>
      </w:tr>
      <w:tr>
        <w:trPr>
          <w:cantSplit/>
        </w:trPr>
        <w:tc>
          <w:tcPr>
            <w:tcW w:w="7088" w:type="dxa"/>
            <w:gridSpan w:val="3"/>
          </w:tcPr>
          <w:p>
            <w:pPr>
              <w:pStyle w:val="nTable"/>
              <w:spacing w:after="40"/>
              <w:rPr>
                <w:sz w:val="19"/>
              </w:rPr>
            </w:pPr>
            <w:r>
              <w:rPr>
                <w:b/>
                <w:sz w:val="19"/>
              </w:rPr>
              <w:t xml:space="preserve">Reprint 5: The </w:t>
            </w:r>
            <w:r>
              <w:rPr>
                <w:b/>
                <w:i/>
                <w:sz w:val="19"/>
              </w:rPr>
              <w:t>Liquor Licensing Regulations 1989</w:t>
            </w:r>
            <w:r>
              <w:rPr>
                <w:b/>
                <w:sz w:val="19"/>
              </w:rPr>
              <w:t xml:space="preserve"> as at 7 Oct 2005 </w:t>
            </w:r>
            <w:r>
              <w:rPr>
                <w:sz w:val="19"/>
              </w:rPr>
              <w:t>(includes amendments listed above)</w:t>
            </w:r>
          </w:p>
        </w:tc>
      </w:tr>
      <w:tr>
        <w:trPr>
          <w:cantSplit/>
        </w:trPr>
        <w:tc>
          <w:tcPr>
            <w:tcW w:w="3119" w:type="dxa"/>
          </w:tcPr>
          <w:p>
            <w:pPr>
              <w:pStyle w:val="nTable"/>
              <w:spacing w:after="40"/>
              <w:rPr>
                <w:i/>
                <w:sz w:val="19"/>
              </w:rPr>
            </w:pPr>
            <w:r>
              <w:rPr>
                <w:i/>
                <w:sz w:val="19"/>
              </w:rPr>
              <w:t>Liquor Licensing Amendment Regulations (No. 3) 2005</w:t>
            </w:r>
          </w:p>
        </w:tc>
        <w:tc>
          <w:tcPr>
            <w:tcW w:w="1276" w:type="dxa"/>
          </w:tcPr>
          <w:p>
            <w:pPr>
              <w:pStyle w:val="nTable"/>
              <w:spacing w:after="40"/>
              <w:rPr>
                <w:sz w:val="19"/>
              </w:rPr>
            </w:pPr>
            <w:r>
              <w:rPr>
                <w:sz w:val="19"/>
              </w:rPr>
              <w:t>14 Oct 2005 p. 4564</w:t>
            </w:r>
            <w:r>
              <w:rPr>
                <w:sz w:val="19"/>
              </w:rPr>
              <w:noBreakHyphen/>
              <w:t>6</w:t>
            </w:r>
          </w:p>
        </w:tc>
        <w:tc>
          <w:tcPr>
            <w:tcW w:w="2693" w:type="dxa"/>
          </w:tcPr>
          <w:p>
            <w:pPr>
              <w:pStyle w:val="nTable"/>
              <w:spacing w:after="40"/>
              <w:rPr>
                <w:sz w:val="19"/>
              </w:rPr>
            </w:pPr>
            <w:r>
              <w:rPr>
                <w:sz w:val="19"/>
              </w:rPr>
              <w:t>1 Jan 2006 (see r. 2)</w:t>
            </w:r>
          </w:p>
        </w:tc>
      </w:tr>
      <w:tr>
        <w:trPr>
          <w:cantSplit/>
        </w:trPr>
        <w:tc>
          <w:tcPr>
            <w:tcW w:w="3119" w:type="dxa"/>
          </w:tcPr>
          <w:p>
            <w:pPr>
              <w:pStyle w:val="nTable"/>
              <w:spacing w:after="40"/>
              <w:rPr>
                <w:i/>
                <w:sz w:val="19"/>
              </w:rPr>
            </w:pPr>
            <w:r>
              <w:rPr>
                <w:i/>
                <w:sz w:val="19"/>
              </w:rPr>
              <w:t>Liquor Licensing Amendment Regulations 2006</w:t>
            </w:r>
          </w:p>
        </w:tc>
        <w:tc>
          <w:tcPr>
            <w:tcW w:w="1276" w:type="dxa"/>
          </w:tcPr>
          <w:p>
            <w:pPr>
              <w:pStyle w:val="nTable"/>
              <w:spacing w:after="40"/>
              <w:rPr>
                <w:sz w:val="19"/>
              </w:rPr>
            </w:pPr>
            <w:r>
              <w:rPr>
                <w:sz w:val="19"/>
              </w:rPr>
              <w:t>14 Feb 2006 p. 695</w:t>
            </w:r>
            <w:r>
              <w:rPr>
                <w:sz w:val="19"/>
              </w:rPr>
              <w:noBreakHyphen/>
              <w:t>6</w:t>
            </w:r>
          </w:p>
        </w:tc>
        <w:tc>
          <w:tcPr>
            <w:tcW w:w="2693" w:type="dxa"/>
          </w:tcPr>
          <w:p>
            <w:pPr>
              <w:pStyle w:val="nTable"/>
              <w:spacing w:after="40"/>
              <w:rPr>
                <w:sz w:val="19"/>
              </w:rPr>
            </w:pPr>
            <w:r>
              <w:rPr>
                <w:sz w:val="19"/>
              </w:rPr>
              <w:t>14 Feb 2006</w:t>
            </w:r>
          </w:p>
        </w:tc>
      </w:tr>
      <w:tr>
        <w:trPr>
          <w:cantSplit/>
        </w:trPr>
        <w:tc>
          <w:tcPr>
            <w:tcW w:w="3119" w:type="dxa"/>
          </w:tcPr>
          <w:p>
            <w:pPr>
              <w:pStyle w:val="nTable"/>
              <w:spacing w:after="40"/>
              <w:rPr>
                <w:i/>
                <w:sz w:val="19"/>
              </w:rPr>
            </w:pPr>
            <w:r>
              <w:rPr>
                <w:i/>
                <w:sz w:val="19"/>
              </w:rPr>
              <w:t>Liquor Licensing Amendment Regulations (No. 2) 2006</w:t>
            </w:r>
            <w:r>
              <w:rPr>
                <w:sz w:val="19"/>
              </w:rPr>
              <w:t xml:space="preserve"> </w:t>
            </w:r>
          </w:p>
        </w:tc>
        <w:tc>
          <w:tcPr>
            <w:tcW w:w="1276" w:type="dxa"/>
          </w:tcPr>
          <w:p>
            <w:pPr>
              <w:pStyle w:val="nTable"/>
              <w:spacing w:after="40"/>
              <w:rPr>
                <w:sz w:val="19"/>
              </w:rPr>
            </w:pPr>
            <w:r>
              <w:rPr>
                <w:sz w:val="19"/>
              </w:rPr>
              <w:t>14 Nov 2006 p. 4734</w:t>
            </w:r>
            <w:r>
              <w:rPr>
                <w:sz w:val="19"/>
              </w:rPr>
              <w:noBreakHyphen/>
              <w:t>5</w:t>
            </w:r>
          </w:p>
        </w:tc>
        <w:tc>
          <w:tcPr>
            <w:tcW w:w="2693" w:type="dxa"/>
          </w:tcPr>
          <w:p>
            <w:pPr>
              <w:pStyle w:val="nTable"/>
              <w:spacing w:after="40"/>
              <w:rPr>
                <w:sz w:val="19"/>
              </w:rPr>
            </w:pPr>
            <w:r>
              <w:rPr>
                <w:snapToGrid w:val="0"/>
                <w:sz w:val="19"/>
                <w:lang w:val="en-US"/>
              </w:rPr>
              <w:t>1 Jan 2007 (see r. 2)</w:t>
            </w:r>
          </w:p>
        </w:tc>
      </w:tr>
      <w:tr>
        <w:trPr>
          <w:cantSplit/>
        </w:trPr>
        <w:tc>
          <w:tcPr>
            <w:tcW w:w="3119" w:type="dxa"/>
          </w:tcPr>
          <w:p>
            <w:pPr>
              <w:pStyle w:val="nTable"/>
              <w:spacing w:after="40"/>
              <w:rPr>
                <w:iCs/>
                <w:sz w:val="19"/>
              </w:rPr>
            </w:pPr>
            <w:r>
              <w:rPr>
                <w:i/>
                <w:sz w:val="19"/>
              </w:rPr>
              <w:t>Liquor Licensing Amendment Regulations 2007</w:t>
            </w:r>
          </w:p>
        </w:tc>
        <w:tc>
          <w:tcPr>
            <w:tcW w:w="1276" w:type="dxa"/>
          </w:tcPr>
          <w:p>
            <w:pPr>
              <w:pStyle w:val="nTable"/>
              <w:spacing w:after="40"/>
              <w:rPr>
                <w:sz w:val="19"/>
              </w:rPr>
            </w:pPr>
            <w:r>
              <w:rPr>
                <w:sz w:val="19"/>
              </w:rPr>
              <w:t>1 May 2007 p. 1861</w:t>
            </w:r>
            <w:r>
              <w:rPr>
                <w:sz w:val="19"/>
              </w:rPr>
              <w:noBreakHyphen/>
              <w:t>89</w:t>
            </w:r>
          </w:p>
        </w:tc>
        <w:tc>
          <w:tcPr>
            <w:tcW w:w="2693" w:type="dxa"/>
          </w:tcPr>
          <w:p>
            <w:pPr>
              <w:pStyle w:val="nTable"/>
              <w:spacing w:after="40"/>
              <w:rPr>
                <w:snapToGrid w:val="0"/>
                <w:sz w:val="19"/>
                <w:lang w:val="en-US"/>
              </w:rPr>
            </w:pPr>
            <w:r>
              <w:rPr>
                <w:sz w:val="19"/>
              </w:rPr>
              <w:t>r. 1 and 2: 1 May 2007 (see r. 2(a));</w:t>
            </w:r>
            <w:r>
              <w:rPr>
                <w:sz w:val="19"/>
              </w:rPr>
              <w:br/>
              <w:t>r. 3</w:t>
            </w:r>
            <w:r>
              <w:rPr>
                <w:sz w:val="19"/>
              </w:rPr>
              <w:noBreakHyphen/>
              <w:t>17 and 20</w:t>
            </w:r>
            <w:r>
              <w:rPr>
                <w:sz w:val="19"/>
              </w:rPr>
              <w:noBreakHyphen/>
              <w:t>26: 7 May 2007 (see r. 2(d));</w:t>
            </w:r>
            <w:r>
              <w:rPr>
                <w:sz w:val="19"/>
              </w:rPr>
              <w:br/>
              <w:t xml:space="preserve">r. 18 and 19: 1 Aug 2007 (see r. 2(b) and (c) and </w:t>
            </w:r>
            <w:r>
              <w:rPr>
                <w:i/>
                <w:iCs/>
                <w:sz w:val="19"/>
              </w:rPr>
              <w:t>Gazette</w:t>
            </w:r>
            <w:r>
              <w:rPr>
                <w:sz w:val="19"/>
              </w:rPr>
              <w:t xml:space="preserve"> 20 Jul 2007 p. 3629)</w:t>
            </w:r>
          </w:p>
        </w:tc>
      </w:tr>
      <w:tr>
        <w:trPr>
          <w:cantSplit/>
        </w:trPr>
        <w:tc>
          <w:tcPr>
            <w:tcW w:w="7088" w:type="dxa"/>
            <w:gridSpan w:val="3"/>
          </w:tcPr>
          <w:p>
            <w:pPr>
              <w:pStyle w:val="nTable"/>
              <w:spacing w:after="40"/>
              <w:rPr>
                <w:sz w:val="19"/>
              </w:rPr>
            </w:pPr>
            <w:r>
              <w:rPr>
                <w:b/>
                <w:sz w:val="19"/>
              </w:rPr>
              <w:t xml:space="preserve">Reprint 6: The </w:t>
            </w:r>
            <w:r>
              <w:rPr>
                <w:b/>
                <w:i/>
                <w:sz w:val="19"/>
              </w:rPr>
              <w:t>Liquor Control Regulations 1989</w:t>
            </w:r>
            <w:r>
              <w:rPr>
                <w:b/>
                <w:sz w:val="19"/>
              </w:rPr>
              <w:t xml:space="preserve"> as at 6 Jul 2007 </w:t>
            </w:r>
            <w:r>
              <w:rPr>
                <w:sz w:val="19"/>
              </w:rPr>
              <w:t xml:space="preserve">(includes amendments listed above except those in the </w:t>
            </w:r>
            <w:r>
              <w:rPr>
                <w:i/>
                <w:iCs/>
                <w:sz w:val="19"/>
              </w:rPr>
              <w:t>Liquor Licensing Amendment Regulations 2007</w:t>
            </w:r>
            <w:r>
              <w:rPr>
                <w:sz w:val="19"/>
              </w:rPr>
              <w:t xml:space="preserve"> r. 18 and 19)</w:t>
            </w:r>
          </w:p>
        </w:tc>
      </w:tr>
      <w:tr>
        <w:trPr>
          <w:cantSplit/>
        </w:trPr>
        <w:tc>
          <w:tcPr>
            <w:tcW w:w="3119" w:type="dxa"/>
          </w:tcPr>
          <w:p>
            <w:pPr>
              <w:pStyle w:val="nTable"/>
              <w:spacing w:after="40"/>
              <w:rPr>
                <w:rFonts w:ascii="Times" w:hAnsi="Times"/>
                <w:iCs/>
                <w:sz w:val="19"/>
                <w:vertAlign w:val="superscript"/>
              </w:rPr>
            </w:pPr>
            <w:r>
              <w:rPr>
                <w:rFonts w:ascii="Times" w:hAnsi="Times"/>
                <w:i/>
                <w:sz w:val="19"/>
              </w:rPr>
              <w:t>Liquor Control Amendment Regulations (No. 2) 2007 </w:t>
            </w:r>
            <w:r>
              <w:rPr>
                <w:rFonts w:ascii="Times" w:hAnsi="Times"/>
                <w:iCs/>
                <w:sz w:val="19"/>
                <w:vertAlign w:val="superscript"/>
              </w:rPr>
              <w:t>10</w:t>
            </w:r>
          </w:p>
        </w:tc>
        <w:tc>
          <w:tcPr>
            <w:tcW w:w="1276" w:type="dxa"/>
          </w:tcPr>
          <w:p>
            <w:pPr>
              <w:pStyle w:val="nTable"/>
              <w:spacing w:after="40"/>
              <w:rPr>
                <w:rFonts w:ascii="Times" w:hAnsi="Times"/>
                <w:sz w:val="19"/>
              </w:rPr>
            </w:pPr>
            <w:r>
              <w:rPr>
                <w:rFonts w:ascii="Times" w:hAnsi="Times"/>
                <w:sz w:val="19"/>
              </w:rPr>
              <w:t>28 Sep 2007 p. 4928</w:t>
            </w:r>
            <w:r>
              <w:rPr>
                <w:rFonts w:ascii="Times" w:hAnsi="Times"/>
                <w:sz w:val="19"/>
              </w:rPr>
              <w:noBreakHyphen/>
              <w:t>32</w:t>
            </w:r>
          </w:p>
        </w:tc>
        <w:tc>
          <w:tcPr>
            <w:tcW w:w="2693" w:type="dxa"/>
          </w:tcPr>
          <w:p>
            <w:pPr>
              <w:pStyle w:val="nTable"/>
              <w:spacing w:after="40"/>
              <w:rPr>
                <w:rFonts w:ascii="Times" w:hAnsi="Times"/>
                <w:sz w:val="19"/>
              </w:rPr>
            </w:pPr>
            <w:r>
              <w:rPr>
                <w:rFonts w:ascii="Times" w:hAnsi="Times"/>
                <w:snapToGrid w:val="0"/>
                <w:sz w:val="19"/>
                <w:lang w:val="en-US"/>
              </w:rPr>
              <w:t>r. 1 and 2: 28 Sep 2007 (see r. 2(a));</w:t>
            </w:r>
            <w:r>
              <w:rPr>
                <w:rFonts w:ascii="Times" w:hAnsi="Times"/>
                <w:snapToGrid w:val="0"/>
                <w:sz w:val="19"/>
                <w:lang w:val="en-US"/>
              </w:rPr>
              <w:br/>
              <w:t>Regulations other than r. 1 and 2: 29 Sep 2007 (see r. 2(b))</w:t>
            </w:r>
          </w:p>
        </w:tc>
      </w:tr>
      <w:tr>
        <w:trPr>
          <w:cantSplit/>
        </w:trPr>
        <w:tc>
          <w:tcPr>
            <w:tcW w:w="3119" w:type="dxa"/>
          </w:tcPr>
          <w:p>
            <w:pPr>
              <w:pStyle w:val="nTable"/>
              <w:spacing w:after="40"/>
              <w:rPr>
                <w:rFonts w:ascii="Times" w:hAnsi="Times"/>
                <w:i/>
                <w:sz w:val="19"/>
              </w:rPr>
            </w:pPr>
            <w:r>
              <w:rPr>
                <w:rFonts w:ascii="Times" w:hAnsi="Times"/>
                <w:i/>
                <w:sz w:val="19"/>
              </w:rPr>
              <w:t>Liquor Control Amendment Regulations (No. 5) 2007</w:t>
            </w:r>
          </w:p>
        </w:tc>
        <w:tc>
          <w:tcPr>
            <w:tcW w:w="1276" w:type="dxa"/>
          </w:tcPr>
          <w:p>
            <w:pPr>
              <w:pStyle w:val="nTable"/>
              <w:spacing w:after="40"/>
              <w:rPr>
                <w:rFonts w:ascii="Times" w:hAnsi="Times"/>
                <w:sz w:val="19"/>
              </w:rPr>
            </w:pPr>
            <w:r>
              <w:rPr>
                <w:rFonts w:ascii="Times" w:hAnsi="Times"/>
                <w:sz w:val="19"/>
              </w:rPr>
              <w:t>2 Oct 2007 p. 4974</w:t>
            </w:r>
          </w:p>
        </w:tc>
        <w:tc>
          <w:tcPr>
            <w:tcW w:w="2693" w:type="dxa"/>
          </w:tcPr>
          <w:p>
            <w:pPr>
              <w:pStyle w:val="nTable"/>
              <w:spacing w:after="40"/>
              <w:rPr>
                <w:rFonts w:ascii="Times" w:hAnsi="Times"/>
                <w:snapToGrid w:val="0"/>
                <w:sz w:val="19"/>
                <w:lang w:val="en-US"/>
              </w:rPr>
            </w:pPr>
            <w:r>
              <w:rPr>
                <w:rFonts w:ascii="Times" w:hAnsi="Times"/>
                <w:sz w:val="19"/>
              </w:rPr>
              <w:t>r. 1 and 2: 2 Oct 2007 (see r. 2(a));</w:t>
            </w:r>
            <w:r>
              <w:rPr>
                <w:rFonts w:ascii="Times" w:hAnsi="Times"/>
                <w:sz w:val="19"/>
              </w:rPr>
              <w:br/>
              <w:t>Regulations other than r. 1 and 2: 3 Oct 2007 (see r. 2(b))</w:t>
            </w:r>
          </w:p>
        </w:tc>
      </w:tr>
      <w:tr>
        <w:trPr>
          <w:cantSplit/>
        </w:trPr>
        <w:tc>
          <w:tcPr>
            <w:tcW w:w="3119" w:type="dxa"/>
          </w:tcPr>
          <w:p>
            <w:pPr>
              <w:pStyle w:val="nTable"/>
              <w:spacing w:after="40"/>
              <w:rPr>
                <w:rFonts w:ascii="Times" w:hAnsi="Times"/>
                <w:iCs/>
                <w:sz w:val="19"/>
              </w:rPr>
            </w:pPr>
            <w:r>
              <w:rPr>
                <w:rFonts w:ascii="Times" w:hAnsi="Times"/>
                <w:i/>
                <w:sz w:val="19"/>
              </w:rPr>
              <w:t>Liquor Control Amendment Regulations (No. 3) 2007</w:t>
            </w:r>
          </w:p>
        </w:tc>
        <w:tc>
          <w:tcPr>
            <w:tcW w:w="1276" w:type="dxa"/>
          </w:tcPr>
          <w:p>
            <w:pPr>
              <w:pStyle w:val="nTable"/>
              <w:spacing w:after="40"/>
              <w:rPr>
                <w:rFonts w:ascii="Times" w:hAnsi="Times"/>
                <w:sz w:val="19"/>
              </w:rPr>
            </w:pPr>
            <w:r>
              <w:rPr>
                <w:rFonts w:ascii="Times" w:hAnsi="Times"/>
                <w:sz w:val="19"/>
              </w:rPr>
              <w:t>9 Oct 2007 p. 5352</w:t>
            </w:r>
            <w:r>
              <w:rPr>
                <w:rFonts w:ascii="Times" w:hAnsi="Times"/>
                <w:sz w:val="19"/>
              </w:rPr>
              <w:noBreakHyphen/>
              <w:t>4</w:t>
            </w:r>
          </w:p>
        </w:tc>
        <w:tc>
          <w:tcPr>
            <w:tcW w:w="2693" w:type="dxa"/>
          </w:tcPr>
          <w:p>
            <w:pPr>
              <w:pStyle w:val="nTable"/>
              <w:spacing w:after="40"/>
              <w:rPr>
                <w:rFonts w:ascii="Times" w:hAnsi="Times"/>
                <w:sz w:val="19"/>
              </w:rPr>
            </w:pPr>
            <w:r>
              <w:rPr>
                <w:rFonts w:ascii="Times" w:hAnsi="Times"/>
                <w:snapToGrid w:val="0"/>
                <w:sz w:val="19"/>
                <w:lang w:val="en-US"/>
              </w:rPr>
              <w:t>r. 1 and 2: 9 Oct 2007 (see r. 2(a));</w:t>
            </w:r>
            <w:r>
              <w:rPr>
                <w:rFonts w:ascii="Times" w:hAnsi="Times"/>
                <w:snapToGrid w:val="0"/>
                <w:sz w:val="19"/>
                <w:lang w:val="en-US"/>
              </w:rPr>
              <w:br/>
              <w:t>Regulations other than r. 1 and 2: 1 Jan 2008 (see r. 2(b))</w:t>
            </w:r>
          </w:p>
        </w:tc>
      </w:tr>
      <w:tr>
        <w:trPr>
          <w:cantSplit/>
        </w:trPr>
        <w:tc>
          <w:tcPr>
            <w:tcW w:w="3119" w:type="dxa"/>
          </w:tcPr>
          <w:p>
            <w:pPr>
              <w:pStyle w:val="nTable"/>
              <w:spacing w:after="40"/>
              <w:rPr>
                <w:rFonts w:ascii="Times" w:hAnsi="Times"/>
                <w:i/>
                <w:sz w:val="19"/>
              </w:rPr>
            </w:pPr>
            <w:r>
              <w:rPr>
                <w:rFonts w:ascii="Times" w:hAnsi="Times"/>
                <w:sz w:val="19"/>
              </w:rPr>
              <w:br w:type="page"/>
            </w:r>
            <w:r>
              <w:rPr>
                <w:rFonts w:ascii="Times" w:hAnsi="Times"/>
                <w:i/>
                <w:sz w:val="19"/>
              </w:rPr>
              <w:t>Liquor Control Amendment Regulations (No. 2) 2008</w:t>
            </w:r>
          </w:p>
        </w:tc>
        <w:tc>
          <w:tcPr>
            <w:tcW w:w="1276" w:type="dxa"/>
          </w:tcPr>
          <w:p>
            <w:pPr>
              <w:pStyle w:val="nTable"/>
              <w:spacing w:after="40"/>
              <w:rPr>
                <w:rFonts w:ascii="Times" w:hAnsi="Times"/>
                <w:sz w:val="19"/>
              </w:rPr>
            </w:pPr>
            <w:r>
              <w:rPr>
                <w:rFonts w:ascii="Times" w:hAnsi="Times"/>
                <w:sz w:val="19"/>
              </w:rPr>
              <w:t>22 Apr 2008 p. 1545</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22 Apr 2008 (see r. 2(a));</w:t>
            </w:r>
            <w:r>
              <w:rPr>
                <w:rFonts w:ascii="Times" w:hAnsi="Times"/>
                <w:snapToGrid w:val="0"/>
                <w:sz w:val="19"/>
                <w:lang w:val="en-US"/>
              </w:rPr>
              <w:br/>
              <w:t>Regulations other than r. 1 and 2: 23 Apr 2008 (see r. 2(b))</w:t>
            </w:r>
          </w:p>
        </w:tc>
      </w:tr>
      <w:tr>
        <w:trPr>
          <w:cantSplit/>
        </w:trPr>
        <w:tc>
          <w:tcPr>
            <w:tcW w:w="3119" w:type="dxa"/>
          </w:tcPr>
          <w:p>
            <w:pPr>
              <w:pStyle w:val="nTable"/>
              <w:spacing w:after="40"/>
              <w:rPr>
                <w:rFonts w:ascii="Times" w:hAnsi="Times"/>
                <w:i/>
                <w:sz w:val="19"/>
              </w:rPr>
            </w:pPr>
            <w:r>
              <w:rPr>
                <w:rFonts w:ascii="Times" w:hAnsi="Times"/>
                <w:i/>
                <w:sz w:val="19"/>
              </w:rPr>
              <w:t>Liquor Control Amendment Regulations 2008</w:t>
            </w:r>
          </w:p>
        </w:tc>
        <w:tc>
          <w:tcPr>
            <w:tcW w:w="1276" w:type="dxa"/>
          </w:tcPr>
          <w:p>
            <w:pPr>
              <w:pStyle w:val="nTable"/>
              <w:spacing w:after="40"/>
              <w:rPr>
                <w:rFonts w:ascii="Times" w:hAnsi="Times"/>
                <w:sz w:val="19"/>
              </w:rPr>
            </w:pPr>
            <w:r>
              <w:rPr>
                <w:rFonts w:ascii="Times" w:hAnsi="Times"/>
                <w:sz w:val="19"/>
              </w:rPr>
              <w:t>2 May 2008 p. 1703</w:t>
            </w:r>
            <w:r>
              <w:rPr>
                <w:rFonts w:ascii="Times" w:hAnsi="Times"/>
                <w:sz w:val="19"/>
              </w:rPr>
              <w:noBreakHyphen/>
              <w:t>4</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 May 2008 (see r. 2(a));</w:t>
            </w:r>
            <w:r>
              <w:rPr>
                <w:rFonts w:ascii="Times" w:hAnsi="Times"/>
                <w:snapToGrid w:val="0"/>
                <w:sz w:val="19"/>
                <w:lang w:val="en-US"/>
              </w:rPr>
              <w:br/>
              <w:t>Regulations other than r. 1 and 2: 3 May 2008 (see r. 2(b))</w:t>
            </w:r>
          </w:p>
        </w:tc>
      </w:tr>
      <w:tr>
        <w:trPr>
          <w:cantSplit/>
        </w:trPr>
        <w:tc>
          <w:tcPr>
            <w:tcW w:w="7088" w:type="dxa"/>
            <w:gridSpan w:val="3"/>
          </w:tcPr>
          <w:p>
            <w:pPr>
              <w:pStyle w:val="nTable"/>
              <w:spacing w:after="40"/>
              <w:rPr>
                <w:snapToGrid w:val="0"/>
                <w:spacing w:val="-2"/>
                <w:sz w:val="19"/>
                <w:lang w:val="en-US"/>
              </w:rPr>
            </w:pPr>
            <w:r>
              <w:rPr>
                <w:b/>
                <w:sz w:val="19"/>
              </w:rPr>
              <w:t xml:space="preserve">Reprint 7: The </w:t>
            </w:r>
            <w:r>
              <w:rPr>
                <w:b/>
                <w:i/>
                <w:sz w:val="19"/>
              </w:rPr>
              <w:t>Liquor Control Regulations 1989</w:t>
            </w:r>
            <w:r>
              <w:rPr>
                <w:b/>
                <w:sz w:val="19"/>
              </w:rPr>
              <w:t xml:space="preserve"> as at 4 Jul 2008 </w:t>
            </w:r>
            <w:r>
              <w:rPr>
                <w:sz w:val="19"/>
              </w:rPr>
              <w:t>(includes amendments listed above)</w:t>
            </w:r>
          </w:p>
        </w:tc>
      </w:tr>
      <w:tr>
        <w:trPr>
          <w:cantSplit/>
        </w:trPr>
        <w:tc>
          <w:tcPr>
            <w:tcW w:w="3119" w:type="dxa"/>
          </w:tcPr>
          <w:p>
            <w:pPr>
              <w:pStyle w:val="nTable"/>
              <w:spacing w:after="40"/>
              <w:rPr>
                <w:rFonts w:ascii="Times" w:hAnsi="Times"/>
                <w:i/>
                <w:sz w:val="19"/>
              </w:rPr>
            </w:pPr>
            <w:r>
              <w:rPr>
                <w:rFonts w:ascii="Times" w:hAnsi="Times"/>
                <w:sz w:val="19"/>
              </w:rPr>
              <w:br w:type="page"/>
            </w:r>
            <w:r>
              <w:rPr>
                <w:rFonts w:ascii="Times" w:hAnsi="Times"/>
                <w:i/>
                <w:sz w:val="19"/>
              </w:rPr>
              <w:t>Liquor Control Amendment Regulations (No. 3) 2008</w:t>
            </w:r>
          </w:p>
        </w:tc>
        <w:tc>
          <w:tcPr>
            <w:tcW w:w="1276" w:type="dxa"/>
          </w:tcPr>
          <w:p>
            <w:pPr>
              <w:pStyle w:val="nTable"/>
              <w:spacing w:after="40"/>
              <w:rPr>
                <w:rFonts w:ascii="Times" w:hAnsi="Times"/>
                <w:sz w:val="19"/>
              </w:rPr>
            </w:pPr>
            <w:r>
              <w:rPr>
                <w:rFonts w:ascii="Times" w:hAnsi="Times"/>
                <w:sz w:val="19"/>
              </w:rPr>
              <w:t>24 Oct 2008 p. 4682</w:t>
            </w:r>
            <w:r>
              <w:rPr>
                <w:rFonts w:ascii="Times" w:hAnsi="Times"/>
                <w:sz w:val="19"/>
              </w:rPr>
              <w:noBreakHyphen/>
              <w:t>5</w:t>
            </w:r>
          </w:p>
        </w:tc>
        <w:tc>
          <w:tcPr>
            <w:tcW w:w="2693" w:type="dxa"/>
          </w:tcPr>
          <w:p>
            <w:pPr>
              <w:pStyle w:val="nTable"/>
              <w:spacing w:after="40"/>
              <w:rPr>
                <w:rFonts w:ascii="Times" w:hAnsi="Times"/>
                <w:snapToGrid w:val="0"/>
                <w:sz w:val="19"/>
                <w:lang w:val="en-US"/>
              </w:rPr>
            </w:pPr>
            <w:r>
              <w:rPr>
                <w:rFonts w:ascii="Times" w:hAnsi="Times"/>
                <w:snapToGrid w:val="0"/>
                <w:sz w:val="19"/>
                <w:lang w:val="en-US"/>
              </w:rPr>
              <w:t xml:space="preserve">r. 1 and 2: </w:t>
            </w:r>
            <w:r>
              <w:rPr>
                <w:rFonts w:ascii="Times" w:hAnsi="Times"/>
                <w:sz w:val="19"/>
              </w:rPr>
              <w:t>24 Oct 2008</w:t>
            </w:r>
            <w:r>
              <w:rPr>
                <w:rFonts w:ascii="Times" w:hAnsi="Times"/>
                <w:snapToGrid w:val="0"/>
                <w:sz w:val="19"/>
                <w:lang w:val="en-US"/>
              </w:rPr>
              <w:t xml:space="preserve"> (see r. 2(a));</w:t>
            </w:r>
            <w:r>
              <w:rPr>
                <w:rFonts w:ascii="Times" w:hAnsi="Times"/>
                <w:snapToGrid w:val="0"/>
                <w:sz w:val="19"/>
                <w:lang w:val="en-US"/>
              </w:rPr>
              <w:br/>
              <w:t xml:space="preserve">Regulations other than r. 1 and 2: </w:t>
            </w:r>
            <w:r>
              <w:rPr>
                <w:rFonts w:ascii="Times" w:hAnsi="Times"/>
                <w:sz w:val="19"/>
              </w:rPr>
              <w:t>25 Oct 2008</w:t>
            </w:r>
            <w:r>
              <w:rPr>
                <w:rFonts w:ascii="Times" w:hAnsi="Times"/>
                <w:snapToGrid w:val="0"/>
                <w:sz w:val="19"/>
                <w:lang w:val="en-US"/>
              </w:rPr>
              <w:t xml:space="preserve"> (see r. 2(b))</w:t>
            </w:r>
          </w:p>
        </w:tc>
      </w:tr>
      <w:tr>
        <w:trPr>
          <w:cantSplit/>
        </w:trPr>
        <w:tc>
          <w:tcPr>
            <w:tcW w:w="3119" w:type="dxa"/>
          </w:tcPr>
          <w:p>
            <w:pPr>
              <w:pStyle w:val="nTable"/>
              <w:spacing w:before="30" w:after="40"/>
              <w:rPr>
                <w:rFonts w:ascii="Times" w:hAnsi="Times"/>
                <w:i/>
                <w:iCs/>
                <w:sz w:val="19"/>
              </w:rPr>
            </w:pPr>
            <w:r>
              <w:rPr>
                <w:rFonts w:ascii="Times" w:hAnsi="Times"/>
                <w:i/>
                <w:sz w:val="19"/>
              </w:rPr>
              <w:t xml:space="preserve">Liquor Control Amendment Regulations (No. 4) 2008 </w:t>
            </w:r>
          </w:p>
        </w:tc>
        <w:tc>
          <w:tcPr>
            <w:tcW w:w="1276" w:type="dxa"/>
          </w:tcPr>
          <w:p>
            <w:pPr>
              <w:pStyle w:val="nTable"/>
              <w:spacing w:before="30" w:after="40"/>
              <w:rPr>
                <w:rFonts w:ascii="Times" w:hAnsi="Times"/>
                <w:sz w:val="19"/>
              </w:rPr>
            </w:pPr>
            <w:r>
              <w:rPr>
                <w:rFonts w:ascii="Times" w:hAnsi="Times"/>
                <w:sz w:val="19"/>
              </w:rPr>
              <w:t>28 Oct 2008 p. 4729</w:t>
            </w:r>
            <w:r>
              <w:rPr>
                <w:rFonts w:ascii="Times" w:hAnsi="Times"/>
                <w:sz w:val="19"/>
              </w:rPr>
              <w:noBreakHyphen/>
              <w:t>31</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28 Oct 2008 (see r. 2(a));</w:t>
            </w:r>
            <w:r>
              <w:rPr>
                <w:rFonts w:ascii="Times" w:hAnsi="Times"/>
                <w:snapToGrid w:val="0"/>
                <w:sz w:val="19"/>
                <w:lang w:val="en-US"/>
              </w:rPr>
              <w:br/>
              <w:t>Regulations other than r. 1 and 2: 1 Jan 2009 (see r. 2(b))</w:t>
            </w:r>
          </w:p>
        </w:tc>
      </w:tr>
      <w:tr>
        <w:trPr>
          <w:cantSplit/>
        </w:trPr>
        <w:tc>
          <w:tcPr>
            <w:tcW w:w="3119" w:type="dxa"/>
          </w:tcPr>
          <w:p>
            <w:pPr>
              <w:pStyle w:val="nTable"/>
              <w:spacing w:before="30" w:after="40"/>
              <w:rPr>
                <w:rFonts w:ascii="Times" w:hAnsi="Times"/>
                <w:i/>
                <w:iCs/>
                <w:sz w:val="19"/>
              </w:rPr>
            </w:pPr>
            <w:r>
              <w:rPr>
                <w:rFonts w:ascii="Times" w:hAnsi="Times"/>
                <w:i/>
                <w:iCs/>
                <w:sz w:val="19"/>
              </w:rPr>
              <w:t>Liquor Control Amendment Regulations (No. 5) 2008</w:t>
            </w:r>
          </w:p>
        </w:tc>
        <w:tc>
          <w:tcPr>
            <w:tcW w:w="1276" w:type="dxa"/>
          </w:tcPr>
          <w:p>
            <w:pPr>
              <w:pStyle w:val="nTable"/>
              <w:spacing w:before="30" w:after="40"/>
              <w:rPr>
                <w:rFonts w:ascii="Times" w:hAnsi="Times"/>
                <w:sz w:val="19"/>
              </w:rPr>
            </w:pPr>
            <w:r>
              <w:rPr>
                <w:rFonts w:ascii="Times" w:hAnsi="Times"/>
                <w:sz w:val="19"/>
              </w:rPr>
              <w:t>7 Nov 2008 p. 4821</w:t>
            </w:r>
            <w:r>
              <w:rPr>
                <w:rFonts w:ascii="Times" w:hAnsi="Times"/>
                <w:sz w:val="19"/>
              </w:rPr>
              <w:noBreakHyphen/>
              <w:t>2</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 xml:space="preserve">r. 1 and 2: </w:t>
            </w:r>
            <w:r>
              <w:rPr>
                <w:rFonts w:ascii="Times" w:hAnsi="Times"/>
                <w:sz w:val="19"/>
              </w:rPr>
              <w:t>7 Nov 2008</w:t>
            </w:r>
            <w:r>
              <w:rPr>
                <w:rFonts w:ascii="Times" w:hAnsi="Times"/>
                <w:snapToGrid w:val="0"/>
                <w:sz w:val="19"/>
                <w:lang w:val="en-US"/>
              </w:rPr>
              <w:t xml:space="preserve"> (see r. 2(a));</w:t>
            </w:r>
            <w:r>
              <w:rPr>
                <w:rFonts w:ascii="Times" w:hAnsi="Times"/>
                <w:snapToGrid w:val="0"/>
                <w:sz w:val="19"/>
                <w:lang w:val="en-US"/>
              </w:rPr>
              <w:br/>
              <w:t xml:space="preserve">Regulations other than r. 1 and 2: </w:t>
            </w:r>
            <w:r>
              <w:rPr>
                <w:rFonts w:ascii="Times" w:hAnsi="Times"/>
                <w:sz w:val="19"/>
              </w:rPr>
              <w:t>8 Nov 2008</w:t>
            </w:r>
            <w:r>
              <w:rPr>
                <w:rFonts w:ascii="Times" w:hAnsi="Times"/>
                <w:snapToGrid w:val="0"/>
                <w:sz w:val="19"/>
                <w:lang w:val="en-US"/>
              </w:rPr>
              <w:t xml:space="preserve"> (see r. 2(b))</w:t>
            </w:r>
          </w:p>
        </w:tc>
      </w:tr>
      <w:tr>
        <w:trPr>
          <w:cantSplit/>
        </w:trPr>
        <w:tc>
          <w:tcPr>
            <w:tcW w:w="3119" w:type="dxa"/>
          </w:tcPr>
          <w:p>
            <w:pPr>
              <w:pStyle w:val="nTable"/>
              <w:spacing w:before="30" w:after="40"/>
              <w:rPr>
                <w:rFonts w:ascii="Times" w:hAnsi="Times"/>
                <w:i/>
                <w:sz w:val="19"/>
              </w:rPr>
            </w:pPr>
            <w:r>
              <w:rPr>
                <w:rFonts w:ascii="Times" w:hAnsi="Times"/>
                <w:i/>
                <w:sz w:val="19"/>
              </w:rPr>
              <w:t>Liquor Control Amendment Regulations (No. 8) 2008</w:t>
            </w:r>
          </w:p>
        </w:tc>
        <w:tc>
          <w:tcPr>
            <w:tcW w:w="1276" w:type="dxa"/>
          </w:tcPr>
          <w:p>
            <w:pPr>
              <w:pStyle w:val="nTable"/>
              <w:spacing w:before="30" w:after="40"/>
              <w:rPr>
                <w:rFonts w:ascii="Times" w:hAnsi="Times"/>
                <w:sz w:val="19"/>
              </w:rPr>
            </w:pPr>
            <w:r>
              <w:rPr>
                <w:rFonts w:ascii="Times" w:hAnsi="Times"/>
                <w:sz w:val="19"/>
              </w:rPr>
              <w:t>6 Feb 2009 p. 247</w:t>
            </w:r>
            <w:r>
              <w:rPr>
                <w:rFonts w:ascii="Times" w:hAnsi="Times"/>
                <w:sz w:val="19"/>
              </w:rPr>
              <w:noBreakHyphen/>
              <w:t>8</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6 Feb 2009 (see r. 2(a));</w:t>
            </w:r>
            <w:r>
              <w:rPr>
                <w:rFonts w:ascii="Times" w:hAnsi="Times"/>
                <w:snapToGrid w:val="0"/>
                <w:sz w:val="19"/>
                <w:lang w:val="en-US"/>
              </w:rPr>
              <w:br/>
              <w:t>Regulations other than r. 1 and 2: 7 Feb 2009 (see r. 2(b))</w:t>
            </w:r>
          </w:p>
        </w:tc>
      </w:tr>
      <w:tr>
        <w:trPr>
          <w:cantSplit/>
        </w:trPr>
        <w:tc>
          <w:tcPr>
            <w:tcW w:w="3119" w:type="dxa"/>
          </w:tcPr>
          <w:p>
            <w:pPr>
              <w:pStyle w:val="nTable"/>
              <w:spacing w:before="30" w:after="40"/>
              <w:rPr>
                <w:rFonts w:ascii="Times" w:hAnsi="Times"/>
                <w:i/>
                <w:sz w:val="19"/>
              </w:rPr>
            </w:pPr>
            <w:r>
              <w:rPr>
                <w:rFonts w:ascii="Times" w:hAnsi="Times"/>
                <w:i/>
                <w:sz w:val="19"/>
              </w:rPr>
              <w:t>Liquor Control Amendment Regulations 2009</w:t>
            </w:r>
          </w:p>
        </w:tc>
        <w:tc>
          <w:tcPr>
            <w:tcW w:w="1276" w:type="dxa"/>
          </w:tcPr>
          <w:p>
            <w:pPr>
              <w:pStyle w:val="nTable"/>
              <w:spacing w:before="30" w:after="40"/>
              <w:rPr>
                <w:rFonts w:ascii="Times" w:hAnsi="Times"/>
                <w:sz w:val="19"/>
              </w:rPr>
            </w:pPr>
            <w:r>
              <w:rPr>
                <w:rFonts w:ascii="Times" w:hAnsi="Times"/>
                <w:sz w:val="19"/>
              </w:rPr>
              <w:t>13 Mar 2009 p. 763</w:t>
            </w:r>
            <w:r>
              <w:rPr>
                <w:rFonts w:ascii="Times" w:hAnsi="Times"/>
                <w:sz w:val="19"/>
              </w:rPr>
              <w:noBreakHyphen/>
              <w:t>4</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13 Mar 2009 (see r. 2(a));</w:t>
            </w:r>
            <w:r>
              <w:rPr>
                <w:rFonts w:ascii="Times" w:hAnsi="Times"/>
                <w:snapToGrid w:val="0"/>
                <w:sz w:val="19"/>
                <w:lang w:val="en-US"/>
              </w:rPr>
              <w:br/>
              <w:t>Regulations other than r. 1 and 2: 14 Mar 2009 (see r. 2(b))</w:t>
            </w:r>
          </w:p>
        </w:tc>
      </w:tr>
      <w:tr>
        <w:trPr>
          <w:cantSplit/>
        </w:trPr>
        <w:tc>
          <w:tcPr>
            <w:tcW w:w="3119" w:type="dxa"/>
          </w:tcPr>
          <w:p>
            <w:pPr>
              <w:pStyle w:val="nTable"/>
              <w:spacing w:before="30" w:after="40"/>
              <w:rPr>
                <w:rFonts w:ascii="Times" w:hAnsi="Times"/>
                <w:i/>
                <w:sz w:val="19"/>
              </w:rPr>
            </w:pPr>
            <w:r>
              <w:rPr>
                <w:rFonts w:ascii="Times" w:hAnsi="Times"/>
                <w:i/>
                <w:sz w:val="19"/>
              </w:rPr>
              <w:t>Liquor Control Amendment Regulations (No. 2) 2009</w:t>
            </w:r>
          </w:p>
        </w:tc>
        <w:tc>
          <w:tcPr>
            <w:tcW w:w="1276" w:type="dxa"/>
          </w:tcPr>
          <w:p>
            <w:pPr>
              <w:pStyle w:val="nTable"/>
              <w:spacing w:before="30" w:after="40"/>
              <w:rPr>
                <w:rFonts w:ascii="Times" w:hAnsi="Times"/>
                <w:sz w:val="19"/>
              </w:rPr>
            </w:pPr>
            <w:r>
              <w:rPr>
                <w:rFonts w:ascii="Times" w:hAnsi="Times"/>
                <w:sz w:val="19"/>
              </w:rPr>
              <w:t>1 May 2009 p. 1437</w:t>
            </w:r>
            <w:r>
              <w:rPr>
                <w:rFonts w:ascii="Times" w:hAnsi="Times"/>
                <w:sz w:val="19"/>
              </w:rPr>
              <w:noBreakHyphen/>
              <w:t>8</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1 May 2009 (see r. 2(a));</w:t>
            </w:r>
            <w:r>
              <w:rPr>
                <w:rFonts w:ascii="Times" w:hAnsi="Times"/>
                <w:snapToGrid w:val="0"/>
                <w:sz w:val="19"/>
                <w:lang w:val="en-US"/>
              </w:rPr>
              <w:br/>
              <w:t>Regulations other than r. 1 and 2: 2 May 2009 (see r. 2(b))</w:t>
            </w:r>
          </w:p>
        </w:tc>
      </w:tr>
      <w:tr>
        <w:trPr>
          <w:cantSplit/>
        </w:trPr>
        <w:tc>
          <w:tcPr>
            <w:tcW w:w="3119" w:type="dxa"/>
          </w:tcPr>
          <w:p>
            <w:pPr>
              <w:pStyle w:val="nTable"/>
              <w:spacing w:before="30" w:after="40"/>
              <w:rPr>
                <w:rFonts w:ascii="Times" w:hAnsi="Times"/>
                <w:i/>
                <w:sz w:val="19"/>
              </w:rPr>
            </w:pPr>
            <w:r>
              <w:rPr>
                <w:rFonts w:ascii="Times" w:hAnsi="Times"/>
                <w:i/>
                <w:sz w:val="19"/>
              </w:rPr>
              <w:t>Liquor Control Amendment Regulations (No. 6) 2009</w:t>
            </w:r>
          </w:p>
        </w:tc>
        <w:tc>
          <w:tcPr>
            <w:tcW w:w="1276" w:type="dxa"/>
          </w:tcPr>
          <w:p>
            <w:pPr>
              <w:pStyle w:val="nTable"/>
              <w:spacing w:before="30" w:after="40"/>
              <w:rPr>
                <w:rFonts w:ascii="Times" w:hAnsi="Times"/>
                <w:sz w:val="19"/>
              </w:rPr>
            </w:pPr>
            <w:r>
              <w:rPr>
                <w:rFonts w:ascii="Times" w:hAnsi="Times"/>
                <w:sz w:val="19"/>
              </w:rPr>
              <w:t>9 Jun 2009 p. 1927</w:t>
            </w:r>
            <w:r>
              <w:rPr>
                <w:rFonts w:ascii="Times" w:hAnsi="Times"/>
                <w:sz w:val="19"/>
              </w:rPr>
              <w:noBreakHyphen/>
              <w:t>8</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9 Jun 2009 (see r. 2(a));</w:t>
            </w:r>
            <w:r>
              <w:rPr>
                <w:rFonts w:ascii="Times" w:hAnsi="Times"/>
                <w:snapToGrid w:val="0"/>
                <w:sz w:val="19"/>
                <w:lang w:val="en-US"/>
              </w:rPr>
              <w:br/>
              <w:t>Regulations other than r. 1 and 2: 10 Jun 2009 (see r. 2(b)(i))</w:t>
            </w:r>
          </w:p>
        </w:tc>
      </w:tr>
      <w:tr>
        <w:trPr>
          <w:cantSplit/>
        </w:trPr>
        <w:tc>
          <w:tcPr>
            <w:tcW w:w="7088" w:type="dxa"/>
            <w:gridSpan w:val="3"/>
          </w:tcPr>
          <w:p>
            <w:pPr>
              <w:pStyle w:val="nTable"/>
              <w:spacing w:before="30" w:after="40"/>
              <w:rPr>
                <w:rFonts w:ascii="Times" w:hAnsi="Times"/>
                <w:snapToGrid w:val="0"/>
                <w:sz w:val="19"/>
                <w:lang w:val="en-US"/>
              </w:rPr>
            </w:pPr>
            <w:r>
              <w:rPr>
                <w:rFonts w:ascii="Times" w:hAnsi="Times"/>
                <w:b/>
                <w:sz w:val="19"/>
              </w:rPr>
              <w:t xml:space="preserve">Reprint 8: The </w:t>
            </w:r>
            <w:r>
              <w:rPr>
                <w:rFonts w:ascii="Times" w:hAnsi="Times"/>
                <w:b/>
                <w:i/>
                <w:sz w:val="19"/>
              </w:rPr>
              <w:t>Liquor Control Regulations 1989</w:t>
            </w:r>
            <w:r>
              <w:rPr>
                <w:rFonts w:ascii="Times" w:hAnsi="Times"/>
                <w:b/>
                <w:sz w:val="19"/>
              </w:rPr>
              <w:t xml:space="preserve"> as at 3 Jul 2009 </w:t>
            </w:r>
            <w:r>
              <w:rPr>
                <w:rFonts w:ascii="Times" w:hAnsi="Times"/>
                <w:sz w:val="19"/>
              </w:rPr>
              <w:t>(includes amendments listed above)</w:t>
            </w:r>
          </w:p>
        </w:tc>
      </w:tr>
      <w:tr>
        <w:trPr>
          <w:cantSplit/>
        </w:trPr>
        <w:tc>
          <w:tcPr>
            <w:tcW w:w="3119" w:type="dxa"/>
          </w:tcPr>
          <w:p>
            <w:pPr>
              <w:pStyle w:val="nTable"/>
              <w:spacing w:before="30" w:after="40"/>
              <w:rPr>
                <w:rFonts w:ascii="Times" w:hAnsi="Times"/>
                <w:i/>
                <w:sz w:val="19"/>
              </w:rPr>
            </w:pPr>
            <w:r>
              <w:rPr>
                <w:rFonts w:ascii="Times" w:hAnsi="Times"/>
                <w:i/>
                <w:sz w:val="19"/>
              </w:rPr>
              <w:t>Liquor Control Amendment Regulations (No. 3) 2009</w:t>
            </w:r>
          </w:p>
        </w:tc>
        <w:tc>
          <w:tcPr>
            <w:tcW w:w="1276" w:type="dxa"/>
          </w:tcPr>
          <w:p>
            <w:pPr>
              <w:pStyle w:val="nTable"/>
              <w:spacing w:before="30" w:after="40"/>
              <w:rPr>
                <w:rFonts w:ascii="Times" w:hAnsi="Times"/>
                <w:sz w:val="19"/>
              </w:rPr>
            </w:pPr>
            <w:r>
              <w:rPr>
                <w:rFonts w:ascii="Times" w:hAnsi="Times"/>
                <w:sz w:val="19"/>
              </w:rPr>
              <w:t>24 Jul 2009 p. 2949</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 xml:space="preserve">r. 1 and 2: </w:t>
            </w:r>
            <w:r>
              <w:rPr>
                <w:rFonts w:ascii="Times" w:hAnsi="Times"/>
                <w:sz w:val="19"/>
              </w:rPr>
              <w:t>24 Jul 2009</w:t>
            </w:r>
            <w:r>
              <w:rPr>
                <w:rFonts w:ascii="Times" w:hAnsi="Times"/>
                <w:snapToGrid w:val="0"/>
                <w:sz w:val="19"/>
                <w:lang w:val="en-US"/>
              </w:rPr>
              <w:t xml:space="preserve"> (see r. 2(a));</w:t>
            </w:r>
            <w:r>
              <w:rPr>
                <w:rFonts w:ascii="Times" w:hAnsi="Times"/>
                <w:snapToGrid w:val="0"/>
                <w:sz w:val="19"/>
                <w:lang w:val="en-US"/>
              </w:rPr>
              <w:br/>
              <w:t xml:space="preserve">Regulations other than r. 1 and 2: </w:t>
            </w:r>
            <w:r>
              <w:rPr>
                <w:rFonts w:ascii="Times" w:hAnsi="Times"/>
                <w:sz w:val="19"/>
              </w:rPr>
              <w:t>25 Jul 2009</w:t>
            </w:r>
            <w:r>
              <w:rPr>
                <w:rFonts w:ascii="Times" w:hAnsi="Times"/>
                <w:snapToGrid w:val="0"/>
                <w:sz w:val="19"/>
                <w:lang w:val="en-US"/>
              </w:rPr>
              <w:t xml:space="preserve"> (see r. 2(b))</w:t>
            </w:r>
          </w:p>
        </w:tc>
      </w:tr>
      <w:tr>
        <w:trPr>
          <w:cantSplit/>
        </w:trPr>
        <w:tc>
          <w:tcPr>
            <w:tcW w:w="3119" w:type="dxa"/>
          </w:tcPr>
          <w:p>
            <w:pPr>
              <w:pStyle w:val="nTable"/>
              <w:spacing w:before="30" w:after="40"/>
              <w:rPr>
                <w:rFonts w:ascii="Times" w:hAnsi="Times"/>
                <w:i/>
                <w:sz w:val="19"/>
              </w:rPr>
            </w:pPr>
            <w:r>
              <w:rPr>
                <w:rFonts w:ascii="Times" w:hAnsi="Times"/>
                <w:i/>
                <w:sz w:val="19"/>
              </w:rPr>
              <w:t>Liquor Control Amendment Regulations (No. 4) 2009</w:t>
            </w:r>
          </w:p>
        </w:tc>
        <w:tc>
          <w:tcPr>
            <w:tcW w:w="1276" w:type="dxa"/>
          </w:tcPr>
          <w:p>
            <w:pPr>
              <w:pStyle w:val="nTable"/>
              <w:spacing w:before="30" w:after="40"/>
              <w:rPr>
                <w:rFonts w:ascii="Times" w:hAnsi="Times"/>
                <w:sz w:val="19"/>
              </w:rPr>
            </w:pPr>
            <w:r>
              <w:rPr>
                <w:rFonts w:ascii="Times" w:hAnsi="Times"/>
                <w:sz w:val="19"/>
              </w:rPr>
              <w:t>24 Jul 2009 p. 2952</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 xml:space="preserve">r. 1 and 2: </w:t>
            </w:r>
            <w:r>
              <w:rPr>
                <w:rFonts w:ascii="Times" w:hAnsi="Times"/>
                <w:sz w:val="19"/>
              </w:rPr>
              <w:t>24 Jul 2009</w:t>
            </w:r>
            <w:r>
              <w:rPr>
                <w:rFonts w:ascii="Times" w:hAnsi="Times"/>
                <w:snapToGrid w:val="0"/>
                <w:sz w:val="19"/>
                <w:lang w:val="en-US"/>
              </w:rPr>
              <w:t xml:space="preserve"> (see r. 2(a));</w:t>
            </w:r>
            <w:r>
              <w:rPr>
                <w:rFonts w:ascii="Times" w:hAnsi="Times"/>
                <w:snapToGrid w:val="0"/>
                <w:sz w:val="19"/>
                <w:lang w:val="en-US"/>
              </w:rPr>
              <w:br/>
              <w:t xml:space="preserve">Regulations other than r. 1 and 2: </w:t>
            </w:r>
            <w:r>
              <w:rPr>
                <w:rFonts w:ascii="Times" w:hAnsi="Times"/>
                <w:sz w:val="19"/>
              </w:rPr>
              <w:t>25 Jul 2009</w:t>
            </w:r>
            <w:r>
              <w:rPr>
                <w:rFonts w:ascii="Times" w:hAnsi="Times"/>
                <w:snapToGrid w:val="0"/>
                <w:sz w:val="19"/>
                <w:lang w:val="en-US"/>
              </w:rPr>
              <w:t xml:space="preserve"> (see r. 2(b))</w:t>
            </w:r>
          </w:p>
        </w:tc>
      </w:tr>
      <w:tr>
        <w:trPr>
          <w:cantSplit/>
        </w:trPr>
        <w:tc>
          <w:tcPr>
            <w:tcW w:w="3119" w:type="dxa"/>
          </w:tcPr>
          <w:p>
            <w:pPr>
              <w:pStyle w:val="nTable"/>
              <w:spacing w:before="30" w:after="40"/>
              <w:ind w:right="113"/>
              <w:rPr>
                <w:rFonts w:ascii="Times" w:hAnsi="Times"/>
                <w:iCs/>
                <w:sz w:val="19"/>
              </w:rPr>
            </w:pPr>
            <w:r>
              <w:rPr>
                <w:rFonts w:ascii="Times" w:hAnsi="Times"/>
                <w:i/>
                <w:sz w:val="19"/>
              </w:rPr>
              <w:t>Liquor Control Amendment Regulations (No. 7) 2009</w:t>
            </w:r>
          </w:p>
        </w:tc>
        <w:tc>
          <w:tcPr>
            <w:tcW w:w="1276" w:type="dxa"/>
          </w:tcPr>
          <w:p>
            <w:pPr>
              <w:pStyle w:val="nTable"/>
              <w:spacing w:before="30" w:after="40"/>
              <w:rPr>
                <w:rFonts w:ascii="Times" w:hAnsi="Times"/>
                <w:sz w:val="19"/>
              </w:rPr>
            </w:pPr>
            <w:r>
              <w:rPr>
                <w:rFonts w:ascii="Times" w:hAnsi="Times"/>
                <w:sz w:val="19"/>
              </w:rPr>
              <w:t>20 Nov 2009 p. 4662</w:t>
            </w:r>
            <w:r>
              <w:rPr>
                <w:rFonts w:ascii="Times" w:hAnsi="Times"/>
                <w:sz w:val="19"/>
              </w:rPr>
              <w:noBreakHyphen/>
              <w:t>6</w:t>
            </w:r>
          </w:p>
        </w:tc>
        <w:tc>
          <w:tcPr>
            <w:tcW w:w="2693" w:type="dxa"/>
          </w:tcPr>
          <w:p>
            <w:pPr>
              <w:pStyle w:val="nTable"/>
              <w:spacing w:before="30" w:after="40"/>
              <w:rPr>
                <w:rFonts w:ascii="Times" w:hAnsi="Times"/>
                <w:sz w:val="19"/>
              </w:rPr>
            </w:pPr>
            <w:r>
              <w:rPr>
                <w:rFonts w:ascii="Times" w:hAnsi="Times"/>
                <w:sz w:val="19"/>
              </w:rPr>
              <w:t>r. 1 and 2: 20 Nov 2009 (see r. 2(a));</w:t>
            </w:r>
            <w:r>
              <w:rPr>
                <w:rFonts w:ascii="Times" w:hAnsi="Times"/>
                <w:sz w:val="19"/>
              </w:rPr>
              <w:br/>
              <w:t>Regulations other than r. 1 and 2: 1 Jan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8) 2009</w:t>
            </w:r>
          </w:p>
        </w:tc>
        <w:tc>
          <w:tcPr>
            <w:tcW w:w="1276" w:type="dxa"/>
          </w:tcPr>
          <w:p>
            <w:pPr>
              <w:pStyle w:val="nTable"/>
              <w:spacing w:before="30" w:after="40"/>
              <w:rPr>
                <w:rFonts w:ascii="Times" w:hAnsi="Times"/>
                <w:sz w:val="19"/>
              </w:rPr>
            </w:pPr>
            <w:r>
              <w:rPr>
                <w:rFonts w:ascii="Times" w:hAnsi="Times"/>
                <w:sz w:val="19"/>
              </w:rPr>
              <w:t>15 Jan 2010 p. 70</w:t>
            </w:r>
            <w:r>
              <w:rPr>
                <w:rFonts w:ascii="Times" w:hAnsi="Times"/>
                <w:sz w:val="19"/>
              </w:rPr>
              <w:noBreakHyphen/>
              <w:t>2</w:t>
            </w:r>
          </w:p>
        </w:tc>
        <w:tc>
          <w:tcPr>
            <w:tcW w:w="2693" w:type="dxa"/>
          </w:tcPr>
          <w:p>
            <w:pPr>
              <w:pStyle w:val="nTable"/>
              <w:spacing w:before="30" w:after="40"/>
              <w:rPr>
                <w:rFonts w:ascii="Times" w:hAnsi="Times"/>
                <w:sz w:val="19"/>
              </w:rPr>
            </w:pPr>
            <w:r>
              <w:rPr>
                <w:rFonts w:ascii="Times" w:hAnsi="Times"/>
                <w:snapToGrid w:val="0"/>
                <w:sz w:val="19"/>
                <w:lang w:val="en-US"/>
              </w:rPr>
              <w:t>r. 1 and 2: 15 Jan 2010 (see r. 2(a));</w:t>
            </w:r>
            <w:r>
              <w:rPr>
                <w:rFonts w:ascii="Times" w:hAnsi="Times"/>
                <w:snapToGrid w:val="0"/>
                <w:sz w:val="19"/>
                <w:lang w:val="en-US"/>
              </w:rPr>
              <w:br/>
              <w:t>Regulations other than r. 1 and 2: 16 Jan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2010</w:t>
            </w:r>
          </w:p>
        </w:tc>
        <w:tc>
          <w:tcPr>
            <w:tcW w:w="1276" w:type="dxa"/>
          </w:tcPr>
          <w:p>
            <w:pPr>
              <w:pStyle w:val="nTable"/>
              <w:spacing w:before="30" w:after="40"/>
              <w:rPr>
                <w:rFonts w:ascii="Times" w:hAnsi="Times"/>
                <w:sz w:val="19"/>
              </w:rPr>
            </w:pPr>
            <w:r>
              <w:rPr>
                <w:rFonts w:ascii="Times" w:hAnsi="Times"/>
                <w:sz w:val="19"/>
              </w:rPr>
              <w:t>2 Mar 2010 p. 833</w:t>
            </w:r>
            <w:r>
              <w:rPr>
                <w:rFonts w:ascii="Times" w:hAnsi="Times"/>
                <w:sz w:val="19"/>
              </w:rPr>
              <w:noBreakHyphen/>
              <w:t>4</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2 Mar 2010 (see r. 2(a));</w:t>
            </w:r>
            <w:r>
              <w:rPr>
                <w:rFonts w:ascii="Times" w:hAnsi="Times"/>
                <w:snapToGrid w:val="0"/>
                <w:sz w:val="19"/>
                <w:lang w:val="en-US"/>
              </w:rPr>
              <w:br/>
              <w:t>Regulations other than r. 1 and 2: 3 Mar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2) 2010</w:t>
            </w:r>
          </w:p>
        </w:tc>
        <w:tc>
          <w:tcPr>
            <w:tcW w:w="1276" w:type="dxa"/>
          </w:tcPr>
          <w:p>
            <w:pPr>
              <w:pStyle w:val="nTable"/>
              <w:spacing w:before="30" w:after="40"/>
              <w:rPr>
                <w:rFonts w:ascii="Times" w:hAnsi="Times"/>
                <w:sz w:val="19"/>
              </w:rPr>
            </w:pPr>
            <w:r>
              <w:rPr>
                <w:rFonts w:ascii="Times" w:hAnsi="Times"/>
                <w:sz w:val="19"/>
              </w:rPr>
              <w:t>28 May 2010 p. 2301</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28 May 2010 (see  r. 2(a));</w:t>
            </w:r>
            <w:r>
              <w:rPr>
                <w:rFonts w:ascii="Times" w:hAnsi="Times"/>
                <w:snapToGrid w:val="0"/>
                <w:sz w:val="19"/>
                <w:lang w:val="en-US"/>
              </w:rPr>
              <w:br/>
              <w:t>Regulations other than r. 1 and 2: 29 May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3) 2010</w:t>
            </w:r>
          </w:p>
        </w:tc>
        <w:tc>
          <w:tcPr>
            <w:tcW w:w="1276" w:type="dxa"/>
          </w:tcPr>
          <w:p>
            <w:pPr>
              <w:pStyle w:val="nTable"/>
              <w:spacing w:before="30" w:after="40"/>
              <w:rPr>
                <w:rFonts w:ascii="Times" w:hAnsi="Times"/>
                <w:sz w:val="19"/>
              </w:rPr>
            </w:pPr>
            <w:r>
              <w:rPr>
                <w:rFonts w:ascii="Times" w:hAnsi="Times"/>
                <w:sz w:val="19"/>
              </w:rPr>
              <w:t>8 Jun 2010 p. 2619</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8 Jun 2010 (see r. 2(a));</w:t>
            </w:r>
            <w:r>
              <w:rPr>
                <w:rFonts w:ascii="Times" w:hAnsi="Times"/>
                <w:snapToGrid w:val="0"/>
                <w:sz w:val="19"/>
                <w:lang w:val="en-US"/>
              </w:rPr>
              <w:br/>
              <w:t>Regulations other than r. 1 and 2: 9 Jun 2010 (see r. 2(b))</w:t>
            </w:r>
          </w:p>
        </w:tc>
      </w:tr>
      <w:tr>
        <w:trPr>
          <w:cantSplit/>
        </w:trPr>
        <w:tc>
          <w:tcPr>
            <w:tcW w:w="7088" w:type="dxa"/>
            <w:gridSpan w:val="3"/>
          </w:tcPr>
          <w:p>
            <w:pPr>
              <w:pStyle w:val="nTable"/>
              <w:spacing w:before="30" w:after="40"/>
              <w:rPr>
                <w:rFonts w:ascii="Times" w:hAnsi="Times"/>
                <w:snapToGrid w:val="0"/>
                <w:sz w:val="19"/>
                <w:lang w:val="en-US"/>
              </w:rPr>
            </w:pPr>
            <w:r>
              <w:rPr>
                <w:rFonts w:ascii="Times" w:hAnsi="Times"/>
                <w:b/>
                <w:sz w:val="19"/>
              </w:rPr>
              <w:t xml:space="preserve">Reprint 9: The </w:t>
            </w:r>
            <w:r>
              <w:rPr>
                <w:rFonts w:ascii="Times" w:hAnsi="Times"/>
                <w:b/>
                <w:i/>
                <w:sz w:val="19"/>
              </w:rPr>
              <w:t>Liquor Control Regulations 1989</w:t>
            </w:r>
            <w:r>
              <w:rPr>
                <w:rFonts w:ascii="Times" w:hAnsi="Times"/>
                <w:b/>
                <w:sz w:val="19"/>
              </w:rPr>
              <w:t xml:space="preserve"> as at 18 Jun 2010 </w:t>
            </w:r>
            <w:r>
              <w:rPr>
                <w:rFonts w:ascii="Times" w:hAnsi="Times"/>
                <w:sz w:val="19"/>
              </w:rPr>
              <w:t>(includes amendments listed above)</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6) 2010</w:t>
            </w:r>
          </w:p>
        </w:tc>
        <w:tc>
          <w:tcPr>
            <w:tcW w:w="1276" w:type="dxa"/>
          </w:tcPr>
          <w:p>
            <w:pPr>
              <w:pStyle w:val="nTable"/>
              <w:spacing w:before="30" w:after="40"/>
              <w:rPr>
                <w:rFonts w:ascii="Times" w:hAnsi="Times"/>
                <w:sz w:val="19"/>
              </w:rPr>
            </w:pPr>
            <w:r>
              <w:rPr>
                <w:rFonts w:ascii="Times" w:hAnsi="Times"/>
                <w:sz w:val="19"/>
              </w:rPr>
              <w:t>17 Sep 2010 p. 4762</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17 Sep 2010 (see r. 2(a));</w:t>
            </w:r>
            <w:r>
              <w:rPr>
                <w:rFonts w:ascii="Times" w:hAnsi="Times"/>
                <w:snapToGrid w:val="0"/>
                <w:sz w:val="19"/>
                <w:lang w:val="en-US"/>
              </w:rPr>
              <w:br/>
              <w:t>Regulations other than r. 1 and 2: 18 Sep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5) 2010</w:t>
            </w:r>
          </w:p>
        </w:tc>
        <w:tc>
          <w:tcPr>
            <w:tcW w:w="1276" w:type="dxa"/>
          </w:tcPr>
          <w:p>
            <w:pPr>
              <w:pStyle w:val="nTable"/>
              <w:spacing w:before="30" w:after="40"/>
              <w:rPr>
                <w:rFonts w:ascii="Times" w:hAnsi="Times"/>
                <w:sz w:val="19"/>
              </w:rPr>
            </w:pPr>
            <w:r>
              <w:rPr>
                <w:rFonts w:ascii="Times" w:hAnsi="Times"/>
                <w:sz w:val="19"/>
              </w:rPr>
              <w:t>17 Sep 2010 p. 4765</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17 Sep 2010 (see r. 2(a));</w:t>
            </w:r>
            <w:r>
              <w:rPr>
                <w:rFonts w:ascii="Times" w:hAnsi="Times"/>
                <w:snapToGrid w:val="0"/>
                <w:sz w:val="19"/>
                <w:lang w:val="en-US"/>
              </w:rPr>
              <w:br/>
              <w:t>Regulations other than r. 1 and 2: 18 Sep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7) 2010</w:t>
            </w:r>
          </w:p>
        </w:tc>
        <w:tc>
          <w:tcPr>
            <w:tcW w:w="1276" w:type="dxa"/>
          </w:tcPr>
          <w:p>
            <w:pPr>
              <w:pStyle w:val="nTable"/>
              <w:spacing w:before="30" w:after="40"/>
              <w:rPr>
                <w:rFonts w:ascii="Times" w:hAnsi="Times"/>
                <w:sz w:val="19"/>
              </w:rPr>
            </w:pPr>
            <w:r>
              <w:rPr>
                <w:rFonts w:ascii="Times" w:hAnsi="Times"/>
                <w:sz w:val="19"/>
              </w:rPr>
              <w:t>17 Sep 2010 p. 4768</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17 Sep 2010 (see r. 2(a));</w:t>
            </w:r>
            <w:r>
              <w:rPr>
                <w:rFonts w:ascii="Times" w:hAnsi="Times"/>
                <w:snapToGrid w:val="0"/>
                <w:sz w:val="19"/>
                <w:lang w:val="en-US"/>
              </w:rPr>
              <w:br/>
              <w:t>Regulations other than r. 1 and 2: 18 Sep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4) 2010</w:t>
            </w:r>
          </w:p>
        </w:tc>
        <w:tc>
          <w:tcPr>
            <w:tcW w:w="1276" w:type="dxa"/>
          </w:tcPr>
          <w:p>
            <w:pPr>
              <w:pStyle w:val="nTable"/>
              <w:spacing w:before="30" w:after="40"/>
              <w:rPr>
                <w:rFonts w:ascii="Times" w:hAnsi="Times"/>
                <w:sz w:val="19"/>
              </w:rPr>
            </w:pPr>
            <w:r>
              <w:rPr>
                <w:rFonts w:ascii="Times" w:hAnsi="Times"/>
                <w:sz w:val="19"/>
              </w:rPr>
              <w:t>22 Oct 2010 p. 5225</w:t>
            </w:r>
            <w:r>
              <w:rPr>
                <w:rFonts w:ascii="Times" w:hAnsi="Times"/>
                <w:sz w:val="19"/>
              </w:rPr>
              <w:noBreakHyphen/>
              <w:t>9</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22 Oct 2010 (see r. 2(a));</w:t>
            </w:r>
            <w:r>
              <w:rPr>
                <w:rFonts w:ascii="Times" w:hAnsi="Times"/>
                <w:snapToGrid w:val="0"/>
                <w:sz w:val="19"/>
                <w:lang w:val="en-US"/>
              </w:rPr>
              <w:br/>
              <w:t>Regulations other than r. 1 and 2: 23 Oct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 xml:space="preserve">Liquor Control Amendment Regulations (No. 10) 2010 </w:t>
            </w:r>
          </w:p>
        </w:tc>
        <w:tc>
          <w:tcPr>
            <w:tcW w:w="1276" w:type="dxa"/>
          </w:tcPr>
          <w:p>
            <w:pPr>
              <w:pStyle w:val="nTable"/>
              <w:spacing w:before="30" w:after="40"/>
              <w:rPr>
                <w:rFonts w:ascii="Times" w:hAnsi="Times"/>
                <w:sz w:val="19"/>
              </w:rPr>
            </w:pPr>
            <w:r>
              <w:rPr>
                <w:rFonts w:ascii="Times" w:hAnsi="Times"/>
                <w:sz w:val="19"/>
              </w:rPr>
              <w:t>19 Nov 2010 p. 5743</w:t>
            </w:r>
            <w:r>
              <w:rPr>
                <w:rFonts w:ascii="Times" w:hAnsi="Times"/>
                <w:sz w:val="19"/>
              </w:rPr>
              <w:noBreakHyphen/>
              <w:t>7</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19 Nov 2010 (see r. 2(a));</w:t>
            </w:r>
            <w:r>
              <w:rPr>
                <w:rFonts w:ascii="Times" w:hAnsi="Times"/>
                <w:snapToGrid w:val="0"/>
                <w:sz w:val="19"/>
                <w:lang w:val="en-US"/>
              </w:rPr>
              <w:br/>
              <w:t xml:space="preserve">Regulations other than r. 1 and 2: </w:t>
            </w:r>
            <w:r>
              <w:rPr>
                <w:rFonts w:ascii="Times" w:hAnsi="Times"/>
                <w:sz w:val="19"/>
              </w:rPr>
              <w:t xml:space="preserve">1 Jan 2011 (see r. 2(b)) </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8) 2010</w:t>
            </w:r>
          </w:p>
        </w:tc>
        <w:tc>
          <w:tcPr>
            <w:tcW w:w="1276" w:type="dxa"/>
          </w:tcPr>
          <w:p>
            <w:pPr>
              <w:pStyle w:val="nTable"/>
              <w:spacing w:before="30" w:after="40"/>
              <w:rPr>
                <w:rFonts w:ascii="Times" w:hAnsi="Times"/>
                <w:sz w:val="19"/>
              </w:rPr>
            </w:pPr>
            <w:r>
              <w:rPr>
                <w:rFonts w:ascii="Times" w:hAnsi="Times"/>
                <w:sz w:val="19"/>
              </w:rPr>
              <w:t>3 Dec 2010 p. 6059</w:t>
            </w:r>
            <w:r>
              <w:rPr>
                <w:rFonts w:ascii="Times" w:hAnsi="Times"/>
                <w:sz w:val="19"/>
              </w:rPr>
              <w:noBreakHyphen/>
              <w:t>60</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3 Dec 2010 (see r. 2(a));</w:t>
            </w:r>
            <w:r>
              <w:rPr>
                <w:rFonts w:ascii="Times" w:hAnsi="Times"/>
                <w:snapToGrid w:val="0"/>
                <w:sz w:val="19"/>
                <w:lang w:val="en-US"/>
              </w:rPr>
              <w:br/>
              <w:t>Regulations other than r. 1 and 2: 4 Dec 2010 (see r. 2(b))</w:t>
            </w:r>
          </w:p>
        </w:tc>
      </w:tr>
      <w:tr>
        <w:trPr>
          <w:cantSplit/>
        </w:trPr>
        <w:tc>
          <w:tcPr>
            <w:tcW w:w="3119" w:type="dxa"/>
          </w:tcPr>
          <w:p>
            <w:pPr>
              <w:pStyle w:val="nTable"/>
              <w:spacing w:before="30" w:after="40"/>
              <w:ind w:right="113"/>
              <w:rPr>
                <w:rFonts w:ascii="Times" w:hAnsi="Times"/>
                <w:i/>
                <w:sz w:val="19"/>
              </w:rPr>
            </w:pPr>
            <w:r>
              <w:rPr>
                <w:rFonts w:ascii="Times" w:hAnsi="Times"/>
                <w:i/>
                <w:sz w:val="19"/>
              </w:rPr>
              <w:t>Liquor Control Amendment Regulations (No. 9) 2010</w:t>
            </w:r>
          </w:p>
        </w:tc>
        <w:tc>
          <w:tcPr>
            <w:tcW w:w="1276" w:type="dxa"/>
          </w:tcPr>
          <w:p>
            <w:pPr>
              <w:pStyle w:val="nTable"/>
              <w:spacing w:before="30" w:after="40"/>
              <w:rPr>
                <w:rFonts w:ascii="Times" w:hAnsi="Times"/>
                <w:sz w:val="19"/>
              </w:rPr>
            </w:pPr>
            <w:r>
              <w:rPr>
                <w:rFonts w:ascii="Times" w:hAnsi="Times"/>
                <w:sz w:val="19"/>
              </w:rPr>
              <w:t>3 Dec 2010 p. 6062</w:t>
            </w:r>
            <w:r>
              <w:rPr>
                <w:rFonts w:ascii="Times" w:hAnsi="Times"/>
                <w:sz w:val="19"/>
              </w:rPr>
              <w:noBreakHyphen/>
              <w:t>3</w:t>
            </w:r>
          </w:p>
        </w:tc>
        <w:tc>
          <w:tcPr>
            <w:tcW w:w="2693" w:type="dxa"/>
          </w:tcPr>
          <w:p>
            <w:pPr>
              <w:pStyle w:val="nTable"/>
              <w:spacing w:before="30" w:after="40"/>
              <w:rPr>
                <w:rFonts w:ascii="Times" w:hAnsi="Times"/>
                <w:snapToGrid w:val="0"/>
                <w:sz w:val="19"/>
                <w:lang w:val="en-US"/>
              </w:rPr>
            </w:pPr>
            <w:r>
              <w:rPr>
                <w:rFonts w:ascii="Times" w:hAnsi="Times"/>
                <w:snapToGrid w:val="0"/>
                <w:sz w:val="19"/>
                <w:lang w:val="en-US"/>
              </w:rPr>
              <w:t>r. 1 and 2: 3 Dec 2010 (see r. 2(a));</w:t>
            </w:r>
            <w:r>
              <w:rPr>
                <w:rFonts w:ascii="Times" w:hAnsi="Times"/>
                <w:snapToGrid w:val="0"/>
                <w:sz w:val="19"/>
                <w:lang w:val="en-US"/>
              </w:rPr>
              <w:br/>
              <w:t>Regulations other than r. 1 and 2: 4 Dec 2010 (see r. 2(b))</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2) 2011</w:t>
            </w:r>
          </w:p>
        </w:tc>
        <w:tc>
          <w:tcPr>
            <w:tcW w:w="1276" w:type="dxa"/>
          </w:tcPr>
          <w:p>
            <w:pPr>
              <w:pStyle w:val="nTable"/>
              <w:spacing w:after="40"/>
              <w:rPr>
                <w:rFonts w:ascii="Times" w:hAnsi="Times"/>
                <w:sz w:val="19"/>
              </w:rPr>
            </w:pPr>
            <w:r>
              <w:rPr>
                <w:rFonts w:ascii="Times" w:hAnsi="Times"/>
                <w:sz w:val="19"/>
              </w:rPr>
              <w:t>3 May 2011 p. 1600</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3 May 2011 (see r. 2(a));</w:t>
            </w:r>
            <w:r>
              <w:rPr>
                <w:rFonts w:ascii="Times" w:hAnsi="Times"/>
                <w:snapToGrid w:val="0"/>
                <w:sz w:val="19"/>
                <w:lang w:val="en-US"/>
              </w:rPr>
              <w:br/>
              <w:t>Regulations other than r. 1 and 2: 4 May 2011 (see r. 2(b))</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2011</w:t>
            </w:r>
          </w:p>
        </w:tc>
        <w:tc>
          <w:tcPr>
            <w:tcW w:w="1276" w:type="dxa"/>
          </w:tcPr>
          <w:p>
            <w:pPr>
              <w:pStyle w:val="nTable"/>
              <w:spacing w:after="40"/>
              <w:rPr>
                <w:rFonts w:ascii="Times" w:hAnsi="Times"/>
                <w:sz w:val="19"/>
              </w:rPr>
            </w:pPr>
            <w:r>
              <w:rPr>
                <w:rFonts w:ascii="Times" w:hAnsi="Times"/>
                <w:sz w:val="19"/>
              </w:rPr>
              <w:t>27 May 2011 p. 1931</w:t>
            </w:r>
            <w:r>
              <w:rPr>
                <w:rFonts w:ascii="Times" w:hAnsi="Times"/>
                <w:sz w:val="19"/>
              </w:rPr>
              <w:noBreakHyphen/>
              <w:t>2</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27 May 2011 (see r. 2(a));</w:t>
            </w:r>
            <w:r>
              <w:rPr>
                <w:rFonts w:ascii="Times" w:hAnsi="Times"/>
                <w:snapToGrid w:val="0"/>
                <w:sz w:val="19"/>
                <w:lang w:val="en-US"/>
              </w:rPr>
              <w:br/>
              <w:t>Regulations other than r. 1 and 2: 28 May 2011 (see r. 2(b))</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7) 2011</w:t>
            </w:r>
          </w:p>
        </w:tc>
        <w:tc>
          <w:tcPr>
            <w:tcW w:w="1276" w:type="dxa"/>
          </w:tcPr>
          <w:p>
            <w:pPr>
              <w:pStyle w:val="nTable"/>
              <w:spacing w:after="40"/>
              <w:rPr>
                <w:rFonts w:ascii="Times" w:hAnsi="Times"/>
                <w:sz w:val="19"/>
              </w:rPr>
            </w:pPr>
            <w:r>
              <w:rPr>
                <w:rFonts w:ascii="Times" w:hAnsi="Times"/>
                <w:sz w:val="19"/>
              </w:rPr>
              <w:t>27 May 2011 p. 1934</w:t>
            </w:r>
            <w:r>
              <w:rPr>
                <w:rFonts w:ascii="Times" w:hAnsi="Times"/>
                <w:sz w:val="19"/>
              </w:rPr>
              <w:noBreakHyphen/>
              <w:t>5</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27 May 2011 (see r. 2(a));</w:t>
            </w:r>
            <w:r>
              <w:rPr>
                <w:rFonts w:ascii="Times" w:hAnsi="Times"/>
                <w:snapToGrid w:val="0"/>
                <w:sz w:val="19"/>
                <w:lang w:val="en-US"/>
              </w:rPr>
              <w:br/>
              <w:t>Regulations other than r. 1 and 2: 28 May 2011 (see r. 2(b))</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3) 2011</w:t>
            </w:r>
          </w:p>
        </w:tc>
        <w:tc>
          <w:tcPr>
            <w:tcW w:w="1276" w:type="dxa"/>
          </w:tcPr>
          <w:p>
            <w:pPr>
              <w:pStyle w:val="nTable"/>
              <w:spacing w:after="40"/>
              <w:rPr>
                <w:rFonts w:ascii="Times" w:hAnsi="Times"/>
                <w:sz w:val="19"/>
              </w:rPr>
            </w:pPr>
            <w:r>
              <w:rPr>
                <w:rFonts w:ascii="Times" w:hAnsi="Times"/>
                <w:sz w:val="19"/>
              </w:rPr>
              <w:t>3 Jun 2011 p. 1994</w:t>
            </w:r>
            <w:r>
              <w:rPr>
                <w:rFonts w:ascii="Times" w:hAnsi="Times"/>
                <w:sz w:val="19"/>
              </w:rPr>
              <w:noBreakHyphen/>
              <w:t>2002</w:t>
            </w:r>
          </w:p>
        </w:tc>
        <w:tc>
          <w:tcPr>
            <w:tcW w:w="2693" w:type="dxa"/>
          </w:tcPr>
          <w:p>
            <w:pPr>
              <w:pStyle w:val="nTable"/>
              <w:spacing w:after="40"/>
              <w:rPr>
                <w:rFonts w:ascii="Times" w:hAnsi="Times"/>
                <w:snapToGrid w:val="0"/>
                <w:sz w:val="19"/>
                <w:lang w:val="en-US"/>
              </w:rPr>
            </w:pPr>
            <w:r>
              <w:rPr>
                <w:rFonts w:ascii="Times" w:hAnsi="Times"/>
                <w:snapToGrid w:val="0"/>
                <w:sz w:val="19"/>
                <w:lang w:val="en-US"/>
              </w:rPr>
              <w:t>Pt. 1: 3 Jun 2011 (see r. 2(a));</w:t>
            </w:r>
            <w:r>
              <w:rPr>
                <w:rFonts w:ascii="Times" w:hAnsi="Times"/>
                <w:snapToGrid w:val="0"/>
                <w:sz w:val="19"/>
                <w:lang w:val="en-US"/>
              </w:rPr>
              <w:br/>
              <w:t xml:space="preserve">Regulations other than Pt. 1: 7 Jun 2011 (see r. 2(b) and </w:t>
            </w:r>
            <w:r>
              <w:rPr>
                <w:rFonts w:ascii="Times" w:hAnsi="Times"/>
                <w:i/>
                <w:snapToGrid w:val="0"/>
                <w:sz w:val="19"/>
                <w:lang w:val="en-US"/>
              </w:rPr>
              <w:t>Gazette</w:t>
            </w:r>
            <w:r>
              <w:rPr>
                <w:rFonts w:ascii="Times" w:hAnsi="Times"/>
                <w:snapToGrid w:val="0"/>
                <w:sz w:val="19"/>
                <w:lang w:val="en-US"/>
              </w:rPr>
              <w:t xml:space="preserve"> 3 Jun 2011 p. 1975)</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5) 2011</w:t>
            </w:r>
          </w:p>
        </w:tc>
        <w:tc>
          <w:tcPr>
            <w:tcW w:w="1276" w:type="dxa"/>
          </w:tcPr>
          <w:p>
            <w:pPr>
              <w:pStyle w:val="nTable"/>
              <w:spacing w:after="40"/>
              <w:rPr>
                <w:rFonts w:ascii="Times" w:hAnsi="Times"/>
                <w:sz w:val="19"/>
              </w:rPr>
            </w:pPr>
            <w:r>
              <w:rPr>
                <w:rFonts w:ascii="Times" w:hAnsi="Times"/>
                <w:sz w:val="19"/>
              </w:rPr>
              <w:t>15 Jul 2011 p. 2955</w:t>
            </w:r>
            <w:r>
              <w:rPr>
                <w:rFonts w:ascii="Times" w:hAnsi="Times"/>
                <w:sz w:val="19"/>
              </w:rPr>
              <w:noBreakHyphen/>
              <w:t>66</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15 Jul 2011 (see r. 2(a));</w:t>
            </w:r>
            <w:r>
              <w:rPr>
                <w:rFonts w:ascii="Times" w:hAnsi="Times"/>
                <w:snapToGrid w:val="0"/>
                <w:sz w:val="19"/>
                <w:lang w:val="en-US"/>
              </w:rPr>
              <w:br/>
              <w:t>Regulations other than r. 1 and 2: 16 Jul 2011 (see r. 2(b))</w:t>
            </w:r>
          </w:p>
        </w:tc>
      </w:tr>
      <w:tr>
        <w:trPr>
          <w:cantSplit/>
        </w:trPr>
        <w:tc>
          <w:tcPr>
            <w:tcW w:w="7088" w:type="dxa"/>
            <w:gridSpan w:val="3"/>
          </w:tcPr>
          <w:p>
            <w:pPr>
              <w:pStyle w:val="nTable"/>
              <w:spacing w:after="40"/>
              <w:rPr>
                <w:snapToGrid w:val="0"/>
                <w:spacing w:val="-2"/>
                <w:sz w:val="19"/>
                <w:lang w:val="en-US"/>
              </w:rPr>
            </w:pPr>
            <w:r>
              <w:rPr>
                <w:b/>
                <w:sz w:val="19"/>
              </w:rPr>
              <w:t xml:space="preserve">Reprint 10: The </w:t>
            </w:r>
            <w:r>
              <w:rPr>
                <w:b/>
                <w:i/>
                <w:sz w:val="19"/>
              </w:rPr>
              <w:t>Liquor Control Regulations 1989</w:t>
            </w:r>
            <w:r>
              <w:rPr>
                <w:b/>
                <w:sz w:val="19"/>
              </w:rPr>
              <w:t xml:space="preserve"> as at 16 Sep 2011 </w:t>
            </w:r>
            <w:r>
              <w:rPr>
                <w:sz w:val="19"/>
              </w:rPr>
              <w:t>(includes amendments listed above)</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8) 2011</w:t>
            </w:r>
          </w:p>
        </w:tc>
        <w:tc>
          <w:tcPr>
            <w:tcW w:w="1276" w:type="dxa"/>
          </w:tcPr>
          <w:p>
            <w:pPr>
              <w:pStyle w:val="nTable"/>
              <w:spacing w:after="40"/>
              <w:rPr>
                <w:rFonts w:ascii="Times" w:hAnsi="Times"/>
                <w:sz w:val="19"/>
              </w:rPr>
            </w:pPr>
            <w:r>
              <w:rPr>
                <w:rFonts w:ascii="Times" w:hAnsi="Times"/>
                <w:sz w:val="19"/>
              </w:rPr>
              <w:t>27 Sep 2011 p. 3847-8</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27 Sep 2011 (see r. 2(a));</w:t>
            </w:r>
            <w:r>
              <w:rPr>
                <w:rFonts w:ascii="Times" w:hAnsi="Times"/>
                <w:snapToGrid w:val="0"/>
                <w:sz w:val="19"/>
                <w:lang w:val="en-US"/>
              </w:rPr>
              <w:br/>
              <w:t>Regulations other than r. 1 and 2: 28 Sep 2011 (see r. 2(b))</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6) 2011</w:t>
            </w:r>
          </w:p>
        </w:tc>
        <w:tc>
          <w:tcPr>
            <w:tcW w:w="1276" w:type="dxa"/>
          </w:tcPr>
          <w:p>
            <w:pPr>
              <w:pStyle w:val="nTable"/>
              <w:spacing w:after="40"/>
              <w:rPr>
                <w:rFonts w:ascii="Times" w:hAnsi="Times"/>
                <w:sz w:val="19"/>
              </w:rPr>
            </w:pPr>
            <w:r>
              <w:rPr>
                <w:rFonts w:ascii="Times" w:hAnsi="Times"/>
                <w:sz w:val="19"/>
              </w:rPr>
              <w:t>7 Oct 2011 p. 4068-70</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7 Oct 2011 (see r. 2(a));</w:t>
            </w:r>
            <w:r>
              <w:rPr>
                <w:rFonts w:ascii="Times" w:hAnsi="Times"/>
                <w:snapToGrid w:val="0"/>
                <w:sz w:val="19"/>
                <w:lang w:val="en-US"/>
              </w:rPr>
              <w:br/>
              <w:t xml:space="preserve">Regulations other than r. 1 and 2: 8 Oct 2011 (see r. 2(b) and </w:t>
            </w:r>
            <w:r>
              <w:rPr>
                <w:rFonts w:ascii="Times" w:hAnsi="Times"/>
                <w:i/>
                <w:snapToGrid w:val="0"/>
                <w:sz w:val="19"/>
                <w:lang w:val="en-US"/>
              </w:rPr>
              <w:t xml:space="preserve">Gazette </w:t>
            </w:r>
            <w:r>
              <w:rPr>
                <w:rFonts w:ascii="Times" w:hAnsi="Times"/>
                <w:snapToGrid w:val="0"/>
                <w:sz w:val="19"/>
                <w:lang w:val="en-US"/>
              </w:rPr>
              <w:t xml:space="preserve">7 Oct 2011 p. 4067) </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9) 2011</w:t>
            </w:r>
          </w:p>
        </w:tc>
        <w:tc>
          <w:tcPr>
            <w:tcW w:w="1276" w:type="dxa"/>
          </w:tcPr>
          <w:p>
            <w:pPr>
              <w:pStyle w:val="nTable"/>
              <w:spacing w:after="40"/>
              <w:rPr>
                <w:rFonts w:ascii="Times" w:hAnsi="Times"/>
                <w:sz w:val="19"/>
              </w:rPr>
            </w:pPr>
            <w:r>
              <w:rPr>
                <w:rFonts w:ascii="Times" w:hAnsi="Times"/>
                <w:sz w:val="19"/>
              </w:rPr>
              <w:t>4 Nov 2011 p. 4640-4</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4 Nov 2011 (see r. 2(a));</w:t>
            </w:r>
            <w:r>
              <w:rPr>
                <w:rFonts w:ascii="Times" w:hAnsi="Times"/>
                <w:snapToGrid w:val="0"/>
                <w:sz w:val="19"/>
                <w:lang w:val="en-US"/>
              </w:rPr>
              <w:br/>
              <w:t>Regulations other than r. 1 and 2: 1 Jan 2012 (see r. 2(b))</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11) 2011</w:t>
            </w:r>
          </w:p>
        </w:tc>
        <w:tc>
          <w:tcPr>
            <w:tcW w:w="1276" w:type="dxa"/>
          </w:tcPr>
          <w:p>
            <w:pPr>
              <w:pStyle w:val="nTable"/>
              <w:spacing w:after="40"/>
              <w:rPr>
                <w:rFonts w:ascii="Times" w:hAnsi="Times"/>
                <w:sz w:val="19"/>
              </w:rPr>
            </w:pPr>
            <w:r>
              <w:rPr>
                <w:rFonts w:ascii="Times" w:hAnsi="Times"/>
                <w:sz w:val="19"/>
              </w:rPr>
              <w:t>6 Dec 2011 p. 5132</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6 Dec 2011 (see r. 2(a));</w:t>
            </w:r>
            <w:r>
              <w:rPr>
                <w:rFonts w:ascii="Times" w:hAnsi="Times"/>
                <w:snapToGrid w:val="0"/>
                <w:sz w:val="19"/>
                <w:lang w:val="en-US"/>
              </w:rPr>
              <w:br/>
              <w:t xml:space="preserve">Regulations other than r. 1 and 2: 1 Jan 2012 (see r. 2(b) and </w:t>
            </w:r>
            <w:r>
              <w:rPr>
                <w:rFonts w:ascii="Times" w:hAnsi="Times"/>
                <w:i/>
                <w:snapToGrid w:val="0"/>
                <w:sz w:val="19"/>
                <w:lang w:val="en-US"/>
              </w:rPr>
              <w:t>Gazette</w:t>
            </w:r>
            <w:r>
              <w:rPr>
                <w:rFonts w:ascii="Times" w:hAnsi="Times"/>
                <w:snapToGrid w:val="0"/>
                <w:sz w:val="19"/>
                <w:lang w:val="en-US"/>
              </w:rPr>
              <w:t xml:space="preserve"> 4 Nov 2011 p. 4640-4)</w:t>
            </w:r>
          </w:p>
        </w:tc>
      </w:tr>
      <w:tr>
        <w:trPr>
          <w:cantSplit/>
        </w:trPr>
        <w:tc>
          <w:tcPr>
            <w:tcW w:w="3119" w:type="dxa"/>
          </w:tcPr>
          <w:p>
            <w:pPr>
              <w:pStyle w:val="nTable"/>
              <w:spacing w:after="40"/>
              <w:ind w:right="113"/>
              <w:rPr>
                <w:rFonts w:ascii="Times" w:hAnsi="Times"/>
                <w:i/>
                <w:sz w:val="19"/>
              </w:rPr>
            </w:pPr>
            <w:r>
              <w:rPr>
                <w:rFonts w:ascii="Times" w:hAnsi="Times"/>
                <w:i/>
                <w:sz w:val="19"/>
              </w:rPr>
              <w:t>Liquor Control Amendment Regulations (No. 10) 2011</w:t>
            </w:r>
            <w:r>
              <w:rPr>
                <w:rFonts w:ascii="Times" w:hAnsi="Times"/>
                <w:sz w:val="19"/>
                <w:vertAlign w:val="superscript"/>
              </w:rPr>
              <w:t> 11</w:t>
            </w:r>
          </w:p>
        </w:tc>
        <w:tc>
          <w:tcPr>
            <w:tcW w:w="1276" w:type="dxa"/>
          </w:tcPr>
          <w:p>
            <w:pPr>
              <w:pStyle w:val="nTable"/>
              <w:spacing w:after="40"/>
              <w:rPr>
                <w:rFonts w:ascii="Times" w:hAnsi="Times"/>
                <w:sz w:val="19"/>
              </w:rPr>
            </w:pPr>
            <w:r>
              <w:rPr>
                <w:rFonts w:ascii="Times" w:hAnsi="Times"/>
                <w:sz w:val="19"/>
              </w:rPr>
              <w:t>6 Jan 2012 p. 48-9</w:t>
            </w:r>
          </w:p>
        </w:tc>
        <w:tc>
          <w:tcPr>
            <w:tcW w:w="2693" w:type="dxa"/>
          </w:tcPr>
          <w:p>
            <w:pPr>
              <w:pStyle w:val="nTable"/>
              <w:spacing w:after="40"/>
              <w:rPr>
                <w:rFonts w:ascii="Times" w:hAnsi="Times"/>
                <w:snapToGrid w:val="0"/>
                <w:sz w:val="19"/>
                <w:lang w:val="en-US"/>
              </w:rPr>
            </w:pPr>
            <w:r>
              <w:rPr>
                <w:rFonts w:ascii="Times" w:hAnsi="Times"/>
                <w:snapToGrid w:val="0"/>
                <w:sz w:val="19"/>
                <w:lang w:val="en-US"/>
              </w:rPr>
              <w:t>r. 1 and 2: 6 Jan 2012 (see r. 2(a));</w:t>
            </w:r>
            <w:r>
              <w:rPr>
                <w:rFonts w:ascii="Times" w:hAnsi="Times"/>
                <w:snapToGrid w:val="0"/>
                <w:sz w:val="19"/>
                <w:lang w:val="en-US"/>
              </w:rPr>
              <w:br/>
              <w:t>Regulations other than r. 1 and 2: 7 Jan 2012 (see r. 2(b))</w:t>
            </w:r>
          </w:p>
        </w:tc>
      </w:tr>
      <w:tr>
        <w:trPr>
          <w:cantSplit/>
        </w:trPr>
        <w:tc>
          <w:tcPr>
            <w:tcW w:w="3119" w:type="dxa"/>
            <w:shd w:val="clear" w:color="auto" w:fill="auto"/>
          </w:tcPr>
          <w:p>
            <w:pPr>
              <w:pStyle w:val="nTable"/>
              <w:spacing w:after="40"/>
              <w:ind w:right="113"/>
              <w:rPr>
                <w:rFonts w:ascii="Times" w:hAnsi="Times"/>
                <w:i/>
                <w:sz w:val="19"/>
              </w:rPr>
            </w:pPr>
            <w:r>
              <w:rPr>
                <w:rFonts w:ascii="Times" w:hAnsi="Times"/>
                <w:i/>
                <w:sz w:val="19"/>
              </w:rPr>
              <w:t>Liquor Control Amendment Regulations (No. 2) 2012</w:t>
            </w:r>
          </w:p>
        </w:tc>
        <w:tc>
          <w:tcPr>
            <w:tcW w:w="1276" w:type="dxa"/>
            <w:shd w:val="clear" w:color="auto" w:fill="auto"/>
          </w:tcPr>
          <w:p>
            <w:pPr>
              <w:pStyle w:val="nTable"/>
              <w:spacing w:after="40"/>
              <w:rPr>
                <w:rFonts w:ascii="Times" w:hAnsi="Times"/>
                <w:sz w:val="19"/>
              </w:rPr>
            </w:pPr>
            <w:r>
              <w:rPr>
                <w:rFonts w:ascii="Times" w:hAnsi="Times"/>
                <w:sz w:val="19"/>
              </w:rPr>
              <w:t>10 Aug 2012 p. 3810-11</w:t>
            </w:r>
          </w:p>
        </w:tc>
        <w:tc>
          <w:tcPr>
            <w:tcW w:w="2693" w:type="dxa"/>
            <w:shd w:val="clear" w:color="auto" w:fill="auto"/>
          </w:tcPr>
          <w:p>
            <w:pPr>
              <w:pStyle w:val="nTable"/>
              <w:spacing w:after="40"/>
              <w:rPr>
                <w:rFonts w:ascii="Times" w:hAnsi="Times"/>
                <w:snapToGrid w:val="0"/>
                <w:sz w:val="19"/>
                <w:lang w:val="en-US"/>
              </w:rPr>
            </w:pPr>
            <w:r>
              <w:rPr>
                <w:rFonts w:ascii="Times" w:hAnsi="Times"/>
                <w:snapToGrid w:val="0"/>
                <w:sz w:val="19"/>
                <w:lang w:val="en-US"/>
              </w:rPr>
              <w:t>r. 1 and 2: 10 Aug 2012 (see r. 2(a));</w:t>
            </w:r>
            <w:r>
              <w:rPr>
                <w:rFonts w:ascii="Times" w:hAnsi="Times"/>
                <w:snapToGrid w:val="0"/>
                <w:sz w:val="19"/>
                <w:lang w:val="en-US"/>
              </w:rPr>
              <w:br/>
              <w:t>Regulations other than r. 1 and 2: 11 Aug 2012 (see r. 2(b))</w:t>
            </w:r>
          </w:p>
        </w:tc>
      </w:tr>
      <w:tr>
        <w:trPr>
          <w:cantSplit/>
        </w:trPr>
        <w:tc>
          <w:tcPr>
            <w:tcW w:w="3119" w:type="dxa"/>
            <w:shd w:val="clear" w:color="auto" w:fill="auto"/>
          </w:tcPr>
          <w:p>
            <w:pPr>
              <w:pStyle w:val="nTable"/>
              <w:spacing w:after="40"/>
              <w:ind w:right="113"/>
              <w:rPr>
                <w:rFonts w:ascii="Times" w:hAnsi="Times"/>
                <w:i/>
                <w:sz w:val="19"/>
              </w:rPr>
            </w:pPr>
            <w:r>
              <w:rPr>
                <w:rFonts w:ascii="Times" w:hAnsi="Times"/>
                <w:i/>
                <w:sz w:val="19"/>
              </w:rPr>
              <w:t>Liquor Control Amendment Regulations 2012</w:t>
            </w:r>
          </w:p>
        </w:tc>
        <w:tc>
          <w:tcPr>
            <w:tcW w:w="1276" w:type="dxa"/>
            <w:shd w:val="clear" w:color="auto" w:fill="auto"/>
          </w:tcPr>
          <w:p>
            <w:pPr>
              <w:pStyle w:val="nTable"/>
              <w:spacing w:after="40"/>
              <w:rPr>
                <w:rFonts w:ascii="Times" w:hAnsi="Times"/>
                <w:sz w:val="19"/>
              </w:rPr>
            </w:pPr>
            <w:r>
              <w:rPr>
                <w:rFonts w:ascii="Times" w:hAnsi="Times"/>
                <w:sz w:val="19"/>
              </w:rPr>
              <w:t>4 Sep 2012 p. 4249-50</w:t>
            </w:r>
          </w:p>
        </w:tc>
        <w:tc>
          <w:tcPr>
            <w:tcW w:w="2693" w:type="dxa"/>
            <w:shd w:val="clear" w:color="auto" w:fill="auto"/>
          </w:tcPr>
          <w:p>
            <w:pPr>
              <w:pStyle w:val="nTable"/>
              <w:spacing w:after="40"/>
              <w:rPr>
                <w:rFonts w:ascii="Times" w:hAnsi="Times"/>
                <w:snapToGrid w:val="0"/>
                <w:sz w:val="19"/>
                <w:lang w:val="en-US"/>
              </w:rPr>
            </w:pPr>
            <w:r>
              <w:rPr>
                <w:rFonts w:ascii="Times" w:hAnsi="Times"/>
                <w:snapToGrid w:val="0"/>
                <w:sz w:val="19"/>
                <w:lang w:val="en-US"/>
              </w:rPr>
              <w:t>r. 1 and 2: 4 Sep 2012 (see r. 2(a));</w:t>
            </w:r>
            <w:r>
              <w:rPr>
                <w:rFonts w:ascii="Times" w:hAnsi="Times"/>
                <w:snapToGrid w:val="0"/>
                <w:sz w:val="19"/>
                <w:lang w:val="en-US"/>
              </w:rPr>
              <w:br/>
              <w:t>Regulations other than r. 1 and 2: 5 Sep 2012 (see r. 2(b))</w:t>
            </w:r>
          </w:p>
        </w:tc>
      </w:tr>
      <w:tr>
        <w:trPr>
          <w:cantSplit/>
        </w:trPr>
        <w:tc>
          <w:tcPr>
            <w:tcW w:w="3119" w:type="dxa"/>
            <w:shd w:val="clear" w:color="auto" w:fill="auto"/>
          </w:tcPr>
          <w:p>
            <w:pPr>
              <w:pStyle w:val="nTable"/>
              <w:spacing w:after="40"/>
              <w:ind w:right="113"/>
              <w:rPr>
                <w:rFonts w:ascii="Times" w:hAnsi="Times"/>
                <w:i/>
                <w:sz w:val="19"/>
              </w:rPr>
            </w:pPr>
            <w:r>
              <w:rPr>
                <w:i/>
                <w:sz w:val="19"/>
              </w:rPr>
              <w:t>Liquor Control Amendment Regulations (No. 3) 2012</w:t>
            </w:r>
          </w:p>
        </w:tc>
        <w:tc>
          <w:tcPr>
            <w:tcW w:w="1276" w:type="dxa"/>
            <w:shd w:val="clear" w:color="auto" w:fill="auto"/>
          </w:tcPr>
          <w:p>
            <w:pPr>
              <w:pStyle w:val="nTable"/>
              <w:spacing w:after="40"/>
              <w:rPr>
                <w:rFonts w:ascii="Times" w:hAnsi="Times"/>
                <w:sz w:val="19"/>
              </w:rPr>
            </w:pPr>
            <w:r>
              <w:rPr>
                <w:sz w:val="19"/>
              </w:rPr>
              <w:t>16 Nov 2012 p. 5652-6</w:t>
            </w:r>
          </w:p>
        </w:tc>
        <w:tc>
          <w:tcPr>
            <w:tcW w:w="2693" w:type="dxa"/>
            <w:shd w:val="clear" w:color="auto" w:fill="auto"/>
          </w:tcPr>
          <w:p>
            <w:pPr>
              <w:pStyle w:val="nTable"/>
              <w:spacing w:after="40"/>
              <w:rPr>
                <w:rFonts w:ascii="Times" w:hAnsi="Times"/>
                <w:snapToGrid w:val="0"/>
                <w:sz w:val="19"/>
                <w:lang w:val="en-US"/>
              </w:rPr>
            </w:pPr>
            <w:r>
              <w:rPr>
                <w:snapToGrid w:val="0"/>
                <w:sz w:val="19"/>
                <w:lang w:val="en-US"/>
              </w:rPr>
              <w:t>r. 1 and 2: 16 Nov 2012 (see r. 2(a));</w:t>
            </w:r>
            <w:r>
              <w:rPr>
                <w:snapToGrid w:val="0"/>
                <w:sz w:val="19"/>
                <w:lang w:val="en-US"/>
              </w:rPr>
              <w:br/>
              <w:t xml:space="preserve">Regulations other than r. 1 and 2: </w:t>
            </w:r>
            <w:r>
              <w:rPr>
                <w:sz w:val="19"/>
              </w:rPr>
              <w:t>1 Jan 2013 (see r. 2(b))</w:t>
            </w:r>
          </w:p>
        </w:tc>
      </w:tr>
      <w:tr>
        <w:trPr>
          <w:cantSplit/>
        </w:trPr>
        <w:tc>
          <w:tcPr>
            <w:tcW w:w="3119" w:type="dxa"/>
            <w:shd w:val="clear" w:color="auto" w:fill="auto"/>
          </w:tcPr>
          <w:p>
            <w:pPr>
              <w:pStyle w:val="nTable"/>
              <w:spacing w:after="40"/>
              <w:ind w:right="113"/>
              <w:rPr>
                <w:i/>
                <w:sz w:val="19"/>
              </w:rPr>
            </w:pPr>
            <w:r>
              <w:rPr>
                <w:rFonts w:ascii="Times" w:hAnsi="Times"/>
                <w:i/>
                <w:sz w:val="19"/>
              </w:rPr>
              <w:t>Liquor Control Amendment Regulations (No. 6) 2012</w:t>
            </w:r>
          </w:p>
        </w:tc>
        <w:tc>
          <w:tcPr>
            <w:tcW w:w="1276" w:type="dxa"/>
            <w:shd w:val="clear" w:color="auto" w:fill="auto"/>
          </w:tcPr>
          <w:p>
            <w:pPr>
              <w:pStyle w:val="nTable"/>
              <w:spacing w:after="40"/>
              <w:rPr>
                <w:sz w:val="19"/>
              </w:rPr>
            </w:pPr>
            <w:r>
              <w:rPr>
                <w:rFonts w:ascii="Times" w:hAnsi="Times"/>
                <w:sz w:val="19"/>
              </w:rPr>
              <w:t>16 Nov 2012 p. 5657</w:t>
            </w:r>
            <w:r>
              <w:rPr>
                <w:rFonts w:ascii="Times" w:hAnsi="Times"/>
                <w:sz w:val="19"/>
              </w:rPr>
              <w:noBreakHyphen/>
              <w:t>8</w:t>
            </w:r>
          </w:p>
        </w:tc>
        <w:tc>
          <w:tcPr>
            <w:tcW w:w="2693" w:type="dxa"/>
            <w:shd w:val="clear" w:color="auto" w:fill="auto"/>
          </w:tcPr>
          <w:p>
            <w:pPr>
              <w:pStyle w:val="nTable"/>
              <w:spacing w:after="40"/>
              <w:rPr>
                <w:snapToGrid w:val="0"/>
                <w:sz w:val="19"/>
                <w:lang w:val="en-US"/>
              </w:rPr>
            </w:pPr>
            <w:r>
              <w:rPr>
                <w:rFonts w:ascii="Times" w:hAnsi="Times"/>
                <w:snapToGrid w:val="0"/>
                <w:sz w:val="19"/>
                <w:lang w:val="en-US"/>
              </w:rPr>
              <w:t>r. 1 and 2: 16 Nov 2012 (see r. 2(a));</w:t>
            </w:r>
            <w:r>
              <w:rPr>
                <w:rFonts w:ascii="Times" w:hAnsi="Times"/>
                <w:snapToGrid w:val="0"/>
                <w:sz w:val="19"/>
                <w:lang w:val="en-US"/>
              </w:rPr>
              <w:br/>
              <w:t>Regulations other than r. 1 and 2: 17 Nov 2012 (see r. 2(b))</w:t>
            </w:r>
          </w:p>
        </w:tc>
      </w:tr>
      <w:tr>
        <w:trPr>
          <w:cantSplit/>
        </w:trPr>
        <w:tc>
          <w:tcPr>
            <w:tcW w:w="3119" w:type="dxa"/>
            <w:shd w:val="clear" w:color="auto" w:fill="auto"/>
          </w:tcPr>
          <w:p>
            <w:pPr>
              <w:pStyle w:val="nTable"/>
              <w:spacing w:after="40"/>
              <w:ind w:right="113"/>
              <w:rPr>
                <w:i/>
                <w:sz w:val="19"/>
              </w:rPr>
            </w:pPr>
            <w:r>
              <w:rPr>
                <w:rFonts w:ascii="Times" w:hAnsi="Times"/>
                <w:i/>
                <w:sz w:val="19"/>
              </w:rPr>
              <w:t>Liquor Control Amendment Regulations (No. 7) 2012</w:t>
            </w:r>
          </w:p>
        </w:tc>
        <w:tc>
          <w:tcPr>
            <w:tcW w:w="1276" w:type="dxa"/>
            <w:shd w:val="clear" w:color="auto" w:fill="auto"/>
          </w:tcPr>
          <w:p>
            <w:pPr>
              <w:pStyle w:val="nTable"/>
              <w:spacing w:after="40"/>
              <w:rPr>
                <w:sz w:val="19"/>
              </w:rPr>
            </w:pPr>
            <w:r>
              <w:rPr>
                <w:rFonts w:ascii="Times" w:hAnsi="Times"/>
                <w:sz w:val="19"/>
              </w:rPr>
              <w:t>18 Dec 2012 p. 6596-7</w:t>
            </w:r>
          </w:p>
        </w:tc>
        <w:tc>
          <w:tcPr>
            <w:tcW w:w="2693" w:type="dxa"/>
            <w:shd w:val="clear" w:color="auto" w:fill="auto"/>
          </w:tcPr>
          <w:p>
            <w:pPr>
              <w:pStyle w:val="nTable"/>
              <w:spacing w:after="40"/>
              <w:rPr>
                <w:snapToGrid w:val="0"/>
                <w:sz w:val="19"/>
                <w:lang w:val="en-US"/>
              </w:rPr>
            </w:pPr>
            <w:r>
              <w:rPr>
                <w:rFonts w:ascii="Times" w:hAnsi="Times"/>
                <w:snapToGrid w:val="0"/>
                <w:sz w:val="19"/>
                <w:lang w:val="en-US"/>
              </w:rPr>
              <w:t>r. 1 and 2: 18 Dec 2012 (see r. 2(a));</w:t>
            </w:r>
            <w:r>
              <w:rPr>
                <w:rFonts w:ascii="Times" w:hAnsi="Times"/>
                <w:snapToGrid w:val="0"/>
                <w:sz w:val="19"/>
                <w:lang w:val="en-US"/>
              </w:rPr>
              <w:br/>
              <w:t>Regulations other than r. 1 and 2: 19 Dec 2012 (see r. 2(b))</w:t>
            </w:r>
          </w:p>
        </w:tc>
      </w:tr>
      <w:tr>
        <w:trPr>
          <w:cantSplit/>
        </w:trPr>
        <w:tc>
          <w:tcPr>
            <w:tcW w:w="7088" w:type="dxa"/>
            <w:gridSpan w:val="3"/>
            <w:shd w:val="clear" w:color="auto" w:fill="auto"/>
          </w:tcPr>
          <w:p>
            <w:pPr>
              <w:pStyle w:val="nTable"/>
              <w:spacing w:after="40"/>
              <w:rPr>
                <w:rFonts w:ascii="Times" w:hAnsi="Times"/>
                <w:snapToGrid w:val="0"/>
                <w:sz w:val="19"/>
                <w:lang w:val="en-US"/>
              </w:rPr>
            </w:pPr>
            <w:r>
              <w:rPr>
                <w:b/>
                <w:sz w:val="19"/>
              </w:rPr>
              <w:t xml:space="preserve">Reprint 11: The </w:t>
            </w:r>
            <w:r>
              <w:rPr>
                <w:b/>
                <w:i/>
                <w:sz w:val="19"/>
              </w:rPr>
              <w:t>Liquor Control Regulations 1989</w:t>
            </w:r>
            <w:r>
              <w:rPr>
                <w:b/>
                <w:sz w:val="19"/>
              </w:rPr>
              <w:t xml:space="preserve"> as at 11 Jan 2013 </w:t>
            </w:r>
            <w:r>
              <w:rPr>
                <w:sz w:val="19"/>
              </w:rPr>
              <w:t>(includes amendments listed above)</w:t>
            </w:r>
          </w:p>
        </w:tc>
      </w:tr>
      <w:tr>
        <w:trPr>
          <w:cantSplit/>
        </w:trPr>
        <w:tc>
          <w:tcPr>
            <w:tcW w:w="3119" w:type="dxa"/>
            <w:shd w:val="clear" w:color="auto" w:fill="auto"/>
          </w:tcPr>
          <w:p>
            <w:pPr>
              <w:pStyle w:val="nTable"/>
              <w:spacing w:after="40"/>
              <w:ind w:right="113"/>
              <w:rPr>
                <w:i/>
                <w:sz w:val="19"/>
              </w:rPr>
            </w:pPr>
            <w:r>
              <w:rPr>
                <w:rFonts w:ascii="Times" w:hAnsi="Times"/>
                <w:i/>
                <w:sz w:val="19"/>
              </w:rPr>
              <w:t>Liquor Control Amendment Regulations (No. 3) 2013</w:t>
            </w:r>
          </w:p>
        </w:tc>
        <w:tc>
          <w:tcPr>
            <w:tcW w:w="1276" w:type="dxa"/>
            <w:shd w:val="clear" w:color="auto" w:fill="auto"/>
          </w:tcPr>
          <w:p>
            <w:pPr>
              <w:pStyle w:val="nTable"/>
              <w:spacing w:after="40"/>
              <w:rPr>
                <w:rFonts w:ascii="Arial" w:hAnsi="Arial"/>
                <w:b/>
                <w:sz w:val="19"/>
              </w:rPr>
            </w:pPr>
            <w:r>
              <w:rPr>
                <w:rFonts w:ascii="Times" w:hAnsi="Times"/>
                <w:sz w:val="19"/>
              </w:rPr>
              <w:t>19 Apr 2013 p. 1570</w:t>
            </w:r>
            <w:r>
              <w:rPr>
                <w:rFonts w:ascii="Times" w:hAnsi="Times"/>
                <w:sz w:val="19"/>
              </w:rPr>
              <w:noBreakHyphen/>
              <w:t>1</w:t>
            </w:r>
          </w:p>
        </w:tc>
        <w:tc>
          <w:tcPr>
            <w:tcW w:w="2693" w:type="dxa"/>
            <w:shd w:val="clear" w:color="auto" w:fill="auto"/>
          </w:tcPr>
          <w:p>
            <w:pPr>
              <w:pStyle w:val="nTable"/>
              <w:spacing w:after="40"/>
              <w:rPr>
                <w:rFonts w:ascii="Arial" w:hAnsi="Arial"/>
                <w:b/>
                <w:snapToGrid w:val="0"/>
                <w:sz w:val="19"/>
                <w:lang w:val="en-US"/>
              </w:rPr>
            </w:pPr>
            <w:r>
              <w:rPr>
                <w:rFonts w:ascii="Times" w:hAnsi="Times"/>
                <w:snapToGrid w:val="0"/>
                <w:sz w:val="19"/>
                <w:lang w:val="en-US"/>
              </w:rPr>
              <w:t xml:space="preserve">r. 1 and 2: </w:t>
            </w:r>
            <w:r>
              <w:rPr>
                <w:rFonts w:ascii="Times" w:hAnsi="Times"/>
                <w:sz w:val="19"/>
              </w:rPr>
              <w:t>19 Apr 2013</w:t>
            </w:r>
            <w:r>
              <w:rPr>
                <w:rFonts w:ascii="Times" w:hAnsi="Times"/>
                <w:snapToGrid w:val="0"/>
                <w:sz w:val="19"/>
                <w:lang w:val="en-US"/>
              </w:rPr>
              <w:t xml:space="preserve"> (see r. 2(a));</w:t>
            </w:r>
            <w:r>
              <w:rPr>
                <w:rFonts w:ascii="Times" w:hAnsi="Times"/>
                <w:snapToGrid w:val="0"/>
                <w:sz w:val="19"/>
                <w:lang w:val="en-US"/>
              </w:rPr>
              <w:br/>
              <w:t xml:space="preserve">Regulations other than r. 1 and 2: </w:t>
            </w:r>
            <w:r>
              <w:rPr>
                <w:rFonts w:ascii="Times" w:hAnsi="Times"/>
                <w:sz w:val="19"/>
              </w:rPr>
              <w:t>20 Apr 2013</w:t>
            </w:r>
            <w:r>
              <w:rPr>
                <w:rFonts w:ascii="Times" w:hAnsi="Times"/>
                <w:snapToGrid w:val="0"/>
                <w:sz w:val="19"/>
                <w:lang w:val="en-US"/>
              </w:rPr>
              <w:t xml:space="preserve"> (see r. 2(b))</w:t>
            </w:r>
          </w:p>
        </w:tc>
      </w:tr>
      <w:tr>
        <w:trPr>
          <w:cantSplit/>
        </w:trPr>
        <w:tc>
          <w:tcPr>
            <w:tcW w:w="3119" w:type="dxa"/>
            <w:shd w:val="clear" w:color="auto" w:fill="auto"/>
          </w:tcPr>
          <w:p>
            <w:pPr>
              <w:pStyle w:val="nTable"/>
              <w:spacing w:after="40"/>
              <w:ind w:right="113"/>
              <w:rPr>
                <w:rFonts w:ascii="Times" w:hAnsi="Times"/>
                <w:i/>
                <w:sz w:val="19"/>
              </w:rPr>
            </w:pPr>
            <w:r>
              <w:rPr>
                <w:rFonts w:ascii="Times" w:hAnsi="Times"/>
                <w:i/>
                <w:sz w:val="19"/>
              </w:rPr>
              <w:t>Liquor Control Amendment Regulations (No. 2) 2013</w:t>
            </w:r>
          </w:p>
        </w:tc>
        <w:tc>
          <w:tcPr>
            <w:tcW w:w="1276" w:type="dxa"/>
            <w:shd w:val="clear" w:color="auto" w:fill="auto"/>
          </w:tcPr>
          <w:p>
            <w:pPr>
              <w:pStyle w:val="nTable"/>
              <w:spacing w:after="40"/>
              <w:rPr>
                <w:rFonts w:ascii="Times" w:hAnsi="Times"/>
                <w:sz w:val="19"/>
              </w:rPr>
            </w:pPr>
            <w:r>
              <w:rPr>
                <w:rFonts w:ascii="Times" w:hAnsi="Times"/>
                <w:sz w:val="19"/>
              </w:rPr>
              <w:t>21 May 2013 p. 2014</w:t>
            </w:r>
          </w:p>
        </w:tc>
        <w:tc>
          <w:tcPr>
            <w:tcW w:w="2693" w:type="dxa"/>
            <w:shd w:val="clear" w:color="auto" w:fill="auto"/>
          </w:tcPr>
          <w:p>
            <w:pPr>
              <w:pStyle w:val="nTable"/>
              <w:spacing w:after="40"/>
              <w:rPr>
                <w:rFonts w:ascii="Times" w:hAnsi="Times"/>
                <w:snapToGrid w:val="0"/>
                <w:sz w:val="19"/>
                <w:lang w:val="en-US"/>
              </w:rPr>
            </w:pPr>
            <w:r>
              <w:rPr>
                <w:rFonts w:ascii="Times" w:hAnsi="Times"/>
                <w:snapToGrid w:val="0"/>
                <w:sz w:val="19"/>
                <w:lang w:val="en-US"/>
              </w:rPr>
              <w:t>r. 1 and 2: 2</w:t>
            </w:r>
            <w:r>
              <w:rPr>
                <w:rFonts w:ascii="Times" w:hAnsi="Times"/>
                <w:sz w:val="19"/>
              </w:rPr>
              <w:t>1 May 2013</w:t>
            </w:r>
            <w:r>
              <w:rPr>
                <w:rFonts w:ascii="Times" w:hAnsi="Times"/>
                <w:snapToGrid w:val="0"/>
                <w:sz w:val="19"/>
                <w:lang w:val="en-US"/>
              </w:rPr>
              <w:t xml:space="preserve"> (see r. 2(a));</w:t>
            </w:r>
            <w:r>
              <w:rPr>
                <w:rFonts w:ascii="Times" w:hAnsi="Times"/>
                <w:snapToGrid w:val="0"/>
                <w:sz w:val="19"/>
                <w:lang w:val="en-US"/>
              </w:rPr>
              <w:br/>
              <w:t xml:space="preserve">Regulations other than r. 1 and 2: </w:t>
            </w:r>
            <w:r>
              <w:rPr>
                <w:rFonts w:ascii="Times" w:hAnsi="Times"/>
                <w:sz w:val="19"/>
              </w:rPr>
              <w:t>22 Apr 2013</w:t>
            </w:r>
            <w:r>
              <w:rPr>
                <w:rFonts w:ascii="Times" w:hAnsi="Times"/>
                <w:snapToGrid w:val="0"/>
                <w:sz w:val="19"/>
                <w:lang w:val="en-US"/>
              </w:rPr>
              <w:t xml:space="preserve"> (see r. 2(b))</w:t>
            </w:r>
          </w:p>
        </w:tc>
      </w:tr>
      <w:tr>
        <w:trPr>
          <w:cantSplit/>
        </w:trPr>
        <w:tc>
          <w:tcPr>
            <w:tcW w:w="3119" w:type="dxa"/>
            <w:tcBorders>
              <w:bottom w:val="single" w:sz="8" w:space="0" w:color="auto"/>
            </w:tcBorders>
            <w:shd w:val="clear" w:color="auto" w:fill="auto"/>
          </w:tcPr>
          <w:p>
            <w:pPr>
              <w:pStyle w:val="nTable"/>
              <w:spacing w:after="40"/>
              <w:ind w:right="113"/>
              <w:rPr>
                <w:rFonts w:ascii="Times" w:hAnsi="Times"/>
                <w:i/>
                <w:sz w:val="19"/>
              </w:rPr>
            </w:pPr>
            <w:r>
              <w:rPr>
                <w:rFonts w:ascii="Times" w:hAnsi="Times"/>
                <w:i/>
                <w:sz w:val="19"/>
              </w:rPr>
              <w:t>Liquor Control Amendment Regulations (No. 4) 2013</w:t>
            </w:r>
          </w:p>
        </w:tc>
        <w:tc>
          <w:tcPr>
            <w:tcW w:w="1276" w:type="dxa"/>
            <w:tcBorders>
              <w:bottom w:val="single" w:sz="8" w:space="0" w:color="auto"/>
            </w:tcBorders>
            <w:shd w:val="clear" w:color="auto" w:fill="auto"/>
          </w:tcPr>
          <w:p>
            <w:pPr>
              <w:pStyle w:val="nTable"/>
              <w:spacing w:after="40"/>
              <w:rPr>
                <w:rFonts w:ascii="Times" w:hAnsi="Times"/>
                <w:sz w:val="19"/>
              </w:rPr>
            </w:pPr>
            <w:r>
              <w:rPr>
                <w:rFonts w:ascii="Times" w:hAnsi="Times"/>
                <w:sz w:val="19"/>
              </w:rPr>
              <w:t>31 May 2013 p. 2118</w:t>
            </w:r>
            <w:r>
              <w:rPr>
                <w:rFonts w:ascii="Times" w:hAnsi="Times"/>
                <w:sz w:val="19"/>
              </w:rPr>
              <w:noBreakHyphen/>
              <w:t>19</w:t>
            </w:r>
          </w:p>
        </w:tc>
        <w:tc>
          <w:tcPr>
            <w:tcW w:w="2693" w:type="dxa"/>
            <w:tcBorders>
              <w:bottom w:val="single" w:sz="8" w:space="0" w:color="auto"/>
            </w:tcBorders>
            <w:shd w:val="clear" w:color="auto" w:fill="auto"/>
          </w:tcPr>
          <w:p>
            <w:pPr>
              <w:pStyle w:val="nTable"/>
              <w:spacing w:after="40"/>
              <w:rPr>
                <w:rFonts w:ascii="Times" w:hAnsi="Times"/>
                <w:b/>
                <w:snapToGrid w:val="0"/>
                <w:sz w:val="19"/>
                <w:lang w:val="en-US"/>
              </w:rPr>
            </w:pPr>
            <w:r>
              <w:rPr>
                <w:rFonts w:ascii="Times" w:hAnsi="Times"/>
                <w:snapToGrid w:val="0"/>
                <w:spacing w:val="-2"/>
                <w:sz w:val="19"/>
                <w:lang w:val="en-US"/>
              </w:rPr>
              <w:t>r. 1 and 2: 31 May 2013 (see r. 2(a));</w:t>
            </w:r>
            <w:r>
              <w:rPr>
                <w:rFonts w:ascii="Times" w:hAnsi="Times"/>
                <w:snapToGrid w:val="0"/>
                <w:spacing w:val="-2"/>
                <w:sz w:val="19"/>
                <w:lang w:val="en-US"/>
              </w:rPr>
              <w:br/>
              <w:t>Regulations other than r. 1 and 2: 1 Jun 2013 (see r. 2(b))</w:t>
            </w:r>
          </w:p>
        </w:tc>
      </w:tr>
    </w:tbl>
    <w:p>
      <w:pPr>
        <w:pStyle w:val="nSubsection"/>
        <w:spacing w:before="160"/>
        <w:rPr>
          <w:vertAlign w:val="superscript"/>
        </w:rPr>
      </w:pPr>
    </w:p>
    <w:p>
      <w:pPr>
        <w:pStyle w:val="nSubsection"/>
        <w:spacing w:before="160"/>
      </w:pPr>
      <w:r>
        <w:rPr>
          <w:vertAlign w:val="superscript"/>
        </w:rPr>
        <w:t>2</w:t>
      </w:r>
      <w:r>
        <w:tab/>
        <w:t xml:space="preserve">Formerly referred to the </w:t>
      </w:r>
      <w:r>
        <w:rPr>
          <w:i/>
          <w:iCs/>
        </w:rPr>
        <w:t>Liquor Licensing Act 1988</w:t>
      </w:r>
      <w:r>
        <w:t xml:space="preserve"> the short title of which was changed to the </w:t>
      </w:r>
      <w:r>
        <w:rPr>
          <w:i/>
          <w:iCs/>
        </w:rPr>
        <w:t>Liquor Control Act 1988</w:t>
      </w:r>
      <w:r>
        <w:t xml:space="preserve"> by the </w:t>
      </w:r>
      <w:r>
        <w:rPr>
          <w:i/>
          <w:iCs/>
        </w:rPr>
        <w:t>Liquor and Gaming Legislation Amendment Act 2006</w:t>
      </w:r>
      <w:r>
        <w:t xml:space="preserve"> s. 4. The reference was changed under the </w:t>
      </w:r>
      <w:r>
        <w:rPr>
          <w:i/>
          <w:iCs/>
        </w:rPr>
        <w:t>Reprints Act 1984</w:t>
      </w:r>
      <w:r>
        <w:t xml:space="preserve"> s. 7(3)(gb).</w:t>
      </w:r>
    </w:p>
    <w:p>
      <w:pPr>
        <w:pStyle w:val="nSubsection"/>
      </w:pPr>
      <w:r>
        <w:rPr>
          <w:vertAlign w:val="superscript"/>
        </w:rPr>
        <w:t>3</w:t>
      </w:r>
      <w:r>
        <w:tab/>
        <w:t xml:space="preserve">Repealed by the </w:t>
      </w:r>
      <w:r>
        <w:rPr>
          <w:i/>
        </w:rPr>
        <w:t xml:space="preserve">Tax </w:t>
      </w:r>
      <w:r>
        <w:rPr>
          <w:i/>
          <w:iCs/>
        </w:rPr>
        <w:t>Laws Amendment (Repeal of Inoperative Provisions) Act 2006</w:t>
      </w:r>
      <w:r>
        <w:t xml:space="preserve"> (Cwlth).</w:t>
      </w:r>
    </w:p>
    <w:p>
      <w:pPr>
        <w:pStyle w:val="nSubsection"/>
      </w:pPr>
      <w:r>
        <w:rPr>
          <w:vertAlign w:val="superscript"/>
        </w:rPr>
        <w:t>4</w:t>
      </w:r>
      <w:r>
        <w:tab/>
        <w:t xml:space="preserve">Repealed by the </w:t>
      </w:r>
      <w:r>
        <w:rPr>
          <w:i/>
        </w:rPr>
        <w:t>Aged Care Amendment Act 2011</w:t>
      </w:r>
      <w:r>
        <w:t xml:space="preserve"> (Cwlth).</w:t>
      </w:r>
    </w:p>
    <w:p>
      <w:pPr>
        <w:pStyle w:val="nSubsection"/>
      </w:pPr>
      <w:r>
        <w:rPr>
          <w:vertAlign w:val="superscript"/>
        </w:rPr>
        <w:t>5</w:t>
      </w:r>
      <w:r>
        <w:tab/>
        <w:t>Commenced 7 May 2007.</w:t>
      </w:r>
    </w:p>
    <w:p>
      <w:pPr>
        <w:pStyle w:val="nSubsection"/>
      </w:pPr>
      <w:r>
        <w:rPr>
          <w:vertAlign w:val="superscript"/>
        </w:rPr>
        <w:t>6</w:t>
      </w:r>
      <w:r>
        <w:tab/>
        <w:t xml:space="preserve">Now known as the </w:t>
      </w:r>
      <w:r>
        <w:rPr>
          <w:i/>
          <w:iCs/>
        </w:rPr>
        <w:t>Liquor Control Regulations 1989</w:t>
      </w:r>
      <w:r>
        <w:t>; citation changed (see note under r. 1).</w:t>
      </w:r>
    </w:p>
    <w:p>
      <w:pPr>
        <w:pStyle w:val="nSubsection"/>
      </w:pPr>
      <w:r>
        <w:rPr>
          <w:vertAlign w:val="superscript"/>
        </w:rPr>
        <w:t>7</w:t>
      </w:r>
      <w:r>
        <w:tab/>
        <w:t xml:space="preserve">Disallowed on 26 Apr 1992, see </w:t>
      </w:r>
      <w:r>
        <w:rPr>
          <w:i/>
        </w:rPr>
        <w:t>Gazette</w:t>
      </w:r>
      <w:r>
        <w:t xml:space="preserve"> 1 May 1992 p. 1844.</w:t>
      </w:r>
    </w:p>
    <w:p>
      <w:pPr>
        <w:pStyle w:val="nSubsection"/>
      </w:pPr>
      <w:r>
        <w:rPr>
          <w:vertAlign w:val="superscript"/>
        </w:rPr>
        <w:t>8</w:t>
      </w:r>
      <w:r>
        <w:tab/>
        <w:t xml:space="preserve">The </w:t>
      </w:r>
      <w:r>
        <w:rPr>
          <w:i/>
        </w:rPr>
        <w:t>Liquor Licensing Amendment Regulations (No. 2) 2001</w:t>
      </w:r>
      <w:r>
        <w:t xml:space="preserve"> r. 2(3) and (4) are transitional provisions that are of no further effect.</w:t>
      </w:r>
    </w:p>
    <w:p>
      <w:pPr>
        <w:pStyle w:val="nSubsection"/>
      </w:pPr>
      <w:r>
        <w:rPr>
          <w:vertAlign w:val="superscript"/>
        </w:rPr>
        <w:t>9</w:t>
      </w:r>
      <w:r>
        <w:tab/>
        <w:t xml:space="preserve">The amendments in the </w:t>
      </w:r>
      <w:r>
        <w:rPr>
          <w:i/>
        </w:rPr>
        <w:t>Liquor Licensing Amendment Regulations 2004</w:t>
      </w:r>
      <w:r>
        <w:t xml:space="preserve"> r. 3 and 5 are not included because of an error in the reference to the provisions to be amended.</w:t>
      </w:r>
    </w:p>
    <w:p>
      <w:pPr>
        <w:pStyle w:val="nSubsection"/>
      </w:pPr>
      <w:r>
        <w:rPr>
          <w:vertAlign w:val="superscript"/>
        </w:rPr>
        <w:t>10</w:t>
      </w:r>
      <w:r>
        <w:tab/>
        <w:t xml:space="preserve">The </w:t>
      </w:r>
      <w:r>
        <w:rPr>
          <w:i/>
        </w:rPr>
        <w:t>Liquor Control Amendment Regulations (No. 2) 2</w:t>
      </w:r>
      <w:r>
        <w:rPr>
          <w:i/>
          <w:sz w:val="19"/>
        </w:rPr>
        <w:t>007 </w:t>
      </w:r>
      <w:r>
        <w:t xml:space="preserve">r. 12 could not have effect as the reference to the </w:t>
      </w:r>
      <w:r>
        <w:rPr>
          <w:i/>
          <w:iCs/>
        </w:rPr>
        <w:t>Liquor Licensing Act 1988</w:t>
      </w:r>
      <w:r>
        <w:t xml:space="preserve"> was changed to the </w:t>
      </w:r>
      <w:r>
        <w:rPr>
          <w:i/>
          <w:iCs/>
        </w:rPr>
        <w:t xml:space="preserve">Liquor Control Act 1988 </w:t>
      </w:r>
      <w:r>
        <w:t xml:space="preserve">under the </w:t>
      </w:r>
      <w:r>
        <w:rPr>
          <w:i/>
          <w:iCs/>
        </w:rPr>
        <w:t>Reprints Act 1984</w:t>
      </w:r>
      <w:r>
        <w:t xml:space="preserve"> s. 7(3)(gb) (see note </w:t>
      </w:r>
      <w:r>
        <w:rPr>
          <w:vertAlign w:val="superscript"/>
        </w:rPr>
        <w:t>2</w:t>
      </w:r>
      <w:r>
        <w:t xml:space="preserve"> above). </w:t>
      </w:r>
    </w:p>
    <w:p>
      <w:pPr>
        <w:pStyle w:val="nSubsection"/>
      </w:pPr>
      <w:r>
        <w:rPr>
          <w:vertAlign w:val="superscript"/>
        </w:rPr>
        <w:t>11</w:t>
      </w:r>
      <w:r>
        <w:tab/>
      </w:r>
      <w:r>
        <w:rPr>
          <w:rFonts w:ascii="Times" w:hAnsi="Times"/>
          <w:sz w:val="19"/>
        </w:rPr>
        <w:t xml:space="preserve">Disallowed on 13 Sep 2012, see </w:t>
      </w:r>
      <w:r>
        <w:rPr>
          <w:rFonts w:ascii="Times" w:hAnsi="Times"/>
          <w:i/>
          <w:sz w:val="19"/>
        </w:rPr>
        <w:t>Gazette</w:t>
      </w:r>
      <w:r>
        <w:rPr>
          <w:rFonts w:ascii="Times" w:hAnsi="Times"/>
          <w:sz w:val="19"/>
        </w:rPr>
        <w:t xml:space="preserve"> 18 Sep 2012 p. 4411.</w:t>
      </w:r>
    </w:p>
    <w:p/>
    <w:p>
      <w:pPr>
        <w:sectPr>
          <w:headerReference w:type="even" r:id="rId36"/>
          <w:headerReference w:type="default" r:id="rId37"/>
          <w:headerReference w:type="first" r:id="rId38"/>
          <w:pgSz w:w="11906" w:h="16838" w:code="9"/>
          <w:pgMar w:top="2376" w:right="2404" w:bottom="3544" w:left="2404" w:header="720" w:footer="3379" w:gutter="0"/>
          <w:cols w:space="720"/>
          <w:noEndnote/>
          <w:docGrid w:linePitch="326"/>
        </w:sectPr>
      </w:pPr>
    </w:p>
    <w:p>
      <w:pPr>
        <w:pStyle w:val="nHeading2"/>
        <w:rPr>
          <w:sz w:val="28"/>
        </w:rPr>
      </w:pPr>
      <w:bookmarkStart w:id="1340" w:name="_Toc294860740"/>
      <w:bookmarkStart w:id="1341" w:name="_Toc298410644"/>
      <w:bookmarkStart w:id="1342" w:name="_Toc300583798"/>
      <w:bookmarkStart w:id="1343" w:name="_Toc300837734"/>
      <w:bookmarkStart w:id="1344" w:name="_Toc300926177"/>
      <w:bookmarkStart w:id="1345" w:name="_Toc301770422"/>
      <w:bookmarkStart w:id="1346" w:name="_Toc302391561"/>
      <w:bookmarkStart w:id="1347" w:name="_Toc303261630"/>
      <w:bookmarkStart w:id="1348" w:name="_Toc303261714"/>
      <w:bookmarkStart w:id="1349" w:name="_Toc303323212"/>
      <w:bookmarkStart w:id="1350" w:name="_Toc303323529"/>
      <w:bookmarkStart w:id="1351" w:name="_Toc303323613"/>
      <w:bookmarkStart w:id="1352" w:name="_Toc303323697"/>
      <w:bookmarkStart w:id="1353" w:name="_Toc303323781"/>
      <w:bookmarkStart w:id="1354" w:name="_Toc303323865"/>
      <w:bookmarkStart w:id="1355" w:name="_Toc303323949"/>
      <w:bookmarkStart w:id="1356" w:name="_Toc303926995"/>
      <w:bookmarkStart w:id="1357" w:name="_Toc305158268"/>
      <w:bookmarkStart w:id="1358" w:name="_Toc305680053"/>
      <w:bookmarkStart w:id="1359" w:name="_Toc308164124"/>
      <w:bookmarkStart w:id="1360" w:name="_Toc310862775"/>
      <w:bookmarkStart w:id="1361" w:name="_Toc310863207"/>
      <w:bookmarkStart w:id="1362" w:name="_Toc312915550"/>
      <w:bookmarkStart w:id="1363" w:name="_Toc313530438"/>
      <w:bookmarkStart w:id="1364" w:name="_Toc332284856"/>
      <w:bookmarkStart w:id="1365" w:name="_Toc333819441"/>
      <w:bookmarkStart w:id="1366" w:name="_Toc333821740"/>
      <w:bookmarkStart w:id="1367" w:name="_Toc338407385"/>
      <w:bookmarkStart w:id="1368" w:name="_Toc339519219"/>
      <w:bookmarkStart w:id="1369" w:name="_Toc339522548"/>
      <w:bookmarkStart w:id="1370" w:name="_Toc339523109"/>
      <w:bookmarkStart w:id="1371" w:name="_Toc344975462"/>
      <w:bookmarkStart w:id="1372" w:name="_Toc344975552"/>
      <w:bookmarkStart w:id="1373" w:name="_Toc344979610"/>
      <w:bookmarkStart w:id="1374" w:name="_Toc346003596"/>
      <w:bookmarkStart w:id="1375" w:name="_Toc346605948"/>
      <w:bookmarkStart w:id="1376" w:name="_Toc346606035"/>
      <w:bookmarkStart w:id="1377" w:name="_Toc346606122"/>
      <w:bookmarkStart w:id="1378" w:name="_Toc346606209"/>
      <w:bookmarkStart w:id="1379" w:name="_Toc346607183"/>
      <w:bookmarkStart w:id="1380" w:name="_Toc346613843"/>
      <w:bookmarkStart w:id="1381" w:name="_Toc347319310"/>
      <w:bookmarkStart w:id="1382" w:name="_Toc354059373"/>
      <w:bookmarkStart w:id="1383" w:name="_Toc356826746"/>
      <w:bookmarkStart w:id="1384" w:name="_Toc356895942"/>
      <w:bookmarkStart w:id="1385" w:name="_Toc357698891"/>
      <w:r>
        <w:rPr>
          <w:sz w:val="28"/>
        </w:rPr>
        <w:t>Defined terms</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386" w:name="DefinedTerms"/>
      <w:bookmarkEnd w:id="1386"/>
      <w:r>
        <w:t>accredited higher education course</w:t>
      </w:r>
      <w:r>
        <w:tab/>
        <w:t>18F(1)</w:t>
      </w:r>
    </w:p>
    <w:p>
      <w:pPr>
        <w:pStyle w:val="DefinedTerms"/>
      </w:pPr>
      <w:r>
        <w:t>aged person</w:t>
      </w:r>
      <w:r>
        <w:tab/>
        <w:t>8(2)</w:t>
      </w:r>
    </w:p>
    <w:p>
      <w:pPr>
        <w:pStyle w:val="DefinedTerms"/>
      </w:pPr>
      <w:r>
        <w:t>agricultural region</w:t>
      </w:r>
      <w:r>
        <w:tab/>
        <w:t>8D(1)</w:t>
      </w:r>
    </w:p>
    <w:p>
      <w:pPr>
        <w:pStyle w:val="DefinedTerms"/>
      </w:pPr>
      <w:r>
        <w:t>aggregate amount</w:t>
      </w:r>
      <w:r>
        <w:tab/>
        <w:t>24(2)</w:t>
      </w:r>
    </w:p>
    <w:p>
      <w:pPr>
        <w:pStyle w:val="DefinedTerms"/>
      </w:pPr>
      <w:r>
        <w:t>alcohol based food essence</w:t>
      </w:r>
      <w:r>
        <w:tab/>
        <w:t>4A(2)</w:t>
      </w:r>
    </w:p>
    <w:p>
      <w:pPr>
        <w:pStyle w:val="DefinedTerms"/>
      </w:pPr>
      <w:r>
        <w:t>alcohol based novelty food item</w:t>
      </w:r>
      <w:r>
        <w:tab/>
        <w:t>4A(2)</w:t>
      </w:r>
    </w:p>
    <w:p>
      <w:pPr>
        <w:pStyle w:val="DefinedTerms"/>
      </w:pPr>
      <w:r>
        <w:t>amusement venue</w:t>
      </w:r>
      <w:r>
        <w:tab/>
        <w:t>9A(19)</w:t>
      </w:r>
    </w:p>
    <w:p>
      <w:pPr>
        <w:pStyle w:val="DefinedTerms"/>
      </w:pPr>
      <w:r>
        <w:t>anticipated number of patrons</w:t>
      </w:r>
      <w:r>
        <w:tab/>
        <w:t>3A(1), 14AC(1)</w:t>
      </w:r>
    </w:p>
    <w:p>
      <w:pPr>
        <w:pStyle w:val="DefinedTerms"/>
      </w:pPr>
      <w:r>
        <w:t xml:space="preserve">approval application </w:t>
      </w:r>
      <w:r>
        <w:tab/>
        <w:t>14ADA(1)</w:t>
      </w:r>
    </w:p>
    <w:p>
      <w:pPr>
        <w:pStyle w:val="DefinedTerms"/>
      </w:pPr>
      <w:r>
        <w:t>approved manager</w:t>
      </w:r>
      <w:r>
        <w:tab/>
        <w:t>3A(1)</w:t>
      </w:r>
    </w:p>
    <w:p>
      <w:pPr>
        <w:pStyle w:val="DefinedTerms"/>
      </w:pPr>
      <w:r>
        <w:t>approved operator</w:t>
      </w:r>
      <w:r>
        <w:tab/>
        <w:t>8(2)</w:t>
      </w:r>
    </w:p>
    <w:p>
      <w:pPr>
        <w:pStyle w:val="DefinedTerms"/>
      </w:pPr>
      <w:r>
        <w:t>approved VET course</w:t>
      </w:r>
      <w:r>
        <w:tab/>
        <w:t>18F(1)</w:t>
      </w:r>
    </w:p>
    <w:p>
      <w:pPr>
        <w:pStyle w:val="DefinedTerms"/>
      </w:pPr>
      <w:r>
        <w:t>approved viticulture course</w:t>
      </w:r>
      <w:r>
        <w:tab/>
        <w:t>9A(10e)</w:t>
      </w:r>
    </w:p>
    <w:p>
      <w:pPr>
        <w:pStyle w:val="DefinedTerms"/>
      </w:pPr>
      <w:r>
        <w:t>attendee</w:t>
      </w:r>
      <w:r>
        <w:tab/>
        <w:t>8B(2)</w:t>
      </w:r>
    </w:p>
    <w:p>
      <w:pPr>
        <w:pStyle w:val="DefinedTerms"/>
      </w:pPr>
      <w:r>
        <w:t>Australian learner driver permit</w:t>
      </w:r>
      <w:r>
        <w:tab/>
        <w:t>18A(1)</w:t>
      </w:r>
    </w:p>
    <w:p>
      <w:pPr>
        <w:pStyle w:val="DefinedTerms"/>
      </w:pPr>
      <w:r>
        <w:t>authorised arrangement</w:t>
      </w:r>
      <w:r>
        <w:tab/>
        <w:t>8E(1)</w:t>
      </w:r>
    </w:p>
    <w:p>
      <w:pPr>
        <w:pStyle w:val="DefinedTerms"/>
      </w:pPr>
      <w:r>
        <w:t>bar</w:t>
      </w:r>
      <w:r>
        <w:tab/>
        <w:t>11(1)</w:t>
      </w:r>
    </w:p>
    <w:p>
      <w:pPr>
        <w:pStyle w:val="DefinedTerms"/>
      </w:pPr>
      <w:r>
        <w:t>caterer</w:t>
      </w:r>
      <w:r>
        <w:tab/>
        <w:t>9A(14A)</w:t>
      </w:r>
    </w:p>
    <w:p>
      <w:pPr>
        <w:pStyle w:val="DefinedTerms"/>
      </w:pPr>
      <w:r>
        <w:t>commencement day</w:t>
      </w:r>
      <w:r>
        <w:tab/>
        <w:t xml:space="preserve"> 14ADG(1)</w:t>
      </w:r>
    </w:p>
    <w:p>
      <w:pPr>
        <w:pStyle w:val="DefinedTerms"/>
      </w:pPr>
      <w:r>
        <w:t>commercial vessel</w:t>
      </w:r>
      <w:r>
        <w:tab/>
        <w:t>8(3)</w:t>
      </w:r>
    </w:p>
    <w:p>
      <w:pPr>
        <w:pStyle w:val="DefinedTerms"/>
      </w:pPr>
      <w:r>
        <w:t>country charter vehicle</w:t>
      </w:r>
      <w:r>
        <w:tab/>
        <w:t>8F(1)</w:t>
      </w:r>
    </w:p>
    <w:p>
      <w:pPr>
        <w:pStyle w:val="DefinedTerms"/>
      </w:pPr>
      <w:r>
        <w:t>course of instruction or training</w:t>
      </w:r>
      <w:r>
        <w:tab/>
        <w:t>9A(10e)</w:t>
      </w:r>
    </w:p>
    <w:p>
      <w:pPr>
        <w:pStyle w:val="DefinedTerms"/>
      </w:pPr>
      <w:r>
        <w:t>crowd controller</w:t>
      </w:r>
      <w:r>
        <w:tab/>
        <w:t>18EB(3)</w:t>
      </w:r>
    </w:p>
    <w:p>
      <w:pPr>
        <w:pStyle w:val="DefinedTerms"/>
      </w:pPr>
      <w:r>
        <w:t>current</w:t>
      </w:r>
      <w:r>
        <w:tab/>
        <w:t>26(1ab)</w:t>
      </w:r>
    </w:p>
    <w:p>
      <w:pPr>
        <w:pStyle w:val="DefinedTerms"/>
      </w:pPr>
      <w:r>
        <w:t>current negative determination</w:t>
      </w:r>
      <w:r>
        <w:tab/>
        <w:t>8A(3)</w:t>
      </w:r>
    </w:p>
    <w:p>
      <w:pPr>
        <w:pStyle w:val="DefinedTerms"/>
      </w:pPr>
      <w:r>
        <w:t>disabled person</w:t>
      </w:r>
      <w:r>
        <w:tab/>
        <w:t>8(2)</w:t>
      </w:r>
    </w:p>
    <w:p>
      <w:pPr>
        <w:pStyle w:val="DefinedTerms"/>
      </w:pPr>
      <w:r>
        <w:t>entertainment</w:t>
      </w:r>
      <w:r>
        <w:tab/>
        <w:t>8A(1)</w:t>
      </w:r>
    </w:p>
    <w:p>
      <w:pPr>
        <w:pStyle w:val="DefinedTerms"/>
      </w:pPr>
      <w:r>
        <w:t>farmers’ market</w:t>
      </w:r>
      <w:r>
        <w:tab/>
        <w:t>8D(1)</w:t>
      </w:r>
    </w:p>
    <w:p>
      <w:pPr>
        <w:pStyle w:val="DefinedTerms"/>
      </w:pPr>
      <w:r>
        <w:t>function</w:t>
      </w:r>
      <w:r>
        <w:tab/>
        <w:t>8F(1)</w:t>
      </w:r>
    </w:p>
    <w:p>
      <w:pPr>
        <w:pStyle w:val="DefinedTerms"/>
      </w:pPr>
      <w:r>
        <w:t>higher education course</w:t>
      </w:r>
      <w:r>
        <w:tab/>
        <w:t>3A(1)</w:t>
      </w:r>
    </w:p>
    <w:p>
      <w:pPr>
        <w:pStyle w:val="DefinedTerms"/>
      </w:pPr>
      <w:r>
        <w:t xml:space="preserve">higher education institution </w:t>
      </w:r>
      <w:r>
        <w:tab/>
        <w:t>3A(1)</w:t>
      </w:r>
    </w:p>
    <w:p>
      <w:pPr>
        <w:pStyle w:val="DefinedTerms"/>
      </w:pPr>
      <w:r>
        <w:t>host club</w:t>
      </w:r>
      <w:r>
        <w:tab/>
        <w:t>9G</w:t>
      </w:r>
    </w:p>
    <w:p>
      <w:pPr>
        <w:pStyle w:val="DefinedTerms"/>
      </w:pPr>
      <w:r>
        <w:t>hostel</w:t>
      </w:r>
      <w:r>
        <w:tab/>
        <w:t>8(2)</w:t>
      </w:r>
    </w:p>
    <w:p>
      <w:pPr>
        <w:pStyle w:val="DefinedTerms"/>
      </w:pPr>
      <w:r>
        <w:t>inter</w:t>
      </w:r>
      <w:r>
        <w:noBreakHyphen/>
        <w:t>State voyage</w:t>
      </w:r>
      <w:r>
        <w:tab/>
        <w:t>8(3)</w:t>
      </w:r>
    </w:p>
    <w:p>
      <w:pPr>
        <w:pStyle w:val="DefinedTerms"/>
      </w:pPr>
      <w:r>
        <w:t>live entertainment</w:t>
      </w:r>
      <w:r>
        <w:tab/>
        <w:t>8A(1)</w:t>
      </w:r>
    </w:p>
    <w:p>
      <w:pPr>
        <w:pStyle w:val="DefinedTerms"/>
      </w:pPr>
      <w:r>
        <w:t>lodgment fee</w:t>
      </w:r>
      <w:r>
        <w:tab/>
        <w:t>26(4)(b)</w:t>
      </w:r>
    </w:p>
    <w:p>
      <w:pPr>
        <w:pStyle w:val="DefinedTerms"/>
      </w:pPr>
      <w:r>
        <w:t>lodgment period</w:t>
      </w:r>
      <w:r>
        <w:tab/>
        <w:t>26(4)(a)</w:t>
      </w:r>
    </w:p>
    <w:p>
      <w:pPr>
        <w:pStyle w:val="DefinedTerms"/>
      </w:pPr>
      <w:r>
        <w:t>manager’s approval</w:t>
      </w:r>
      <w:r>
        <w:tab/>
        <w:t>3A(1)</w:t>
      </w:r>
    </w:p>
    <w:p>
      <w:pPr>
        <w:pStyle w:val="DefinedTerms"/>
      </w:pPr>
      <w:r>
        <w:t>maximum number of patrons</w:t>
      </w:r>
      <w:r>
        <w:tab/>
        <w:t>3A(1), 14AC(1)</w:t>
      </w:r>
    </w:p>
    <w:p>
      <w:pPr>
        <w:pStyle w:val="DefinedTerms"/>
      </w:pPr>
      <w:r>
        <w:t>negative determination</w:t>
      </w:r>
      <w:r>
        <w:tab/>
        <w:t>8A(1)</w:t>
      </w:r>
    </w:p>
    <w:p>
      <w:pPr>
        <w:pStyle w:val="DefinedTerms"/>
      </w:pPr>
      <w:r>
        <w:t>notional wholesale selling price</w:t>
      </w:r>
      <w:r>
        <w:tab/>
        <w:t>3A(1)</w:t>
      </w:r>
    </w:p>
    <w:p>
      <w:pPr>
        <w:pStyle w:val="DefinedTerms"/>
      </w:pPr>
      <w:r>
        <w:t>organised function</w:t>
      </w:r>
      <w:r>
        <w:tab/>
        <w:t>8E(1)</w:t>
      </w:r>
    </w:p>
    <w:p>
      <w:pPr>
        <w:pStyle w:val="DefinedTerms"/>
      </w:pPr>
      <w:r>
        <w:t>overseas voyage</w:t>
      </w:r>
      <w:r>
        <w:tab/>
        <w:t>8(3)</w:t>
      </w:r>
    </w:p>
    <w:p>
      <w:pPr>
        <w:pStyle w:val="DefinedTerms"/>
      </w:pPr>
      <w:r>
        <w:t>permit area</w:t>
      </w:r>
      <w:r>
        <w:tab/>
        <w:t>14AC(1)</w:t>
      </w:r>
    </w:p>
    <w:p>
      <w:pPr>
        <w:pStyle w:val="DefinedTerms"/>
      </w:pPr>
      <w:r>
        <w:t>photograph</w:t>
      </w:r>
      <w:r>
        <w:tab/>
        <w:t>18B(3a), 18C(2)</w:t>
      </w:r>
    </w:p>
    <w:p>
      <w:pPr>
        <w:pStyle w:val="DefinedTerms"/>
      </w:pPr>
      <w:r>
        <w:t>prescribed permit</w:t>
      </w:r>
      <w:r>
        <w:tab/>
        <w:t>14AC(1)</w:t>
      </w:r>
    </w:p>
    <w:p>
      <w:pPr>
        <w:pStyle w:val="DefinedTerms"/>
      </w:pPr>
      <w:r>
        <w:t>primary production</w:t>
      </w:r>
      <w:r>
        <w:tab/>
        <w:t>8D(1)</w:t>
      </w:r>
    </w:p>
    <w:p>
      <w:pPr>
        <w:pStyle w:val="DefinedTerms"/>
      </w:pPr>
      <w:r>
        <w:t>producer</w:t>
      </w:r>
      <w:r>
        <w:tab/>
        <w:t>3A(1)</w:t>
      </w:r>
    </w:p>
    <w:p>
      <w:pPr>
        <w:pStyle w:val="DefinedTerms"/>
      </w:pPr>
      <w:r>
        <w:t>producers’ association</w:t>
      </w:r>
      <w:r>
        <w:tab/>
        <w:t>8D(1)</w:t>
      </w:r>
    </w:p>
    <w:p>
      <w:pPr>
        <w:pStyle w:val="DefinedTerms"/>
      </w:pPr>
      <w:r>
        <w:t>purchase</w:t>
      </w:r>
      <w:r>
        <w:tab/>
        <w:t>5(2)(b)</w:t>
      </w:r>
    </w:p>
    <w:p>
      <w:pPr>
        <w:pStyle w:val="DefinedTerms"/>
      </w:pPr>
      <w:r>
        <w:t>relevant body corporate</w:t>
      </w:r>
      <w:r>
        <w:tab/>
        <w:t>5B(2), (3) and (4)(a)</w:t>
      </w:r>
    </w:p>
    <w:p>
      <w:pPr>
        <w:pStyle w:val="DefinedTerms"/>
      </w:pPr>
      <w:r>
        <w:t>relevant lot</w:t>
      </w:r>
      <w:r>
        <w:tab/>
        <w:t>11(1)</w:t>
      </w:r>
    </w:p>
    <w:p>
      <w:pPr>
        <w:pStyle w:val="DefinedTerms"/>
      </w:pPr>
      <w:r>
        <w:t>relevant premises</w:t>
      </w:r>
      <w:r>
        <w:tab/>
        <w:t>11(1)</w:t>
      </w:r>
    </w:p>
    <w:p>
      <w:pPr>
        <w:pStyle w:val="DefinedTerms"/>
      </w:pPr>
      <w:r>
        <w:t>renewal application</w:t>
      </w:r>
      <w:r>
        <w:tab/>
        <w:t>14ADD(1)</w:t>
      </w:r>
    </w:p>
    <w:p>
      <w:pPr>
        <w:pStyle w:val="DefinedTerms"/>
      </w:pPr>
      <w:r>
        <w:t>responsible adult</w:t>
      </w:r>
      <w:r>
        <w:tab/>
        <w:t>8A(1), 8F(1)</w:t>
      </w:r>
    </w:p>
    <w:p>
      <w:pPr>
        <w:pStyle w:val="DefinedTerms"/>
      </w:pPr>
      <w:r>
        <w:t>restricted material</w:t>
      </w:r>
      <w:r>
        <w:tab/>
        <w:t>8A(1)</w:t>
      </w:r>
    </w:p>
    <w:p>
      <w:pPr>
        <w:pStyle w:val="DefinedTerms"/>
      </w:pPr>
      <w:r>
        <w:t>retail sale</w:t>
      </w:r>
      <w:r>
        <w:tab/>
        <w:t>4A(2)</w:t>
      </w:r>
    </w:p>
    <w:p>
      <w:pPr>
        <w:pStyle w:val="DefinedTerms"/>
      </w:pPr>
      <w:r>
        <w:t>room service restaurant</w:t>
      </w:r>
      <w:r>
        <w:tab/>
        <w:t>9A(17)</w:t>
      </w:r>
    </w:p>
    <w:p>
      <w:pPr>
        <w:pStyle w:val="DefinedTerms"/>
      </w:pPr>
      <w:r>
        <w:t>sale</w:t>
      </w:r>
      <w:r>
        <w:tab/>
        <w:t>5(2)(a)</w:t>
      </w:r>
    </w:p>
    <w:p>
      <w:pPr>
        <w:pStyle w:val="DefinedTerms"/>
      </w:pPr>
      <w:r>
        <w:t>signature</w:t>
      </w:r>
      <w:r>
        <w:tab/>
        <w:t>18C(2)</w:t>
      </w:r>
    </w:p>
    <w:p>
      <w:pPr>
        <w:pStyle w:val="DefinedTerms"/>
      </w:pPr>
      <w:r>
        <w:t>school</w:t>
      </w:r>
      <w:r>
        <w:tab/>
        <w:t>8F(1)</w:t>
      </w:r>
    </w:p>
    <w:p>
      <w:pPr>
        <w:pStyle w:val="DefinedTerms"/>
      </w:pPr>
      <w:r>
        <w:t>small charter vehicle</w:t>
      </w:r>
      <w:r>
        <w:tab/>
        <w:t>8F(1)</w:t>
      </w:r>
    </w:p>
    <w:p>
      <w:pPr>
        <w:pStyle w:val="DefinedTerms"/>
      </w:pPr>
      <w:r>
        <w:t>special event</w:t>
      </w:r>
      <w:r>
        <w:tab/>
        <w:t>9A(10e)</w:t>
      </w:r>
    </w:p>
    <w:p>
      <w:pPr>
        <w:pStyle w:val="DefinedTerms"/>
      </w:pPr>
      <w:r>
        <w:t>specified</w:t>
      </w:r>
      <w:r>
        <w:tab/>
        <w:t>9A(3)</w:t>
      </w:r>
    </w:p>
    <w:p>
      <w:pPr>
        <w:pStyle w:val="DefinedTerms"/>
      </w:pPr>
      <w:r>
        <w:t>standard drink</w:t>
      </w:r>
      <w:r>
        <w:tab/>
        <w:t>8C(1)</w:t>
      </w:r>
    </w:p>
    <w:p>
      <w:pPr>
        <w:pStyle w:val="DefinedTerms"/>
      </w:pPr>
      <w:r>
        <w:t>tax period</w:t>
      </w:r>
      <w:r>
        <w:tab/>
        <w:t>3A(1)</w:t>
      </w:r>
    </w:p>
    <w:p>
      <w:pPr>
        <w:pStyle w:val="DefinedTerms"/>
      </w:pPr>
      <w:r>
        <w:t>tourist</w:t>
      </w:r>
      <w:r>
        <w:tab/>
        <w:t>9A(9)</w:t>
      </w:r>
    </w:p>
    <w:p>
      <w:pPr>
        <w:pStyle w:val="DefinedTerms"/>
      </w:pPr>
      <w:r>
        <w:t>transitioned approval</w:t>
      </w:r>
      <w:r>
        <w:tab/>
        <w:t>14ADG(1)</w:t>
      </w:r>
    </w:p>
    <w:p>
      <w:pPr>
        <w:pStyle w:val="DefinedTerms"/>
      </w:pPr>
      <w:r>
        <w:t>vocational education and training institution</w:t>
      </w:r>
      <w:r>
        <w:tab/>
        <w:t>3A(1), 9A(10e)</w:t>
      </w:r>
    </w:p>
    <w:p>
      <w:pPr>
        <w:pStyle w:val="DefinedTerms"/>
      </w:pPr>
      <w:r>
        <w:t>WA territorial seas</w:t>
      </w:r>
      <w:r>
        <w:tab/>
        <w:t>8(1a)</w:t>
      </w:r>
    </w:p>
    <w:p>
      <w:pPr>
        <w:pStyle w:val="DefinedTerms"/>
      </w:pPr>
      <w:r>
        <w:t>WET</w:t>
      </w:r>
      <w:r>
        <w:tab/>
        <w:t>3A(1)</w:t>
      </w:r>
    </w:p>
    <w:p>
      <w:pPr>
        <w:pStyle w:val="DefinedTerms"/>
      </w:pPr>
      <w:r>
        <w:t>wholesaler</w:t>
      </w:r>
      <w:r>
        <w:tab/>
        <w:t>3A(1)</w:t>
      </w:r>
    </w:p>
    <w:p>
      <w:pPr>
        <w:pStyle w:val="DefinedTerms"/>
      </w:pPr>
      <w:r>
        <w:t>wine produced by a producer</w:t>
      </w:r>
      <w:r>
        <w:tab/>
        <w:t>21A(3)</w:t>
      </w:r>
    </w:p>
    <w:p>
      <w:pPr>
        <w:pStyle w:val="DefinedTerms"/>
      </w:pPr>
      <w:r>
        <w:t>worker</w:t>
      </w:r>
      <w:r>
        <w:tab/>
        <w:t>9A(3)</w:t>
      </w:r>
    </w:p>
    <w:p>
      <w:pPr>
        <w:pStyle w:val="DefinedTerms"/>
      </w:pPr>
      <w:r>
        <w:t>works canteen</w:t>
      </w:r>
      <w:r>
        <w:tab/>
        <w:t>9A(3)</w:t>
      </w:r>
    </w:p>
    <w:p/>
    <w:p>
      <w:pPr>
        <w:sectPr>
          <w:headerReference w:type="even" r:id="rId39"/>
          <w:headerReference w:type="default" r:id="rId40"/>
          <w:headerReference w:type="first" r:id="rId41"/>
          <w:pgSz w:w="11906" w:h="16838" w:code="9"/>
          <w:pgMar w:top="2376" w:right="2404" w:bottom="3544" w:left="2404" w:header="720"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Jun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11-d0-00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Form </w:t>
          </w:r>
          <w:r>
            <w:fldChar w:fldCharType="begin"/>
          </w:r>
          <w:r>
            <w:instrText xml:space="preserve"> IF </w:instrText>
          </w:r>
          <w:fldSimple w:instr=" StyleRef CharSClsNo ">
            <w:r>
              <w:rPr>
                <w:noProof/>
              </w:rPr>
              <w:instrText>19</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19</w:instrText>
            </w:r>
          </w:fldSimple>
          <w:r>
            <w:instrText xml:space="preserve"> </w:instrText>
          </w:r>
          <w:r>
            <w:fldChar w:fldCharType="separate"/>
          </w:r>
          <w:r>
            <w:rPr>
              <w:noProof/>
            </w:rPr>
            <w:t>19</w:t>
          </w:r>
          <w:r>
            <w:fldChar w:fldCharType="end"/>
          </w:r>
        </w:p>
      </w:tc>
    </w:tr>
  </w:tbl>
  <w:p>
    <w:pPr>
      <w:pStyle w:val="Header"/>
      <w:pBdr>
        <w:top w:val="single" w:sz="4" w:space="1" w:color="auto"/>
      </w:pBd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Control Regulations 1989</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54" w:type="dxa"/>
      <w:tblLayout w:type="fixed"/>
      <w:tblCellMar>
        <w:left w:w="72" w:type="dxa"/>
        <w:right w:w="72" w:type="dxa"/>
      </w:tblCellMar>
      <w:tblLook w:val="0000" w:firstRow="0" w:lastRow="0" w:firstColumn="0" w:lastColumn="0" w:noHBand="0" w:noVBand="0"/>
    </w:tblPr>
    <w:tblGrid>
      <w:gridCol w:w="5760"/>
      <w:gridCol w:w="1494"/>
    </w:tblGrid>
    <w:tr>
      <w:trPr>
        <w:cantSplit/>
      </w:trPr>
      <w:tc>
        <w:tcPr>
          <w:tcW w:w="7254" w:type="dxa"/>
          <w:gridSpan w:val="2"/>
        </w:tcPr>
        <w:p>
          <w:pPr>
            <w:pStyle w:val="HeaderActNameRight"/>
          </w:pPr>
          <w:fldSimple w:instr=" Styleref &quot;Name of Act/Reg&quot; ">
            <w:r>
              <w:rPr>
                <w:noProof/>
              </w:rPr>
              <w:t>Liquor Control Regulations 1989</w:t>
            </w:r>
          </w:fldSimple>
        </w:p>
      </w:tc>
    </w:tr>
    <w:tr>
      <w:tc>
        <w:tcPr>
          <w:tcW w:w="5760" w:type="dxa"/>
        </w:tcPr>
        <w:p>
          <w:pPr>
            <w:pStyle w:val="HeaderTextRight"/>
          </w:pPr>
        </w:p>
      </w:tc>
      <w:tc>
        <w:tcPr>
          <w:tcW w:w="1494" w:type="dxa"/>
        </w:tcPr>
        <w:p>
          <w:pPr>
            <w:pStyle w:val="HeaderNumberRight"/>
          </w:pPr>
        </w:p>
      </w:tc>
    </w:tr>
    <w:tr>
      <w:tc>
        <w:tcPr>
          <w:tcW w:w="5760" w:type="dxa"/>
        </w:tcPr>
        <w:p>
          <w:pPr>
            <w:pStyle w:val="HeaderTextRight"/>
          </w:pPr>
        </w:p>
      </w:tc>
      <w:tc>
        <w:tcPr>
          <w:tcW w:w="1494" w:type="dxa"/>
        </w:tcPr>
        <w:p>
          <w:pPr>
            <w:pStyle w:val="HeaderNumberRight"/>
          </w:pPr>
        </w:p>
      </w:tc>
    </w:tr>
    <w:tr>
      <w:trPr>
        <w:cantSplit/>
      </w:trPr>
      <w:tc>
        <w:tcPr>
          <w:tcW w:w="7254" w:type="dxa"/>
          <w:gridSpan w:val="2"/>
        </w:tcPr>
        <w:p>
          <w:pPr>
            <w:pStyle w:val="HeaderSectionRight"/>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vAlign w:val="bottom"/>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c>
        <w:tcPr>
          <w:tcW w:w="7263" w:type="dxa"/>
          <w:gridSpan w:val="2"/>
        </w:tcPr>
        <w:p>
          <w:pPr>
            <w:pStyle w:val="HeaderNumberRight"/>
            <w:ind w:right="17"/>
            <w:rPr>
              <w:bCs/>
            </w:rPr>
          </w:pPr>
          <w:r>
            <w:rPr>
              <w:bCs/>
            </w:rP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Liquor Control Regulations 1989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Liquor Control Regulations 1989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Liquor Control Regulations 1989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Form </w:t>
          </w:r>
          <w:r>
            <w:fldChar w:fldCharType="begin"/>
          </w:r>
          <w:r>
            <w:instrText xml:space="preserve"> IF </w:instrText>
          </w:r>
          <w:fldSimple w:instr=" StyleRef CharSClsNo ">
            <w:r>
              <w:rPr>
                <w:noProof/>
              </w:rPr>
              <w:instrText>19</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19</w:instrText>
            </w:r>
          </w:fldSimple>
          <w:r>
            <w:instrText xml:space="preserve"> </w:instrText>
          </w:r>
          <w:r>
            <w:fldChar w:fldCharType="separate"/>
          </w:r>
          <w:r>
            <w:rPr>
              <w:noProof/>
            </w:rPr>
            <w:t>19</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A296B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516EC7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4B0D01E"/>
    <w:lvl w:ilvl="0">
      <w:start w:val="1"/>
      <w:numFmt w:val="decimal"/>
      <w:pStyle w:val="ListNumber3"/>
      <w:lvlText w:val="%1."/>
      <w:lvlJc w:val="left"/>
      <w:pPr>
        <w:tabs>
          <w:tab w:val="num" w:pos="926"/>
        </w:tabs>
        <w:ind w:left="926" w:hanging="360"/>
      </w:pPr>
    </w:lvl>
  </w:abstractNum>
  <w:abstractNum w:abstractNumId="3">
    <w:nsid w:val="FFFFFF7F"/>
    <w:multiLevelType w:val="singleLevel"/>
    <w:tmpl w:val="44EEF1E0"/>
    <w:lvl w:ilvl="0">
      <w:start w:val="1"/>
      <w:numFmt w:val="decimal"/>
      <w:pStyle w:val="ListNumber2"/>
      <w:lvlText w:val="%1."/>
      <w:lvlJc w:val="left"/>
      <w:pPr>
        <w:tabs>
          <w:tab w:val="num" w:pos="643"/>
        </w:tabs>
        <w:ind w:left="643" w:hanging="360"/>
      </w:pPr>
    </w:lvl>
  </w:abstractNum>
  <w:abstractNum w:abstractNumId="4">
    <w:nsid w:val="FFFFFF80"/>
    <w:multiLevelType w:val="singleLevel"/>
    <w:tmpl w:val="99B88E1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64AED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D6CA7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E7C6E7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EE62EB6"/>
    <w:lvl w:ilvl="0">
      <w:start w:val="1"/>
      <w:numFmt w:val="decimal"/>
      <w:pStyle w:val="ListNumber"/>
      <w:lvlText w:val="%1."/>
      <w:lvlJc w:val="left"/>
      <w:pPr>
        <w:tabs>
          <w:tab w:val="num" w:pos="360"/>
        </w:tabs>
        <w:ind w:left="360" w:hanging="360"/>
      </w:pPr>
    </w:lvl>
  </w:abstractNum>
  <w:abstractNum w:abstractNumId="9">
    <w:nsid w:val="FFFFFF89"/>
    <w:multiLevelType w:val="singleLevel"/>
    <w:tmpl w:val="B19432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2FF52EB"/>
    <w:multiLevelType w:val="multilevel"/>
    <w:tmpl w:val="6CC2ABC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C2808C0"/>
    <w:multiLevelType w:val="singleLevel"/>
    <w:tmpl w:val="47200FCC"/>
    <w:lvl w:ilvl="0">
      <w:start w:val="1"/>
      <w:numFmt w:val="bullet"/>
      <w:pStyle w:val="NotesPerm2"/>
      <w:lvlText w:val=""/>
      <w:lvlJc w:val="left"/>
      <w:pPr>
        <w:tabs>
          <w:tab w:val="num" w:pos="1446"/>
        </w:tabs>
        <w:ind w:left="1446" w:hanging="567"/>
      </w:pPr>
      <w:rPr>
        <w:rFonts w:ascii="Symbol" w:hAnsi="Symbol" w:hint="default"/>
      </w:rPr>
    </w:lvl>
  </w:abstractNum>
  <w:abstractNum w:abstractNumId="27">
    <w:nsid w:val="40AC5273"/>
    <w:multiLevelType w:val="hybridMultilevel"/>
    <w:tmpl w:val="A238A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30">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31">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32">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5">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7"/>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7"/>
  </w:num>
  <w:num w:numId="15">
    <w:abstractNumId w:val="16"/>
  </w:num>
  <w:num w:numId="1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8"/>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tabs>
        <w:tab w:val="clear" w:pos="643"/>
        <w:tab w:val="num" w:pos="720"/>
      </w:tabs>
      <w:ind w:left="720"/>
    </w:pPr>
  </w:style>
  <w:style w:type="paragraph" w:styleId="ListBullet3">
    <w:name w:val="List Bullet 3"/>
    <w:basedOn w:val="Normal"/>
    <w:autoRedefine/>
    <w:pPr>
      <w:numPr>
        <w:numId w:val="5"/>
      </w:numPr>
      <w:tabs>
        <w:tab w:val="clear" w:pos="926"/>
        <w:tab w:val="num" w:pos="1080"/>
      </w:tabs>
      <w:ind w:left="1080"/>
    </w:pPr>
  </w:style>
  <w:style w:type="paragraph" w:styleId="ListBullet4">
    <w:name w:val="List Bullet 4"/>
    <w:basedOn w:val="Normal"/>
    <w:autoRedefine/>
    <w:pPr>
      <w:numPr>
        <w:numId w:val="6"/>
      </w:numPr>
      <w:tabs>
        <w:tab w:val="clear" w:pos="1209"/>
        <w:tab w:val="num" w:pos="1440"/>
      </w:tabs>
      <w:ind w:left="1440"/>
    </w:pPr>
  </w:style>
  <w:style w:type="paragraph" w:styleId="ListBullet5">
    <w:name w:val="List Bullet 5"/>
    <w:basedOn w:val="Normal"/>
    <w:autoRedefine/>
    <w:pPr>
      <w:numPr>
        <w:numId w:val="7"/>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tabs>
        <w:tab w:val="clear" w:pos="643"/>
        <w:tab w:val="num" w:pos="720"/>
      </w:tabs>
      <w:ind w:left="720"/>
    </w:pPr>
  </w:style>
  <w:style w:type="paragraph" w:styleId="ListNumber3">
    <w:name w:val="List Number 3"/>
    <w:basedOn w:val="Normal"/>
    <w:pPr>
      <w:numPr>
        <w:numId w:val="10"/>
      </w:numPr>
      <w:tabs>
        <w:tab w:val="clear" w:pos="926"/>
        <w:tab w:val="num" w:pos="1080"/>
      </w:tabs>
      <w:ind w:left="1080"/>
    </w:pPr>
  </w:style>
  <w:style w:type="paragraph" w:styleId="ListNumber4">
    <w:name w:val="List Number 4"/>
    <w:basedOn w:val="Normal"/>
    <w:pPr>
      <w:numPr>
        <w:numId w:val="11"/>
      </w:numPr>
      <w:tabs>
        <w:tab w:val="clear" w:pos="1209"/>
        <w:tab w:val="num" w:pos="1440"/>
      </w:tabs>
      <w:ind w:left="1440"/>
    </w:pPr>
  </w:style>
  <w:style w:type="paragraph" w:styleId="ListNumber5">
    <w:name w:val="List Number 5"/>
    <w:basedOn w:val="Normal"/>
    <w:pPr>
      <w:numPr>
        <w:numId w:val="12"/>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Page1">
    <w:name w:val="Page1"/>
    <w:basedOn w:val="Normal"/>
    <w:pPr>
      <w:spacing w:before="5103"/>
    </w:pPr>
    <w:rPr>
      <w:b/>
      <w:sz w:val="34"/>
    </w:r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zMiscellaneousText">
    <w:name w:val="zMiscellaneousText"/>
    <w:basedOn w:val="zSubsection"/>
  </w:style>
  <w:style w:type="paragraph" w:customStyle="1" w:styleId="nor">
    <w:name w:val="nor"/>
    <w:basedOn w:val="Subsection"/>
    <w:pPr>
      <w:keepLines/>
      <w:tabs>
        <w:tab w:val="left" w:pos="1418"/>
      </w:tabs>
      <w:spacing w:before="0" w:line="240" w:lineRule="auto"/>
      <w:ind w:left="1418"/>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2.xml"/><Relationship Id="rId42"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4.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image" Target="media/image3.wmf"/><Relationship Id="rId41"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4"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3.xml"/><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5E61-6082-499A-81CE-F147FE1E8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24903</Words>
  <Characters>119786</Characters>
  <Application>Microsoft Office Word</Application>
  <DocSecurity>0</DocSecurity>
  <Lines>4278</Lines>
  <Paragraphs>2494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142195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Regulations 1989 - 11-d0-00</dc:title>
  <dc:subject/>
  <dc:creator/>
  <cp:keywords/>
  <dc:description/>
  <cp:lastModifiedBy>svcMRProcess</cp:lastModifiedBy>
  <cp:revision>4</cp:revision>
  <cp:lastPrinted>2013-01-22T02:27:00Z</cp:lastPrinted>
  <dcterms:created xsi:type="dcterms:W3CDTF">2020-02-26T14:51:00Z</dcterms:created>
  <dcterms:modified xsi:type="dcterms:W3CDTF">2020-02-26T14:51:00Z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CommencementDate">
    <vt:lpwstr>20130601</vt:lpwstr>
  </property>
  <property fmtid="{D5CDD505-2E9C-101B-9397-08002B2CF9AE}" pid="4" name="DocumentType">
    <vt:lpwstr>Reg</vt:lpwstr>
  </property>
  <property fmtid="{D5CDD505-2E9C-101B-9397-08002B2CF9AE}" pid="5" name="OwlsUID">
    <vt:i4>4569</vt:i4>
  </property>
  <property fmtid="{D5CDD505-2E9C-101B-9397-08002B2CF9AE}" pid="6" name="AsAtDate">
    <vt:lpwstr>01 Jun 2013</vt:lpwstr>
  </property>
  <property fmtid="{D5CDD505-2E9C-101B-9397-08002B2CF9AE}" pid="7" name="Suffix">
    <vt:lpwstr>11-d0-00</vt:lpwstr>
  </property>
  <property fmtid="{D5CDD505-2E9C-101B-9397-08002B2CF9AE}" pid="8" name="ReprintNo">
    <vt:lpwstr>11</vt:lpwstr>
  </property>
  <property fmtid="{D5CDD505-2E9C-101B-9397-08002B2CF9AE}" pid="9" name="ReprintedAsAt">
    <vt:filetime>2013-01-10T16:00:00Z</vt:filetime>
  </property>
</Properties>
</file>