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 Care Services Act 2007</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Regulations 2007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17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841109"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2"/>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2"/>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_Toc382313018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2.</w:t>
      </w:r>
      <w:r>
        <w:tab/>
        <w:t>Managerial officer of incorporated association: s. 3</w:t>
      </w:r>
      <w:r>
        <w:tab/>
      </w:r>
      <w:r>
        <w:fldChar w:fldCharType="begin"/>
      </w:r>
      <w:r>
        <w:instrText xml:space="preserve"> PAGEREF _Toc382313020 \h </w:instrText>
      </w:r>
      <w:r>
        <w:fldChar w:fldCharType="separate"/>
      </w:r>
      <w:r>
        <w:t>2</w:t>
      </w:r>
      <w:r>
        <w:fldChar w:fldCharType="end"/>
      </w:r>
    </w:p>
    <w:p>
      <w:pPr>
        <w:pStyle w:val="TOC8"/>
        <w:rPr>
          <w:rFonts w:asciiTheme="minorHAnsi" w:eastAsiaTheme="minorEastAsia" w:hAnsiTheme="minorHAnsi" w:cstheme="minorBidi"/>
          <w:szCs w:val="22"/>
        </w:rPr>
      </w:pPr>
      <w:r>
        <w:t>6AA.</w:t>
      </w:r>
      <w:r>
        <w:tab/>
        <w:t>Form of entry warrant</w:t>
      </w:r>
      <w:r>
        <w:tab/>
      </w:r>
      <w:r>
        <w:fldChar w:fldCharType="begin"/>
      </w:r>
      <w:r>
        <w:instrText xml:space="preserve"> PAGEREF _Toc382313021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3A — Supervising officers</w:t>
      </w:r>
    </w:p>
    <w:p>
      <w:pPr>
        <w:pStyle w:val="TOC4"/>
        <w:tabs>
          <w:tab w:val="right" w:leader="dot" w:pos="7086"/>
        </w:tabs>
        <w:rPr>
          <w:rFonts w:asciiTheme="minorHAnsi" w:eastAsiaTheme="minorEastAsia" w:hAnsiTheme="minorHAnsi" w:cstheme="minorBidi"/>
          <w:b w:val="0"/>
          <w:szCs w:val="22"/>
        </w:rPr>
      </w:pPr>
      <w:r>
        <w:t>Division 1 — Approvals</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_Toc382313024 \h </w:instrText>
      </w:r>
      <w:r>
        <w:fldChar w:fldCharType="separate"/>
      </w:r>
      <w:r>
        <w:t>3</w:t>
      </w:r>
      <w:r>
        <w:fldChar w:fldCharType="end"/>
      </w:r>
    </w:p>
    <w:p>
      <w:pPr>
        <w:pStyle w:val="TOC8"/>
        <w:rPr>
          <w:rFonts w:asciiTheme="minorHAnsi" w:eastAsiaTheme="minorEastAsia" w:hAnsiTheme="minorHAnsi" w:cstheme="minorBidi"/>
          <w:szCs w:val="22"/>
        </w:rPr>
      </w:pPr>
      <w:r>
        <w:t>6B.</w:t>
      </w:r>
      <w:r>
        <w:tab/>
        <w:t>Purpose of Division</w:t>
      </w:r>
      <w:r>
        <w:tab/>
      </w:r>
      <w:r>
        <w:fldChar w:fldCharType="begin"/>
      </w:r>
      <w:r>
        <w:instrText xml:space="preserve"> PAGEREF _Toc382313025 \h </w:instrText>
      </w:r>
      <w:r>
        <w:fldChar w:fldCharType="separate"/>
      </w:r>
      <w:r>
        <w:t>3</w:t>
      </w:r>
      <w:r>
        <w:fldChar w:fldCharType="end"/>
      </w:r>
    </w:p>
    <w:p>
      <w:pPr>
        <w:pStyle w:val="TOC8"/>
        <w:rPr>
          <w:rFonts w:asciiTheme="minorHAnsi" w:eastAsiaTheme="minorEastAsia" w:hAnsiTheme="minorHAnsi" w:cstheme="minorBidi"/>
          <w:szCs w:val="22"/>
        </w:rPr>
      </w:pPr>
      <w:r>
        <w:t>6C.</w:t>
      </w:r>
      <w:r>
        <w:tab/>
        <w:t>Approval criteria</w:t>
      </w:r>
      <w:r>
        <w:tab/>
      </w:r>
      <w:r>
        <w:fldChar w:fldCharType="begin"/>
      </w:r>
      <w:r>
        <w:instrText xml:space="preserve"> PAGEREF _Toc382313026 \h </w:instrText>
      </w:r>
      <w:r>
        <w:fldChar w:fldCharType="separate"/>
      </w:r>
      <w:r>
        <w:t>3</w:t>
      </w:r>
      <w:r>
        <w:fldChar w:fldCharType="end"/>
      </w:r>
    </w:p>
    <w:p>
      <w:pPr>
        <w:pStyle w:val="TOC8"/>
        <w:rPr>
          <w:rFonts w:asciiTheme="minorHAnsi" w:eastAsiaTheme="minorEastAsia" w:hAnsiTheme="minorHAnsi" w:cstheme="minorBidi"/>
          <w:szCs w:val="22"/>
        </w:rPr>
      </w:pPr>
      <w:r>
        <w:t>6D.</w:t>
      </w:r>
      <w:r>
        <w:tab/>
        <w:t>Application for approval</w:t>
      </w:r>
      <w:r>
        <w:tab/>
      </w:r>
      <w:r>
        <w:fldChar w:fldCharType="begin"/>
      </w:r>
      <w:r>
        <w:instrText xml:space="preserve"> PAGEREF _Toc382313027 \h </w:instrText>
      </w:r>
      <w:r>
        <w:fldChar w:fldCharType="separate"/>
      </w:r>
      <w:r>
        <w:t>4</w:t>
      </w:r>
      <w:r>
        <w:fldChar w:fldCharType="end"/>
      </w:r>
    </w:p>
    <w:p>
      <w:pPr>
        <w:pStyle w:val="TOC8"/>
        <w:rPr>
          <w:rFonts w:asciiTheme="minorHAnsi" w:eastAsiaTheme="minorEastAsia" w:hAnsiTheme="minorHAnsi" w:cstheme="minorBidi"/>
          <w:szCs w:val="22"/>
        </w:rPr>
      </w:pPr>
      <w:r>
        <w:t>6E.</w:t>
      </w:r>
      <w:r>
        <w:tab/>
        <w:t>Form of application</w:t>
      </w:r>
      <w:r>
        <w:tab/>
      </w:r>
      <w:r>
        <w:fldChar w:fldCharType="begin"/>
      </w:r>
      <w:r>
        <w:instrText xml:space="preserve"> PAGEREF _Toc382313028 \h </w:instrText>
      </w:r>
      <w:r>
        <w:fldChar w:fldCharType="separate"/>
      </w:r>
      <w:r>
        <w:t>4</w:t>
      </w:r>
      <w:r>
        <w:fldChar w:fldCharType="end"/>
      </w:r>
    </w:p>
    <w:p>
      <w:pPr>
        <w:pStyle w:val="TOC8"/>
        <w:rPr>
          <w:rFonts w:asciiTheme="minorHAnsi" w:eastAsiaTheme="minorEastAsia" w:hAnsiTheme="minorHAnsi" w:cstheme="minorBidi"/>
          <w:szCs w:val="22"/>
        </w:rPr>
      </w:pPr>
      <w:r>
        <w:t>6F.</w:t>
      </w:r>
      <w:r>
        <w:tab/>
        <w:t>CEO may seek additional information</w:t>
      </w:r>
      <w:r>
        <w:tab/>
      </w:r>
      <w:r>
        <w:fldChar w:fldCharType="begin"/>
      </w:r>
      <w:r>
        <w:instrText xml:space="preserve"> PAGEREF _Toc382313029 \h </w:instrText>
      </w:r>
      <w:r>
        <w:fldChar w:fldCharType="separate"/>
      </w:r>
      <w:r>
        <w:t>5</w:t>
      </w:r>
      <w:r>
        <w:fldChar w:fldCharType="end"/>
      </w:r>
    </w:p>
    <w:p>
      <w:pPr>
        <w:pStyle w:val="TOC8"/>
        <w:rPr>
          <w:rFonts w:asciiTheme="minorHAnsi" w:eastAsiaTheme="minorEastAsia" w:hAnsiTheme="minorHAnsi" w:cstheme="minorBidi"/>
          <w:szCs w:val="22"/>
        </w:rPr>
      </w:pPr>
      <w:r>
        <w:t>6G.</w:t>
      </w:r>
      <w:r>
        <w:tab/>
        <w:t>Referees</w:t>
      </w:r>
      <w:r>
        <w:tab/>
      </w:r>
      <w:r>
        <w:fldChar w:fldCharType="begin"/>
      </w:r>
      <w:r>
        <w:instrText xml:space="preserve"> PAGEREF _Toc382313030 \h </w:instrText>
      </w:r>
      <w:r>
        <w:fldChar w:fldCharType="separate"/>
      </w:r>
      <w:r>
        <w:t>6</w:t>
      </w:r>
      <w:r>
        <w:fldChar w:fldCharType="end"/>
      </w:r>
    </w:p>
    <w:p>
      <w:pPr>
        <w:pStyle w:val="TOC8"/>
        <w:rPr>
          <w:rFonts w:asciiTheme="minorHAnsi" w:eastAsiaTheme="minorEastAsia" w:hAnsiTheme="minorHAnsi" w:cstheme="minorBidi"/>
          <w:szCs w:val="22"/>
        </w:rPr>
      </w:pPr>
      <w:r>
        <w:t>6H.</w:t>
      </w:r>
      <w:r>
        <w:tab/>
        <w:t>Decision as to approval</w:t>
      </w:r>
      <w:r>
        <w:tab/>
      </w:r>
      <w:r>
        <w:fldChar w:fldCharType="begin"/>
      </w:r>
      <w:r>
        <w:instrText xml:space="preserve"> PAGEREF _Toc382313031 \h </w:instrText>
      </w:r>
      <w:r>
        <w:fldChar w:fldCharType="separate"/>
      </w:r>
      <w:r>
        <w:t>6</w:t>
      </w:r>
      <w:r>
        <w:fldChar w:fldCharType="end"/>
      </w:r>
    </w:p>
    <w:p>
      <w:pPr>
        <w:pStyle w:val="TOC8"/>
        <w:rPr>
          <w:rFonts w:asciiTheme="minorHAnsi" w:eastAsiaTheme="minorEastAsia" w:hAnsiTheme="minorHAnsi" w:cstheme="minorBidi"/>
          <w:szCs w:val="22"/>
        </w:rPr>
      </w:pPr>
      <w:r>
        <w:t>6I.</w:t>
      </w:r>
      <w:r>
        <w:tab/>
        <w:t>Conditions of approval</w:t>
      </w:r>
      <w:r>
        <w:tab/>
      </w:r>
      <w:r>
        <w:fldChar w:fldCharType="begin"/>
      </w:r>
      <w:r>
        <w:instrText xml:space="preserve"> PAGEREF _Toc382313032 \h </w:instrText>
      </w:r>
      <w:r>
        <w:fldChar w:fldCharType="separate"/>
      </w:r>
      <w:r>
        <w:t>7</w:t>
      </w:r>
      <w:r>
        <w:fldChar w:fldCharType="end"/>
      </w:r>
    </w:p>
    <w:p>
      <w:pPr>
        <w:pStyle w:val="TOC8"/>
        <w:rPr>
          <w:rFonts w:asciiTheme="minorHAnsi" w:eastAsiaTheme="minorEastAsia" w:hAnsiTheme="minorHAnsi" w:cstheme="minorBidi"/>
          <w:szCs w:val="22"/>
        </w:rPr>
      </w:pPr>
      <w:r>
        <w:t>6J.</w:t>
      </w:r>
      <w:r>
        <w:tab/>
        <w:t>Amendment of conditions</w:t>
      </w:r>
      <w:r>
        <w:tab/>
      </w:r>
      <w:r>
        <w:fldChar w:fldCharType="begin"/>
      </w:r>
      <w:r>
        <w:instrText xml:space="preserve"> PAGEREF _Toc382313033 \h </w:instrText>
      </w:r>
      <w:r>
        <w:fldChar w:fldCharType="separate"/>
      </w:r>
      <w:r>
        <w:t>7</w:t>
      </w:r>
      <w:r>
        <w:fldChar w:fldCharType="end"/>
      </w:r>
    </w:p>
    <w:p>
      <w:pPr>
        <w:pStyle w:val="TOC8"/>
        <w:rPr>
          <w:rFonts w:asciiTheme="minorHAnsi" w:eastAsiaTheme="minorEastAsia" w:hAnsiTheme="minorHAnsi" w:cstheme="minorBidi"/>
          <w:szCs w:val="22"/>
        </w:rPr>
      </w:pPr>
      <w:r>
        <w:t>6K.</w:t>
      </w:r>
      <w:r>
        <w:tab/>
        <w:t>Reassessment of suitability</w:t>
      </w:r>
      <w:r>
        <w:tab/>
      </w:r>
      <w:r>
        <w:fldChar w:fldCharType="begin"/>
      </w:r>
      <w:r>
        <w:instrText xml:space="preserve"> PAGEREF _Toc382313034 \h </w:instrText>
      </w:r>
      <w:r>
        <w:fldChar w:fldCharType="separate"/>
      </w:r>
      <w:r>
        <w:t>8</w:t>
      </w:r>
      <w:r>
        <w:fldChar w:fldCharType="end"/>
      </w:r>
    </w:p>
    <w:p>
      <w:pPr>
        <w:pStyle w:val="TOC8"/>
        <w:rPr>
          <w:rFonts w:asciiTheme="minorHAnsi" w:eastAsiaTheme="minorEastAsia" w:hAnsiTheme="minorHAnsi" w:cstheme="minorBidi"/>
          <w:szCs w:val="22"/>
        </w:rPr>
      </w:pPr>
      <w:r>
        <w:t>6L.</w:t>
      </w:r>
      <w:r>
        <w:tab/>
        <w:t>Suspension or cancellation of approval</w:t>
      </w:r>
      <w:r>
        <w:tab/>
      </w:r>
      <w:r>
        <w:fldChar w:fldCharType="begin"/>
      </w:r>
      <w:r>
        <w:instrText xml:space="preserve"> PAGEREF _Toc382313035 \h </w:instrText>
      </w:r>
      <w:r>
        <w:fldChar w:fldCharType="separate"/>
      </w:r>
      <w:r>
        <w:t>8</w:t>
      </w:r>
      <w:r>
        <w:fldChar w:fldCharType="end"/>
      </w:r>
    </w:p>
    <w:p>
      <w:pPr>
        <w:pStyle w:val="TOC8"/>
        <w:rPr>
          <w:rFonts w:asciiTheme="minorHAnsi" w:eastAsiaTheme="minorEastAsia" w:hAnsiTheme="minorHAnsi" w:cstheme="minorBidi"/>
          <w:szCs w:val="22"/>
        </w:rPr>
      </w:pPr>
      <w:r>
        <w:t>6M.</w:t>
      </w:r>
      <w:r>
        <w:tab/>
        <w:t>Surrender of approval</w:t>
      </w:r>
      <w:r>
        <w:tab/>
      </w:r>
      <w:r>
        <w:fldChar w:fldCharType="begin"/>
      </w:r>
      <w:r>
        <w:instrText xml:space="preserve"> PAGEREF _Toc382313036 \h </w:instrText>
      </w:r>
      <w:r>
        <w:fldChar w:fldCharType="separate"/>
      </w:r>
      <w:r>
        <w:t>9</w:t>
      </w:r>
      <w:r>
        <w:fldChar w:fldCharType="end"/>
      </w:r>
    </w:p>
    <w:p>
      <w:pPr>
        <w:pStyle w:val="TOC8"/>
        <w:rPr>
          <w:rFonts w:asciiTheme="minorHAnsi" w:eastAsiaTheme="minorEastAsia" w:hAnsiTheme="minorHAnsi" w:cstheme="minorBidi"/>
          <w:szCs w:val="22"/>
        </w:rPr>
      </w:pPr>
      <w:r>
        <w:t>6N.</w:t>
      </w:r>
      <w:r>
        <w:tab/>
        <w:t>Approval document</w:t>
      </w:r>
      <w:r>
        <w:tab/>
      </w:r>
      <w:r>
        <w:fldChar w:fldCharType="begin"/>
      </w:r>
      <w:r>
        <w:instrText xml:space="preserve"> PAGEREF _Toc382313037 \h </w:instrText>
      </w:r>
      <w:r>
        <w:fldChar w:fldCharType="separate"/>
      </w:r>
      <w:r>
        <w:t>9</w:t>
      </w:r>
      <w:r>
        <w:fldChar w:fldCharType="end"/>
      </w:r>
    </w:p>
    <w:p>
      <w:pPr>
        <w:pStyle w:val="TOC8"/>
        <w:rPr>
          <w:rFonts w:asciiTheme="minorHAnsi" w:eastAsiaTheme="minorEastAsia" w:hAnsiTheme="minorHAnsi" w:cstheme="minorBidi"/>
          <w:szCs w:val="22"/>
        </w:rPr>
      </w:pPr>
      <w:r>
        <w:t>6O.</w:t>
      </w:r>
      <w:r>
        <w:tab/>
        <w:t>Return of approval document required in certain circumstances</w:t>
      </w:r>
      <w:r>
        <w:tab/>
      </w:r>
      <w:r>
        <w:fldChar w:fldCharType="begin"/>
      </w:r>
      <w:r>
        <w:instrText xml:space="preserve"> PAGEREF _Toc382313038 \h </w:instrText>
      </w:r>
      <w:r>
        <w:fldChar w:fldCharType="separate"/>
      </w:r>
      <w:r>
        <w:t>10</w:t>
      </w:r>
      <w:r>
        <w:fldChar w:fldCharType="end"/>
      </w:r>
    </w:p>
    <w:p>
      <w:pPr>
        <w:pStyle w:val="TOC8"/>
        <w:rPr>
          <w:rFonts w:asciiTheme="minorHAnsi" w:eastAsiaTheme="minorEastAsia" w:hAnsiTheme="minorHAnsi" w:cstheme="minorBidi"/>
          <w:szCs w:val="22"/>
        </w:rPr>
      </w:pPr>
      <w:r>
        <w:t>6P.</w:t>
      </w:r>
      <w:r>
        <w:tab/>
        <w:t>Review by SAT</w:t>
      </w:r>
      <w:r>
        <w:tab/>
      </w:r>
      <w:r>
        <w:fldChar w:fldCharType="begin"/>
      </w:r>
      <w:r>
        <w:instrText xml:space="preserve"> PAGEREF _Toc382313039 \h </w:instrText>
      </w:r>
      <w:r>
        <w:fldChar w:fldCharType="separate"/>
      </w:r>
      <w:r>
        <w:t>10</w:t>
      </w:r>
      <w:r>
        <w:fldChar w:fldCharType="end"/>
      </w:r>
    </w:p>
    <w:p>
      <w:pPr>
        <w:pStyle w:val="TOC8"/>
        <w:rPr>
          <w:rFonts w:asciiTheme="minorHAnsi" w:eastAsiaTheme="minorEastAsia" w:hAnsiTheme="minorHAnsi" w:cstheme="minorBidi"/>
          <w:szCs w:val="22"/>
        </w:rPr>
      </w:pPr>
      <w:r>
        <w:t>6Q.</w:t>
      </w:r>
      <w:r>
        <w:tab/>
        <w:t>Offence to pretend to be holder of approval</w:t>
      </w:r>
      <w:r>
        <w:tab/>
      </w:r>
      <w:r>
        <w:fldChar w:fldCharType="begin"/>
      </w:r>
      <w:r>
        <w:instrText xml:space="preserve"> PAGEREF _Toc382313040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Nominations</w:t>
      </w:r>
    </w:p>
    <w:p>
      <w:pPr>
        <w:pStyle w:val="TOC8"/>
        <w:rPr>
          <w:rFonts w:asciiTheme="minorHAnsi" w:eastAsiaTheme="minorEastAsia" w:hAnsiTheme="minorHAnsi" w:cstheme="minorBidi"/>
          <w:szCs w:val="22"/>
        </w:rPr>
      </w:pPr>
      <w:r>
        <w:t>6R.</w:t>
      </w:r>
      <w:r>
        <w:tab/>
        <w:t>Terms used</w:t>
      </w:r>
      <w:r>
        <w:tab/>
      </w:r>
      <w:r>
        <w:fldChar w:fldCharType="begin"/>
      </w:r>
      <w:r>
        <w:instrText xml:space="preserve"> PAGEREF _Toc382313042 \h </w:instrText>
      </w:r>
      <w:r>
        <w:fldChar w:fldCharType="separate"/>
      </w:r>
      <w:r>
        <w:t>11</w:t>
      </w:r>
      <w:r>
        <w:fldChar w:fldCharType="end"/>
      </w:r>
    </w:p>
    <w:p>
      <w:pPr>
        <w:pStyle w:val="TOC8"/>
        <w:rPr>
          <w:rFonts w:asciiTheme="minorHAnsi" w:eastAsiaTheme="minorEastAsia" w:hAnsiTheme="minorHAnsi" w:cstheme="minorBidi"/>
          <w:szCs w:val="22"/>
        </w:rPr>
      </w:pPr>
      <w:r>
        <w:t>6S.</w:t>
      </w:r>
      <w:r>
        <w:tab/>
        <w:t>Purpose of Division</w:t>
      </w:r>
      <w:r>
        <w:tab/>
      </w:r>
      <w:r>
        <w:fldChar w:fldCharType="begin"/>
      </w:r>
      <w:r>
        <w:instrText xml:space="preserve"> PAGEREF _Toc382313043 \h </w:instrText>
      </w:r>
      <w:r>
        <w:fldChar w:fldCharType="separate"/>
      </w:r>
      <w:r>
        <w:t>11</w:t>
      </w:r>
      <w:r>
        <w:fldChar w:fldCharType="end"/>
      </w:r>
    </w:p>
    <w:p>
      <w:pPr>
        <w:pStyle w:val="TOC8"/>
        <w:rPr>
          <w:rFonts w:asciiTheme="minorHAnsi" w:eastAsiaTheme="minorEastAsia" w:hAnsiTheme="minorHAnsi" w:cstheme="minorBidi"/>
          <w:szCs w:val="22"/>
        </w:rPr>
      </w:pPr>
      <w:r>
        <w:t>6T.</w:t>
      </w:r>
      <w:r>
        <w:tab/>
        <w:t>Nomination</w:t>
      </w:r>
      <w:r>
        <w:tab/>
      </w:r>
      <w:r>
        <w:fldChar w:fldCharType="begin"/>
      </w:r>
      <w:r>
        <w:instrText xml:space="preserve"> PAGEREF _Toc382313044 \h </w:instrText>
      </w:r>
      <w:r>
        <w:fldChar w:fldCharType="separate"/>
      </w:r>
      <w:r>
        <w:t>12</w:t>
      </w:r>
      <w:r>
        <w:fldChar w:fldCharType="end"/>
      </w:r>
    </w:p>
    <w:p>
      <w:pPr>
        <w:pStyle w:val="TOC8"/>
        <w:rPr>
          <w:rFonts w:asciiTheme="minorHAnsi" w:eastAsiaTheme="minorEastAsia" w:hAnsiTheme="minorHAnsi" w:cstheme="minorBidi"/>
          <w:szCs w:val="22"/>
        </w:rPr>
      </w:pPr>
      <w:r>
        <w:t>6U.</w:t>
      </w:r>
      <w:r>
        <w:tab/>
        <w:t>Amendment or revocation of nomination</w:t>
      </w:r>
      <w:r>
        <w:tab/>
      </w:r>
      <w:r>
        <w:fldChar w:fldCharType="begin"/>
      </w:r>
      <w:r>
        <w:instrText xml:space="preserve"> PAGEREF _Toc382313045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Transitional matters</w:t>
      </w:r>
    </w:p>
    <w:p>
      <w:pPr>
        <w:pStyle w:val="TOC4"/>
        <w:tabs>
          <w:tab w:val="right" w:leader="dot" w:pos="7086"/>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_Toc382313048 \h </w:instrText>
      </w:r>
      <w:r>
        <w:fldChar w:fldCharType="separate"/>
      </w:r>
      <w:r>
        <w:t>14</w:t>
      </w:r>
      <w:r>
        <w:fldChar w:fldCharType="end"/>
      </w:r>
    </w:p>
    <w:p>
      <w:pPr>
        <w:pStyle w:val="TOC8"/>
        <w:rPr>
          <w:rFonts w:asciiTheme="minorHAnsi" w:eastAsiaTheme="minorEastAsia" w:hAnsiTheme="minorHAnsi" w:cstheme="minorBidi"/>
          <w:szCs w:val="22"/>
        </w:rPr>
      </w:pPr>
      <w:r>
        <w:t>7.</w:t>
      </w:r>
      <w:r>
        <w:tab/>
        <w:t>Supervising officers</w:t>
      </w:r>
      <w:r>
        <w:tab/>
      </w:r>
      <w:r>
        <w:fldChar w:fldCharType="begin"/>
      </w:r>
      <w:r>
        <w:instrText xml:space="preserve"> PAGEREF _Toc382313049 \h </w:instrText>
      </w:r>
      <w:r>
        <w:fldChar w:fldCharType="separate"/>
      </w:r>
      <w:r>
        <w:t>14</w:t>
      </w:r>
      <w:r>
        <w:fldChar w:fldCharType="end"/>
      </w:r>
    </w:p>
    <w:p>
      <w:pPr>
        <w:pStyle w:val="TOC8"/>
        <w:rPr>
          <w:rFonts w:asciiTheme="minorHAnsi" w:eastAsiaTheme="minorEastAsia" w:hAnsiTheme="minorHAnsi" w:cstheme="minorBidi"/>
          <w:szCs w:val="22"/>
        </w:rPr>
      </w:pPr>
      <w:r>
        <w:t>8.</w:t>
      </w:r>
      <w:r>
        <w:tab/>
        <w:t>Application of s. 18 to certain licences</w:t>
      </w:r>
      <w:r>
        <w:tab/>
      </w:r>
      <w:r>
        <w:fldChar w:fldCharType="begin"/>
      </w:r>
      <w:r>
        <w:instrText xml:space="preserve"> PAGEREF _Toc382313050 \h </w:instrText>
      </w:r>
      <w:r>
        <w:fldChar w:fldCharType="separate"/>
      </w:r>
      <w:r>
        <w:t>15</w:t>
      </w:r>
      <w:r>
        <w:fldChar w:fldCharType="end"/>
      </w:r>
    </w:p>
    <w:p>
      <w:pPr>
        <w:pStyle w:val="TOC8"/>
        <w:rPr>
          <w:rFonts w:asciiTheme="minorHAnsi" w:eastAsiaTheme="minorEastAsia" w:hAnsiTheme="minorHAnsi" w:cstheme="minorBidi"/>
          <w:szCs w:val="22"/>
        </w:rPr>
      </w:pPr>
      <w:r>
        <w:t>9.</w:t>
      </w:r>
      <w:r>
        <w:tab/>
        <w:t>Holders of particular types of licence</w:t>
      </w:r>
      <w:r>
        <w:tab/>
      </w:r>
      <w:r>
        <w:fldChar w:fldCharType="begin"/>
      </w:r>
      <w:r>
        <w:instrText xml:space="preserve"> PAGEREF _Toc382313051 \h </w:instrText>
      </w:r>
      <w:r>
        <w:fldChar w:fldCharType="separate"/>
      </w:r>
      <w:r>
        <w:t>15</w:t>
      </w:r>
      <w:r>
        <w:fldChar w:fldCharType="end"/>
      </w:r>
    </w:p>
    <w:p>
      <w:pPr>
        <w:pStyle w:val="TOC8"/>
        <w:rPr>
          <w:rFonts w:asciiTheme="minorHAnsi" w:eastAsiaTheme="minorEastAsia" w:hAnsiTheme="minorHAnsi" w:cstheme="minorBidi"/>
          <w:szCs w:val="22"/>
        </w:rPr>
      </w:pPr>
      <w:r>
        <w:t>10.</w:t>
      </w:r>
      <w:r>
        <w:tab/>
        <w:t>Notified services</w:t>
      </w:r>
      <w:r>
        <w:tab/>
      </w:r>
      <w:r>
        <w:fldChar w:fldCharType="begin"/>
      </w:r>
      <w:r>
        <w:instrText xml:space="preserve"> PAGEREF _Toc382313052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Provision relating to </w:t>
      </w:r>
      <w:r>
        <w:rPr>
          <w:i/>
        </w:rPr>
        <w:t>Child Care Services Amendment Act 2011</w:t>
      </w:r>
    </w:p>
    <w:p>
      <w:pPr>
        <w:pStyle w:val="TOC8"/>
        <w:rPr>
          <w:rFonts w:asciiTheme="minorHAnsi" w:eastAsiaTheme="minorEastAsia" w:hAnsiTheme="minorHAnsi" w:cstheme="minorBidi"/>
          <w:szCs w:val="22"/>
        </w:rPr>
      </w:pPr>
      <w:r>
        <w:t>11.</w:t>
      </w:r>
      <w:r>
        <w:tab/>
        <w:t>Supervising officers</w:t>
      </w:r>
      <w:r>
        <w:tab/>
      </w:r>
      <w:r>
        <w:fldChar w:fldCharType="begin"/>
      </w:r>
      <w:r>
        <w:instrText xml:space="preserve"> PAGEREF _Toc382313054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_Toc382313057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May 2013</w:t>
            </w:r>
            <w:r>
              <w:rPr>
                <w:b/>
                <w:sz w:val="22"/>
              </w:rPr>
              <w:fldChar w:fldCharType="end"/>
            </w:r>
          </w:p>
        </w:tc>
      </w:tr>
    </w:tbl>
    <w:p>
      <w:pPr>
        <w:pStyle w:val="WA"/>
        <w:spacing w:before="120"/>
      </w:pPr>
      <w:r>
        <w:t>Western Australia</w:t>
      </w:r>
    </w:p>
    <w:p>
      <w:pPr>
        <w:pStyle w:val="PrincipalActReg"/>
      </w:pPr>
      <w:r>
        <w:t>Child Care Services Act 2007</w:t>
      </w:r>
    </w:p>
    <w:p>
      <w:pPr>
        <w:pStyle w:val="NameofActReg"/>
        <w:spacing w:before="600"/>
      </w:pPr>
      <w:r>
        <w:t>Child Care Services Regulations 2007</w:t>
      </w:r>
    </w:p>
    <w:p>
      <w:pPr>
        <w:pStyle w:val="Heading2"/>
        <w:pageBreakBefore w:val="0"/>
      </w:pPr>
      <w:bookmarkStart w:id="1" w:name="_Toc38231301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3018"/>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Child Care Services Regulations 2007</w:t>
      </w:r>
      <w:r>
        <w:rPr>
          <w:iCs/>
          <w:vertAlign w:val="superscript"/>
        </w:rPr>
        <w:t> 1, 2</w:t>
      </w:r>
      <w:r>
        <w:t>.</w:t>
      </w:r>
    </w:p>
    <w:p>
      <w:pPr>
        <w:pStyle w:val="Heading2"/>
      </w:pPr>
      <w:bookmarkStart w:id="4" w:name="_Toc382313019"/>
      <w:r>
        <w:rPr>
          <w:rStyle w:val="CharPartNo"/>
        </w:rPr>
        <w:t>Part 2</w:t>
      </w:r>
      <w:r>
        <w:rPr>
          <w:rStyle w:val="CharDivNo"/>
        </w:rPr>
        <w:t> </w:t>
      </w:r>
      <w:r>
        <w:t>—</w:t>
      </w:r>
      <w:r>
        <w:rPr>
          <w:rStyle w:val="CharDivText"/>
        </w:rPr>
        <w:t> </w:t>
      </w:r>
      <w:r>
        <w:rPr>
          <w:rStyle w:val="CharPartText"/>
        </w:rPr>
        <w:t>General provisions</w:t>
      </w:r>
      <w:bookmarkEnd w:id="4"/>
    </w:p>
    <w:p>
      <w:pPr>
        <w:pStyle w:val="Heading5"/>
      </w:pPr>
      <w:bookmarkStart w:id="5" w:name="_Toc382313020"/>
      <w:r>
        <w:rPr>
          <w:rStyle w:val="CharSectno"/>
        </w:rPr>
        <w:t>2</w:t>
      </w:r>
      <w:r>
        <w:t>.</w:t>
      </w:r>
      <w:r>
        <w:tab/>
        <w:t>Managerial officer of incorporated association: s. 3</w:t>
      </w:r>
      <w:bookmarkEnd w:id="5"/>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in Gazette 6 Jan 2012 p. 4.]</w:t>
      </w:r>
    </w:p>
    <w:p>
      <w:pPr>
        <w:pStyle w:val="Ednotesection"/>
      </w:pPr>
      <w:r>
        <w:t>[</w:t>
      </w:r>
      <w:r>
        <w:rPr>
          <w:b/>
        </w:rPr>
        <w:t>3-5.</w:t>
      </w:r>
      <w:r>
        <w:tab/>
        <w:t>Deleted in Gazette 5 Mar 2013 p. 1110.]</w:t>
      </w:r>
    </w:p>
    <w:p>
      <w:pPr>
        <w:pStyle w:val="Ednotesection"/>
      </w:pPr>
      <w:r>
        <w:t>[</w:t>
      </w:r>
      <w:r>
        <w:rPr>
          <w:b/>
        </w:rPr>
        <w:t>5A.</w:t>
      </w:r>
      <w:r>
        <w:tab/>
        <w:t>Deleted in Gazette 6 Jan 2012 p. 5.]</w:t>
      </w:r>
    </w:p>
    <w:p>
      <w:pPr>
        <w:pStyle w:val="Heading5"/>
      </w:pPr>
      <w:bookmarkStart w:id="6" w:name="_Toc382313021"/>
      <w:r>
        <w:rPr>
          <w:rStyle w:val="CharSectno"/>
        </w:rPr>
        <w:t>6AA</w:t>
      </w:r>
      <w:r>
        <w:t>.</w:t>
      </w:r>
      <w:r>
        <w:tab/>
        <w:t>Form of entry warrant</w:t>
      </w:r>
      <w:bookmarkEnd w:id="6"/>
    </w:p>
    <w:p>
      <w:pPr>
        <w:pStyle w:val="Subsection"/>
      </w:pPr>
      <w:r>
        <w:tab/>
      </w:r>
      <w:r>
        <w:tab/>
        <w:t>Schedule 1 Form 1 is prescribed for the purposes of section 43K(3) of the Act.</w:t>
      </w:r>
    </w:p>
    <w:p>
      <w:pPr>
        <w:pStyle w:val="Footnotesection"/>
      </w:pPr>
      <w:r>
        <w:tab/>
        <w:t>[Regulation 6AA inserted in Gazette 6 Jul 2012 p. 3021.]</w:t>
      </w:r>
    </w:p>
    <w:p>
      <w:pPr>
        <w:pStyle w:val="Heading2"/>
      </w:pPr>
      <w:bookmarkStart w:id="7" w:name="_Toc382313022"/>
      <w:r>
        <w:rPr>
          <w:rStyle w:val="CharPartNo"/>
        </w:rPr>
        <w:t>Part 3A</w:t>
      </w:r>
      <w:r>
        <w:t xml:space="preserve"> — </w:t>
      </w:r>
      <w:r>
        <w:rPr>
          <w:rStyle w:val="CharPartText"/>
        </w:rPr>
        <w:t>Supervising officers</w:t>
      </w:r>
      <w:bookmarkEnd w:id="7"/>
    </w:p>
    <w:p>
      <w:pPr>
        <w:pStyle w:val="Footnoteheading"/>
        <w:spacing w:before="100"/>
      </w:pPr>
      <w:r>
        <w:tab/>
        <w:t>[Heading inserted in Gazette 6 Jan 2012 p. 5.]</w:t>
      </w:r>
    </w:p>
    <w:p>
      <w:pPr>
        <w:pStyle w:val="Heading3"/>
      </w:pPr>
      <w:bookmarkStart w:id="8" w:name="_Toc382313023"/>
      <w:r>
        <w:rPr>
          <w:rStyle w:val="CharDivNo"/>
        </w:rPr>
        <w:t>Division 1</w:t>
      </w:r>
      <w:r>
        <w:t> — </w:t>
      </w:r>
      <w:r>
        <w:rPr>
          <w:rStyle w:val="CharDivText"/>
        </w:rPr>
        <w:t>Approvals</w:t>
      </w:r>
      <w:bookmarkEnd w:id="8"/>
    </w:p>
    <w:p>
      <w:pPr>
        <w:pStyle w:val="Footnoteheading"/>
        <w:spacing w:before="100"/>
      </w:pPr>
      <w:r>
        <w:tab/>
        <w:t>[Heading inserted in Gazette 6 Jan 2012 p. 5.]</w:t>
      </w:r>
    </w:p>
    <w:p>
      <w:pPr>
        <w:pStyle w:val="Heading5"/>
      </w:pPr>
      <w:bookmarkStart w:id="9" w:name="_Toc382313024"/>
      <w:r>
        <w:rPr>
          <w:rStyle w:val="CharSectno"/>
        </w:rPr>
        <w:t>6A</w:t>
      </w:r>
      <w:r>
        <w:t>.</w:t>
      </w:r>
      <w:r>
        <w:tab/>
        <w:t>Terms used</w:t>
      </w:r>
      <w:bookmarkEnd w:id="9"/>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spacing w:before="60"/>
      </w:pPr>
      <w:r>
        <w:tab/>
        <w:t>(a)</w:t>
      </w:r>
      <w:r>
        <w:tab/>
        <w:t>an application made under regulation 6D(1) for an approval to act; or</w:t>
      </w:r>
    </w:p>
    <w:p>
      <w:pPr>
        <w:pStyle w:val="Defpara"/>
        <w:spacing w:before="60"/>
      </w:pPr>
      <w:r>
        <w:tab/>
        <w:t>(b)</w:t>
      </w:r>
      <w:r>
        <w:tab/>
        <w:t>an application made under regulation 6D(2) for a supervisor approval;</w:t>
      </w:r>
    </w:p>
    <w:p>
      <w:pPr>
        <w:pStyle w:val="Defstart"/>
      </w:pPr>
      <w:r>
        <w:tab/>
      </w:r>
      <w:r>
        <w:rPr>
          <w:rStyle w:val="CharDefText"/>
        </w:rPr>
        <w:t>approval</w:t>
      </w:r>
      <w:r>
        <w:t xml:space="preserve"> means — </w:t>
      </w:r>
    </w:p>
    <w:p>
      <w:pPr>
        <w:pStyle w:val="Defpara"/>
        <w:spacing w:before="60"/>
      </w:pPr>
      <w:r>
        <w:tab/>
        <w:t>(a)</w:t>
      </w:r>
      <w:r>
        <w:tab/>
        <w:t>an approval to act; or</w:t>
      </w:r>
    </w:p>
    <w:p>
      <w:pPr>
        <w:pStyle w:val="Defpara"/>
        <w:spacing w:before="60"/>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spacing w:before="100"/>
      </w:pPr>
      <w:r>
        <w:tab/>
        <w:t>[Regulation 6A inserted in Gazette 6 Jan 2012 p. 5-6.]</w:t>
      </w:r>
    </w:p>
    <w:p>
      <w:pPr>
        <w:pStyle w:val="Heading5"/>
      </w:pPr>
      <w:bookmarkStart w:id="10" w:name="_Toc382313025"/>
      <w:r>
        <w:rPr>
          <w:rStyle w:val="CharSectno"/>
        </w:rPr>
        <w:t>6B</w:t>
      </w:r>
      <w:r>
        <w:t>.</w:t>
      </w:r>
      <w:r>
        <w:tab/>
        <w:t>Purpose of Division</w:t>
      </w:r>
      <w:bookmarkEnd w:id="10"/>
    </w:p>
    <w:p>
      <w:pPr>
        <w:pStyle w:val="Subsection"/>
      </w:pPr>
      <w:r>
        <w:tab/>
      </w:r>
      <w:r>
        <w:tab/>
        <w:t>The purpose of this Division is to set out provisions relating to approvals for the purposes of section 5A(1)(a)(ii) and (b)(i) of the Act.</w:t>
      </w:r>
    </w:p>
    <w:p>
      <w:pPr>
        <w:pStyle w:val="Footnotesection"/>
        <w:spacing w:before="100"/>
      </w:pPr>
      <w:r>
        <w:tab/>
        <w:t>[Regulation 6B inserted in Gazette 6 Jan 2012 p. 6.]</w:t>
      </w:r>
    </w:p>
    <w:p>
      <w:pPr>
        <w:pStyle w:val="Heading5"/>
      </w:pPr>
      <w:bookmarkStart w:id="11" w:name="_Toc382313026"/>
      <w:r>
        <w:rPr>
          <w:rStyle w:val="CharSectno"/>
        </w:rPr>
        <w:t>6C</w:t>
      </w:r>
      <w:r>
        <w:t>.</w:t>
      </w:r>
      <w:r>
        <w:tab/>
        <w:t>Approval criteria</w:t>
      </w:r>
      <w:bookmarkEnd w:id="11"/>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in Gazette 6 Jan 2012 p. 6.]</w:t>
      </w:r>
    </w:p>
    <w:p>
      <w:pPr>
        <w:pStyle w:val="Heading5"/>
      </w:pPr>
      <w:bookmarkStart w:id="12" w:name="_Toc382313027"/>
      <w:r>
        <w:rPr>
          <w:rStyle w:val="CharSectno"/>
        </w:rPr>
        <w:t>6D</w:t>
      </w:r>
      <w:r>
        <w:t>.</w:t>
      </w:r>
      <w:r>
        <w:tab/>
        <w:t>Application for approval</w:t>
      </w:r>
      <w:bookmarkEnd w:id="12"/>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in Gazette 6 Jan 2012 p. 6.]</w:t>
      </w:r>
    </w:p>
    <w:p>
      <w:pPr>
        <w:pStyle w:val="Heading5"/>
      </w:pPr>
      <w:bookmarkStart w:id="13" w:name="_Toc382313028"/>
      <w:r>
        <w:rPr>
          <w:rStyle w:val="CharSectno"/>
        </w:rPr>
        <w:t>6E</w:t>
      </w:r>
      <w:r>
        <w:t>.</w:t>
      </w:r>
      <w:r>
        <w:tab/>
        <w:t>Form of application</w:t>
      </w:r>
      <w:bookmarkEnd w:id="13"/>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keepNext/>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in Gazette 6 Jan 2012 p. 7.]</w:t>
      </w:r>
    </w:p>
    <w:p>
      <w:pPr>
        <w:pStyle w:val="Heading5"/>
      </w:pPr>
      <w:bookmarkStart w:id="14" w:name="_Toc382313029"/>
      <w:r>
        <w:rPr>
          <w:rStyle w:val="CharSectno"/>
        </w:rPr>
        <w:t>6F</w:t>
      </w:r>
      <w:r>
        <w:t>.</w:t>
      </w:r>
      <w:r>
        <w:tab/>
        <w:t>CEO may seek additional information</w:t>
      </w:r>
      <w:bookmarkEnd w:id="14"/>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spacing w:before="100"/>
      </w:pPr>
      <w:r>
        <w:tab/>
        <w:t>[Regulation 6F inserted in Gazette 6 Jan 2012 p. 7.]</w:t>
      </w:r>
    </w:p>
    <w:p>
      <w:pPr>
        <w:pStyle w:val="Heading5"/>
      </w:pPr>
      <w:bookmarkStart w:id="15" w:name="_Toc382313030"/>
      <w:r>
        <w:rPr>
          <w:rStyle w:val="CharSectno"/>
        </w:rPr>
        <w:t>6G</w:t>
      </w:r>
      <w:r>
        <w:t>.</w:t>
      </w:r>
      <w:r>
        <w:tab/>
        <w:t>Referees</w:t>
      </w:r>
      <w:bookmarkEnd w:id="15"/>
    </w:p>
    <w:p>
      <w:pPr>
        <w:pStyle w:val="Subsection"/>
      </w:pPr>
      <w:r>
        <w:tab/>
        <w:t>(1)</w:t>
      </w:r>
      <w:r>
        <w:tab/>
        <w:t xml:space="preserve">If an application nominates referees for the applicant, those referees must include — </w:t>
      </w:r>
    </w:p>
    <w:p>
      <w:pPr>
        <w:pStyle w:val="Indenta"/>
        <w:spacing w:before="60"/>
      </w:pPr>
      <w:r>
        <w:tab/>
        <w:t>(a)</w:t>
      </w:r>
      <w:r>
        <w:tab/>
        <w:t>a referee who knows the applicant and who has had experience in children’s services; and</w:t>
      </w:r>
    </w:p>
    <w:p>
      <w:pPr>
        <w:pStyle w:val="Indenta"/>
        <w:spacing w:before="60"/>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spacing w:before="60"/>
      </w:pPr>
      <w:r>
        <w:tab/>
        <w:t>(a)</w:t>
      </w:r>
      <w:r>
        <w:tab/>
        <w:t>an employee of the applicant; or</w:t>
      </w:r>
    </w:p>
    <w:p>
      <w:pPr>
        <w:pStyle w:val="Indenta"/>
        <w:spacing w:before="60"/>
      </w:pPr>
      <w:r>
        <w:tab/>
        <w:t>(b)</w:t>
      </w:r>
      <w:r>
        <w:tab/>
        <w:t>married, or related (including by marriage), to the applicant; or</w:t>
      </w:r>
    </w:p>
    <w:p>
      <w:pPr>
        <w:pStyle w:val="Indenta"/>
        <w:spacing w:before="60"/>
      </w:pPr>
      <w:r>
        <w:tab/>
        <w:t>(c)</w:t>
      </w:r>
      <w:r>
        <w:tab/>
        <w:t>a de facto partner of the applicant; or</w:t>
      </w:r>
    </w:p>
    <w:p>
      <w:pPr>
        <w:pStyle w:val="Indenta"/>
        <w:spacing w:before="60"/>
      </w:pPr>
      <w:r>
        <w:tab/>
        <w:t>(d)</w:t>
      </w:r>
      <w:r>
        <w:tab/>
        <w:t>another applicant.</w:t>
      </w:r>
    </w:p>
    <w:p>
      <w:pPr>
        <w:pStyle w:val="Footnotesection"/>
        <w:spacing w:before="100"/>
      </w:pPr>
      <w:r>
        <w:tab/>
        <w:t>[Regulation 6G inserted in Gazette 6 Jan 2012 p. 8.]</w:t>
      </w:r>
    </w:p>
    <w:p>
      <w:pPr>
        <w:pStyle w:val="Heading5"/>
      </w:pPr>
      <w:bookmarkStart w:id="16" w:name="_Toc382313031"/>
      <w:r>
        <w:rPr>
          <w:rStyle w:val="CharSectno"/>
        </w:rPr>
        <w:t>6H</w:t>
      </w:r>
      <w:r>
        <w:t>.</w:t>
      </w:r>
      <w:r>
        <w:tab/>
        <w:t>Decision as to approval</w:t>
      </w:r>
      <w:bookmarkEnd w:id="16"/>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spacing w:before="100"/>
      </w:pPr>
      <w:r>
        <w:tab/>
        <w:t>[Regulation 6H inserted in Gazette 6 Jan 2012 p. 8.]</w:t>
      </w:r>
    </w:p>
    <w:p>
      <w:pPr>
        <w:pStyle w:val="Heading5"/>
      </w:pPr>
      <w:bookmarkStart w:id="17" w:name="_Toc382313032"/>
      <w:r>
        <w:rPr>
          <w:rStyle w:val="CharSectno"/>
        </w:rPr>
        <w:t>6I</w:t>
      </w:r>
      <w:r>
        <w:t>.</w:t>
      </w:r>
      <w:r>
        <w:tab/>
        <w:t>Conditions of approval</w:t>
      </w:r>
      <w:bookmarkEnd w:id="17"/>
    </w:p>
    <w:p>
      <w:pPr>
        <w:pStyle w:val="Subsection"/>
        <w:spacing w:before="150"/>
      </w:pPr>
      <w:r>
        <w:tab/>
        <w:t>(1)</w:t>
      </w:r>
      <w:r>
        <w:tab/>
        <w:t>The CEO may grant an approval subject to any conditions that the CEO considers appropriate.</w:t>
      </w:r>
    </w:p>
    <w:p>
      <w:pPr>
        <w:pStyle w:val="Subsection"/>
        <w:spacing w:before="150"/>
      </w:pPr>
      <w:r>
        <w:tab/>
        <w:t>(2)</w:t>
      </w:r>
      <w:r>
        <w:tab/>
        <w:t>Without limiting subregulation (1), it is a condition of each approval that the holder of the approval notifies the CEO in writing of a change in his or her name or mailing address.</w:t>
      </w:r>
    </w:p>
    <w:p>
      <w:pPr>
        <w:pStyle w:val="Subsection"/>
        <w:spacing w:before="150"/>
      </w:pPr>
      <w:r>
        <w:tab/>
        <w:t>(3)</w:t>
      </w:r>
      <w:r>
        <w:tab/>
        <w:t>A person who contravenes a condition of his or her approval commits an offence.</w:t>
      </w:r>
    </w:p>
    <w:p>
      <w:pPr>
        <w:pStyle w:val="Penstart"/>
      </w:pPr>
      <w:r>
        <w:tab/>
        <w:t>Penalty: a fine of $2 000.</w:t>
      </w:r>
    </w:p>
    <w:p>
      <w:pPr>
        <w:pStyle w:val="Footnotesection"/>
        <w:spacing w:before="100"/>
      </w:pPr>
      <w:r>
        <w:tab/>
        <w:t>[Regulation 6I inserted in Gazette 6 Jan 2012 p. 8.]</w:t>
      </w:r>
    </w:p>
    <w:p>
      <w:pPr>
        <w:pStyle w:val="Heading5"/>
      </w:pPr>
      <w:bookmarkStart w:id="18" w:name="_Toc382313033"/>
      <w:r>
        <w:rPr>
          <w:rStyle w:val="CharSectno"/>
        </w:rPr>
        <w:t>6J</w:t>
      </w:r>
      <w:r>
        <w:t>.</w:t>
      </w:r>
      <w:r>
        <w:tab/>
        <w:t>Amendment of conditions</w:t>
      </w:r>
      <w:bookmarkEnd w:id="18"/>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spacing w:before="60"/>
      </w:pPr>
      <w:r>
        <w:tab/>
        <w:t>(a)</w:t>
      </w:r>
      <w:r>
        <w:tab/>
        <w:t>to impose a new condition on the approval; or</w:t>
      </w:r>
    </w:p>
    <w:p>
      <w:pPr>
        <w:pStyle w:val="Defpara"/>
        <w:spacing w:before="60"/>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spacing w:before="60"/>
      </w:pPr>
      <w:r>
        <w:tab/>
        <w:t>(a)</w:t>
      </w:r>
      <w:r>
        <w:tab/>
        <w:t>on the CEO’s own initiative; or</w:t>
      </w:r>
    </w:p>
    <w:p>
      <w:pPr>
        <w:pStyle w:val="Indenta"/>
        <w:spacing w:before="60"/>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spacing w:before="100"/>
      </w:pPr>
      <w:r>
        <w:tab/>
        <w:t>[Regulation 6J inserted in Gazette 6 Jan 2012 p. 8-9.]</w:t>
      </w:r>
    </w:p>
    <w:p>
      <w:pPr>
        <w:pStyle w:val="Heading5"/>
      </w:pPr>
      <w:bookmarkStart w:id="19" w:name="_Toc382313034"/>
      <w:r>
        <w:rPr>
          <w:rStyle w:val="CharSectno"/>
        </w:rPr>
        <w:t>6K</w:t>
      </w:r>
      <w:r>
        <w:t>.</w:t>
      </w:r>
      <w:r>
        <w:tab/>
        <w:t>Reassessment of suitability</w:t>
      </w:r>
      <w:bookmarkEnd w:id="19"/>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in Gazette 6 Jan 2012 p. 9.]</w:t>
      </w:r>
    </w:p>
    <w:p>
      <w:pPr>
        <w:pStyle w:val="Heading5"/>
      </w:pPr>
      <w:bookmarkStart w:id="20" w:name="_Toc382313035"/>
      <w:r>
        <w:rPr>
          <w:rStyle w:val="CharSectno"/>
        </w:rPr>
        <w:t>6L</w:t>
      </w:r>
      <w:r>
        <w:t>.</w:t>
      </w:r>
      <w:r>
        <w:tab/>
        <w:t>Suspension or cancellation of approval</w:t>
      </w:r>
      <w:bookmarkEnd w:id="20"/>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 xml:space="preserve">give the holder of the approval a notice (a </w:t>
      </w:r>
      <w:r>
        <w:rPr>
          <w:rStyle w:val="CharDefText"/>
        </w:rPr>
        <w:t>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spacing w:before="140"/>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spacing w:before="140"/>
      </w:pPr>
      <w:r>
        <w:tab/>
        <w:t>(4)</w:t>
      </w:r>
      <w:r>
        <w:tab/>
        <w:t xml:space="preserve">A notice of decision must state — </w:t>
      </w:r>
    </w:p>
    <w:p>
      <w:pPr>
        <w:pStyle w:val="Indenta"/>
        <w:spacing w:before="60"/>
      </w:pPr>
      <w:r>
        <w:tab/>
        <w:t>(a)</w:t>
      </w:r>
      <w:r>
        <w:tab/>
        <w:t>the day on which the decision takes effect; and</w:t>
      </w:r>
    </w:p>
    <w:p>
      <w:pPr>
        <w:pStyle w:val="Indenta"/>
        <w:spacing w:before="60"/>
      </w:pPr>
      <w:r>
        <w:tab/>
        <w:t>(b)</w:t>
      </w:r>
      <w:r>
        <w:tab/>
        <w:t>in the case of a decision to suspend — the period of suspension.</w:t>
      </w:r>
    </w:p>
    <w:p>
      <w:pPr>
        <w:pStyle w:val="Subsection"/>
        <w:spacing w:before="140"/>
      </w:pPr>
      <w:r>
        <w:tab/>
        <w:t>(5)</w:t>
      </w:r>
      <w:r>
        <w:tab/>
        <w:t xml:space="preserve">A decision to suspend or cancel an approval under subregulation (1) takes effect — </w:t>
      </w:r>
    </w:p>
    <w:p>
      <w:pPr>
        <w:pStyle w:val="Indenta"/>
        <w:spacing w:before="60"/>
      </w:pPr>
      <w:r>
        <w:tab/>
        <w:t>(a)</w:t>
      </w:r>
      <w:r>
        <w:tab/>
        <w:t>at the end of 14 days after the giving of the notice of decision; or</w:t>
      </w:r>
    </w:p>
    <w:p>
      <w:pPr>
        <w:pStyle w:val="Indenta"/>
        <w:spacing w:before="60"/>
      </w:pPr>
      <w:r>
        <w:tab/>
        <w:t>(b)</w:t>
      </w:r>
      <w:r>
        <w:tab/>
        <w:t>if another period is specified in the notice of decision — at the end of that period.</w:t>
      </w:r>
    </w:p>
    <w:p>
      <w:pPr>
        <w:pStyle w:val="Footnotesection"/>
        <w:spacing w:before="100"/>
      </w:pPr>
      <w:r>
        <w:tab/>
        <w:t>[Regulation 6L inserted in Gazette 6 Jan 2012 p. 9-10.]</w:t>
      </w:r>
    </w:p>
    <w:p>
      <w:pPr>
        <w:pStyle w:val="Heading5"/>
        <w:spacing w:before="200"/>
      </w:pPr>
      <w:bookmarkStart w:id="21" w:name="_Toc382313036"/>
      <w:r>
        <w:rPr>
          <w:rStyle w:val="CharSectno"/>
        </w:rPr>
        <w:t>6M</w:t>
      </w:r>
      <w:r>
        <w:t>.</w:t>
      </w:r>
      <w:r>
        <w:tab/>
        <w:t>Surrender of approval</w:t>
      </w:r>
      <w:bookmarkEnd w:id="21"/>
    </w:p>
    <w:p>
      <w:pPr>
        <w:pStyle w:val="Subsection"/>
        <w:spacing w:before="140"/>
      </w:pPr>
      <w:r>
        <w:tab/>
        <w:t>(1)</w:t>
      </w:r>
      <w:r>
        <w:tab/>
        <w:t>A person who holds an approval may, by written notice given to the CEO, surrender the approval.</w:t>
      </w:r>
    </w:p>
    <w:p>
      <w:pPr>
        <w:pStyle w:val="Subsection"/>
        <w:spacing w:before="140"/>
      </w:pPr>
      <w:r>
        <w:tab/>
        <w:t>(2)</w:t>
      </w:r>
      <w:r>
        <w:tab/>
        <w:t>A notice under subregulation (1) must be in the approved form.</w:t>
      </w:r>
    </w:p>
    <w:p>
      <w:pPr>
        <w:pStyle w:val="Subsection"/>
        <w:spacing w:before="140"/>
      </w:pPr>
      <w:r>
        <w:tab/>
        <w:t>(3)</w:t>
      </w:r>
      <w:r>
        <w:tab/>
        <w:t>On the surrender of an approval under subregulation (1), the approval ceases to have effect.</w:t>
      </w:r>
    </w:p>
    <w:p>
      <w:pPr>
        <w:pStyle w:val="Footnotesection"/>
        <w:spacing w:before="100"/>
      </w:pPr>
      <w:r>
        <w:tab/>
        <w:t>[Regulation 6M inserted in Gazette 6 Jan 2012 p. 10.]</w:t>
      </w:r>
    </w:p>
    <w:p>
      <w:pPr>
        <w:pStyle w:val="Heading5"/>
        <w:spacing w:before="200"/>
      </w:pPr>
      <w:bookmarkStart w:id="22" w:name="_Toc382313037"/>
      <w:r>
        <w:rPr>
          <w:rStyle w:val="CharSectno"/>
        </w:rPr>
        <w:t>6N</w:t>
      </w:r>
      <w:r>
        <w:t>.</w:t>
      </w:r>
      <w:r>
        <w:tab/>
        <w:t>Approval document</w:t>
      </w:r>
      <w:bookmarkEnd w:id="22"/>
    </w:p>
    <w:p>
      <w:pPr>
        <w:pStyle w:val="Subsection"/>
        <w:spacing w:before="140"/>
      </w:pPr>
      <w:r>
        <w:tab/>
        <w:t>(1)</w:t>
      </w:r>
      <w:r>
        <w:tab/>
        <w:t>If the CEO grants an approval to a person the CEO must issue an approval document to the person.</w:t>
      </w:r>
    </w:p>
    <w:p>
      <w:pPr>
        <w:pStyle w:val="Subsection"/>
        <w:spacing w:before="140"/>
      </w:pPr>
      <w:r>
        <w:tab/>
        <w:t>(2)</w:t>
      </w:r>
      <w:r>
        <w:tab/>
        <w:t xml:space="preserve">An approval document — </w:t>
      </w:r>
    </w:p>
    <w:p>
      <w:pPr>
        <w:pStyle w:val="Indenta"/>
        <w:spacing w:before="60"/>
      </w:pPr>
      <w:r>
        <w:tab/>
        <w:t>(a)</w:t>
      </w:r>
      <w:r>
        <w:tab/>
        <w:t xml:space="preserve">must contain the following information — </w:t>
      </w:r>
    </w:p>
    <w:p>
      <w:pPr>
        <w:pStyle w:val="Indenti"/>
        <w:spacing w:before="60"/>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in Gazette 6 Jan 2012 p. 10.]</w:t>
      </w:r>
    </w:p>
    <w:p>
      <w:pPr>
        <w:pStyle w:val="Heading5"/>
      </w:pPr>
      <w:bookmarkStart w:id="23" w:name="_Toc382313038"/>
      <w:r>
        <w:rPr>
          <w:rStyle w:val="CharSectno"/>
        </w:rPr>
        <w:t>6O</w:t>
      </w:r>
      <w:r>
        <w:t>.</w:t>
      </w:r>
      <w:r>
        <w:tab/>
        <w:t>Return of approval document required in certain circumstances</w:t>
      </w:r>
      <w:bookmarkEnd w:id="23"/>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in Gazette 6 Jan 2012 p. 11.]</w:t>
      </w:r>
    </w:p>
    <w:p>
      <w:pPr>
        <w:pStyle w:val="Heading5"/>
      </w:pPr>
      <w:bookmarkStart w:id="24" w:name="_Toc382313039"/>
      <w:r>
        <w:rPr>
          <w:rStyle w:val="CharSectno"/>
        </w:rPr>
        <w:t>6P</w:t>
      </w:r>
      <w:r>
        <w:t>.</w:t>
      </w:r>
      <w:r>
        <w:tab/>
        <w:t>Review by SAT</w:t>
      </w:r>
      <w:bookmarkEnd w:id="24"/>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in Gazette 6 Jan 2012 p. 11.]</w:t>
      </w:r>
    </w:p>
    <w:p>
      <w:pPr>
        <w:pStyle w:val="Heading5"/>
      </w:pPr>
      <w:bookmarkStart w:id="25" w:name="_Toc382313040"/>
      <w:r>
        <w:rPr>
          <w:rStyle w:val="CharSectno"/>
        </w:rPr>
        <w:t>6Q</w:t>
      </w:r>
      <w:r>
        <w:t>.</w:t>
      </w:r>
      <w:r>
        <w:tab/>
        <w:t>Offence to pretend to be holder of approval</w:t>
      </w:r>
      <w:bookmarkEnd w:id="25"/>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in Gazette 6 Jan 2012 p. 11.]</w:t>
      </w:r>
    </w:p>
    <w:p>
      <w:pPr>
        <w:pStyle w:val="Heading3"/>
      </w:pPr>
      <w:bookmarkStart w:id="26" w:name="_Toc382313041"/>
      <w:r>
        <w:rPr>
          <w:rStyle w:val="CharDivNo"/>
        </w:rPr>
        <w:t>Division 2</w:t>
      </w:r>
      <w:r>
        <w:t> — </w:t>
      </w:r>
      <w:r>
        <w:rPr>
          <w:rStyle w:val="CharDivText"/>
        </w:rPr>
        <w:t>Nominations</w:t>
      </w:r>
      <w:bookmarkEnd w:id="26"/>
    </w:p>
    <w:p>
      <w:pPr>
        <w:pStyle w:val="Footnoteheading"/>
      </w:pPr>
      <w:r>
        <w:tab/>
        <w:t>[Heading inserted in Gazette 6 Jan 2012 p. 12.]</w:t>
      </w:r>
    </w:p>
    <w:p>
      <w:pPr>
        <w:pStyle w:val="Heading5"/>
      </w:pPr>
      <w:bookmarkStart w:id="27" w:name="_Toc382313042"/>
      <w:r>
        <w:rPr>
          <w:rStyle w:val="CharSectno"/>
        </w:rPr>
        <w:t>6R</w:t>
      </w:r>
      <w:r>
        <w:t>.</w:t>
      </w:r>
      <w:r>
        <w:tab/>
        <w:t>Terms used</w:t>
      </w:r>
      <w:bookmarkEnd w:id="27"/>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in Gazette 6 Jan 2012 p. 12.]</w:t>
      </w:r>
    </w:p>
    <w:p>
      <w:pPr>
        <w:pStyle w:val="Heading5"/>
      </w:pPr>
      <w:bookmarkStart w:id="28" w:name="_Toc382313043"/>
      <w:r>
        <w:rPr>
          <w:rStyle w:val="CharSectno"/>
        </w:rPr>
        <w:t>6S</w:t>
      </w:r>
      <w:r>
        <w:t>.</w:t>
      </w:r>
      <w:r>
        <w:tab/>
        <w:t>Purpose of Division</w:t>
      </w:r>
      <w:bookmarkEnd w:id="28"/>
    </w:p>
    <w:p>
      <w:pPr>
        <w:pStyle w:val="Subsection"/>
      </w:pPr>
      <w:r>
        <w:tab/>
      </w:r>
      <w:r>
        <w:tab/>
        <w:t>The purpose of this Division is to set out provisions relating to nominations for the purposes of section 5A(1)(b)(ii) of the Act.</w:t>
      </w:r>
    </w:p>
    <w:p>
      <w:pPr>
        <w:pStyle w:val="Footnotesection"/>
      </w:pPr>
      <w:r>
        <w:tab/>
        <w:t>[Regulation 6S inserted in Gazette 6 Jan 2012 p. 12.]</w:t>
      </w:r>
    </w:p>
    <w:p>
      <w:pPr>
        <w:pStyle w:val="Heading5"/>
      </w:pPr>
      <w:bookmarkStart w:id="29" w:name="_Toc382313044"/>
      <w:r>
        <w:rPr>
          <w:rStyle w:val="CharSectno"/>
        </w:rPr>
        <w:t>6T</w:t>
      </w:r>
      <w:r>
        <w:t>.</w:t>
      </w:r>
      <w:r>
        <w:tab/>
        <w:t>Nomination</w:t>
      </w:r>
      <w:bookmarkEnd w:id="29"/>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in Gazette 6 Jan 2012 p. 12.]</w:t>
      </w:r>
    </w:p>
    <w:p>
      <w:pPr>
        <w:pStyle w:val="Heading5"/>
      </w:pPr>
      <w:bookmarkStart w:id="30" w:name="_Toc382313045"/>
      <w:r>
        <w:rPr>
          <w:rStyle w:val="CharSectno"/>
        </w:rPr>
        <w:t>6U</w:t>
      </w:r>
      <w:r>
        <w:t>.</w:t>
      </w:r>
      <w:r>
        <w:tab/>
        <w:t>Amendment or revocation of nomination</w:t>
      </w:r>
      <w:bookmarkEnd w:id="30"/>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in Gazette 6 Jan 2012 p. 13.]</w:t>
      </w:r>
    </w:p>
    <w:p>
      <w:pPr>
        <w:pStyle w:val="Heading2"/>
      </w:pPr>
      <w:bookmarkStart w:id="31" w:name="_Toc382313046"/>
      <w:r>
        <w:rPr>
          <w:rStyle w:val="CharPartNo"/>
        </w:rPr>
        <w:t>Part 3</w:t>
      </w:r>
      <w:r>
        <w:t> — </w:t>
      </w:r>
      <w:r>
        <w:rPr>
          <w:rStyle w:val="CharPartText"/>
        </w:rPr>
        <w:t>Transitional matters</w:t>
      </w:r>
      <w:bookmarkEnd w:id="31"/>
    </w:p>
    <w:p>
      <w:pPr>
        <w:pStyle w:val="Heading3"/>
      </w:pPr>
      <w:bookmarkStart w:id="32" w:name="_Toc382313047"/>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2"/>
    </w:p>
    <w:p>
      <w:pPr>
        <w:pStyle w:val="Footnoteheading"/>
      </w:pPr>
      <w:r>
        <w:tab/>
        <w:t>[Heading inserted in Gazette 6 Jan 2012 p. 13.]</w:t>
      </w:r>
    </w:p>
    <w:p>
      <w:pPr>
        <w:pStyle w:val="Heading5"/>
      </w:pPr>
      <w:bookmarkStart w:id="33" w:name="_Toc382313048"/>
      <w:r>
        <w:rPr>
          <w:rStyle w:val="CharSectno"/>
        </w:rPr>
        <w:t>6</w:t>
      </w:r>
      <w:r>
        <w:t>.</w:t>
      </w:r>
      <w:r>
        <w:tab/>
        <w:t>Terms used</w:t>
      </w:r>
      <w:bookmarkEnd w:id="33"/>
    </w:p>
    <w:p>
      <w:pPr>
        <w:pStyle w:val="Subsection"/>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r>
        <w:tab/>
        <w:t>[Regulation 6 amended in Gazette 6 Jan 2012 p. 13.]</w:t>
      </w:r>
    </w:p>
    <w:p>
      <w:pPr>
        <w:pStyle w:val="Heading5"/>
      </w:pPr>
      <w:bookmarkStart w:id="34" w:name="_Toc382313049"/>
      <w:r>
        <w:rPr>
          <w:rStyle w:val="CharSectno"/>
        </w:rPr>
        <w:t>7</w:t>
      </w:r>
      <w:r>
        <w:t>.</w:t>
      </w:r>
      <w:r>
        <w:tab/>
        <w:t>Supervising officers</w:t>
      </w:r>
      <w:bookmarkEnd w:id="34"/>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35" w:name="_Toc382313050"/>
      <w:r>
        <w:rPr>
          <w:rStyle w:val="CharSectno"/>
        </w:rPr>
        <w:t>8</w:t>
      </w:r>
      <w:r>
        <w:t>.</w:t>
      </w:r>
      <w:r>
        <w:tab/>
        <w:t>Application of s. 18 to certain licences</w:t>
      </w:r>
      <w:bookmarkEnd w:id="35"/>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36" w:name="_Toc382313051"/>
      <w:r>
        <w:rPr>
          <w:rStyle w:val="CharSectno"/>
        </w:rPr>
        <w:t>9</w:t>
      </w:r>
      <w:r>
        <w:t>.</w:t>
      </w:r>
      <w:r>
        <w:tab/>
        <w:t>Holders of particular types of licence</w:t>
      </w:r>
      <w:bookmarkEnd w:id="36"/>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37" w:name="_Toc382313052"/>
      <w:r>
        <w:rPr>
          <w:rStyle w:val="CharSectno"/>
        </w:rPr>
        <w:t>10</w:t>
      </w:r>
      <w:r>
        <w:t>.</w:t>
      </w:r>
      <w:r>
        <w:tab/>
        <w:t>Notified services</w:t>
      </w:r>
      <w:bookmarkEnd w:id="37"/>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38" w:name="_Toc382313053"/>
      <w:r>
        <w:rPr>
          <w:rStyle w:val="CharDivNo"/>
        </w:rPr>
        <w:t>Division 2</w:t>
      </w:r>
      <w:r>
        <w:t> — </w:t>
      </w:r>
      <w:r>
        <w:rPr>
          <w:rStyle w:val="CharDivText"/>
        </w:rPr>
        <w:t xml:space="preserve">Provision relating to </w:t>
      </w:r>
      <w:r>
        <w:rPr>
          <w:rStyle w:val="CharDivText"/>
          <w:i/>
        </w:rPr>
        <w:t>Child Care Services Amendment Act 2011</w:t>
      </w:r>
      <w:bookmarkEnd w:id="38"/>
    </w:p>
    <w:p>
      <w:pPr>
        <w:pStyle w:val="Footnoteheading"/>
      </w:pPr>
      <w:r>
        <w:tab/>
        <w:t>[Heading inserted in Gazette 6 Jan 2012 p. 14.]</w:t>
      </w:r>
    </w:p>
    <w:p>
      <w:pPr>
        <w:pStyle w:val="Heading5"/>
      </w:pPr>
      <w:bookmarkStart w:id="39" w:name="_Toc382313054"/>
      <w:r>
        <w:rPr>
          <w:rStyle w:val="CharSectno"/>
        </w:rPr>
        <w:t>11</w:t>
      </w:r>
      <w:r>
        <w:t>.</w:t>
      </w:r>
      <w:r>
        <w:tab/>
        <w:t>Supervising officers</w:t>
      </w:r>
      <w:bookmarkEnd w:id="3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r>
        <w:rPr>
          <w:vertAlign w:val="superscript"/>
        </w:rPr>
        <w:t> 3</w:t>
      </w:r>
      <w:r>
        <w:t>;</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in Gazette 6 Jan 2012 p. 14.]</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40" w:name="_Toc382313055"/>
      <w:r>
        <w:rPr>
          <w:rStyle w:val="CharSchNo"/>
        </w:rPr>
        <w:t>Schedule 1</w:t>
      </w:r>
      <w:r>
        <w:rPr>
          <w:rStyle w:val="CharSDivNo"/>
        </w:rPr>
        <w:t> </w:t>
      </w:r>
      <w:r>
        <w:t>—</w:t>
      </w:r>
      <w:r>
        <w:rPr>
          <w:rStyle w:val="CharSDivText"/>
        </w:rPr>
        <w:t> </w:t>
      </w:r>
      <w:r>
        <w:rPr>
          <w:rStyle w:val="CharSchText"/>
        </w:rPr>
        <w:t>Forms</w:t>
      </w:r>
      <w:bookmarkEnd w:id="40"/>
    </w:p>
    <w:p>
      <w:pPr>
        <w:pStyle w:val="yShoulderClause"/>
      </w:pPr>
      <w:r>
        <w:t>[r. 6AA]</w:t>
      </w:r>
    </w:p>
    <w:p>
      <w:pPr>
        <w:pStyle w:val="yFootnoteheading"/>
        <w:spacing w:after="60"/>
      </w:pPr>
      <w:r>
        <w:tab/>
        <w:t>[Heading inserted in Gazette 6 Jul 2012 p. 3022.]</w:t>
      </w:r>
    </w:p>
    <w:p>
      <w:pPr>
        <w:pStyle w:val="yMiscellaneousHeading"/>
        <w:tabs>
          <w:tab w:val="left" w:pos="851"/>
        </w:tabs>
        <w:spacing w:after="60"/>
        <w:jc w:val="left"/>
        <w:rPr>
          <w:b/>
        </w:rPr>
      </w:pPr>
      <w:r>
        <w:rPr>
          <w:b/>
        </w:rPr>
        <w:t>1.</w:t>
      </w:r>
      <w:r>
        <w:rPr>
          <w:b/>
        </w:rPr>
        <w:tab/>
        <w:t>Entry warrant</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567"/>
        <w:gridCol w:w="142"/>
        <w:gridCol w:w="992"/>
        <w:gridCol w:w="142"/>
        <w:gridCol w:w="851"/>
        <w:gridCol w:w="708"/>
        <w:gridCol w:w="1418"/>
      </w:tblGrid>
      <w:tr>
        <w:tc>
          <w:tcPr>
            <w:tcW w:w="3969" w:type="dxa"/>
            <w:gridSpan w:val="5"/>
            <w:tcBorders>
              <w:bottom w:val="nil"/>
            </w:tcBorders>
            <w:vAlign w:val="center"/>
          </w:tcPr>
          <w:p>
            <w:pPr>
              <w:pStyle w:val="yTableNAm"/>
              <w:rPr>
                <w:b/>
                <w:iCs/>
              </w:rPr>
            </w:pPr>
            <w:r>
              <w:rPr>
                <w:b/>
                <w:i/>
              </w:rPr>
              <w:t>Child Care Services Act 2007</w:t>
            </w:r>
            <w:r>
              <w:rPr>
                <w:b/>
                <w:iCs/>
              </w:rPr>
              <w:t xml:space="preserve"> s. 43K</w:t>
            </w:r>
          </w:p>
        </w:tc>
        <w:tc>
          <w:tcPr>
            <w:tcW w:w="3119" w:type="dxa"/>
            <w:gridSpan w:val="4"/>
            <w:tcBorders>
              <w:bottom w:val="nil"/>
            </w:tcBorders>
            <w:vAlign w:val="center"/>
          </w:tcPr>
          <w:p>
            <w:pPr>
              <w:pStyle w:val="yTableNAm"/>
              <w:rPr>
                <w:b/>
              </w:rPr>
            </w:pPr>
            <w:r>
              <w:rPr>
                <w:b/>
              </w:rPr>
              <w:t>Entry warrant</w:t>
            </w:r>
          </w:p>
        </w:tc>
      </w:tr>
      <w:tr>
        <w:trPr>
          <w:cantSplit/>
        </w:trPr>
        <w:tc>
          <w:tcPr>
            <w:tcW w:w="1701" w:type="dxa"/>
            <w:vAlign w:val="center"/>
          </w:tcPr>
          <w:p>
            <w:pPr>
              <w:pStyle w:val="yTableNAm"/>
            </w:pPr>
            <w:r>
              <w:t>To</w:t>
            </w:r>
            <w:r>
              <w:rPr>
                <w:rFonts w:ascii="Times" w:hAnsi="Times"/>
                <w:vertAlign w:val="superscript"/>
              </w:rPr>
              <w:t>1</w:t>
            </w:r>
          </w:p>
        </w:tc>
        <w:tc>
          <w:tcPr>
            <w:tcW w:w="5387" w:type="dxa"/>
            <w:gridSpan w:val="8"/>
            <w:vAlign w:val="center"/>
          </w:tcPr>
          <w:p>
            <w:pPr>
              <w:pStyle w:val="yTableNAm"/>
            </w:pPr>
            <w:r>
              <w:t xml:space="preserve">All licensing officers under the </w:t>
            </w:r>
            <w:r>
              <w:rPr>
                <w:i/>
              </w:rPr>
              <w:t>Child Care Services Act 2007</w:t>
            </w:r>
            <w:r>
              <w:t>.</w:t>
            </w:r>
          </w:p>
        </w:tc>
      </w:tr>
      <w:tr>
        <w:trPr>
          <w:cantSplit/>
        </w:trPr>
        <w:tc>
          <w:tcPr>
            <w:tcW w:w="1701" w:type="dxa"/>
            <w:vAlign w:val="center"/>
          </w:tcPr>
          <w:p>
            <w:pPr>
              <w:pStyle w:val="yTableNAm"/>
            </w:pPr>
            <w:r>
              <w:t>Application</w:t>
            </w:r>
          </w:p>
        </w:tc>
        <w:tc>
          <w:tcPr>
            <w:tcW w:w="5387" w:type="dxa"/>
            <w:gridSpan w:val="8"/>
            <w:vAlign w:val="center"/>
          </w:tcPr>
          <w:p>
            <w:pPr>
              <w:pStyle w:val="yTableNAm"/>
            </w:pPr>
            <w:r>
              <w:t xml:space="preserve">The applicant has applied under the </w:t>
            </w:r>
            <w:r>
              <w:rPr>
                <w:i/>
              </w:rPr>
              <w:t>Child Care Services Act 2007</w:t>
            </w:r>
            <w:r>
              <w:t xml:space="preserve"> s. 43I to me, a Justice of the Peace, for an entry warrant.</w:t>
            </w:r>
          </w:p>
        </w:tc>
      </w:tr>
      <w:tr>
        <w:trPr>
          <w:cantSplit/>
          <w:trHeight w:val="467"/>
        </w:trPr>
        <w:tc>
          <w:tcPr>
            <w:tcW w:w="1701" w:type="dxa"/>
            <w:vAlign w:val="center"/>
          </w:tcPr>
          <w:p>
            <w:pPr>
              <w:pStyle w:val="yTableNAm"/>
            </w:pPr>
            <w:r>
              <w:t>Applicant’s details</w:t>
            </w:r>
          </w:p>
        </w:tc>
        <w:tc>
          <w:tcPr>
            <w:tcW w:w="1276" w:type="dxa"/>
            <w:gridSpan w:val="3"/>
            <w:vAlign w:val="center"/>
          </w:tcPr>
          <w:p>
            <w:pPr>
              <w:pStyle w:val="yTableNAm"/>
            </w:pPr>
            <w:r>
              <w:t>Name of licensing officer</w:t>
            </w:r>
          </w:p>
        </w:tc>
        <w:tc>
          <w:tcPr>
            <w:tcW w:w="4111" w:type="dxa"/>
            <w:gridSpan w:val="5"/>
            <w:vAlign w:val="center"/>
          </w:tcPr>
          <w:p>
            <w:pPr>
              <w:pStyle w:val="yTableNAm"/>
            </w:pPr>
          </w:p>
        </w:tc>
      </w:tr>
      <w:tr>
        <w:trPr>
          <w:cantSplit/>
          <w:trHeight w:val="221"/>
        </w:trPr>
        <w:tc>
          <w:tcPr>
            <w:tcW w:w="1701" w:type="dxa"/>
            <w:vAlign w:val="center"/>
          </w:tcPr>
          <w:p>
            <w:pPr>
              <w:pStyle w:val="yTableNAm"/>
            </w:pPr>
            <w:r>
              <w:t>Compliance purposes for which entry is required</w:t>
            </w:r>
            <w:r>
              <w:rPr>
                <w:vertAlign w:val="superscript"/>
              </w:rPr>
              <w:t>2</w:t>
            </w:r>
          </w:p>
        </w:tc>
        <w:tc>
          <w:tcPr>
            <w:tcW w:w="5387" w:type="dxa"/>
            <w:gridSpan w:val="8"/>
            <w:vAlign w:val="center"/>
          </w:tcPr>
          <w:p>
            <w:pPr>
              <w:pStyle w:val="yTableNAm"/>
            </w:pPr>
          </w:p>
        </w:tc>
      </w:tr>
      <w:tr>
        <w:trPr>
          <w:cantSplit/>
          <w:trHeight w:val="221"/>
        </w:trPr>
        <w:tc>
          <w:tcPr>
            <w:tcW w:w="1701" w:type="dxa"/>
            <w:vAlign w:val="center"/>
          </w:tcPr>
          <w:p>
            <w:pPr>
              <w:pStyle w:val="yTableNAm"/>
            </w:pPr>
            <w:r>
              <w:t>Suspected contravention(s) of Act</w:t>
            </w:r>
          </w:p>
        </w:tc>
        <w:tc>
          <w:tcPr>
            <w:tcW w:w="1276" w:type="dxa"/>
            <w:gridSpan w:val="3"/>
            <w:vAlign w:val="center"/>
          </w:tcPr>
          <w:p>
            <w:pPr>
              <w:pStyle w:val="yTableNAm"/>
            </w:pPr>
            <w:r>
              <w:t>Provision(s)</w:t>
            </w:r>
          </w:p>
        </w:tc>
        <w:tc>
          <w:tcPr>
            <w:tcW w:w="4111" w:type="dxa"/>
            <w:gridSpan w:val="5"/>
            <w:vAlign w:val="center"/>
          </w:tcPr>
          <w:p>
            <w:pPr>
              <w:pStyle w:val="yTableNAm"/>
            </w:pPr>
          </w:p>
        </w:tc>
      </w:tr>
      <w:tr>
        <w:trPr>
          <w:cantSplit/>
        </w:trPr>
        <w:tc>
          <w:tcPr>
            <w:tcW w:w="1701" w:type="dxa"/>
            <w:vAlign w:val="center"/>
          </w:tcPr>
          <w:p>
            <w:pPr>
              <w:pStyle w:val="yTableNAm"/>
            </w:pPr>
            <w:r>
              <w:t>Warrant</w:t>
            </w:r>
          </w:p>
        </w:tc>
        <w:tc>
          <w:tcPr>
            <w:tcW w:w="5387" w:type="dxa"/>
            <w:gridSpan w:val="8"/>
            <w:vAlign w:val="center"/>
          </w:tcPr>
          <w:p>
            <w:pPr>
              <w:pStyle w:val="yTableNAm"/>
            </w:pPr>
            <w:r>
              <w:t xml:space="preserve">This warrant authorises you to enter the place described below and exercise the powers in the </w:t>
            </w:r>
            <w:r>
              <w:rPr>
                <w:i/>
              </w:rPr>
              <w:t>Child Care Services Act 2007</w:t>
            </w:r>
            <w:r>
              <w:t xml:space="preserve"> Pt. 4 Div. 1.</w:t>
            </w:r>
          </w:p>
        </w:tc>
      </w:tr>
      <w:tr>
        <w:trPr>
          <w:cantSplit/>
          <w:trHeight w:val="530"/>
        </w:trPr>
        <w:tc>
          <w:tcPr>
            <w:tcW w:w="1701" w:type="dxa"/>
            <w:vAlign w:val="center"/>
          </w:tcPr>
          <w:p>
            <w:pPr>
              <w:pStyle w:val="yTableNAm"/>
              <w:rPr>
                <w:vertAlign w:val="superscript"/>
              </w:rPr>
            </w:pPr>
            <w:r>
              <w:t>Place to be entered</w:t>
            </w:r>
          </w:p>
        </w:tc>
        <w:tc>
          <w:tcPr>
            <w:tcW w:w="5387" w:type="dxa"/>
            <w:gridSpan w:val="8"/>
            <w:vAlign w:val="center"/>
          </w:tcPr>
          <w:p>
            <w:pPr>
              <w:pStyle w:val="yTableNAm"/>
            </w:pPr>
          </w:p>
        </w:tc>
      </w:tr>
      <w:tr>
        <w:trPr>
          <w:cantSplit/>
        </w:trPr>
        <w:tc>
          <w:tcPr>
            <w:tcW w:w="1701" w:type="dxa"/>
            <w:tcBorders>
              <w:bottom w:val="single" w:sz="4" w:space="0" w:color="auto"/>
            </w:tcBorders>
            <w:vAlign w:val="center"/>
          </w:tcPr>
          <w:p>
            <w:pPr>
              <w:pStyle w:val="yTableNAm"/>
            </w:pPr>
            <w:r>
              <w:t>Execution period</w:t>
            </w:r>
            <w:r>
              <w:rPr>
                <w:vertAlign w:val="superscript"/>
              </w:rPr>
              <w:t>3</w:t>
            </w:r>
          </w:p>
        </w:tc>
        <w:tc>
          <w:tcPr>
            <w:tcW w:w="5387" w:type="dxa"/>
            <w:gridSpan w:val="8"/>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701" w:type="dxa"/>
            <w:vMerge w:val="restart"/>
            <w:tcBorders>
              <w:bottom w:val="single" w:sz="4" w:space="0" w:color="auto"/>
            </w:tcBorders>
            <w:vAlign w:val="center"/>
          </w:tcPr>
          <w:p>
            <w:pPr>
              <w:pStyle w:val="yTableNAm"/>
            </w:pPr>
            <w:r>
              <w:t>Issuing details</w:t>
            </w:r>
          </w:p>
        </w:tc>
        <w:tc>
          <w:tcPr>
            <w:tcW w:w="1276" w:type="dxa"/>
            <w:gridSpan w:val="3"/>
            <w:tcBorders>
              <w:bottom w:val="single" w:sz="4" w:space="0" w:color="auto"/>
            </w:tcBorders>
            <w:vAlign w:val="center"/>
          </w:tcPr>
          <w:p>
            <w:pPr>
              <w:pStyle w:val="yTableNAm"/>
            </w:pPr>
            <w:r>
              <w:t>Name of JP</w:t>
            </w:r>
          </w:p>
        </w:tc>
        <w:tc>
          <w:tcPr>
            <w:tcW w:w="4111" w:type="dxa"/>
            <w:gridSpan w:val="5"/>
            <w:tcBorders>
              <w:bottom w:val="single" w:sz="4" w:space="0" w:color="auto"/>
            </w:tcBorders>
            <w:vAlign w:val="center"/>
          </w:tcPr>
          <w:p>
            <w:pPr>
              <w:pStyle w:val="yTableNAm"/>
            </w:pPr>
          </w:p>
        </w:tc>
      </w:tr>
      <w:tr>
        <w:trPr>
          <w:cantSplit/>
          <w:trHeight w:val="221"/>
        </w:trPr>
        <w:tc>
          <w:tcPr>
            <w:tcW w:w="1701" w:type="dxa"/>
            <w:vMerge/>
            <w:tcBorders>
              <w:bottom w:val="single" w:sz="4" w:space="0" w:color="auto"/>
            </w:tcBorders>
            <w:vAlign w:val="center"/>
          </w:tcPr>
          <w:p>
            <w:pPr>
              <w:pStyle w:val="yTableNAm"/>
            </w:pPr>
          </w:p>
        </w:tc>
        <w:tc>
          <w:tcPr>
            <w:tcW w:w="1276" w:type="dxa"/>
            <w:gridSpan w:val="3"/>
            <w:tcBorders>
              <w:bottom w:val="single" w:sz="4" w:space="0" w:color="auto"/>
            </w:tcBorders>
            <w:vAlign w:val="center"/>
          </w:tcPr>
          <w:p>
            <w:pPr>
              <w:pStyle w:val="yTableNAm"/>
            </w:pPr>
            <w:r>
              <w:t>Date</w:t>
            </w:r>
          </w:p>
        </w:tc>
        <w:tc>
          <w:tcPr>
            <w:tcW w:w="1985" w:type="dxa"/>
            <w:gridSpan w:val="3"/>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418" w:type="dxa"/>
            <w:tcBorders>
              <w:bottom w:val="single" w:sz="4" w:space="0" w:color="auto"/>
            </w:tcBorders>
            <w:vAlign w:val="center"/>
          </w:tcPr>
          <w:p>
            <w:pPr>
              <w:pStyle w:val="yTableNAm"/>
            </w:pPr>
          </w:p>
        </w:tc>
      </w:tr>
      <w:tr>
        <w:trPr>
          <w:cantSplit/>
        </w:trPr>
        <w:tc>
          <w:tcPr>
            <w:tcW w:w="1701" w:type="dxa"/>
            <w:tcBorders>
              <w:top w:val="single" w:sz="4" w:space="0" w:color="auto"/>
              <w:bottom w:val="single" w:sz="12" w:space="0" w:color="auto"/>
            </w:tcBorders>
            <w:vAlign w:val="center"/>
          </w:tcPr>
          <w:p>
            <w:pPr>
              <w:pStyle w:val="yTableNAm"/>
            </w:pPr>
            <w:r>
              <w:t>JP’s signature</w:t>
            </w:r>
          </w:p>
        </w:tc>
        <w:tc>
          <w:tcPr>
            <w:tcW w:w="5387" w:type="dxa"/>
            <w:gridSpan w:val="8"/>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701" w:type="dxa"/>
            <w:vMerge w:val="restart"/>
            <w:vAlign w:val="center"/>
          </w:tcPr>
          <w:p>
            <w:pPr>
              <w:pStyle w:val="yTableNAm"/>
            </w:pPr>
            <w:r>
              <w:t>Execution details</w:t>
            </w:r>
          </w:p>
        </w:tc>
        <w:tc>
          <w:tcPr>
            <w:tcW w:w="567" w:type="dxa"/>
            <w:tcBorders>
              <w:bottom w:val="single" w:sz="4" w:space="0" w:color="auto"/>
            </w:tcBorders>
            <w:vAlign w:val="center"/>
          </w:tcPr>
          <w:p>
            <w:pPr>
              <w:pStyle w:val="yTableNAm"/>
            </w:pPr>
            <w:r>
              <w:t>Start</w:t>
            </w:r>
          </w:p>
        </w:tc>
        <w:tc>
          <w:tcPr>
            <w:tcW w:w="1843" w:type="dxa"/>
            <w:gridSpan w:val="4"/>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126"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701" w:type="dxa"/>
            <w:vMerge/>
            <w:tcBorders>
              <w:bottom w:val="single" w:sz="4" w:space="0" w:color="auto"/>
            </w:tcBorders>
            <w:vAlign w:val="center"/>
          </w:tcPr>
          <w:p>
            <w:pPr>
              <w:pStyle w:val="yTableNAm"/>
            </w:pPr>
          </w:p>
        </w:tc>
        <w:tc>
          <w:tcPr>
            <w:tcW w:w="5387" w:type="dxa"/>
            <w:gridSpan w:val="8"/>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701" w:type="dxa"/>
            <w:vMerge w:val="restart"/>
            <w:tcBorders>
              <w:bottom w:val="single" w:sz="4" w:space="0" w:color="auto"/>
            </w:tcBorders>
            <w:vAlign w:val="center"/>
          </w:tcPr>
          <w:p>
            <w:pPr>
              <w:pStyle w:val="yTableNAm"/>
            </w:pPr>
            <w:r>
              <w:t>Person executing this warrant</w:t>
            </w:r>
          </w:p>
        </w:tc>
        <w:tc>
          <w:tcPr>
            <w:tcW w:w="1134" w:type="dxa"/>
            <w:gridSpan w:val="2"/>
            <w:tcBorders>
              <w:bottom w:val="single" w:sz="4" w:space="0" w:color="auto"/>
            </w:tcBorders>
            <w:vAlign w:val="center"/>
          </w:tcPr>
          <w:p>
            <w:pPr>
              <w:pStyle w:val="yTableNAm"/>
            </w:pPr>
            <w:r>
              <w:t>Name</w:t>
            </w:r>
          </w:p>
        </w:tc>
        <w:tc>
          <w:tcPr>
            <w:tcW w:w="4253" w:type="dxa"/>
            <w:gridSpan w:val="6"/>
            <w:tcBorders>
              <w:bottom w:val="single" w:sz="4" w:space="0" w:color="auto"/>
            </w:tcBorders>
            <w:vAlign w:val="center"/>
          </w:tcPr>
          <w:p>
            <w:pPr>
              <w:pStyle w:val="yTableNAm"/>
            </w:pPr>
          </w:p>
        </w:tc>
      </w:tr>
      <w:tr>
        <w:trPr>
          <w:cantSplit/>
          <w:trHeight w:val="421"/>
        </w:trPr>
        <w:tc>
          <w:tcPr>
            <w:tcW w:w="1701" w:type="dxa"/>
            <w:vMerge/>
            <w:tcBorders>
              <w:bottom w:val="single" w:sz="4" w:space="0" w:color="auto"/>
            </w:tcBorders>
          </w:tcPr>
          <w:p>
            <w:pPr>
              <w:pStyle w:val="yTableNAm"/>
            </w:pPr>
          </w:p>
        </w:tc>
        <w:tc>
          <w:tcPr>
            <w:tcW w:w="1134" w:type="dxa"/>
            <w:gridSpan w:val="2"/>
            <w:tcBorders>
              <w:bottom w:val="single" w:sz="4" w:space="0" w:color="auto"/>
            </w:tcBorders>
            <w:vAlign w:val="center"/>
          </w:tcPr>
          <w:p>
            <w:pPr>
              <w:pStyle w:val="yTableNAm"/>
            </w:pPr>
            <w:r>
              <w:t>Office held</w:t>
            </w:r>
          </w:p>
        </w:tc>
        <w:tc>
          <w:tcPr>
            <w:tcW w:w="4253" w:type="dxa"/>
            <w:gridSpan w:val="6"/>
            <w:tcBorders>
              <w:bottom w:val="single" w:sz="4" w:space="0" w:color="auto"/>
            </w:tcBorders>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licensing officer (s. 43L(3) of the Act).</w:t>
      </w:r>
    </w:p>
    <w:p>
      <w:pPr>
        <w:pStyle w:val="yMiscellaneousBody"/>
        <w:spacing w:before="0"/>
        <w:ind w:left="426" w:hanging="426"/>
      </w:pPr>
      <w:r>
        <w:t>2.</w:t>
      </w:r>
      <w:r>
        <w:tab/>
        <w:t>“Compliance purposes” is defined in s. 3 of the Act.</w:t>
      </w:r>
    </w:p>
    <w:p>
      <w:pPr>
        <w:pStyle w:val="yMiscellaneousBody"/>
        <w:spacing w:before="0"/>
        <w:ind w:left="426" w:hanging="426"/>
      </w:pPr>
      <w:r>
        <w:t>3.</w:t>
      </w:r>
      <w:r>
        <w:tab/>
        <w:t>The execution period must not exceed 14 days (s. 43K(2)(d) of the Act).</w:t>
      </w:r>
    </w:p>
    <w:p>
      <w:pPr>
        <w:pStyle w:val="yFootnotesection"/>
      </w:pPr>
      <w:r>
        <w:tab/>
        <w:t>[Schedule 1 inserted in Gazette 6 Jul 2012 p. 3022</w:t>
      </w:r>
      <w:r>
        <w:noBreakHyphen/>
        <w:t>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41" w:name="_Toc382313056"/>
      <w:r>
        <w:t>Notes</w:t>
      </w:r>
      <w:bookmarkEnd w:id="4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Child Care Services Regulations 2007</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42" w:name="_Toc382313057"/>
      <w:r>
        <w:t>Compilation table</w:t>
      </w:r>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endnote 2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Child Care Services Amendment Regulations 2011</w:t>
            </w:r>
          </w:p>
        </w:tc>
        <w:tc>
          <w:tcPr>
            <w:tcW w:w="1276" w:type="dxa"/>
            <w:tcBorders>
              <w:top w:val="nil"/>
              <w:bottom w:val="nil"/>
            </w:tcBorders>
          </w:tcPr>
          <w:p>
            <w:pPr>
              <w:pStyle w:val="nTable"/>
              <w:spacing w:after="40"/>
              <w:rPr>
                <w:sz w:val="19"/>
              </w:rPr>
            </w:pPr>
            <w:r>
              <w:rPr>
                <w:sz w:val="19"/>
              </w:rPr>
              <w:t>6 Jan 2012 p. 4-14</w:t>
            </w:r>
          </w:p>
        </w:tc>
        <w:tc>
          <w:tcPr>
            <w:tcW w:w="2693" w:type="dxa"/>
            <w:tcBorders>
              <w:top w:val="nil"/>
              <w:bottom w:val="nil"/>
            </w:tcBorders>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Borders>
              <w:top w:val="nil"/>
              <w:bottom w:val="nil"/>
              <w:right w:val="nil"/>
            </w:tcBorders>
          </w:tcPr>
          <w:p>
            <w:pPr>
              <w:pStyle w:val="nTable"/>
              <w:spacing w:after="40"/>
              <w:rPr>
                <w:i/>
                <w:sz w:val="19"/>
              </w:rPr>
            </w:pPr>
            <w:r>
              <w:rPr>
                <w:i/>
                <w:sz w:val="19"/>
              </w:rPr>
              <w:t>Child Care Services Amendment Regulations 2012</w:t>
            </w:r>
          </w:p>
        </w:tc>
        <w:tc>
          <w:tcPr>
            <w:tcW w:w="1276" w:type="dxa"/>
            <w:tcBorders>
              <w:top w:val="nil"/>
              <w:left w:val="nil"/>
              <w:bottom w:val="nil"/>
              <w:right w:val="nil"/>
            </w:tcBorders>
          </w:tcPr>
          <w:p>
            <w:pPr>
              <w:pStyle w:val="nTable"/>
              <w:spacing w:after="40"/>
              <w:rPr>
                <w:sz w:val="19"/>
              </w:rPr>
            </w:pPr>
            <w:r>
              <w:rPr>
                <w:sz w:val="19"/>
              </w:rPr>
              <w:t>6 Jul 2012 p. 3021</w:t>
            </w:r>
            <w:r>
              <w:rPr>
                <w:sz w:val="19"/>
              </w:rPr>
              <w:noBreakHyphen/>
              <w:t>3</w:t>
            </w:r>
          </w:p>
        </w:tc>
        <w:tc>
          <w:tcPr>
            <w:tcW w:w="2693" w:type="dxa"/>
            <w:tcBorders>
              <w:top w:val="nil"/>
              <w:left w:val="nil"/>
              <w:bottom w:val="nil"/>
            </w:tcBorders>
          </w:tcPr>
          <w:p>
            <w:pPr>
              <w:pStyle w:val="nTable"/>
              <w:spacing w:after="40"/>
              <w:rPr>
                <w:sz w:val="19"/>
              </w:rPr>
            </w:pPr>
            <w:r>
              <w:rPr>
                <w:sz w:val="19"/>
              </w:rPr>
              <w:t>r. 1 and 2: 6 Jul 2012 (see r. 2(a));</w:t>
            </w:r>
            <w:r>
              <w:rPr>
                <w:sz w:val="19"/>
              </w:rPr>
              <w:br/>
              <w:t>Regulations other than r. 1 and 2: 7 Jul 2012 (see r. 2(b))</w:t>
            </w:r>
          </w:p>
        </w:tc>
      </w:tr>
      <w:tr>
        <w:tc>
          <w:tcPr>
            <w:tcW w:w="3118" w:type="dxa"/>
            <w:tcBorders>
              <w:top w:val="nil"/>
              <w:bottom w:val="nil"/>
              <w:right w:val="nil"/>
            </w:tcBorders>
            <w:shd w:val="clear" w:color="auto" w:fill="auto"/>
          </w:tcPr>
          <w:p>
            <w:pPr>
              <w:pStyle w:val="nTable"/>
              <w:spacing w:after="40"/>
              <w:rPr>
                <w:i/>
                <w:sz w:val="19"/>
              </w:rPr>
            </w:pPr>
            <w:r>
              <w:rPr>
                <w:i/>
                <w:sz w:val="19"/>
              </w:rPr>
              <w:t>Child Care Services Amendment Regulations (No. 2) 2012</w:t>
            </w:r>
          </w:p>
        </w:tc>
        <w:tc>
          <w:tcPr>
            <w:tcW w:w="1276" w:type="dxa"/>
            <w:tcBorders>
              <w:top w:val="nil"/>
              <w:left w:val="nil"/>
              <w:bottom w:val="nil"/>
              <w:right w:val="nil"/>
            </w:tcBorders>
            <w:shd w:val="clear" w:color="auto" w:fill="auto"/>
          </w:tcPr>
          <w:p>
            <w:pPr>
              <w:pStyle w:val="nTable"/>
              <w:spacing w:after="40"/>
              <w:rPr>
                <w:sz w:val="19"/>
              </w:rPr>
            </w:pPr>
            <w:r>
              <w:rPr>
                <w:sz w:val="19"/>
              </w:rPr>
              <w:t>5 Mar 2013 p. 1110</w:t>
            </w:r>
          </w:p>
        </w:tc>
        <w:tc>
          <w:tcPr>
            <w:tcW w:w="2693" w:type="dxa"/>
            <w:tcBorders>
              <w:top w:val="nil"/>
              <w:left w:val="nil"/>
              <w:bottom w:val="nil"/>
            </w:tcBorders>
            <w:shd w:val="clear" w:color="auto" w:fill="auto"/>
          </w:tcPr>
          <w:p>
            <w:pPr>
              <w:pStyle w:val="nTable"/>
              <w:spacing w:after="40"/>
              <w:rPr>
                <w:sz w:val="19"/>
              </w:rPr>
            </w:pPr>
            <w:r>
              <w:rPr>
                <w:sz w:val="19"/>
              </w:rPr>
              <w:t>r. 1 and 2: 5 Mar 2013 (see r. 2(a));</w:t>
            </w:r>
            <w:r>
              <w:rPr>
                <w:sz w:val="19"/>
              </w:rPr>
              <w:br/>
              <w:t xml:space="preserve">Regulations other than r. 1 and 2: 6 Mar 2013 (see r. 2(b) and </w:t>
            </w:r>
            <w:r>
              <w:rPr>
                <w:i/>
                <w:sz w:val="19"/>
              </w:rPr>
              <w:t>Gazette</w:t>
            </w:r>
            <w:r>
              <w:rPr>
                <w:sz w:val="19"/>
              </w:rPr>
              <w:t xml:space="preserve"> 5 Mar 2013 p. 1110)</w:t>
            </w:r>
          </w:p>
        </w:tc>
      </w:tr>
      <w:tr>
        <w:tc>
          <w:tcPr>
            <w:tcW w:w="7087" w:type="dxa"/>
            <w:gridSpan w:val="3"/>
            <w:tcBorders>
              <w:top w:val="nil"/>
              <w:bottom w:val="single" w:sz="8" w:space="0" w:color="auto"/>
            </w:tcBorders>
            <w:shd w:val="clear" w:color="auto" w:fill="auto"/>
          </w:tcPr>
          <w:p>
            <w:pPr>
              <w:pStyle w:val="nTable"/>
              <w:spacing w:after="40"/>
              <w:rPr>
                <w:sz w:val="19"/>
              </w:rPr>
            </w:pPr>
            <w:r>
              <w:rPr>
                <w:b/>
                <w:bCs/>
                <w:sz w:val="19"/>
              </w:rPr>
              <w:t xml:space="preserve">Reprint 2: The </w:t>
            </w:r>
            <w:r>
              <w:rPr>
                <w:b/>
                <w:bCs/>
                <w:i/>
                <w:sz w:val="19"/>
              </w:rPr>
              <w:t>Child Care Services Regulations 2007</w:t>
            </w:r>
            <w:r>
              <w:rPr>
                <w:b/>
                <w:bCs/>
                <w:sz w:val="19"/>
              </w:rPr>
              <w:t xml:space="preserve"> as at 17 May 2013</w:t>
            </w:r>
            <w:r>
              <w:rPr>
                <w:sz w:val="19"/>
              </w:rPr>
              <w:t xml:space="preserve"> (includes amendments listed above)</w:t>
            </w:r>
          </w:p>
        </w:tc>
      </w:tr>
    </w:tbl>
    <w:p>
      <w:pPr>
        <w:pStyle w:val="nSubsection"/>
      </w:pPr>
      <w:r>
        <w:rPr>
          <w:vertAlign w:val="superscript"/>
        </w:rPr>
        <w:t>2</w:t>
      </w:r>
      <w:r>
        <w:tab/>
        <w:t xml:space="preserve">Under the </w:t>
      </w:r>
      <w:r>
        <w:rPr>
          <w:i/>
          <w:iCs/>
        </w:rPr>
        <w:t>Interpretation Act 1984</w:t>
      </w:r>
      <w:r>
        <w:t xml:space="preserve"> section 25(3), these regulations took effect on the day on which the </w:t>
      </w:r>
      <w:r>
        <w:rPr>
          <w:i/>
          <w:iCs/>
        </w:rPr>
        <w:t>Child Care Services Act 2007</w:t>
      </w:r>
      <w:r>
        <w:t xml:space="preserve"> section 52 commenced.</w:t>
      </w:r>
    </w:p>
    <w:p>
      <w:pPr>
        <w:pStyle w:val="nSubsection"/>
      </w:pPr>
      <w:r>
        <w:rPr>
          <w:vertAlign w:val="superscript"/>
        </w:rPr>
        <w:t>3</w:t>
      </w:r>
      <w:r>
        <w:tab/>
        <w:t>7 January 2012.</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43" w:name="_Toc382313058"/>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 w:name="DefinedTerms"/>
      <w:bookmarkEnd w:id="44"/>
      <w:r>
        <w:t>amend a condition</w:t>
      </w:r>
      <w:r>
        <w:tab/>
        <w:t>6J(1)</w:t>
      </w:r>
    </w:p>
    <w:p>
      <w:pPr>
        <w:pStyle w:val="DefinedTerms"/>
      </w:pPr>
      <w:r>
        <w:t>application</w:t>
      </w:r>
      <w:r>
        <w:tab/>
        <w:t>6A</w:t>
      </w:r>
    </w:p>
    <w:p>
      <w:pPr>
        <w:pStyle w:val="DefinedTerms"/>
      </w:pPr>
      <w:r>
        <w:t>approval</w:t>
      </w:r>
      <w:r>
        <w:tab/>
        <w:t>6A</w:t>
      </w:r>
    </w:p>
    <w:p>
      <w:pPr>
        <w:pStyle w:val="DefinedTerms"/>
      </w:pPr>
      <w:r>
        <w:t>approval criteria</w:t>
      </w:r>
      <w:r>
        <w:tab/>
        <w:t>6A, 6C(1)</w:t>
      </w:r>
    </w:p>
    <w:p>
      <w:pPr>
        <w:pStyle w:val="DefinedTerms"/>
      </w:pPr>
      <w:r>
        <w:t>approval to act</w:t>
      </w:r>
      <w:r>
        <w:tab/>
        <w:t>6A, 6D(1)</w:t>
      </w:r>
    </w:p>
    <w:p>
      <w:pPr>
        <w:pStyle w:val="DefinedTerms"/>
      </w:pPr>
      <w:r>
        <w:t>commencement day</w:t>
      </w:r>
      <w:r>
        <w:tab/>
        <w:t>6(1), 11(1)</w:t>
      </w:r>
    </w:p>
    <w:p>
      <w:pPr>
        <w:pStyle w:val="DefinedTerms"/>
      </w:pPr>
      <w:r>
        <w:t>initial licence period</w:t>
      </w:r>
      <w:r>
        <w:tab/>
        <w:t>6(1)</w:t>
      </w:r>
    </w:p>
    <w:p>
      <w:pPr>
        <w:pStyle w:val="DefinedTerms"/>
      </w:pPr>
      <w:r>
        <w:t>licensee</w:t>
      </w:r>
      <w:r>
        <w:tab/>
        <w:t>6R</w:t>
      </w:r>
    </w:p>
    <w:p>
      <w:pPr>
        <w:pStyle w:val="DefinedTerms"/>
      </w:pPr>
      <w:r>
        <w:t>nomination</w:t>
      </w:r>
      <w:r>
        <w:tab/>
        <w:t>6R</w:t>
      </w:r>
    </w:p>
    <w:p>
      <w:pPr>
        <w:pStyle w:val="DefinedTerms"/>
      </w:pPr>
      <w:r>
        <w:t>nominee</w:t>
      </w:r>
      <w:r>
        <w:tab/>
        <w:t>6T(1)</w:t>
      </w:r>
    </w:p>
    <w:p>
      <w:pPr>
        <w:pStyle w:val="DefinedTerms"/>
      </w:pPr>
      <w:r>
        <w:t>notice of decision</w:t>
      </w:r>
      <w:r>
        <w:tab/>
        <w:t>6L(3)</w:t>
      </w:r>
    </w:p>
    <w:p>
      <w:pPr>
        <w:pStyle w:val="DefinedTerms"/>
      </w:pPr>
      <w:r>
        <w:t>notified service</w:t>
      </w:r>
      <w:r>
        <w:tab/>
        <w:t>6(1)</w:t>
      </w:r>
    </w:p>
    <w:p>
      <w:pPr>
        <w:pStyle w:val="DefinedTerms"/>
      </w:pPr>
      <w:r>
        <w:t>old definition</w:t>
      </w:r>
      <w:r>
        <w:tab/>
        <w:t>11(1)</w:t>
      </w:r>
    </w:p>
    <w:p>
      <w:pPr>
        <w:pStyle w:val="DefinedTerms"/>
      </w:pPr>
      <w:r>
        <w:t>Part 8 provisions</w:t>
      </w:r>
      <w:r>
        <w:tab/>
        <w:t>6(1)</w:t>
      </w:r>
    </w:p>
    <w:p>
      <w:pPr>
        <w:pStyle w:val="DefinedTerms"/>
      </w:pPr>
      <w:r>
        <w:t>person aggrieved</w:t>
      </w:r>
      <w:r>
        <w:tab/>
        <w:t>6P(1)</w:t>
      </w:r>
    </w:p>
    <w:p>
      <w:pPr>
        <w:pStyle w:val="DefinedTerms"/>
      </w:pPr>
      <w:r>
        <w:t>relevant decision</w:t>
      </w:r>
      <w:r>
        <w:tab/>
        <w:t>6P(1)</w:t>
      </w:r>
    </w:p>
    <w:p>
      <w:pPr>
        <w:pStyle w:val="DefinedTerms"/>
      </w:pPr>
      <w:r>
        <w:t>relevant qualification</w:t>
      </w:r>
      <w:r>
        <w:tab/>
        <w:t>6C(2)</w:t>
      </w:r>
    </w:p>
    <w:p>
      <w:pPr>
        <w:pStyle w:val="DefinedTerms"/>
      </w:pPr>
      <w:r>
        <w:t>show cause notice</w:t>
      </w:r>
      <w:r>
        <w:tab/>
        <w:t>6L(2)(a)</w:t>
      </w:r>
    </w:p>
    <w:p>
      <w:pPr>
        <w:pStyle w:val="DefinedTerms"/>
      </w:pPr>
      <w:r>
        <w:t>supervisor approval</w:t>
      </w:r>
      <w:r>
        <w:tab/>
        <w:t>6A, 6D(2), 6R</w:t>
      </w:r>
    </w:p>
    <w:p>
      <w:pPr>
        <w:pStyle w:val="DefinedTerms"/>
      </w:pPr>
    </w:p>
    <w:p>
      <w:pPr>
        <w:spacing w:before="120"/>
      </w:pPr>
    </w:p>
    <w:p/>
    <w:p/>
    <w:p/>
    <w:p/>
    <w:p/>
    <w:p/>
    <w:p/>
    <w:p/>
    <w:p/>
    <w:p/>
    <w:p/>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826"/>
    <w:docVar w:name="WAFER_20140311142826" w:val="RemoveTocBookmarks,RemoveUnusedBookmarks,RemoveLanguageTags,UsedStyles,ResetPageSize"/>
    <w:docVar w:name="WAFER_20140311142826_GUID" w:val="2407bcd2-bbf4-4f24-995c-5a28fb057a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4988</Words>
  <Characters>23748</Characters>
  <Application>Microsoft Office Word</Application>
  <DocSecurity>0</DocSecurity>
  <Lines>766</Lines>
  <Paragraphs>522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2007 - 02-00-01</dc:title>
  <dc:subject/>
  <dc:creator/>
  <cp:keywords/>
  <dc:description/>
  <cp:lastModifiedBy>svcMRProcess</cp:lastModifiedBy>
  <cp:revision>4</cp:revision>
  <cp:lastPrinted>2013-05-28T08:02:00Z</cp:lastPrinted>
  <dcterms:created xsi:type="dcterms:W3CDTF">2020-03-04T07:32:00Z</dcterms:created>
  <dcterms:modified xsi:type="dcterms:W3CDTF">2020-03-04T07:32:00Z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20130517</vt:lpwstr>
  </property>
  <property fmtid="{D5CDD505-2E9C-101B-9397-08002B2CF9AE}" pid="4" name="OwlsUID">
    <vt:i4>39957</vt:i4>
  </property>
  <property fmtid="{D5CDD505-2E9C-101B-9397-08002B2CF9AE}" pid="5" name="AsAtDate">
    <vt:lpwstr>17 May 2013</vt:lpwstr>
  </property>
  <property fmtid="{D5CDD505-2E9C-101B-9397-08002B2CF9AE}" pid="6" name="Suffix">
    <vt:lpwstr>02-00-01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2013-05-16T16:00:00Z</vt:filetime>
  </property>
</Properties>
</file>