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Disability Services Act 1993</w:t>
      </w:r>
    </w:p>
    <w:p>
      <w:pPr>
        <w:pStyle w:val="NameofActRegPage1"/>
        <w:spacing w:before="1800" w:after="4200"/>
      </w:pPr>
      <w:r>
        <w:fldChar w:fldCharType="begin"/>
      </w:r>
      <w:r>
        <w:instrText xml:space="preserve"> STYLEREF "Name Of Act/Reg"</w:instrText>
      </w:r>
      <w:r>
        <w:fldChar w:fldCharType="separate"/>
      </w:r>
      <w:r>
        <w:rPr>
          <w:noProof/>
        </w:rPr>
        <w:t>Disability Services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_Toc358643815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_Toc358643816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Nominations for Board membership (s. 7)</w:t>
      </w:r>
      <w:r>
        <w:tab/>
      </w:r>
      <w:r>
        <w:fldChar w:fldCharType="begin"/>
      </w:r>
      <w:r>
        <w:instrText xml:space="preserve"> PAGEREF _Toc358643817 \h </w:instrText>
      </w:r>
      <w:r>
        <w:fldChar w:fldCharType="separate"/>
      </w:r>
      <w:r>
        <w:t>1</w:t>
      </w:r>
      <w:r>
        <w:fldChar w:fldCharType="end"/>
      </w:r>
    </w:p>
    <w:p>
      <w:pPr>
        <w:pStyle w:val="TOC8"/>
        <w:rPr>
          <w:rFonts w:asciiTheme="minorHAnsi" w:eastAsiaTheme="minorEastAsia" w:hAnsiTheme="minorHAnsi" w:cstheme="minorBidi"/>
          <w:szCs w:val="22"/>
          <w:lang w:eastAsia="en-AU"/>
        </w:rPr>
      </w:pPr>
      <w:r>
        <w:t>4A.</w:t>
      </w:r>
      <w:r>
        <w:tab/>
        <w:t>Disability Service Standards (s. 12)</w:t>
      </w:r>
      <w:r>
        <w:tab/>
      </w:r>
      <w:r>
        <w:fldChar w:fldCharType="begin"/>
      </w:r>
      <w:r>
        <w:instrText xml:space="preserve"> PAGEREF _Toc358643818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Nominations for Council membership (s. 22)</w:t>
      </w:r>
      <w:r>
        <w:tab/>
      </w:r>
      <w:r>
        <w:fldChar w:fldCharType="begin"/>
      </w:r>
      <w:r>
        <w:instrText xml:space="preserve"> PAGEREF _Toc358643819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Procedure for public consultation by Council (s. 23)</w:t>
      </w:r>
      <w:r>
        <w:tab/>
      </w:r>
      <w:r>
        <w:fldChar w:fldCharType="begin"/>
      </w:r>
      <w:r>
        <w:instrText xml:space="preserve"> PAGEREF _Toc358643820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Public authorities to which Part 5 does not apply (s. 27)</w:t>
      </w:r>
      <w:r>
        <w:tab/>
      </w:r>
      <w:r>
        <w:fldChar w:fldCharType="begin"/>
      </w:r>
      <w:r>
        <w:instrText xml:space="preserve"> PAGEREF _Toc358643821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Standards for disability access and inclusion plans (s. 28)</w:t>
      </w:r>
      <w:r>
        <w:tab/>
      </w:r>
      <w:r>
        <w:fldChar w:fldCharType="begin"/>
      </w:r>
      <w:r>
        <w:instrText xml:space="preserve"> PAGEREF _Toc358643822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Information in reports about disability access and inclusion plans (s. 29)</w:t>
      </w:r>
      <w:r>
        <w:tab/>
      </w:r>
      <w:r>
        <w:fldChar w:fldCharType="begin"/>
      </w:r>
      <w:r>
        <w:instrText xml:space="preserve"> PAGEREF _Toc358643823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Publication of disability access and inclusion plans (s. 29A)</w:t>
      </w:r>
      <w:r>
        <w:tab/>
      </w:r>
      <w:r>
        <w:fldChar w:fldCharType="begin"/>
      </w:r>
      <w:r>
        <w:instrText xml:space="preserve"> PAGEREF _Toc358643824 \h </w:instrText>
      </w:r>
      <w:r>
        <w:fldChar w:fldCharType="separate"/>
      </w:r>
      <w:r>
        <w:t>3</w:t>
      </w:r>
      <w:r>
        <w:fldChar w:fldCharType="end"/>
      </w:r>
    </w:p>
    <w:p>
      <w:pPr>
        <w:pStyle w:val="TOC8"/>
        <w:rPr>
          <w:rFonts w:asciiTheme="minorHAnsi" w:eastAsiaTheme="minorEastAsia" w:hAnsiTheme="minorHAnsi" w:cstheme="minorBidi"/>
          <w:szCs w:val="22"/>
          <w:lang w:eastAsia="en-AU"/>
        </w:rPr>
      </w:pPr>
      <w:r>
        <w:t>10.</w:t>
      </w:r>
      <w:r>
        <w:tab/>
        <w:t>Procedure for public consultation by authorities (s. 29E)</w:t>
      </w:r>
      <w:r>
        <w:tab/>
      </w:r>
      <w:r>
        <w:fldChar w:fldCharType="begin"/>
      </w:r>
      <w:r>
        <w:instrText xml:space="preserve"> PAGEREF _Toc358643825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Repeal</w:t>
      </w:r>
      <w:r>
        <w:tab/>
      </w:r>
      <w:r>
        <w:fldChar w:fldCharType="begin"/>
      </w:r>
      <w:r>
        <w:instrText xml:space="preserve"> PAGEREF _Toc358643826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Public authorities to which Part 5 applies</w:t>
      </w:r>
    </w:p>
    <w:p>
      <w:pPr>
        <w:pStyle w:val="TOC2"/>
        <w:tabs>
          <w:tab w:val="right" w:leader="dot" w:pos="7086"/>
        </w:tabs>
        <w:rPr>
          <w:rFonts w:asciiTheme="minorHAnsi" w:eastAsiaTheme="minorEastAsia" w:hAnsiTheme="minorHAnsi" w:cstheme="minorBidi"/>
          <w:b w:val="0"/>
          <w:sz w:val="22"/>
          <w:szCs w:val="22"/>
          <w:lang w:eastAsia="en-AU"/>
        </w:rPr>
      </w:pPr>
      <w:r>
        <w:t>Schedule 2 — Standards for disability access and inclusion plans</w:t>
      </w:r>
    </w:p>
    <w:p>
      <w:pPr>
        <w:pStyle w:val="TOC2"/>
        <w:tabs>
          <w:tab w:val="right" w:leader="dot" w:pos="7086"/>
        </w:tabs>
        <w:rPr>
          <w:rFonts w:asciiTheme="minorHAnsi" w:eastAsiaTheme="minorEastAsia" w:hAnsiTheme="minorHAnsi" w:cstheme="minorBidi"/>
          <w:b w:val="0"/>
          <w:sz w:val="22"/>
          <w:szCs w:val="22"/>
          <w:lang w:eastAsia="en-AU"/>
        </w:rPr>
      </w:pPr>
      <w:r>
        <w:t>Schedule 3 — Desired outcomes of disability access and inclusion plans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_Toc358643831 \h </w:instrText>
      </w:r>
      <w:r>
        <w:fldChar w:fldCharType="separate"/>
      </w:r>
      <w:r>
        <w:t>9</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_Toc358643832 \h </w:instrText>
      </w:r>
      <w:r>
        <w:fldChar w:fldCharType="separate"/>
      </w:r>
      <w:r>
        <w:t>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Disability Services Act 1993</w:t>
      </w:r>
    </w:p>
    <w:p>
      <w:pPr>
        <w:pStyle w:val="NameofActReg"/>
      </w:pPr>
      <w:r>
        <w:t>Disability Services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31825430"/>
      <w:bookmarkStart w:id="9" w:name="_Toc358643815"/>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31825431"/>
      <w:bookmarkStart w:id="18" w:name="_Toc358643816"/>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19" w:name="_Toc131825432"/>
      <w:bookmarkStart w:id="20" w:name="_Toc358643817"/>
      <w:r>
        <w:rPr>
          <w:rStyle w:val="CharSectno"/>
        </w:rPr>
        <w:t>3</w:t>
      </w:r>
      <w:r>
        <w:t>.</w:t>
      </w:r>
      <w:r>
        <w:tab/>
        <w:t>Nominations for Board membership (s. 7)</w:t>
      </w:r>
      <w:bookmarkEnd w:id="19"/>
      <w:bookmarkEnd w:id="20"/>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21" w:name="_Toc358643818"/>
      <w:bookmarkStart w:id="22" w:name="_Toc131825433"/>
      <w:r>
        <w:rPr>
          <w:rStyle w:val="CharSectno"/>
        </w:rPr>
        <w:t>4A</w:t>
      </w:r>
      <w:r>
        <w:t>.</w:t>
      </w:r>
      <w:r>
        <w:tab/>
        <w:t>Disability Service Standards (s. 12)</w:t>
      </w:r>
      <w:bookmarkEnd w:id="21"/>
    </w:p>
    <w:p>
      <w:pPr>
        <w:pStyle w:val="Subsection"/>
      </w:pPr>
      <w:r>
        <w:tab/>
      </w:r>
      <w:r>
        <w:tab/>
        <w:t xml:space="preserve">The following Disability Service Standards, endorsed by the Commission in 1993 and 2004 and published by the Commission in 2005, are prescribed for the purposes of section 12(1)(i) of the Act — </w:t>
      </w:r>
    </w:p>
    <w:p>
      <w:pPr>
        <w:pStyle w:val="Indenta"/>
      </w:pPr>
      <w:r>
        <w:tab/>
        <w:t>(a)</w:t>
      </w:r>
      <w:r>
        <w:tab/>
        <w:t>Service Access;</w:t>
      </w:r>
    </w:p>
    <w:p>
      <w:pPr>
        <w:pStyle w:val="Indenta"/>
      </w:pPr>
      <w:r>
        <w:tab/>
        <w:t>(b)</w:t>
      </w:r>
      <w:r>
        <w:tab/>
        <w:t>Individual Needs;</w:t>
      </w:r>
    </w:p>
    <w:p>
      <w:pPr>
        <w:pStyle w:val="Indenta"/>
      </w:pPr>
      <w:r>
        <w:tab/>
        <w:t>(c)</w:t>
      </w:r>
      <w:r>
        <w:tab/>
        <w:t>Decision Making and Choice;</w:t>
      </w:r>
    </w:p>
    <w:p>
      <w:pPr>
        <w:pStyle w:val="Indenta"/>
      </w:pPr>
      <w:r>
        <w:tab/>
        <w:t>(d)</w:t>
      </w:r>
      <w:r>
        <w:tab/>
        <w:t>Privacy, Dignity and Confidentiality;</w:t>
      </w:r>
    </w:p>
    <w:p>
      <w:pPr>
        <w:pStyle w:val="Indenta"/>
      </w:pPr>
      <w:r>
        <w:tab/>
        <w:t>(e)</w:t>
      </w:r>
      <w:r>
        <w:tab/>
        <w:t>Participation and Integration;</w:t>
      </w:r>
    </w:p>
    <w:p>
      <w:pPr>
        <w:pStyle w:val="Indenta"/>
      </w:pPr>
      <w:r>
        <w:tab/>
        <w:t>(f)</w:t>
      </w:r>
      <w:r>
        <w:tab/>
        <w:t>Valued Status;</w:t>
      </w:r>
    </w:p>
    <w:p>
      <w:pPr>
        <w:pStyle w:val="Indenta"/>
      </w:pPr>
      <w:r>
        <w:tab/>
        <w:t>(g)</w:t>
      </w:r>
      <w:r>
        <w:tab/>
        <w:t>Complaints and Disputes;</w:t>
      </w:r>
    </w:p>
    <w:p>
      <w:pPr>
        <w:pStyle w:val="Indenta"/>
      </w:pPr>
      <w:r>
        <w:tab/>
        <w:t>(h)</w:t>
      </w:r>
      <w:r>
        <w:tab/>
        <w:t>Services Management;</w:t>
      </w:r>
    </w:p>
    <w:p>
      <w:pPr>
        <w:pStyle w:val="Indenta"/>
      </w:pPr>
      <w:r>
        <w:tab/>
        <w:t>(i)</w:t>
      </w:r>
      <w:r>
        <w:tab/>
        <w:t>Protection of Human Rights and Freedom from Abuse and Neglect.</w:t>
      </w:r>
    </w:p>
    <w:p>
      <w:pPr>
        <w:pStyle w:val="Footnotesection"/>
      </w:pPr>
      <w:r>
        <w:tab/>
        <w:t>[Regulation 4A inserted in Gazette 11 Jun 2013 p. 2162.]</w:t>
      </w:r>
    </w:p>
    <w:p>
      <w:pPr>
        <w:pStyle w:val="Heading5"/>
      </w:pPr>
      <w:bookmarkStart w:id="23" w:name="_Toc358643819"/>
      <w:r>
        <w:rPr>
          <w:rStyle w:val="CharSectno"/>
        </w:rPr>
        <w:t>4</w:t>
      </w:r>
      <w:r>
        <w:t>.</w:t>
      </w:r>
      <w:r>
        <w:tab/>
        <w:t>Nominations for Council membership (s. 22)</w:t>
      </w:r>
      <w:bookmarkEnd w:id="22"/>
      <w:bookmarkEnd w:id="23"/>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24" w:name="_Toc131825434"/>
      <w:bookmarkStart w:id="25" w:name="_Toc358643820"/>
      <w:r>
        <w:rPr>
          <w:rStyle w:val="CharSectno"/>
        </w:rPr>
        <w:t>5</w:t>
      </w:r>
      <w:r>
        <w:t>.</w:t>
      </w:r>
      <w:r>
        <w:tab/>
        <w:t>Procedure for public consultation by Council (s. 23)</w:t>
      </w:r>
      <w:bookmarkEnd w:id="24"/>
      <w:bookmarkEnd w:id="25"/>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bookmarkStart w:id="26" w:name="_Toc131825435"/>
      <w:r>
        <w:tab/>
        <w:t>[Regulation 5 amended in Gazette 11 Jun 2013 p. 2162 and 2164.]</w:t>
      </w:r>
    </w:p>
    <w:p>
      <w:pPr>
        <w:pStyle w:val="Heading5"/>
      </w:pPr>
      <w:bookmarkStart w:id="27" w:name="_Toc358643821"/>
      <w:r>
        <w:rPr>
          <w:rStyle w:val="CharSectno"/>
        </w:rPr>
        <w:t>6</w:t>
      </w:r>
      <w:r>
        <w:t>.</w:t>
      </w:r>
      <w:r>
        <w:tab/>
        <w:t>Public authorities to which Part 5 does not apply (s. 27)</w:t>
      </w:r>
      <w:bookmarkEnd w:id="26"/>
      <w:bookmarkEnd w:id="27"/>
    </w:p>
    <w:p>
      <w:pPr>
        <w:pStyle w:val="Subsection"/>
      </w:pPr>
      <w:r>
        <w:tab/>
      </w:r>
      <w:r>
        <w:tab/>
        <w:t>Part 5 of the Act does not apply to any public authority except to a public authority specified in Schedule 1.</w:t>
      </w:r>
    </w:p>
    <w:p>
      <w:pPr>
        <w:pStyle w:val="Heading5"/>
      </w:pPr>
      <w:bookmarkStart w:id="28" w:name="_Toc131825436"/>
      <w:bookmarkStart w:id="29" w:name="_Toc358643822"/>
      <w:r>
        <w:rPr>
          <w:rStyle w:val="CharSectno"/>
        </w:rPr>
        <w:t>7</w:t>
      </w:r>
      <w:r>
        <w:t>.</w:t>
      </w:r>
      <w:r>
        <w:tab/>
        <w:t>Standards for disability access and inclusion plans (s. 28)</w:t>
      </w:r>
      <w:bookmarkEnd w:id="28"/>
      <w:bookmarkEnd w:id="29"/>
    </w:p>
    <w:p>
      <w:pPr>
        <w:pStyle w:val="Subsection"/>
      </w:pPr>
      <w:r>
        <w:tab/>
      </w:r>
      <w:r>
        <w:tab/>
        <w:t>For the purposes of section 28(5) of the Act, the standards that a disability access and inclusion plan must meet are those specified in Schedule 2.</w:t>
      </w:r>
    </w:p>
    <w:p>
      <w:pPr>
        <w:pStyle w:val="Heading5"/>
      </w:pPr>
      <w:bookmarkStart w:id="30" w:name="_Toc131825437"/>
      <w:bookmarkStart w:id="31" w:name="_Toc358643823"/>
      <w:r>
        <w:rPr>
          <w:rStyle w:val="CharSectno"/>
        </w:rPr>
        <w:t>8</w:t>
      </w:r>
      <w:r>
        <w:t>.</w:t>
      </w:r>
      <w:r>
        <w:tab/>
        <w:t>Information in reports about disability access and inclusion plans (s. 29)</w:t>
      </w:r>
      <w:bookmarkEnd w:id="30"/>
      <w:bookmarkEnd w:id="31"/>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32" w:name="_Toc131825438"/>
      <w:bookmarkStart w:id="33" w:name="_Toc358643824"/>
      <w:r>
        <w:rPr>
          <w:rStyle w:val="CharSectno"/>
        </w:rPr>
        <w:t>9</w:t>
      </w:r>
      <w:r>
        <w:t>.</w:t>
      </w:r>
      <w:r>
        <w:tab/>
        <w:t>Publication of disability access and inclusion plans (s. 29A)</w:t>
      </w:r>
      <w:bookmarkEnd w:id="32"/>
      <w:bookmarkEnd w:id="33"/>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34" w:name="_Toc131825439"/>
      <w:bookmarkStart w:id="35" w:name="_Toc358643825"/>
      <w:r>
        <w:rPr>
          <w:rStyle w:val="CharSectno"/>
        </w:rPr>
        <w:t>10</w:t>
      </w:r>
      <w:r>
        <w:t>.</w:t>
      </w:r>
      <w:r>
        <w:tab/>
        <w:t>Procedure for public consultation by authorities (s. 29E)</w:t>
      </w:r>
      <w:bookmarkEnd w:id="34"/>
      <w:bookmarkEnd w:id="35"/>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bookmarkStart w:id="36" w:name="_Toc423332724"/>
      <w:bookmarkStart w:id="37" w:name="_Toc425219443"/>
      <w:bookmarkStart w:id="38" w:name="_Toc426249310"/>
      <w:bookmarkStart w:id="39" w:name="_Toc449924706"/>
      <w:bookmarkStart w:id="40" w:name="_Toc449947724"/>
      <w:bookmarkStart w:id="41" w:name="_Toc454185715"/>
      <w:bookmarkStart w:id="42" w:name="_Toc515958688"/>
      <w:bookmarkStart w:id="43" w:name="_Toc131825440"/>
      <w:r>
        <w:tab/>
        <w:t>[Regulation 10 amended in Gazette 11 Jun 2013 p. 2162-3.]</w:t>
      </w:r>
    </w:p>
    <w:p>
      <w:pPr>
        <w:pStyle w:val="Heading5"/>
        <w:rPr>
          <w:snapToGrid w:val="0"/>
        </w:rPr>
      </w:pPr>
      <w:bookmarkStart w:id="44" w:name="_Toc358643826"/>
      <w:r>
        <w:rPr>
          <w:rStyle w:val="CharSectno"/>
        </w:rPr>
        <w:t>11</w:t>
      </w:r>
      <w:r>
        <w:rPr>
          <w:snapToGrid w:val="0"/>
        </w:rPr>
        <w:t>.</w:t>
      </w:r>
      <w:r>
        <w:rPr>
          <w:snapToGrid w:val="0"/>
        </w:rPr>
        <w:tab/>
      </w:r>
      <w:bookmarkEnd w:id="36"/>
      <w:bookmarkEnd w:id="37"/>
      <w:bookmarkEnd w:id="38"/>
      <w:bookmarkEnd w:id="39"/>
      <w:bookmarkEnd w:id="40"/>
      <w:bookmarkEnd w:id="41"/>
      <w:bookmarkEnd w:id="42"/>
      <w:r>
        <w:rPr>
          <w:snapToGrid w:val="0"/>
        </w:rPr>
        <w:t>Repeal</w:t>
      </w:r>
      <w:bookmarkEnd w:id="43"/>
      <w:bookmarkEnd w:id="44"/>
    </w:p>
    <w:p>
      <w:pPr>
        <w:pStyle w:val="Subsection"/>
      </w:pPr>
      <w:r>
        <w:tab/>
      </w:r>
      <w:r>
        <w:tab/>
        <w:t xml:space="preserve">The </w:t>
      </w:r>
      <w:r>
        <w:rPr>
          <w:i/>
        </w:rPr>
        <w:t>Disability Services Regulations 1995</w:t>
      </w:r>
      <w:r>
        <w:t xml:space="preserve"> are repealed.</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5" w:name="_Toc131825441"/>
      <w:bookmarkStart w:id="46" w:name="_Toc131825476"/>
      <w:bookmarkStart w:id="47" w:name="_Toc131825496"/>
      <w:bookmarkStart w:id="48" w:name="_Toc358643620"/>
      <w:bookmarkStart w:id="49" w:name="_Toc358643701"/>
      <w:bookmarkStart w:id="50" w:name="_Toc358643827"/>
      <w:r>
        <w:rPr>
          <w:rStyle w:val="CharSchNo"/>
        </w:rPr>
        <w:t>Schedule 1</w:t>
      </w:r>
      <w:r>
        <w:t> — </w:t>
      </w:r>
      <w:r>
        <w:rPr>
          <w:rStyle w:val="CharSchText"/>
        </w:rPr>
        <w:t>Public authorities to which Part 5 applies</w:t>
      </w:r>
      <w:bookmarkEnd w:id="45"/>
      <w:bookmarkEnd w:id="46"/>
      <w:bookmarkEnd w:id="47"/>
      <w:bookmarkEnd w:id="48"/>
      <w:bookmarkEnd w:id="49"/>
      <w:bookmarkEnd w:id="50"/>
    </w:p>
    <w:p>
      <w:pPr>
        <w:pStyle w:val="yShoulderClause"/>
      </w:pPr>
      <w:r>
        <w:t>[r. 6]</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iCs/>
        </w:rPr>
        <w:t>Public Sector Management Act 1994</w:t>
      </w:r>
      <w:r>
        <w:t xml:space="preserve"> Schedule 2 column 2.</w:t>
      </w:r>
    </w:p>
    <w:p>
      <w:pPr>
        <w:pStyle w:val="yNumberedItem"/>
      </w:pPr>
      <w:r>
        <w:t>3.</w:t>
      </w:r>
      <w:r>
        <w:tab/>
        <w:t>A local government or regional local government.</w:t>
      </w:r>
    </w:p>
    <w:p>
      <w:pPr>
        <w:pStyle w:val="yNumberedItem"/>
      </w:pPr>
      <w:r>
        <w:t>4.</w:t>
      </w:r>
      <w:r>
        <w:tab/>
        <w:t xml:space="preserve">Curtin University of Technology established under the </w:t>
      </w:r>
      <w:r>
        <w:rPr>
          <w:i/>
          <w:iCs/>
        </w:rPr>
        <w:t>Curtin University of Technology Act 1966</w:t>
      </w:r>
      <w:r>
        <w:t>.</w:t>
      </w:r>
    </w:p>
    <w:p>
      <w:pPr>
        <w:pStyle w:val="yNumberedItem"/>
      </w:pPr>
      <w:r>
        <w:t>5.</w:t>
      </w:r>
      <w:r>
        <w:tab/>
        <w:t xml:space="preserve">Edith Cowan University established under the </w:t>
      </w:r>
      <w:r>
        <w:rPr>
          <w:i/>
          <w:iCs/>
        </w:rPr>
        <w:t>Edith Cowan University Act 1984</w:t>
      </w:r>
      <w:r>
        <w:t>.</w:t>
      </w:r>
    </w:p>
    <w:p>
      <w:pPr>
        <w:pStyle w:val="yNumberedItem"/>
      </w:pPr>
      <w:r>
        <w:t>5A.</w:t>
      </w:r>
      <w:r>
        <w:tab/>
        <w:t xml:space="preserve">Electricity Generation Corporation established by the </w:t>
      </w:r>
      <w:r>
        <w:rPr>
          <w:i/>
          <w:iCs/>
        </w:rPr>
        <w:t>Electricity Corporations Act 2005</w:t>
      </w:r>
      <w:r>
        <w:t>.</w:t>
      </w:r>
    </w:p>
    <w:p>
      <w:pPr>
        <w:pStyle w:val="yNumberedItem"/>
      </w:pPr>
      <w:r>
        <w:t>5B.</w:t>
      </w:r>
      <w:r>
        <w:tab/>
        <w:t xml:space="preserve">Electricity Networks Corporation established by the </w:t>
      </w:r>
      <w:r>
        <w:rPr>
          <w:i/>
          <w:iCs/>
        </w:rPr>
        <w:t>Electricity Corporations Act 2005</w:t>
      </w:r>
      <w:r>
        <w:t>.</w:t>
      </w:r>
    </w:p>
    <w:p>
      <w:pPr>
        <w:pStyle w:val="yNumberedItem"/>
      </w:pPr>
      <w:r>
        <w:t>5C.</w:t>
      </w:r>
      <w:r>
        <w:tab/>
        <w:t xml:space="preserve">Electricity Retail Corporation established by the </w:t>
      </w:r>
      <w:r>
        <w:rPr>
          <w:i/>
          <w:iCs/>
        </w:rPr>
        <w:t>Electricity Corporations Act 2005</w:t>
      </w:r>
      <w:r>
        <w:t>.</w:t>
      </w:r>
    </w:p>
    <w:p>
      <w:pPr>
        <w:pStyle w:val="yNumberedItem"/>
      </w:pPr>
      <w:r>
        <w:t>6.</w:t>
      </w:r>
      <w:r>
        <w:tab/>
        <w:t xml:space="preserve">Fremantle Hospital established under the </w:t>
      </w:r>
      <w:r>
        <w:rPr>
          <w:i/>
          <w:iCs/>
        </w:rPr>
        <w:t>Hospitals and Health Services Act 1927</w:t>
      </w:r>
      <w:r>
        <w:t>.</w:t>
      </w:r>
    </w:p>
    <w:p>
      <w:pPr>
        <w:pStyle w:val="yNumberedItem"/>
      </w:pPr>
      <w:r>
        <w:t>7.</w:t>
      </w:r>
      <w:r>
        <w:tab/>
        <w:t>King Edward Memorial Hospital for Women established under the Hospitals and Health Services Act 1927.</w:t>
      </w:r>
    </w:p>
    <w:p>
      <w:pPr>
        <w:pStyle w:val="yNumberedItem"/>
      </w:pPr>
      <w:r>
        <w:t>8.</w:t>
      </w:r>
      <w:r>
        <w:tab/>
        <w:t xml:space="preserve">Murdoch University established under the </w:t>
      </w:r>
      <w:r>
        <w:rPr>
          <w:i/>
          <w:iCs/>
        </w:rPr>
        <w:t>Murdoch University Act 1973</w:t>
      </w:r>
      <w:r>
        <w:t>.</w:t>
      </w:r>
    </w:p>
    <w:p>
      <w:pPr>
        <w:pStyle w:val="yNumberedItem"/>
      </w:pPr>
      <w:r>
        <w:t>9.</w:t>
      </w:r>
      <w:r>
        <w:tab/>
        <w:t xml:space="preserve">Princess Margaret Hospital for Children established under the </w:t>
      </w:r>
      <w:r>
        <w:rPr>
          <w:i/>
          <w:iCs/>
        </w:rPr>
        <w:t>Hospitals and Health Services Act 1927</w:t>
      </w:r>
      <w:r>
        <w:t>.</w:t>
      </w:r>
    </w:p>
    <w:p>
      <w:pPr>
        <w:pStyle w:val="yNumberedItem"/>
      </w:pPr>
      <w:r>
        <w:t>9A.</w:t>
      </w:r>
      <w:r>
        <w:tab/>
        <w:t>Regional Power Corporation established by the Electricity</w:t>
      </w:r>
      <w:r>
        <w:rPr>
          <w:i/>
          <w:iCs/>
        </w:rPr>
        <w:t xml:space="preserve"> Corporations Act 2005</w:t>
      </w:r>
      <w:r>
        <w:t>.</w:t>
      </w:r>
    </w:p>
    <w:p>
      <w:pPr>
        <w:pStyle w:val="yNumberedItem"/>
      </w:pPr>
      <w:r>
        <w:t>10.</w:t>
      </w:r>
      <w:r>
        <w:tab/>
        <w:t xml:space="preserve">Royal Perth Hospital established under the Hospitals and </w:t>
      </w:r>
      <w:r>
        <w:rPr>
          <w:i/>
          <w:iCs/>
        </w:rPr>
        <w:t>Health Services Act 1927</w:t>
      </w:r>
      <w:r>
        <w:t>.</w:t>
      </w:r>
    </w:p>
    <w:p>
      <w:pPr>
        <w:pStyle w:val="yNumberedItem"/>
      </w:pPr>
      <w:r>
        <w:t>11.</w:t>
      </w:r>
      <w:r>
        <w:tab/>
        <w:t xml:space="preserve">Sir Charles Gairdner Hospital established under the </w:t>
      </w:r>
      <w:r>
        <w:rPr>
          <w:i/>
          <w:iCs/>
        </w:rPr>
        <w:t>Hospitals and Health Services Act 1927</w:t>
      </w:r>
      <w:r>
        <w:t>.</w:t>
      </w:r>
    </w:p>
    <w:p>
      <w:pPr>
        <w:pStyle w:val="yNumberedItem"/>
      </w:pPr>
      <w:r>
        <w:t>12.</w:t>
      </w:r>
      <w:r>
        <w:tab/>
        <w:t xml:space="preserve">The University of Western Australia established under the </w:t>
      </w:r>
      <w:r>
        <w:rPr>
          <w:i/>
          <w:iCs/>
        </w:rPr>
        <w:t>University of Western Australia Act 1911</w:t>
      </w:r>
      <w:r>
        <w:t>.</w:t>
      </w:r>
    </w:p>
    <w:p>
      <w:pPr>
        <w:pStyle w:val="yNumberedItem"/>
      </w:pPr>
      <w:r>
        <w:t>13.</w:t>
      </w:r>
      <w:r>
        <w:tab/>
        <w:t xml:space="preserve">Water Corporation established by the </w:t>
      </w:r>
      <w:r>
        <w:rPr>
          <w:i/>
          <w:iCs/>
        </w:rPr>
        <w:t>Water Corporation Act 1995</w:t>
      </w:r>
      <w:r>
        <w:t>.</w:t>
      </w:r>
    </w:p>
    <w:p>
      <w:pPr>
        <w:pStyle w:val="yEdnotesection"/>
      </w:pPr>
      <w:r>
        <w:t>[14.</w:t>
      </w:r>
      <w:r>
        <w:tab/>
        <w:t>deleted]</w:t>
      </w:r>
    </w:p>
    <w:p>
      <w:pPr>
        <w:pStyle w:val="yFootnotesection"/>
      </w:pPr>
      <w:r>
        <w:tab/>
        <w:t>[Schedule 1 amended in Gazette 31 Mar 2006 p. 1343.]</w:t>
      </w:r>
    </w:p>
    <w:p>
      <w:pPr>
        <w:pStyle w:val="yScheduleHeading"/>
      </w:pPr>
      <w:bookmarkStart w:id="51" w:name="_Toc131825442"/>
      <w:bookmarkStart w:id="52" w:name="_Toc131825477"/>
      <w:bookmarkStart w:id="53" w:name="_Toc131825497"/>
      <w:bookmarkStart w:id="54" w:name="_Toc358643621"/>
      <w:bookmarkStart w:id="55" w:name="_Toc358643702"/>
      <w:bookmarkStart w:id="56" w:name="_Toc358643828"/>
      <w:r>
        <w:rPr>
          <w:rStyle w:val="CharSchNo"/>
        </w:rPr>
        <w:t>Schedule 2</w:t>
      </w:r>
      <w:r>
        <w:t> — </w:t>
      </w:r>
      <w:r>
        <w:rPr>
          <w:rStyle w:val="CharSchText"/>
        </w:rPr>
        <w:t>Standards for disability access and inclusion plans</w:t>
      </w:r>
      <w:bookmarkEnd w:id="51"/>
      <w:bookmarkEnd w:id="52"/>
      <w:bookmarkEnd w:id="53"/>
      <w:bookmarkEnd w:id="54"/>
      <w:bookmarkEnd w:id="55"/>
      <w:bookmarkEnd w:id="56"/>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Ednoteschedule"/>
      </w:pPr>
      <w:bookmarkStart w:id="57" w:name="_Toc131825443"/>
      <w:bookmarkStart w:id="58" w:name="_Toc131825478"/>
      <w:bookmarkStart w:id="59" w:name="_Toc131825498"/>
      <w:r>
        <w:tab/>
        <w:t>[Schedule 2 amended in Gazette 11 Jun 2013 p. 2164-5.]</w:t>
      </w:r>
    </w:p>
    <w:p>
      <w:pPr>
        <w:pStyle w:val="yScheduleHeading"/>
      </w:pPr>
      <w:bookmarkStart w:id="60" w:name="_Toc358643622"/>
      <w:bookmarkStart w:id="61" w:name="_Toc358643703"/>
      <w:bookmarkStart w:id="62" w:name="_Toc358643829"/>
      <w:r>
        <w:rPr>
          <w:rStyle w:val="CharSchNo"/>
        </w:rPr>
        <w:t>Schedule 3</w:t>
      </w:r>
      <w:r>
        <w:t> — </w:t>
      </w:r>
      <w:r>
        <w:rPr>
          <w:rStyle w:val="CharSchText"/>
        </w:rPr>
        <w:t>Desired outcomes of disability access and inclusion plans</w:t>
      </w:r>
      <w:bookmarkEnd w:id="57"/>
      <w:bookmarkEnd w:id="58"/>
      <w:bookmarkEnd w:id="59"/>
      <w:bookmarkEnd w:id="60"/>
      <w:bookmarkEnd w:id="61"/>
      <w:bookmarkEnd w:id="62"/>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Ednoteschedule"/>
      </w:pPr>
      <w:r>
        <w:tab/>
        <w:t>[Schedule 3 amended in Gazette 11 Jun 2013 p. 2165.]</w:t>
      </w:r>
    </w:p>
    <w:p>
      <w:pPr>
        <w:sectPr>
          <w:headerReference w:type="even" r:id="rId26"/>
          <w:headerReference w:type="default" r:id="rId27"/>
          <w:headerReference w:type="first" r:id="rId28"/>
          <w:endnotePr>
            <w:numFmt w:val="decimal"/>
          </w:endnotePr>
          <w:pgSz w:w="11906" w:h="16838" w:code="9"/>
          <w:pgMar w:top="2381" w:right="2410" w:bottom="3544" w:left="2410" w:header="720" w:footer="3380" w:gutter="0"/>
          <w:cols w:space="720"/>
          <w:noEndnote/>
          <w:docGrid w:linePitch="326"/>
        </w:sectPr>
      </w:pPr>
    </w:p>
    <w:p>
      <w:pPr>
        <w:pStyle w:val="nHeading2"/>
      </w:pPr>
      <w:bookmarkStart w:id="63" w:name="_Toc85279542"/>
      <w:bookmarkStart w:id="64" w:name="_Toc90790489"/>
      <w:bookmarkStart w:id="65" w:name="_Toc90790533"/>
      <w:bookmarkStart w:id="66" w:name="_Toc90798226"/>
      <w:bookmarkStart w:id="67" w:name="_Toc131825444"/>
      <w:bookmarkStart w:id="68" w:name="_Toc131825479"/>
      <w:bookmarkStart w:id="69" w:name="_Toc131825499"/>
      <w:bookmarkStart w:id="70" w:name="_Toc358643623"/>
      <w:bookmarkStart w:id="71" w:name="_Toc358643704"/>
      <w:bookmarkStart w:id="72" w:name="_Toc358643830"/>
      <w:r>
        <w:t>Notes</w:t>
      </w:r>
      <w:bookmarkEnd w:id="63"/>
      <w:bookmarkEnd w:id="64"/>
      <w:bookmarkEnd w:id="65"/>
      <w:bookmarkEnd w:id="66"/>
      <w:bookmarkEnd w:id="67"/>
      <w:bookmarkEnd w:id="68"/>
      <w:bookmarkEnd w:id="69"/>
      <w:bookmarkEnd w:id="70"/>
      <w:bookmarkEnd w:id="71"/>
      <w:bookmarkEnd w:id="72"/>
    </w:p>
    <w:p>
      <w:pPr>
        <w:pStyle w:val="nSubsection"/>
        <w:rPr>
          <w:snapToGrid w:val="0"/>
        </w:rPr>
      </w:pPr>
      <w:bookmarkStart w:id="73" w:name="_Toc23744458"/>
      <w:bookmarkStart w:id="74" w:name="_Toc85279543"/>
      <w:r>
        <w:rPr>
          <w:snapToGrid w:val="0"/>
          <w:vertAlign w:val="superscript"/>
        </w:rPr>
        <w:t>1</w:t>
      </w:r>
      <w:r>
        <w:rPr>
          <w:snapToGrid w:val="0"/>
        </w:rPr>
        <w:tab/>
        <w:t xml:space="preserve">This is a compilation of the </w:t>
      </w:r>
      <w:r>
        <w:rPr>
          <w:i/>
          <w:noProof/>
          <w:snapToGrid w:val="0"/>
        </w:rPr>
        <w:t>Disability Services Regulations 2004</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75" w:name="_Toc131825445"/>
      <w:bookmarkStart w:id="76" w:name="_Toc358643831"/>
      <w:r>
        <w:rPr>
          <w:snapToGrid w:val="0"/>
        </w:rPr>
        <w:t>Compilation table</w:t>
      </w:r>
      <w:bookmarkEnd w:id="73"/>
      <w:bookmarkEnd w:id="74"/>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after="60"/>
              <w:rPr>
                <w:b/>
                <w:sz w:val="19"/>
              </w:rPr>
            </w:pPr>
            <w:r>
              <w:rPr>
                <w:b/>
                <w:sz w:val="19"/>
              </w:rPr>
              <w:t>Citation</w:t>
            </w:r>
          </w:p>
        </w:tc>
        <w:tc>
          <w:tcPr>
            <w:tcW w:w="1276" w:type="dxa"/>
            <w:tcBorders>
              <w:top w:val="single" w:sz="8" w:space="0" w:color="auto"/>
              <w:bottom w:val="single" w:sz="4" w:space="0" w:color="auto"/>
            </w:tcBorders>
          </w:tcPr>
          <w:p>
            <w:pPr>
              <w:pStyle w:val="nTable"/>
              <w:spacing w:after="60"/>
              <w:rPr>
                <w:b/>
                <w:sz w:val="19"/>
              </w:rPr>
            </w:pPr>
            <w:r>
              <w:rPr>
                <w:b/>
                <w:sz w:val="19"/>
              </w:rPr>
              <w:t>Gazettal</w:t>
            </w:r>
          </w:p>
        </w:tc>
        <w:tc>
          <w:tcPr>
            <w:tcW w:w="2693" w:type="dxa"/>
            <w:tcBorders>
              <w:top w:val="single" w:sz="8" w:space="0" w:color="auto"/>
              <w:bottom w:val="single" w:sz="4" w:space="0" w:color="auto"/>
            </w:tcBorders>
          </w:tcPr>
          <w:p>
            <w:pPr>
              <w:pStyle w:val="nTable"/>
              <w:spacing w:after="60"/>
              <w:rPr>
                <w:b/>
                <w:sz w:val="19"/>
              </w:rPr>
            </w:pPr>
            <w:r>
              <w:rPr>
                <w:b/>
                <w:sz w:val="19"/>
              </w:rPr>
              <w:t>Commencement</w:t>
            </w:r>
          </w:p>
        </w:tc>
      </w:tr>
      <w:tr>
        <w:tc>
          <w:tcPr>
            <w:tcW w:w="3119" w:type="dxa"/>
            <w:tcBorders>
              <w:top w:val="single" w:sz="4" w:space="0" w:color="auto"/>
            </w:tcBorders>
          </w:tcPr>
          <w:p>
            <w:pPr>
              <w:pStyle w:val="nTable"/>
              <w:spacing w:before="80"/>
              <w:rPr>
                <w:sz w:val="19"/>
              </w:rPr>
            </w:pPr>
            <w:r>
              <w:rPr>
                <w:i/>
                <w:sz w:val="19"/>
              </w:rPr>
              <w:t>Disability Services Regulations 2004</w:t>
            </w:r>
          </w:p>
        </w:tc>
        <w:tc>
          <w:tcPr>
            <w:tcW w:w="1276" w:type="dxa"/>
            <w:tcBorders>
              <w:top w:val="single" w:sz="4" w:space="0" w:color="auto"/>
            </w:tcBorders>
          </w:tcPr>
          <w:p>
            <w:pPr>
              <w:pStyle w:val="nTable"/>
              <w:spacing w:before="80"/>
              <w:rPr>
                <w:sz w:val="19"/>
              </w:rPr>
            </w:pPr>
            <w:r>
              <w:rPr>
                <w:sz w:val="19"/>
              </w:rPr>
              <w:t>14 Dec 2004 p. 6002-6</w:t>
            </w:r>
          </w:p>
        </w:tc>
        <w:tc>
          <w:tcPr>
            <w:tcW w:w="2693" w:type="dxa"/>
            <w:tcBorders>
              <w:top w:val="single" w:sz="4" w:space="0" w:color="auto"/>
            </w:tcBorders>
          </w:tcPr>
          <w:p>
            <w:pPr>
              <w:pStyle w:val="nTable"/>
              <w:spacing w:before="80"/>
              <w:rPr>
                <w:sz w:val="19"/>
              </w:rPr>
            </w:pPr>
            <w:r>
              <w:rPr>
                <w:sz w:val="19"/>
              </w:rPr>
              <w:t xml:space="preserve">15 Dec 2004 (see r. 2 and </w:t>
            </w:r>
            <w:r>
              <w:rPr>
                <w:i/>
                <w:iCs/>
                <w:sz w:val="19"/>
              </w:rPr>
              <w:t>Gazette</w:t>
            </w:r>
            <w:r>
              <w:rPr>
                <w:sz w:val="19"/>
              </w:rPr>
              <w:t xml:space="preserve"> 14 Dec 2004 p. 5999)</w:t>
            </w:r>
          </w:p>
        </w:tc>
      </w:tr>
      <w:tr>
        <w:tc>
          <w:tcPr>
            <w:tcW w:w="3119" w:type="dxa"/>
          </w:tcPr>
          <w:p>
            <w:pPr>
              <w:pStyle w:val="nTable"/>
              <w:rPr>
                <w:sz w:val="19"/>
              </w:rPr>
            </w:pPr>
            <w:r>
              <w:rPr>
                <w:i/>
                <w:sz w:val="19"/>
              </w:rPr>
              <w:t>Electricity Corporations (Consequential Amendments) Regulations 2006</w:t>
            </w:r>
            <w:r>
              <w:rPr>
                <w:iCs/>
                <w:sz w:val="19"/>
              </w:rPr>
              <w:t xml:space="preserve"> r. 70</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9" w:type="dxa"/>
            <w:tcBorders>
              <w:bottom w:val="single" w:sz="4" w:space="0" w:color="auto"/>
            </w:tcBorders>
          </w:tcPr>
          <w:p>
            <w:pPr>
              <w:pStyle w:val="nTable"/>
              <w:rPr>
                <w:i/>
                <w:sz w:val="19"/>
              </w:rPr>
            </w:pPr>
            <w:r>
              <w:rPr>
                <w:i/>
                <w:sz w:val="19"/>
              </w:rPr>
              <w:t>Disability Services Amendment Regulations 2013</w:t>
            </w:r>
          </w:p>
        </w:tc>
        <w:tc>
          <w:tcPr>
            <w:tcW w:w="1276" w:type="dxa"/>
            <w:tcBorders>
              <w:bottom w:val="single" w:sz="4" w:space="0" w:color="auto"/>
            </w:tcBorders>
          </w:tcPr>
          <w:p>
            <w:pPr>
              <w:pStyle w:val="nTable"/>
              <w:rPr>
                <w:sz w:val="19"/>
              </w:rPr>
            </w:pPr>
            <w:r>
              <w:rPr>
                <w:sz w:val="19"/>
              </w:rPr>
              <w:t>11 Jun 2013 p. 2161-5</w:t>
            </w:r>
          </w:p>
        </w:tc>
        <w:tc>
          <w:tcPr>
            <w:tcW w:w="2693" w:type="dxa"/>
            <w:tcBorders>
              <w:bottom w:val="single" w:sz="4" w:space="0" w:color="auto"/>
            </w:tcBorders>
          </w:tcPr>
          <w:p>
            <w:pPr>
              <w:pStyle w:val="nTable"/>
              <w:rPr>
                <w:sz w:val="19"/>
              </w:rPr>
            </w:pPr>
            <w:r>
              <w:rPr>
                <w:sz w:val="19"/>
              </w:rPr>
              <w:t>r. 1 and 2: 11 Jun 2013 (see r. 2(a));</w:t>
            </w:r>
            <w:r>
              <w:rPr>
                <w:sz w:val="19"/>
              </w:rPr>
              <w:br/>
              <w:t xml:space="preserve">Regulations other than 1, 2, 7, 8 and 9: 12 Jun 2013 (see r. 2(c) and </w:t>
            </w:r>
            <w:r>
              <w:rPr>
                <w:i/>
                <w:sz w:val="19"/>
              </w:rPr>
              <w:t>Gazette</w:t>
            </w:r>
            <w:r>
              <w:rPr>
                <w:sz w:val="19"/>
              </w:rPr>
              <w:t xml:space="preserve"> 11 Jun 2013 p. 2161)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 w:name="_Toc358643832"/>
      <w:r>
        <w:t>Provisions that have not come into operation</w:t>
      </w:r>
      <w:bookmarkEnd w:id="7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sz w:val="19"/>
              </w:rPr>
              <w:t>Disability Services Amendment Regulations 2013</w:t>
            </w:r>
            <w:r>
              <w:rPr>
                <w:sz w:val="19"/>
              </w:rPr>
              <w:t xml:space="preserve"> r. 7-9</w:t>
            </w:r>
            <w:r>
              <w:rPr>
                <w:sz w:val="19"/>
                <w:vertAlign w:val="superscript"/>
              </w:rPr>
              <w:t> 2</w:t>
            </w:r>
          </w:p>
        </w:tc>
        <w:tc>
          <w:tcPr>
            <w:tcW w:w="1276" w:type="dxa"/>
            <w:tcBorders>
              <w:top w:val="single" w:sz="8" w:space="0" w:color="auto"/>
              <w:bottom w:val="single" w:sz="8" w:space="0" w:color="auto"/>
            </w:tcBorders>
          </w:tcPr>
          <w:p>
            <w:pPr>
              <w:pStyle w:val="nTable"/>
              <w:spacing w:after="40"/>
              <w:rPr>
                <w:sz w:val="19"/>
              </w:rPr>
            </w:pPr>
            <w:r>
              <w:rPr>
                <w:sz w:val="19"/>
              </w:rPr>
              <w:t>11 Jun 2013 p. 2161-5</w:t>
            </w:r>
          </w:p>
        </w:tc>
        <w:tc>
          <w:tcPr>
            <w:tcW w:w="2693" w:type="dxa"/>
            <w:tcBorders>
              <w:top w:val="single" w:sz="8" w:space="0" w:color="auto"/>
              <w:bottom w:val="single" w:sz="8" w:space="0" w:color="auto"/>
            </w:tcBorders>
          </w:tcPr>
          <w:p>
            <w:pPr>
              <w:pStyle w:val="nTable"/>
              <w:spacing w:after="40"/>
              <w:rPr>
                <w:sz w:val="19"/>
              </w:rPr>
            </w:pPr>
            <w:r>
              <w:rPr>
                <w:sz w:val="19"/>
              </w:rPr>
              <w:t>11 Jun 2014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Disability Services Amendment Regulations 2013 </w:t>
      </w:r>
      <w:r>
        <w:rPr>
          <w:snapToGrid w:val="0"/>
        </w:rPr>
        <w:t>r. 7-9 had not come into operation.  They read as follows:</w:t>
      </w:r>
    </w:p>
    <w:p>
      <w:pPr>
        <w:pStyle w:val="BlankOpen"/>
        <w:rPr>
          <w:snapToGrid w:val="0"/>
        </w:rPr>
      </w:pPr>
    </w:p>
    <w:p>
      <w:pPr>
        <w:pStyle w:val="nzHeading5"/>
      </w:pPr>
      <w:r>
        <w:rPr>
          <w:rStyle w:val="CharSectno"/>
        </w:rPr>
        <w:t>7</w:t>
      </w:r>
      <w:r>
        <w:t>.</w:t>
      </w:r>
      <w:r>
        <w:tab/>
        <w:t>Schedule 1 replaced</w:t>
      </w:r>
    </w:p>
    <w:p>
      <w:pPr>
        <w:pStyle w:val="nzSubsection"/>
      </w:pPr>
      <w:r>
        <w:tab/>
      </w:r>
      <w:r>
        <w:tab/>
        <w:t>Delete Schedule 1 and insert:</w:t>
      </w:r>
    </w:p>
    <w:p>
      <w:pPr>
        <w:pStyle w:val="BlankOpen"/>
      </w:pPr>
    </w:p>
    <w:p>
      <w:pPr>
        <w:pStyle w:val="nzHeading2"/>
      </w:pPr>
      <w:r>
        <w:t>Schedule 1 — Public authorities to which Part 5 applies</w:t>
      </w:r>
    </w:p>
    <w:p>
      <w:pPr>
        <w:pStyle w:val="nzMiscellaneousBody"/>
        <w:jc w:val="right"/>
      </w:pPr>
      <w:r>
        <w:t>[r. 6]</w:t>
      </w:r>
    </w:p>
    <w:p>
      <w:pPr>
        <w:pStyle w:val="nzNumberedItem"/>
        <w:tabs>
          <w:tab w:val="clear" w:pos="1446"/>
          <w:tab w:val="left" w:pos="1985"/>
        </w:tabs>
        <w:ind w:left="1985"/>
      </w:pPr>
      <w:r>
        <w:t>1.</w:t>
      </w:r>
      <w:r>
        <w:tab/>
        <w:t xml:space="preserve">A department established under the </w:t>
      </w:r>
      <w:r>
        <w:rPr>
          <w:i/>
        </w:rPr>
        <w:t>Public Sector Management Act 1994</w:t>
      </w:r>
      <w:r>
        <w:rPr>
          <w:iCs/>
        </w:rPr>
        <w:t xml:space="preserve"> </w:t>
      </w:r>
      <w:r>
        <w:t>section 35.</w:t>
      </w:r>
    </w:p>
    <w:p>
      <w:pPr>
        <w:pStyle w:val="nzNumberedItem"/>
        <w:tabs>
          <w:tab w:val="clear" w:pos="1446"/>
          <w:tab w:val="left" w:pos="1985"/>
        </w:tabs>
        <w:ind w:left="1985"/>
      </w:pPr>
      <w:r>
        <w:t>2.</w:t>
      </w:r>
      <w:r>
        <w:tab/>
        <w:t xml:space="preserve">An entity specified in the </w:t>
      </w:r>
      <w:r>
        <w:rPr>
          <w:i/>
        </w:rPr>
        <w:t>Public Sector Management Act 1994</w:t>
      </w:r>
      <w:r>
        <w:t xml:space="preserve"> Schedule 2 column 2.</w:t>
      </w:r>
    </w:p>
    <w:p>
      <w:pPr>
        <w:pStyle w:val="nzNumberedItem"/>
        <w:tabs>
          <w:tab w:val="clear" w:pos="1446"/>
          <w:tab w:val="left" w:pos="1985"/>
        </w:tabs>
        <w:ind w:left="1985"/>
      </w:pPr>
      <w:r>
        <w:t>3.</w:t>
      </w:r>
      <w:r>
        <w:tab/>
        <w:t>A local government.</w:t>
      </w:r>
    </w:p>
    <w:p>
      <w:pPr>
        <w:pStyle w:val="nzNumberedItem"/>
        <w:tabs>
          <w:tab w:val="clear" w:pos="1446"/>
          <w:tab w:val="left" w:pos="1985"/>
        </w:tabs>
        <w:ind w:left="1985"/>
      </w:pPr>
      <w:r>
        <w:t>4.</w:t>
      </w:r>
      <w:r>
        <w:tab/>
        <w:t>A regional local government, but only when performing a public service that is not the responsibility of a particular participating local government.</w:t>
      </w:r>
    </w:p>
    <w:p>
      <w:pPr>
        <w:pStyle w:val="nzNumberedItem"/>
        <w:tabs>
          <w:tab w:val="clear" w:pos="1446"/>
          <w:tab w:val="left" w:pos="1985"/>
        </w:tabs>
        <w:ind w:left="1985"/>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nzNumberedItem"/>
        <w:tabs>
          <w:tab w:val="clear" w:pos="1446"/>
          <w:tab w:val="left" w:pos="1985"/>
        </w:tabs>
        <w:ind w:left="1985"/>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nzNumberedItem"/>
        <w:tabs>
          <w:tab w:val="clear" w:pos="1446"/>
          <w:tab w:val="left" w:pos="1985"/>
        </w:tabs>
        <w:ind w:left="1985"/>
      </w:pPr>
      <w:r>
        <w:t>7.</w:t>
      </w:r>
      <w:r>
        <w:tab/>
        <w:t xml:space="preserve">Electricity Generation Corporation established by the </w:t>
      </w:r>
      <w:r>
        <w:rPr>
          <w:i/>
        </w:rPr>
        <w:t>Electricity Corporations Act 2005</w:t>
      </w:r>
      <w:r>
        <w:t>.</w:t>
      </w:r>
    </w:p>
    <w:p>
      <w:pPr>
        <w:pStyle w:val="nzNumberedItem"/>
        <w:tabs>
          <w:tab w:val="clear" w:pos="1446"/>
          <w:tab w:val="left" w:pos="1985"/>
        </w:tabs>
        <w:ind w:left="1985"/>
      </w:pPr>
      <w:r>
        <w:t>8.</w:t>
      </w:r>
      <w:r>
        <w:tab/>
        <w:t xml:space="preserve">Electricity Networks Corporation established by the </w:t>
      </w:r>
      <w:r>
        <w:rPr>
          <w:i/>
        </w:rPr>
        <w:t>Electricity Corporations Act 2005</w:t>
      </w:r>
      <w:r>
        <w:t>.</w:t>
      </w:r>
    </w:p>
    <w:p>
      <w:pPr>
        <w:pStyle w:val="nzNumberedItem"/>
        <w:tabs>
          <w:tab w:val="clear" w:pos="1446"/>
          <w:tab w:val="left" w:pos="1985"/>
        </w:tabs>
        <w:ind w:left="1985"/>
      </w:pPr>
      <w:r>
        <w:t>9.</w:t>
      </w:r>
      <w:r>
        <w:tab/>
        <w:t xml:space="preserve">Electricity Retail Corporation established by the </w:t>
      </w:r>
      <w:r>
        <w:rPr>
          <w:i/>
        </w:rPr>
        <w:t>Electricity Corporations Act 2005</w:t>
      </w:r>
      <w:r>
        <w:t>.</w:t>
      </w:r>
    </w:p>
    <w:p>
      <w:pPr>
        <w:pStyle w:val="nzNumberedItem"/>
        <w:tabs>
          <w:tab w:val="clear" w:pos="1446"/>
          <w:tab w:val="left" w:pos="1985"/>
        </w:tabs>
        <w:ind w:left="1985"/>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nzNumberedItem"/>
        <w:tabs>
          <w:tab w:val="clear" w:pos="1446"/>
          <w:tab w:val="left" w:pos="1985"/>
        </w:tabs>
        <w:ind w:left="1985"/>
      </w:pPr>
      <w:r>
        <w:t>11.</w:t>
      </w:r>
      <w:r>
        <w:tab/>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nzNumberedItem"/>
        <w:tabs>
          <w:tab w:val="clear" w:pos="1446"/>
          <w:tab w:val="left" w:pos="1985"/>
        </w:tabs>
        <w:ind w:left="1985"/>
      </w:pPr>
      <w:r>
        <w:t>13.</w:t>
      </w:r>
      <w:r>
        <w:tab/>
        <w:t xml:space="preserve">Information Commissioner established under the </w:t>
      </w:r>
      <w:r>
        <w:rPr>
          <w:i/>
        </w:rPr>
        <w:t>Freedom of Information Act 1992</w:t>
      </w:r>
      <w:r>
        <w:t>.</w:t>
      </w:r>
    </w:p>
    <w:p>
      <w:pPr>
        <w:pStyle w:val="nzNumberedItem"/>
        <w:tabs>
          <w:tab w:val="clear" w:pos="1446"/>
          <w:tab w:val="left" w:pos="1985"/>
        </w:tabs>
        <w:ind w:left="1985"/>
      </w:pPr>
      <w:r>
        <w:t>14.</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established under the </w:t>
      </w:r>
      <w:r>
        <w:rPr>
          <w:i/>
        </w:rPr>
        <w:t>Hospitals and Health Services Act 1927</w:t>
      </w:r>
      <w:r>
        <w:t>.</w:t>
      </w:r>
    </w:p>
    <w:p>
      <w:pPr>
        <w:pStyle w:val="nzNumberedItem"/>
        <w:tabs>
          <w:tab w:val="clear" w:pos="1446"/>
          <w:tab w:val="left" w:pos="1985"/>
        </w:tabs>
        <w:ind w:left="1985"/>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nzNumberedItem"/>
        <w:tabs>
          <w:tab w:val="clear" w:pos="1446"/>
          <w:tab w:val="left" w:pos="1985"/>
        </w:tabs>
        <w:ind w:left="1985"/>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nzNumberedItem"/>
        <w:tabs>
          <w:tab w:val="clear" w:pos="1446"/>
          <w:tab w:val="left" w:pos="1985"/>
        </w:tabs>
        <w:ind w:left="1985"/>
      </w:pPr>
      <w:r>
        <w:t>17.</w:t>
      </w:r>
      <w:r>
        <w:tab/>
        <w:t xml:space="preserve">Parliamentary Commissioner for Administrative Investigations appointed under the </w:t>
      </w:r>
      <w:r>
        <w:rPr>
          <w:i/>
        </w:rPr>
        <w:t>Parliamentary Commissioner Act 1971</w:t>
      </w:r>
      <w:r>
        <w:t>.</w:t>
      </w:r>
    </w:p>
    <w:p>
      <w:pPr>
        <w:pStyle w:val="nzNumberedItem"/>
        <w:tabs>
          <w:tab w:val="clear" w:pos="1446"/>
          <w:tab w:val="left" w:pos="1985"/>
        </w:tabs>
        <w:ind w:left="1985"/>
      </w:pPr>
      <w:r>
        <w:t>18.</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established under the </w:t>
      </w:r>
      <w:r>
        <w:rPr>
          <w:i/>
        </w:rPr>
        <w:t>Hospitals and Health Services Act 1927</w:t>
      </w:r>
      <w:r>
        <w:t>.</w:t>
      </w:r>
    </w:p>
    <w:p>
      <w:pPr>
        <w:pStyle w:val="nzNumberedItem"/>
        <w:tabs>
          <w:tab w:val="clear" w:pos="1446"/>
          <w:tab w:val="left" w:pos="1985"/>
        </w:tabs>
        <w:ind w:left="1985"/>
      </w:pPr>
      <w:r>
        <w:t>19.</w:t>
      </w:r>
      <w:r>
        <w:tab/>
        <w:t xml:space="preserve">Regional Power Corporation established by the </w:t>
      </w:r>
      <w:r>
        <w:rPr>
          <w:i/>
        </w:rPr>
        <w:t>Electricity Corporations Act 2005</w:t>
      </w:r>
      <w:r>
        <w:t>.</w:t>
      </w:r>
    </w:p>
    <w:p>
      <w:pPr>
        <w:pStyle w:val="nzNumberedItem"/>
        <w:tabs>
          <w:tab w:val="clear" w:pos="1446"/>
          <w:tab w:val="left" w:pos="1985"/>
        </w:tabs>
        <w:ind w:left="1985"/>
      </w:pPr>
      <w:r>
        <w:t>20.</w:t>
      </w:r>
      <w:r>
        <w:tab/>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21.</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nzNumberedItem"/>
        <w:tabs>
          <w:tab w:val="clear" w:pos="1446"/>
          <w:tab w:val="left" w:pos="1985"/>
        </w:tabs>
        <w:ind w:left="1985"/>
      </w:pPr>
      <w:r>
        <w:t>23.</w:t>
      </w:r>
      <w:r>
        <w:tab/>
        <w:t>Western Australian Health Promotion Foundation [</w:t>
      </w:r>
      <w:r>
        <w:rPr>
          <w:i/>
        </w:rPr>
        <w:t>trading under the name “Healthway”</w:t>
      </w:r>
      <w:r>
        <w:t xml:space="preserve">] established under the </w:t>
      </w:r>
      <w:r>
        <w:rPr>
          <w:i/>
        </w:rPr>
        <w:t>Tobacco Products Control Act 2006</w:t>
      </w:r>
      <w:r>
        <w:t>.</w:t>
      </w:r>
    </w:p>
    <w:p>
      <w:pPr>
        <w:pStyle w:val="nzNumberedItem"/>
        <w:tabs>
          <w:tab w:val="clear" w:pos="1446"/>
          <w:tab w:val="left" w:pos="1985"/>
        </w:tabs>
        <w:ind w:left="1985"/>
      </w:pPr>
      <w:r>
        <w:t>24.</w:t>
      </w:r>
      <w:r>
        <w:tab/>
        <w:t xml:space="preserve">Western Australian Mint preserved and continued by the </w:t>
      </w:r>
      <w:r>
        <w:rPr>
          <w:i/>
        </w:rPr>
        <w:t>Gold Corporation Act 1987</w:t>
      </w:r>
      <w:r>
        <w:t>.</w:t>
      </w:r>
    </w:p>
    <w:p>
      <w:pPr>
        <w:pStyle w:val="nzNumberedItem"/>
        <w:tabs>
          <w:tab w:val="clear" w:pos="1446"/>
          <w:tab w:val="left" w:pos="1985"/>
        </w:tabs>
        <w:ind w:left="1985"/>
      </w:pPr>
      <w:r>
        <w:t>25.</w:t>
      </w:r>
      <w:r>
        <w:tab/>
        <w:t xml:space="preserve">Water Corporation established by the </w:t>
      </w:r>
      <w:r>
        <w:rPr>
          <w:i/>
        </w:rPr>
        <w:t>Water Corporation Act 1995</w:t>
      </w:r>
      <w:r>
        <w:t>.</w:t>
      </w:r>
    </w:p>
    <w:p>
      <w:pPr>
        <w:pStyle w:val="BlankClose"/>
      </w:pPr>
    </w:p>
    <w:p>
      <w:pPr>
        <w:pStyle w:val="nzHeading5"/>
      </w:pPr>
      <w:r>
        <w:rPr>
          <w:rStyle w:val="CharSectno"/>
        </w:rPr>
        <w:t>8</w:t>
      </w:r>
      <w:r>
        <w:t>.</w:t>
      </w:r>
      <w:r>
        <w:tab/>
        <w:t>Schedule 2 amended</w:t>
      </w:r>
    </w:p>
    <w:p>
      <w:pPr>
        <w:pStyle w:val="nzSubsection"/>
      </w:pPr>
      <w:r>
        <w:tab/>
      </w:r>
      <w:r>
        <w:tab/>
        <w:t>After Schedule 2 item 6 insert:</w:t>
      </w:r>
    </w:p>
    <w:p>
      <w:pPr>
        <w:pStyle w:val="BlankOpen"/>
      </w:pPr>
    </w:p>
    <w:p>
      <w:pPr>
        <w:pStyle w:val="nzNumberedItem"/>
        <w:tabs>
          <w:tab w:val="clear" w:pos="1446"/>
          <w:tab w:val="left" w:pos="2127"/>
        </w:tabs>
        <w:ind w:left="2127"/>
      </w:pPr>
      <w:r>
        <w:t>7.</w:t>
      </w:r>
      <w:r>
        <w:tab/>
        <w:t>A disability access and inclusion plan must provide a means of reducing barriers to people with disability obtaining and maintaining employment.</w:t>
      </w:r>
    </w:p>
    <w:p>
      <w:pPr>
        <w:pStyle w:val="BlankClose"/>
      </w:pPr>
    </w:p>
    <w:p>
      <w:pPr>
        <w:pStyle w:val="nzHeading5"/>
      </w:pPr>
      <w:r>
        <w:rPr>
          <w:rStyle w:val="CharSectno"/>
        </w:rPr>
        <w:t>9</w:t>
      </w:r>
      <w:r>
        <w:t>.</w:t>
      </w:r>
      <w:r>
        <w:tab/>
        <w:t>Schedule 3 amended</w:t>
      </w:r>
    </w:p>
    <w:p>
      <w:pPr>
        <w:pStyle w:val="nzSubsection"/>
      </w:pPr>
      <w:r>
        <w:tab/>
      </w:r>
      <w:r>
        <w:tab/>
        <w:t>After Schedule 3 item 6 insert:</w:t>
      </w:r>
    </w:p>
    <w:p>
      <w:pPr>
        <w:pStyle w:val="BlankOpen"/>
      </w:pPr>
    </w:p>
    <w:p>
      <w:pPr>
        <w:pStyle w:val="nzNumberedItem"/>
        <w:tabs>
          <w:tab w:val="clear" w:pos="1446"/>
          <w:tab w:val="left" w:pos="2127"/>
        </w:tabs>
        <w:ind w:left="2127"/>
      </w:pPr>
      <w:r>
        <w:t>7.</w:t>
      </w:r>
      <w:r>
        <w:tab/>
        <w:t>People with disability have the same opportunities as other people to obtain and maintain employment with a public authority.</w:t>
      </w:r>
    </w:p>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fldSimple w:instr=" STYLEREF CharSchText \* MERGEFORMAT ">
            <w:r>
              <w:rPr>
                <w:noProof/>
              </w:rPr>
              <w:t>Public authorities to which Part 5 applies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Public authorities to which Part 5 applies</w:t>
            </w:r>
          </w:fldSimple>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Disability Services Regulations 2004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Disability Services Regulations 2004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E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6425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9C0B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D807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B2B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54B1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26BA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2A4A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EC53C4"/>
    <w:lvl w:ilvl="0">
      <w:start w:val="1"/>
      <w:numFmt w:val="decimal"/>
      <w:pStyle w:val="ListNumber"/>
      <w:lvlText w:val="%1."/>
      <w:lvlJc w:val="left"/>
      <w:pPr>
        <w:tabs>
          <w:tab w:val="num" w:pos="360"/>
        </w:tabs>
        <w:ind w:left="360" w:hanging="360"/>
      </w:pPr>
    </w:lvl>
  </w:abstractNum>
  <w:abstractNum w:abstractNumId="9">
    <w:nsid w:val="FFFFFF89"/>
    <w:multiLevelType w:val="singleLevel"/>
    <w:tmpl w:val="54B86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614D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EE8DCB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2282</Words>
  <Characters>12166</Characters>
  <Application>Microsoft Office Word</Application>
  <DocSecurity>0</DocSecurity>
  <Lines>368</Lines>
  <Paragraphs>222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2004 - 00-c0-01</dc:title>
  <dc:subject/>
  <dc:creator/>
  <cp:keywords/>
  <dc:description/>
  <cp:lastModifiedBy>svcMRProcess</cp:lastModifiedBy>
  <cp:revision>4</cp:revision>
  <cp:lastPrinted>2004-11-30T02:53:00Z</cp:lastPrinted>
  <dcterms:created xsi:type="dcterms:W3CDTF">2018-09-11T05:17:00Z</dcterms:created>
  <dcterms:modified xsi:type="dcterms:W3CDTF">2018-09-11T05:17:00Z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CommencementDate">
    <vt:lpwstr>20130612</vt:lpwstr>
  </property>
  <property fmtid="{D5CDD505-2E9C-101B-9397-08002B2CF9AE}" pid="4" name="OwlsUID">
    <vt:i4>36857</vt:i4>
  </property>
  <property fmtid="{D5CDD505-2E9C-101B-9397-08002B2CF9AE}" pid="5" name="AsAtDate">
    <vt:lpwstr>12 Jun 2013</vt:lpwstr>
  </property>
  <property fmtid="{D5CDD505-2E9C-101B-9397-08002B2CF9AE}" pid="6" name="Suffix">
    <vt:lpwstr>00-c0-01</vt:lpwstr>
  </property>
  <property fmtid="{D5CDD505-2E9C-101B-9397-08002B2CF9AE}" pid="7" name="DocumentType">
    <vt:lpwstr>Reg</vt:lpwstr>
  </property>
</Properties>
</file>