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Steel Industry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Arrangement"/>
      </w:pPr>
      <w:r>
        <w:t>CONTENTS</w:t>
      </w:r>
    </w:p>
    <w:p>
      <w:pPr>
        <w:pStyle w:val="TOC4"/>
        <w:tabs>
          <w:tab w:val="left" w:pos="1985"/>
          <w:tab w:val="right" w:leader="dot" w:pos="7086"/>
        </w:tabs>
        <w:rPr>
          <w:rFonts w:asciiTheme="minorHAnsi" w:eastAsiaTheme="minorEastAsia" w:hAnsiTheme="minorHAnsi" w:cstheme="minorBidi"/>
          <w:b w:val="0"/>
          <w:szCs w:val="22"/>
          <w:lang w:eastAsia="en-AU"/>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rPr>
          <w:rFonts w:asciiTheme="minorHAnsi" w:eastAsiaTheme="minorEastAsia" w:hAnsiTheme="minorHAnsi" w:cstheme="minorBidi"/>
          <w:b w:val="0"/>
          <w:szCs w:val="22"/>
          <w:lang w:eastAsia="en-AU"/>
        </w:rPr>
        <w:tab/>
      </w:r>
      <w:r>
        <w:rPr>
          <w:snapToGrid w:val="0"/>
        </w:rPr>
        <w:t>Short title</w:t>
      </w:r>
      <w:r>
        <w:tab/>
      </w:r>
      <w:r>
        <w:fldChar w:fldCharType="begin"/>
      </w:r>
      <w:r>
        <w:instrText xml:space="preserve"> PAGEREF _Toc359581479 \h </w:instrText>
      </w:r>
      <w:r>
        <w:fldChar w:fldCharType="separate"/>
      </w:r>
      <w:r>
        <w:t>1</w:t>
      </w:r>
      <w:r>
        <w:fldChar w:fldCharType="end"/>
      </w:r>
    </w:p>
    <w:p>
      <w:pPr>
        <w:pStyle w:val="TOC4"/>
        <w:tabs>
          <w:tab w:val="left" w:pos="1985"/>
          <w:tab w:val="right" w:leader="dot" w:pos="7086"/>
        </w:tabs>
        <w:rPr>
          <w:rFonts w:asciiTheme="minorHAnsi" w:eastAsiaTheme="minorEastAsia" w:hAnsiTheme="minorHAnsi" w:cstheme="minorBidi"/>
          <w:b w:val="0"/>
          <w:szCs w:val="22"/>
          <w:lang w:eastAsia="en-AU"/>
        </w:rPr>
      </w:pPr>
      <w:r>
        <w:t>2</w:t>
      </w:r>
      <w:r>
        <w:rPr>
          <w:snapToGrid w:val="0"/>
        </w:rPr>
        <w:t>.</w:t>
      </w:r>
      <w:r>
        <w:rPr>
          <w:rFonts w:asciiTheme="minorHAnsi" w:eastAsiaTheme="minorEastAsia" w:hAnsiTheme="minorHAnsi" w:cstheme="minorBidi"/>
          <w:b w:val="0"/>
          <w:szCs w:val="22"/>
          <w:lang w:eastAsia="en-AU"/>
        </w:rPr>
        <w:tab/>
      </w:r>
      <w:r>
        <w:rPr>
          <w:snapToGrid w:val="0"/>
        </w:rPr>
        <w:t>Agreement approved, ratified and confirmed</w:t>
      </w:r>
      <w:r>
        <w:tab/>
      </w:r>
      <w:r>
        <w:fldChar w:fldCharType="begin"/>
      </w:r>
      <w:r>
        <w:instrText xml:space="preserve"> PAGEREF _Toc359581480 \h </w:instrText>
      </w:r>
      <w:r>
        <w:fldChar w:fldCharType="separate"/>
      </w:r>
      <w:r>
        <w:t>1</w:t>
      </w:r>
      <w:r>
        <w:fldChar w:fldCharType="end"/>
      </w:r>
    </w:p>
    <w:p>
      <w:pPr>
        <w:pStyle w:val="TOC5"/>
        <w:tabs>
          <w:tab w:val="right" w:leader="dot" w:pos="7086"/>
        </w:tabs>
        <w:rPr>
          <w:rFonts w:asciiTheme="minorHAnsi" w:eastAsiaTheme="minorEastAsia" w:hAnsiTheme="minorHAnsi" w:cstheme="minorBidi"/>
          <w:b w:val="0"/>
          <w:sz w:val="22"/>
          <w:szCs w:val="22"/>
          <w:lang w:eastAsia="en-AU"/>
        </w:rPr>
      </w:pPr>
      <w:r>
        <w:rPr>
          <w:rFonts w:eastAsia="MS Mincho"/>
        </w:rPr>
        <w:t>First Schedule — Broken Hill Proprietary Steel Industry Agreement</w:t>
      </w:r>
      <w:r>
        <w:tab/>
      </w:r>
      <w:r>
        <w:fldChar w:fldCharType="begin"/>
      </w:r>
      <w:r>
        <w:instrText xml:space="preserve"> PAGEREF _Toc359581481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4"/>
        <w:tabs>
          <w:tab w:val="right" w:leader="dot" w:pos="7086"/>
        </w:tabs>
        <w:rPr>
          <w:rFonts w:asciiTheme="minorHAnsi" w:eastAsiaTheme="minorEastAsia" w:hAnsiTheme="minorHAnsi" w:cstheme="minorBidi"/>
          <w:b w:val="0"/>
          <w:szCs w:val="22"/>
          <w:lang w:eastAsia="en-AU"/>
        </w:rPr>
      </w:pPr>
      <w:r>
        <w:rPr>
          <w:snapToGrid w:val="0"/>
        </w:rPr>
        <w:t>Compilation table</w:t>
      </w:r>
      <w:r>
        <w:tab/>
      </w:r>
      <w:r>
        <w:fldChar w:fldCharType="begin"/>
      </w:r>
      <w:r>
        <w:instrText xml:space="preserve"> PAGEREF _Toc359581483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Provisions that have not come into operation</w:t>
      </w:r>
      <w:r>
        <w:tab/>
      </w:r>
      <w:r>
        <w:fldChar w:fldCharType="begin"/>
      </w:r>
      <w:r>
        <w:instrText xml:space="preserve"> PAGEREF _Toc359581484 \h </w:instrText>
      </w:r>
      <w:r>
        <w:fldChar w:fldCharType="separate"/>
      </w:r>
      <w:r>
        <w:t>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spacing w:after="480"/>
        <w:jc w:val="center"/>
      </w:pPr>
      <w:r>
        <w:t>Western Australia</w:t>
      </w:r>
    </w:p>
    <w:p>
      <w:pPr>
        <w:pStyle w:val="NameofActReg"/>
        <w:spacing w:before="720"/>
      </w:pPr>
      <w:r>
        <w:t xml:space="preserve">Broken Hill Proprietary Steel Industry Agreement Act 1952 </w:t>
      </w:r>
    </w:p>
    <w:p>
      <w:pPr>
        <w:pStyle w:val="LongTitle"/>
        <w:rPr>
          <w:snapToGrid w:val="0"/>
        </w:rPr>
      </w:pPr>
      <w:r>
        <w:rPr>
          <w:snapToGrid w:val="0"/>
        </w:rPr>
        <w:t xml:space="preserve">An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35958147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3" w:name="_Toc459107016"/>
      <w:bookmarkStart w:id="4" w:name="_Toc359581480"/>
      <w:r>
        <w:rPr>
          <w:rStyle w:val="CharSectno"/>
        </w:rPr>
        <w:t>2</w:t>
      </w:r>
      <w:r>
        <w:rPr>
          <w:snapToGrid w:val="0"/>
        </w:rPr>
        <w:t>.</w:t>
      </w:r>
      <w:r>
        <w:rPr>
          <w:snapToGrid w:val="0"/>
        </w:rPr>
        <w:tab/>
        <w:t>Agreement approved, ratified and confirmed</w:t>
      </w:r>
      <w:bookmarkEnd w:id="3"/>
      <w:bookmarkEnd w:id="4"/>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5" w:name="_Toc232235460"/>
      <w:bookmarkStart w:id="6" w:name="_Toc232235658"/>
      <w:bookmarkStart w:id="7" w:name="_Toc233100528"/>
      <w:bookmarkStart w:id="8" w:name="_Toc233107689"/>
      <w:bookmarkStart w:id="9" w:name="_Toc359581481"/>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bookmarkEnd w:id="5"/>
      <w:bookmarkEnd w:id="6"/>
      <w:bookmarkEnd w:id="7"/>
      <w:bookmarkEnd w:id="8"/>
      <w:bookmarkEnd w:id="9"/>
    </w:p>
    <w:p>
      <w:pPr>
        <w:pStyle w:val="yShoulderClause"/>
        <w:rPr>
          <w:rFonts w:eastAsia="MS Mincho"/>
        </w:rPr>
      </w:pPr>
      <w:r>
        <w:rPr>
          <w:rFonts w:eastAsia="MS Mincho"/>
        </w:rPr>
        <w:t>[s. 2]</w:t>
      </w:r>
    </w:p>
    <w:p>
      <w:pPr>
        <w:pStyle w:val="yFootnoteheading"/>
      </w:pPr>
      <w:r>
        <w:tab/>
        <w:t>[Heading inserted by No. 19 of 2010 s. 10(2).]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Ednoteschedule"/>
      </w:pPr>
      <w:r>
        <w:t>[Second Schedule deleted by No. 19 of 2010 s. 10(3).]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 w:name="_Toc268171493"/>
      <w:bookmarkStart w:id="11" w:name="_Toc272043531"/>
      <w:bookmarkStart w:id="12" w:name="_Toc359581482"/>
      <w:r>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 w:name="_Toc359581483"/>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5" w:type="dxa"/>
            <w:tcBorders>
              <w:top w:val="single" w:sz="12" w:space="0" w:color="auto"/>
              <w:bottom w:val="single" w:sz="12" w:space="0" w:color="auto"/>
            </w:tcBorders>
          </w:tcPr>
          <w:p>
            <w:pPr>
              <w:pStyle w:val="nTable"/>
              <w:spacing w:before="60" w:after="60"/>
              <w:rPr>
                <w:b/>
                <w:sz w:val="19"/>
              </w:rPr>
            </w:pPr>
            <w:r>
              <w:rPr>
                <w:b/>
                <w:sz w:val="19"/>
              </w:rPr>
              <w:t>Assent</w:t>
            </w:r>
          </w:p>
        </w:tc>
        <w:tc>
          <w:tcPr>
            <w:tcW w:w="255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3" w:type="dxa"/>
          </w:tcPr>
          <w:p>
            <w:pPr>
              <w:pStyle w:val="nTable"/>
              <w:spacing w:before="120"/>
              <w:ind w:right="113"/>
              <w:rPr>
                <w:sz w:val="19"/>
              </w:rPr>
            </w:pPr>
            <w:r>
              <w:rPr>
                <w:i/>
                <w:sz w:val="19"/>
              </w:rPr>
              <w:t>Broken Hill Proprietary Steel Industry Agreement Act 1952</w:t>
            </w:r>
          </w:p>
        </w:tc>
        <w:tc>
          <w:tcPr>
            <w:tcW w:w="1138" w:type="dxa"/>
          </w:tcPr>
          <w:p>
            <w:pPr>
              <w:pStyle w:val="nTable"/>
              <w:spacing w:before="120"/>
              <w:ind w:right="113"/>
              <w:rPr>
                <w:sz w:val="19"/>
              </w:rPr>
            </w:pPr>
            <w:r>
              <w:rPr>
                <w:sz w:val="19"/>
              </w:rPr>
              <w:t>46 of 1952</w:t>
            </w:r>
          </w:p>
        </w:tc>
        <w:tc>
          <w:tcPr>
            <w:tcW w:w="1135" w:type="dxa"/>
          </w:tcPr>
          <w:p>
            <w:pPr>
              <w:pStyle w:val="nTable"/>
              <w:spacing w:before="120"/>
              <w:rPr>
                <w:sz w:val="19"/>
              </w:rPr>
            </w:pPr>
            <w:r>
              <w:rPr>
                <w:sz w:val="19"/>
              </w:rPr>
              <w:t>18 Dec 1952</w:t>
            </w:r>
          </w:p>
        </w:tc>
        <w:tc>
          <w:tcPr>
            <w:tcW w:w="2553" w:type="dxa"/>
          </w:tcPr>
          <w:p>
            <w:pPr>
              <w:pStyle w:val="nTable"/>
              <w:spacing w:before="120"/>
              <w:rPr>
                <w:sz w:val="19"/>
              </w:rPr>
            </w:pPr>
            <w:r>
              <w:rPr>
                <w:sz w:val="19"/>
              </w:rPr>
              <w:t>18 Dec 1952</w:t>
            </w:r>
          </w:p>
        </w:tc>
      </w:tr>
      <w:tr>
        <w:trPr>
          <w:cantSplit/>
        </w:trPr>
        <w:tc>
          <w:tcPr>
            <w:tcW w:w="2273" w:type="dxa"/>
          </w:tcPr>
          <w:p>
            <w:pPr>
              <w:pStyle w:val="nTable"/>
              <w:spacing w:before="120"/>
              <w:ind w:right="113"/>
              <w:rPr>
                <w:sz w:val="19"/>
              </w:rPr>
            </w:pPr>
            <w:r>
              <w:rPr>
                <w:i/>
                <w:sz w:val="19"/>
              </w:rPr>
              <w:t>Broken Hill Proprietary Steel Industry Agreement Act Amendment Act 1958</w:t>
            </w:r>
          </w:p>
        </w:tc>
        <w:tc>
          <w:tcPr>
            <w:tcW w:w="1138" w:type="dxa"/>
          </w:tcPr>
          <w:p>
            <w:pPr>
              <w:pStyle w:val="nTable"/>
              <w:spacing w:before="120"/>
              <w:ind w:right="113"/>
              <w:rPr>
                <w:sz w:val="19"/>
              </w:rPr>
            </w:pPr>
            <w:r>
              <w:rPr>
                <w:sz w:val="19"/>
              </w:rPr>
              <w:t>9 of 1958</w:t>
            </w:r>
          </w:p>
        </w:tc>
        <w:tc>
          <w:tcPr>
            <w:tcW w:w="1135" w:type="dxa"/>
          </w:tcPr>
          <w:p>
            <w:pPr>
              <w:pStyle w:val="nTable"/>
              <w:spacing w:before="120"/>
              <w:rPr>
                <w:sz w:val="19"/>
              </w:rPr>
            </w:pPr>
            <w:r>
              <w:rPr>
                <w:sz w:val="19"/>
              </w:rPr>
              <w:t>29 Sep 1958</w:t>
            </w:r>
          </w:p>
        </w:tc>
        <w:tc>
          <w:tcPr>
            <w:tcW w:w="2553" w:type="dxa"/>
          </w:tcPr>
          <w:p>
            <w:pPr>
              <w:pStyle w:val="nTable"/>
              <w:spacing w:before="120"/>
              <w:rPr>
                <w:sz w:val="19"/>
              </w:rPr>
            </w:pPr>
            <w:r>
              <w:rPr>
                <w:sz w:val="19"/>
              </w:rPr>
              <w:t>29 Sep 1958</w:t>
            </w:r>
          </w:p>
        </w:tc>
      </w:tr>
      <w:tr>
        <w:trPr>
          <w:cantSplit/>
        </w:trPr>
        <w:tc>
          <w:tcPr>
            <w:tcW w:w="2273"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8" w:type="dxa"/>
          </w:tcPr>
          <w:p>
            <w:pPr>
              <w:pStyle w:val="nTable"/>
              <w:spacing w:before="120"/>
              <w:ind w:right="113"/>
              <w:rPr>
                <w:sz w:val="19"/>
              </w:rPr>
            </w:pPr>
            <w:r>
              <w:rPr>
                <w:sz w:val="19"/>
              </w:rPr>
              <w:t>67 of 1960</w:t>
            </w:r>
          </w:p>
        </w:tc>
        <w:tc>
          <w:tcPr>
            <w:tcW w:w="1135" w:type="dxa"/>
          </w:tcPr>
          <w:p>
            <w:pPr>
              <w:pStyle w:val="nTable"/>
              <w:spacing w:before="120"/>
              <w:rPr>
                <w:sz w:val="19"/>
              </w:rPr>
            </w:pPr>
            <w:r>
              <w:rPr>
                <w:sz w:val="19"/>
              </w:rPr>
              <w:t>2 Dec 1960</w:t>
            </w:r>
          </w:p>
        </w:tc>
        <w:tc>
          <w:tcPr>
            <w:tcW w:w="2553"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73" w:type="dxa"/>
          </w:tcPr>
          <w:p>
            <w:pPr>
              <w:pStyle w:val="nTable"/>
              <w:spacing w:before="120"/>
              <w:ind w:right="113"/>
              <w:rPr>
                <w:i/>
                <w:sz w:val="20"/>
              </w:rPr>
            </w:pPr>
            <w:r>
              <w:rPr>
                <w:i/>
                <w:sz w:val="20"/>
              </w:rPr>
              <w:t xml:space="preserve">Decimal Currency </w:t>
            </w:r>
            <w:r>
              <w:rPr>
                <w:i/>
                <w:sz w:val="20"/>
              </w:rPr>
              <w:br/>
              <w:t>Act 1965</w:t>
            </w:r>
          </w:p>
        </w:tc>
        <w:tc>
          <w:tcPr>
            <w:tcW w:w="1138" w:type="dxa"/>
          </w:tcPr>
          <w:p>
            <w:pPr>
              <w:pStyle w:val="nTable"/>
              <w:spacing w:before="120"/>
              <w:ind w:right="-84"/>
              <w:rPr>
                <w:sz w:val="20"/>
              </w:rPr>
            </w:pPr>
            <w:r>
              <w:rPr>
                <w:sz w:val="20"/>
              </w:rPr>
              <w:t>113 of 1965</w:t>
            </w:r>
          </w:p>
        </w:tc>
        <w:tc>
          <w:tcPr>
            <w:tcW w:w="1135" w:type="dxa"/>
          </w:tcPr>
          <w:p>
            <w:pPr>
              <w:pStyle w:val="nTable"/>
              <w:spacing w:before="120"/>
              <w:rPr>
                <w:sz w:val="20"/>
              </w:rPr>
            </w:pPr>
            <w:r>
              <w:rPr>
                <w:sz w:val="20"/>
              </w:rPr>
              <w:t>21 Dec 1965</w:t>
            </w:r>
          </w:p>
        </w:tc>
        <w:tc>
          <w:tcPr>
            <w:tcW w:w="2553"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99" w:type="dxa"/>
            <w:gridSpan w:val="4"/>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405065"/>
      <w:bookmarkStart w:id="15" w:name="_Toc359581484"/>
      <w:r>
        <w:t>Provisions that have not come into operation</w:t>
      </w:r>
      <w:bookmarkEnd w:id="14"/>
      <w:bookmarkEnd w:id="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State Agreements Legislation Repeal Act 2013</w:t>
            </w:r>
            <w:r>
              <w:rPr>
                <w:snapToGrid w:val="0"/>
                <w:sz w:val="19"/>
                <w:lang w:val="en-US"/>
              </w:rPr>
              <w:t xml:space="preserve"> s. 5</w:t>
            </w:r>
            <w:r>
              <w:rPr>
                <w:snapToGrid w:val="0"/>
                <w:sz w:val="19"/>
                <w:vertAlign w:val="superscript"/>
                <w:lang w:val="en-US"/>
              </w:rPr>
              <w:t> 3</w:t>
            </w:r>
          </w:p>
        </w:tc>
        <w:tc>
          <w:tcPr>
            <w:tcW w:w="1118" w:type="dxa"/>
          </w:tcPr>
          <w:p>
            <w:pPr>
              <w:pStyle w:val="nTable"/>
              <w:spacing w:after="40"/>
              <w:rPr>
                <w:snapToGrid w:val="0"/>
                <w:sz w:val="19"/>
                <w:lang w:val="en-US"/>
              </w:rPr>
            </w:pPr>
            <w:r>
              <w:rPr>
                <w:snapToGrid w:val="0"/>
                <w:sz w:val="19"/>
                <w:lang w:val="en-US"/>
              </w:rPr>
              <w:t>1 of 2013</w:t>
            </w:r>
          </w:p>
        </w:tc>
        <w:tc>
          <w:tcPr>
            <w:tcW w:w="1134" w:type="dxa"/>
          </w:tcPr>
          <w:p>
            <w:pPr>
              <w:pStyle w:val="nTable"/>
              <w:spacing w:after="40"/>
              <w:rPr>
                <w:snapToGrid w:val="0"/>
                <w:sz w:val="19"/>
                <w:lang w:val="en-US"/>
              </w:rPr>
            </w:pPr>
            <w:r>
              <w:rPr>
                <w:sz w:val="19"/>
              </w:rPr>
              <w:t>20 Jun 2013</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pPr>
      <w:r>
        <w:rPr>
          <w:vertAlign w:val="superscript"/>
        </w:rPr>
        <w:t>3</w:t>
      </w:r>
      <w:r>
        <w:tab/>
        <w:t xml:space="preserve">On the date as at which this compilation was prepared, the </w:t>
      </w:r>
      <w:r>
        <w:rPr>
          <w:i/>
        </w:rPr>
        <w:t>State Agreements Legislation Repeal Act 2013</w:t>
      </w:r>
      <w:r>
        <w:t xml:space="preserve"> s. 5 had not come into operation.  It reads as follows:</w:t>
      </w:r>
    </w:p>
    <w:p>
      <w:pPr>
        <w:pStyle w:val="BlankOpen"/>
      </w:pPr>
    </w:p>
    <w:p>
      <w:pPr>
        <w:pStyle w:val="nzHeading5"/>
      </w:pPr>
      <w:bookmarkStart w:id="16" w:name="_Toc353269621"/>
      <w:bookmarkStart w:id="17" w:name="_Toc359571598"/>
      <w:r>
        <w:rPr>
          <w:rStyle w:val="CharSectno"/>
        </w:rPr>
        <w:t>5</w:t>
      </w:r>
      <w:r>
        <w:t>.</w:t>
      </w:r>
      <w:r>
        <w:tab/>
      </w:r>
      <w:r>
        <w:rPr>
          <w:i/>
        </w:rPr>
        <w:t>Broken Hill Proprietary Steel Industry Agreement Act 1952</w:t>
      </w:r>
      <w:r>
        <w:t xml:space="preserve"> repealed</w:t>
      </w:r>
      <w:bookmarkEnd w:id="16"/>
      <w:bookmarkEnd w:id="17"/>
    </w:p>
    <w:p>
      <w:pPr>
        <w:pStyle w:val="nzSubsection"/>
      </w:pPr>
      <w:r>
        <w:tab/>
      </w:r>
      <w:r>
        <w:tab/>
        <w:t xml:space="preserve">The </w:t>
      </w:r>
      <w:r>
        <w:rPr>
          <w:i/>
        </w:rPr>
        <w:t>Broken Hill Proprietary Steel Industry Agreement Act 1952</w:t>
      </w:r>
      <w:r>
        <w:t xml:space="preserve"> is repealed.</w:t>
      </w:r>
    </w:p>
    <w:p>
      <w:pPr>
        <w:pStyle w:val="BlankClose"/>
      </w:pPr>
    </w:p>
    <w:p>
      <w:pPr>
        <w:rPr>
          <w:snapToGrid w:val="0"/>
        </w:rPr>
      </w:pPr>
    </w:p>
    <w:p>
      <w:pPr>
        <w:rPr>
          <w:snapToGrid w:val="0"/>
        </w:rPr>
        <w:sectPr>
          <w:headerReference w:type="even" r:id="rId30"/>
          <w:headerReference w:type="default" r:id="rId31"/>
          <w:pgSz w:w="11906" w:h="16838" w:code="9"/>
          <w:pgMar w:top="2381" w:right="2409" w:bottom="3543" w:left="2409" w:header="720" w:footer="3380" w:gutter="0"/>
          <w:cols w:space="720"/>
          <w:noEndnote/>
          <w:docGrid w:linePitch="326"/>
        </w:sectPr>
      </w:pPr>
    </w:p>
    <w:p>
      <w:pPr>
        <w:rPr>
          <w:snapToGrid w:val="0"/>
        </w:rPr>
      </w:pPr>
    </w:p>
    <w:sectPr>
      <w:headerReference w:type="even"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Steel Industry Agreement Act 1952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7E090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FACF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9999</Words>
  <Characters>47299</Characters>
  <Application>Microsoft Office Word</Application>
  <DocSecurity>0</DocSecurity>
  <Lines>1074</Lines>
  <Paragraphs>265</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1952 - 01-d0-01</dc:title>
  <dc:subject/>
  <dc:creator/>
  <cp:keywords/>
  <dc:description/>
  <cp:lastModifiedBy>svcMRProcess</cp:lastModifiedBy>
  <cp:revision>4</cp:revision>
  <cp:lastPrinted>2002-03-06T04:19:00Z</cp:lastPrinted>
  <dcterms:created xsi:type="dcterms:W3CDTF">2020-02-13T15:53:00Z</dcterms:created>
  <dcterms:modified xsi:type="dcterms:W3CDTF">2020-02-13T15:53:00Z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20130620</vt:lpwstr>
  </property>
  <property fmtid="{D5CDD505-2E9C-101B-9397-08002B2CF9AE}" pid="4" name="AsAtDate">
    <vt:lpwstr>20 Jun 2013</vt:lpwstr>
  </property>
  <property fmtid="{D5CDD505-2E9C-101B-9397-08002B2CF9AE}" pid="5" name="Suffix">
    <vt:lpwstr>01-d0-01</vt:lpwstr>
  </property>
  <property fmtid="{D5CDD505-2E9C-101B-9397-08002B2CF9AE}" pid="6" name="OWLSUId">
    <vt:i4>85</vt:i4>
  </property>
  <property fmtid="{D5CDD505-2E9C-101B-9397-08002B2CF9AE}" pid="7" name="DocumentType">
    <vt:lpwstr>Act</vt:lpwstr>
  </property>
</Properties>
</file>