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0F9" w:rsidRDefault="005378F1">
      <w:pPr>
        <w:pStyle w:val="WA"/>
      </w:pPr>
      <w:bookmarkStart w:id="0" w:name="_GoBack"/>
      <w:bookmarkEnd w:id="0"/>
      <w:r>
        <w:t>Western Australia</w:t>
      </w:r>
    </w:p>
    <w:p w:rsidR="008730F9" w:rsidRDefault="005378F1">
      <w:pPr>
        <w:pStyle w:val="NameofActRegPage1"/>
        <w:spacing w:before="3760" w:after="4200"/>
      </w:pPr>
      <w:r>
        <w:fldChar w:fldCharType="begin"/>
      </w:r>
      <w:r>
        <w:instrText xml:space="preserve"> STYLEREF "Name Of Act/Reg"</w:instrText>
      </w:r>
      <w:r>
        <w:fldChar w:fldCharType="separate"/>
      </w:r>
      <w:r w:rsidR="001F0E83">
        <w:rPr>
          <w:noProof/>
        </w:rPr>
        <w:t>Change of Names Regulation Act 1923</w:t>
      </w:r>
      <w:r>
        <w:fldChar w:fldCharType="end"/>
      </w:r>
    </w:p>
    <w:p w:rsidR="008730F9" w:rsidRDefault="008730F9">
      <w:pPr>
        <w:jc w:val="center"/>
        <w:rPr>
          <w:b/>
        </w:rPr>
        <w:sectPr w:rsidR="008730F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8730F9" w:rsidRDefault="005378F1">
      <w:pPr>
        <w:pStyle w:val="WA"/>
      </w:pPr>
      <w:r>
        <w:lastRenderedPageBreak/>
        <w:t>Western Australia</w:t>
      </w:r>
    </w:p>
    <w:p w:rsidR="008730F9" w:rsidRDefault="005378F1">
      <w:pPr>
        <w:pStyle w:val="NameofActRegPage1"/>
      </w:pPr>
      <w:r>
        <w:fldChar w:fldCharType="begin"/>
      </w:r>
      <w:r>
        <w:instrText xml:space="preserve"> STYLEREF "Name Of Act/Reg"</w:instrText>
      </w:r>
      <w:r>
        <w:fldChar w:fldCharType="separate"/>
      </w:r>
      <w:r w:rsidR="001F0E83">
        <w:rPr>
          <w:noProof/>
        </w:rPr>
        <w:t>Change of Names Regulation Act 1923</w:t>
      </w:r>
      <w:r>
        <w:fldChar w:fldCharType="end"/>
      </w:r>
    </w:p>
    <w:p w:rsidR="008730F9" w:rsidRDefault="005378F1">
      <w:pPr>
        <w:pStyle w:val="Arrangement"/>
      </w:pPr>
      <w:r>
        <w:t>CONTENTS</w:t>
      </w:r>
    </w:p>
    <w:p w:rsidR="008730F9" w:rsidRDefault="005378F1">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_Toc410707956 \h </w:instrText>
      </w:r>
      <w:r>
        <w:rPr>
          <w:noProof/>
        </w:rPr>
      </w:r>
      <w:r>
        <w:rPr>
          <w:noProof/>
        </w:rPr>
        <w:fldChar w:fldCharType="separate"/>
      </w:r>
      <w:r w:rsidR="001F0E83">
        <w:rPr>
          <w:noProof/>
        </w:rPr>
        <w:t>1</w:t>
      </w:r>
      <w:r>
        <w:rPr>
          <w:noProof/>
        </w:rPr>
        <w:fldChar w:fldCharType="end"/>
      </w:r>
    </w:p>
    <w:p w:rsidR="008730F9" w:rsidRDefault="005378F1">
      <w:pPr>
        <w:pStyle w:val="TOC4"/>
        <w:tabs>
          <w:tab w:val="left" w:pos="1483"/>
        </w:tabs>
        <w:rPr>
          <w:noProof/>
        </w:rPr>
      </w:pPr>
      <w:r>
        <w:rPr>
          <w:noProof/>
        </w:rPr>
        <w:t>1A</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_Toc410707957 \h </w:instrText>
      </w:r>
      <w:r>
        <w:rPr>
          <w:noProof/>
        </w:rPr>
      </w:r>
      <w:r>
        <w:rPr>
          <w:noProof/>
        </w:rPr>
        <w:fldChar w:fldCharType="separate"/>
      </w:r>
      <w:r w:rsidR="001F0E83">
        <w:rPr>
          <w:noProof/>
        </w:rPr>
        <w:t>1</w:t>
      </w:r>
      <w:r>
        <w:rPr>
          <w:noProof/>
        </w:rPr>
        <w:fldChar w:fldCharType="end"/>
      </w:r>
    </w:p>
    <w:p w:rsidR="008730F9" w:rsidRDefault="005378F1">
      <w:pPr>
        <w:pStyle w:val="TOC4"/>
        <w:tabs>
          <w:tab w:val="left" w:pos="1483"/>
        </w:tabs>
        <w:rPr>
          <w:noProof/>
        </w:rPr>
      </w:pPr>
      <w:r>
        <w:rPr>
          <w:noProof/>
        </w:rPr>
        <w:t>2</w:t>
      </w:r>
      <w:r>
        <w:rPr>
          <w:noProof/>
          <w:snapToGrid w:val="0"/>
        </w:rPr>
        <w:t>.</w:t>
      </w:r>
      <w:r>
        <w:rPr>
          <w:noProof/>
        </w:rPr>
        <w:tab/>
      </w:r>
      <w:r>
        <w:rPr>
          <w:noProof/>
          <w:snapToGrid w:val="0"/>
        </w:rPr>
        <w:t>Change of name regulated</w:t>
      </w:r>
      <w:r>
        <w:rPr>
          <w:noProof/>
        </w:rPr>
        <w:tab/>
      </w:r>
      <w:r>
        <w:rPr>
          <w:noProof/>
        </w:rPr>
        <w:fldChar w:fldCharType="begin"/>
      </w:r>
      <w:r>
        <w:rPr>
          <w:noProof/>
        </w:rPr>
        <w:instrText xml:space="preserve"> PAGEREF _Toc410707958 \h </w:instrText>
      </w:r>
      <w:r>
        <w:rPr>
          <w:noProof/>
        </w:rPr>
      </w:r>
      <w:r>
        <w:rPr>
          <w:noProof/>
        </w:rPr>
        <w:fldChar w:fldCharType="separate"/>
      </w:r>
      <w:r w:rsidR="001F0E83">
        <w:rPr>
          <w:noProof/>
        </w:rPr>
        <w:t>1</w:t>
      </w:r>
      <w:r>
        <w:rPr>
          <w:noProof/>
        </w:rPr>
        <w:fldChar w:fldCharType="end"/>
      </w:r>
    </w:p>
    <w:p w:rsidR="008730F9" w:rsidRDefault="005378F1">
      <w:pPr>
        <w:pStyle w:val="TOC4"/>
        <w:tabs>
          <w:tab w:val="left" w:pos="1483"/>
        </w:tabs>
        <w:rPr>
          <w:noProof/>
        </w:rPr>
      </w:pPr>
      <w:r>
        <w:rPr>
          <w:noProof/>
        </w:rPr>
        <w:t>2A</w:t>
      </w:r>
      <w:r>
        <w:rPr>
          <w:noProof/>
          <w:snapToGrid w:val="0"/>
        </w:rPr>
        <w:t>.</w:t>
      </w:r>
      <w:r>
        <w:rPr>
          <w:noProof/>
        </w:rPr>
        <w:tab/>
      </w:r>
      <w:r>
        <w:rPr>
          <w:noProof/>
          <w:snapToGrid w:val="0"/>
        </w:rPr>
        <w:t>Procedure in relation to change of name</w:t>
      </w:r>
      <w:r>
        <w:rPr>
          <w:noProof/>
        </w:rPr>
        <w:tab/>
      </w:r>
      <w:r>
        <w:rPr>
          <w:noProof/>
        </w:rPr>
        <w:fldChar w:fldCharType="begin"/>
      </w:r>
      <w:r>
        <w:rPr>
          <w:noProof/>
        </w:rPr>
        <w:instrText xml:space="preserve"> PAGEREF _Toc410707959 \h </w:instrText>
      </w:r>
      <w:r>
        <w:rPr>
          <w:noProof/>
        </w:rPr>
      </w:r>
      <w:r>
        <w:rPr>
          <w:noProof/>
        </w:rPr>
        <w:fldChar w:fldCharType="separate"/>
      </w:r>
      <w:r w:rsidR="001F0E83">
        <w:rPr>
          <w:noProof/>
        </w:rPr>
        <w:t>2</w:t>
      </w:r>
      <w:r>
        <w:rPr>
          <w:noProof/>
        </w:rPr>
        <w:fldChar w:fldCharType="end"/>
      </w:r>
    </w:p>
    <w:p w:rsidR="008730F9" w:rsidRDefault="005378F1">
      <w:pPr>
        <w:pStyle w:val="TOC4"/>
        <w:tabs>
          <w:tab w:val="left" w:pos="1483"/>
        </w:tabs>
        <w:rPr>
          <w:noProof/>
        </w:rPr>
      </w:pPr>
      <w:r>
        <w:rPr>
          <w:noProof/>
        </w:rPr>
        <w:t>2B</w:t>
      </w:r>
      <w:r>
        <w:rPr>
          <w:noProof/>
          <w:snapToGrid w:val="0"/>
        </w:rPr>
        <w:t>.</w:t>
      </w:r>
      <w:r>
        <w:rPr>
          <w:noProof/>
          <w:snapToGrid w:val="0"/>
          <w:vertAlign w:val="superscript"/>
        </w:rPr>
        <w:t xml:space="preserve"> 2</w:t>
      </w:r>
      <w:r>
        <w:rPr>
          <w:noProof/>
        </w:rPr>
        <w:tab/>
      </w:r>
      <w:r>
        <w:rPr>
          <w:noProof/>
          <w:snapToGrid w:val="0"/>
        </w:rPr>
        <w:t>Register of changes of name</w:t>
      </w:r>
      <w:r>
        <w:rPr>
          <w:noProof/>
        </w:rPr>
        <w:tab/>
      </w:r>
      <w:r>
        <w:rPr>
          <w:noProof/>
        </w:rPr>
        <w:fldChar w:fldCharType="begin"/>
      </w:r>
      <w:r>
        <w:rPr>
          <w:noProof/>
        </w:rPr>
        <w:instrText xml:space="preserve"> PAGEREF _Toc410707960 \h </w:instrText>
      </w:r>
      <w:r>
        <w:rPr>
          <w:noProof/>
        </w:rPr>
      </w:r>
      <w:r>
        <w:rPr>
          <w:noProof/>
        </w:rPr>
        <w:fldChar w:fldCharType="separate"/>
      </w:r>
      <w:r w:rsidR="001F0E83">
        <w:rPr>
          <w:noProof/>
        </w:rPr>
        <w:t>3</w:t>
      </w:r>
      <w:r>
        <w:rPr>
          <w:noProof/>
        </w:rPr>
        <w:fldChar w:fldCharType="end"/>
      </w:r>
    </w:p>
    <w:p w:rsidR="008730F9" w:rsidRDefault="005378F1">
      <w:pPr>
        <w:pStyle w:val="TOC4"/>
        <w:tabs>
          <w:tab w:val="left" w:pos="1483"/>
        </w:tabs>
        <w:rPr>
          <w:noProof/>
        </w:rPr>
      </w:pPr>
      <w:r>
        <w:rPr>
          <w:noProof/>
        </w:rPr>
        <w:t>2C</w:t>
      </w:r>
      <w:r>
        <w:rPr>
          <w:noProof/>
          <w:snapToGrid w:val="0"/>
        </w:rPr>
        <w:t>.</w:t>
      </w:r>
      <w:r>
        <w:rPr>
          <w:noProof/>
        </w:rPr>
        <w:tab/>
      </w:r>
      <w:r>
        <w:rPr>
          <w:noProof/>
          <w:snapToGrid w:val="0"/>
        </w:rPr>
        <w:t>Public access to register</w:t>
      </w:r>
      <w:r>
        <w:rPr>
          <w:noProof/>
        </w:rPr>
        <w:tab/>
      </w:r>
      <w:r>
        <w:rPr>
          <w:noProof/>
        </w:rPr>
        <w:fldChar w:fldCharType="begin"/>
      </w:r>
      <w:r>
        <w:rPr>
          <w:noProof/>
        </w:rPr>
        <w:instrText xml:space="preserve"> PAGEREF _Toc410707961 \h </w:instrText>
      </w:r>
      <w:r>
        <w:rPr>
          <w:noProof/>
        </w:rPr>
      </w:r>
      <w:r>
        <w:rPr>
          <w:noProof/>
        </w:rPr>
        <w:fldChar w:fldCharType="separate"/>
      </w:r>
      <w:r w:rsidR="001F0E83">
        <w:rPr>
          <w:noProof/>
        </w:rPr>
        <w:t>4</w:t>
      </w:r>
      <w:r>
        <w:rPr>
          <w:noProof/>
        </w:rPr>
        <w:fldChar w:fldCharType="end"/>
      </w:r>
    </w:p>
    <w:p w:rsidR="008730F9" w:rsidRDefault="005378F1">
      <w:pPr>
        <w:pStyle w:val="TOC4"/>
        <w:tabs>
          <w:tab w:val="left" w:pos="1483"/>
        </w:tabs>
        <w:rPr>
          <w:noProof/>
        </w:rPr>
      </w:pPr>
      <w:r>
        <w:rPr>
          <w:noProof/>
        </w:rPr>
        <w:t>2D</w:t>
      </w:r>
      <w:r>
        <w:rPr>
          <w:noProof/>
          <w:snapToGrid w:val="0"/>
        </w:rPr>
        <w:t>.</w:t>
      </w:r>
      <w:r>
        <w:rPr>
          <w:noProof/>
        </w:rPr>
        <w:tab/>
      </w:r>
      <w:r>
        <w:rPr>
          <w:noProof/>
          <w:snapToGrid w:val="0"/>
        </w:rPr>
        <w:t>Certified copy is evidence</w:t>
      </w:r>
      <w:r>
        <w:rPr>
          <w:noProof/>
        </w:rPr>
        <w:tab/>
      </w:r>
      <w:r>
        <w:rPr>
          <w:noProof/>
        </w:rPr>
        <w:fldChar w:fldCharType="begin"/>
      </w:r>
      <w:r>
        <w:rPr>
          <w:noProof/>
        </w:rPr>
        <w:instrText xml:space="preserve"> PAGEREF _Toc410707962 \h </w:instrText>
      </w:r>
      <w:r>
        <w:rPr>
          <w:noProof/>
        </w:rPr>
      </w:r>
      <w:r>
        <w:rPr>
          <w:noProof/>
        </w:rPr>
        <w:fldChar w:fldCharType="separate"/>
      </w:r>
      <w:r w:rsidR="001F0E83">
        <w:rPr>
          <w:noProof/>
        </w:rPr>
        <w:t>4</w:t>
      </w:r>
      <w:r>
        <w:rPr>
          <w:noProof/>
        </w:rPr>
        <w:fldChar w:fldCharType="end"/>
      </w:r>
    </w:p>
    <w:p w:rsidR="008730F9" w:rsidRDefault="005378F1">
      <w:pPr>
        <w:pStyle w:val="TOC4"/>
        <w:tabs>
          <w:tab w:val="left" w:pos="1483"/>
        </w:tabs>
        <w:rPr>
          <w:noProof/>
        </w:rPr>
      </w:pPr>
      <w:r>
        <w:rPr>
          <w:noProof/>
        </w:rPr>
        <w:t>2E</w:t>
      </w:r>
      <w:r>
        <w:rPr>
          <w:noProof/>
          <w:snapToGrid w:val="0"/>
        </w:rPr>
        <w:t>.</w:t>
      </w:r>
      <w:r>
        <w:rPr>
          <w:noProof/>
        </w:rPr>
        <w:tab/>
      </w:r>
      <w:r>
        <w:rPr>
          <w:noProof/>
          <w:snapToGrid w:val="0"/>
        </w:rPr>
        <w:t>Delegation</w:t>
      </w:r>
      <w:r>
        <w:rPr>
          <w:noProof/>
        </w:rPr>
        <w:tab/>
      </w:r>
      <w:r>
        <w:rPr>
          <w:noProof/>
        </w:rPr>
        <w:fldChar w:fldCharType="begin"/>
      </w:r>
      <w:r>
        <w:rPr>
          <w:noProof/>
        </w:rPr>
        <w:instrText xml:space="preserve"> PAGEREF _Toc410707963 \h </w:instrText>
      </w:r>
      <w:r>
        <w:rPr>
          <w:noProof/>
        </w:rPr>
      </w:r>
      <w:r>
        <w:rPr>
          <w:noProof/>
        </w:rPr>
        <w:fldChar w:fldCharType="separate"/>
      </w:r>
      <w:r w:rsidR="001F0E83">
        <w:rPr>
          <w:noProof/>
        </w:rPr>
        <w:t>4</w:t>
      </w:r>
      <w:r>
        <w:rPr>
          <w:noProof/>
        </w:rPr>
        <w:fldChar w:fldCharType="end"/>
      </w:r>
    </w:p>
    <w:p w:rsidR="008730F9" w:rsidRDefault="005378F1">
      <w:pPr>
        <w:pStyle w:val="TOC4"/>
        <w:tabs>
          <w:tab w:val="left" w:pos="1483"/>
        </w:tabs>
        <w:rPr>
          <w:noProof/>
        </w:rPr>
      </w:pPr>
      <w:r>
        <w:rPr>
          <w:noProof/>
        </w:rPr>
        <w:t>3</w:t>
      </w:r>
      <w:r>
        <w:rPr>
          <w:noProof/>
          <w:snapToGrid w:val="0"/>
        </w:rPr>
        <w:t>.</w:t>
      </w:r>
      <w:r>
        <w:rPr>
          <w:noProof/>
        </w:rPr>
        <w:tab/>
      </w:r>
      <w:r>
        <w:rPr>
          <w:noProof/>
          <w:snapToGrid w:val="0"/>
        </w:rPr>
        <w:t>Exemptions</w:t>
      </w:r>
      <w:r>
        <w:rPr>
          <w:noProof/>
        </w:rPr>
        <w:tab/>
      </w:r>
      <w:r>
        <w:rPr>
          <w:noProof/>
        </w:rPr>
        <w:fldChar w:fldCharType="begin"/>
      </w:r>
      <w:r>
        <w:rPr>
          <w:noProof/>
        </w:rPr>
        <w:instrText xml:space="preserve"> PAGEREF _Toc410707964 \h </w:instrText>
      </w:r>
      <w:r>
        <w:rPr>
          <w:noProof/>
        </w:rPr>
      </w:r>
      <w:r>
        <w:rPr>
          <w:noProof/>
        </w:rPr>
        <w:fldChar w:fldCharType="separate"/>
      </w:r>
      <w:r w:rsidR="001F0E83">
        <w:rPr>
          <w:noProof/>
        </w:rPr>
        <w:t>4</w:t>
      </w:r>
      <w:r>
        <w:rPr>
          <w:noProof/>
        </w:rPr>
        <w:fldChar w:fldCharType="end"/>
      </w:r>
    </w:p>
    <w:p w:rsidR="008730F9" w:rsidRDefault="005378F1">
      <w:pPr>
        <w:pStyle w:val="TOC4"/>
        <w:tabs>
          <w:tab w:val="left" w:pos="1483"/>
        </w:tabs>
        <w:rPr>
          <w:noProof/>
        </w:rPr>
      </w:pPr>
      <w:r>
        <w:rPr>
          <w:noProof/>
        </w:rPr>
        <w:t>4</w:t>
      </w:r>
      <w:r>
        <w:rPr>
          <w:noProof/>
          <w:snapToGrid w:val="0"/>
        </w:rPr>
        <w:t>.</w:t>
      </w:r>
      <w:r>
        <w:rPr>
          <w:noProof/>
        </w:rPr>
        <w:tab/>
      </w:r>
      <w:r>
        <w:rPr>
          <w:noProof/>
          <w:snapToGrid w:val="0"/>
        </w:rPr>
        <w:t>Fees</w:t>
      </w:r>
      <w:r>
        <w:rPr>
          <w:noProof/>
        </w:rPr>
        <w:tab/>
      </w:r>
      <w:r>
        <w:rPr>
          <w:noProof/>
        </w:rPr>
        <w:fldChar w:fldCharType="begin"/>
      </w:r>
      <w:r>
        <w:rPr>
          <w:noProof/>
        </w:rPr>
        <w:instrText xml:space="preserve"> PAGEREF _Toc410707965 \h </w:instrText>
      </w:r>
      <w:r>
        <w:rPr>
          <w:noProof/>
        </w:rPr>
      </w:r>
      <w:r>
        <w:rPr>
          <w:noProof/>
        </w:rPr>
        <w:fldChar w:fldCharType="separate"/>
      </w:r>
      <w:r w:rsidR="001F0E83">
        <w:rPr>
          <w:noProof/>
        </w:rPr>
        <w:t>4</w:t>
      </w:r>
      <w:r>
        <w:rPr>
          <w:noProof/>
        </w:rPr>
        <w:fldChar w:fldCharType="end"/>
      </w:r>
    </w:p>
    <w:p w:rsidR="008730F9" w:rsidRDefault="005378F1">
      <w:pPr>
        <w:pStyle w:val="TOC4"/>
        <w:tabs>
          <w:tab w:val="left" w:pos="1483"/>
        </w:tabs>
        <w:rPr>
          <w:noProof/>
        </w:rPr>
      </w:pPr>
      <w:r>
        <w:rPr>
          <w:noProof/>
        </w:rPr>
        <w:t>5</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_Toc410707966 \h </w:instrText>
      </w:r>
      <w:r>
        <w:rPr>
          <w:noProof/>
        </w:rPr>
      </w:r>
      <w:r>
        <w:rPr>
          <w:noProof/>
        </w:rPr>
        <w:fldChar w:fldCharType="separate"/>
      </w:r>
      <w:r w:rsidR="001F0E83">
        <w:rPr>
          <w:noProof/>
        </w:rPr>
        <w:t>4</w:t>
      </w:r>
      <w:r>
        <w:rPr>
          <w:noProof/>
        </w:rPr>
        <w:fldChar w:fldCharType="end"/>
      </w:r>
    </w:p>
    <w:p w:rsidR="008730F9" w:rsidRDefault="005378F1">
      <w:pPr>
        <w:pStyle w:val="TOC2"/>
        <w:tabs>
          <w:tab w:val="right" w:pos="7086"/>
        </w:tabs>
        <w:rPr>
          <w:noProof/>
        </w:rPr>
      </w:pPr>
      <w:r>
        <w:rPr>
          <w:noProof/>
        </w:rPr>
        <w:t>NOTES</w:t>
      </w:r>
    </w:p>
    <w:p w:rsidR="008730F9" w:rsidRDefault="005378F1">
      <w:pPr>
        <w:pStyle w:val="TOC2"/>
      </w:pPr>
      <w:r>
        <w:fldChar w:fldCharType="end"/>
      </w:r>
    </w:p>
    <w:p w:rsidR="008730F9" w:rsidRDefault="005378F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730F9" w:rsidRDefault="008730F9">
      <w:pPr>
        <w:pStyle w:val="NoteHeading"/>
        <w:sectPr w:rsidR="008730F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8730F9" w:rsidRDefault="005378F1">
      <w:pPr>
        <w:pStyle w:val="WA"/>
      </w:pPr>
      <w:r>
        <w:lastRenderedPageBreak/>
        <w:t>Western Australia</w:t>
      </w:r>
    </w:p>
    <w:p w:rsidR="008730F9" w:rsidRDefault="005378F1">
      <w:pPr>
        <w:pStyle w:val="NameofActReg"/>
      </w:pPr>
      <w:r>
        <w:t xml:space="preserve">Change of Names Regulation Act 1923 </w:t>
      </w:r>
    </w:p>
    <w:p w:rsidR="008730F9" w:rsidRDefault="005378F1">
      <w:pPr>
        <w:pStyle w:val="LongTitle"/>
        <w:rPr>
          <w:snapToGrid w:val="0"/>
        </w:rPr>
      </w:pPr>
      <w:r>
        <w:rPr>
          <w:snapToGrid w:val="0"/>
        </w:rPr>
        <w:t xml:space="preserve">An Act to regulate the conditions under which persons can change their names. </w:t>
      </w:r>
    </w:p>
    <w:p w:rsidR="008730F9" w:rsidRDefault="005378F1">
      <w:pPr>
        <w:pStyle w:val="Heading5"/>
        <w:rPr>
          <w:snapToGrid w:val="0"/>
        </w:rPr>
      </w:pPr>
      <w:bookmarkStart w:id="1" w:name="_Toc410707956"/>
      <w:r>
        <w:rPr>
          <w:rStyle w:val="CharSectno"/>
        </w:rPr>
        <w:t>1</w:t>
      </w:r>
      <w:r>
        <w:rPr>
          <w:snapToGrid w:val="0"/>
        </w:rPr>
        <w:t>.</w:t>
      </w:r>
      <w:r>
        <w:rPr>
          <w:snapToGrid w:val="0"/>
        </w:rPr>
        <w:tab/>
        <w:t>Short title</w:t>
      </w:r>
      <w:bookmarkEnd w:id="1"/>
      <w:r>
        <w:rPr>
          <w:snapToGrid w:val="0"/>
        </w:rPr>
        <w:t xml:space="preserve"> </w:t>
      </w:r>
    </w:p>
    <w:p w:rsidR="008730F9" w:rsidRDefault="005378F1">
      <w:pPr>
        <w:pStyle w:val="Subsection"/>
        <w:rPr>
          <w:snapToGrid w:val="0"/>
        </w:rPr>
      </w:pPr>
      <w:r>
        <w:rPr>
          <w:snapToGrid w:val="0"/>
        </w:rPr>
        <w:tab/>
      </w:r>
      <w:r>
        <w:rPr>
          <w:snapToGrid w:val="0"/>
        </w:rPr>
        <w:tab/>
        <w:t xml:space="preserve">This Act may be cited as the </w:t>
      </w:r>
      <w:r>
        <w:rPr>
          <w:i/>
          <w:snapToGrid w:val="0"/>
        </w:rPr>
        <w:t>Change of Names Regulation Act 1923</w:t>
      </w:r>
      <w:r>
        <w:rPr>
          <w:snapToGrid w:val="0"/>
        </w:rPr>
        <w:t>.</w:t>
      </w:r>
    </w:p>
    <w:p w:rsidR="008730F9" w:rsidRDefault="005378F1">
      <w:pPr>
        <w:pStyle w:val="Heading5"/>
        <w:rPr>
          <w:snapToGrid w:val="0"/>
        </w:rPr>
      </w:pPr>
      <w:bookmarkStart w:id="2" w:name="_Toc410707957"/>
      <w:r>
        <w:rPr>
          <w:rStyle w:val="CharSectno"/>
        </w:rPr>
        <w:t>1A</w:t>
      </w:r>
      <w:r>
        <w:rPr>
          <w:snapToGrid w:val="0"/>
        </w:rPr>
        <w:t>.</w:t>
      </w:r>
      <w:r>
        <w:rPr>
          <w:snapToGrid w:val="0"/>
        </w:rPr>
        <w:tab/>
        <w:t>Interpretation</w:t>
      </w:r>
      <w:bookmarkEnd w:id="2"/>
      <w:r>
        <w:rPr>
          <w:snapToGrid w:val="0"/>
        </w:rPr>
        <w:t xml:space="preserve"> </w:t>
      </w:r>
    </w:p>
    <w:p w:rsidR="008730F9" w:rsidRDefault="005378F1">
      <w:pPr>
        <w:pStyle w:val="Subsection"/>
        <w:keepNext/>
        <w:rPr>
          <w:snapToGrid w:val="0"/>
        </w:rPr>
      </w:pPr>
      <w:r>
        <w:rPr>
          <w:snapToGrid w:val="0"/>
        </w:rPr>
        <w:tab/>
      </w:r>
      <w:r>
        <w:rPr>
          <w:snapToGrid w:val="0"/>
        </w:rPr>
        <w:tab/>
        <w:t>In this Act — </w:t>
      </w:r>
    </w:p>
    <w:p w:rsidR="008730F9" w:rsidRDefault="005378F1">
      <w:pPr>
        <w:pStyle w:val="Defstart"/>
      </w:pPr>
      <w:r>
        <w:rPr>
          <w:b/>
        </w:rPr>
        <w:tab/>
        <w:t>“Registrar General”</w:t>
      </w:r>
      <w:r>
        <w:t xml:space="preserve"> means the Registrar General appointed under the </w:t>
      </w:r>
      <w:r>
        <w:rPr>
          <w:i/>
        </w:rPr>
        <w:t>Registration of Births, Deaths and Marriages Act 1961</w:t>
      </w:r>
      <w:r>
        <w:t>;</w:t>
      </w:r>
    </w:p>
    <w:p w:rsidR="008730F9" w:rsidRDefault="005378F1">
      <w:pPr>
        <w:pStyle w:val="Defstart"/>
      </w:pPr>
      <w:r>
        <w:rPr>
          <w:b/>
        </w:rPr>
        <w:tab/>
        <w:t>“Registrar of Deeds and Transfers”</w:t>
      </w:r>
      <w:r>
        <w:t xml:space="preserve"> means the Registrar of Deeds and Transfers within the meaning of the </w:t>
      </w:r>
      <w:r>
        <w:rPr>
          <w:i/>
        </w:rPr>
        <w:t>Registration of Deeds Act 1856</w:t>
      </w:r>
      <w:r>
        <w:t>.</w:t>
      </w:r>
    </w:p>
    <w:p w:rsidR="008730F9" w:rsidRDefault="005378F1">
      <w:pPr>
        <w:pStyle w:val="Footnotesection"/>
      </w:pPr>
      <w:r>
        <w:tab/>
        <w:t xml:space="preserve">[Section 1A inserted by No. 11 of 1989 s.4.] </w:t>
      </w:r>
    </w:p>
    <w:p w:rsidR="008730F9" w:rsidRDefault="005378F1">
      <w:pPr>
        <w:pStyle w:val="Heading5"/>
        <w:rPr>
          <w:snapToGrid w:val="0"/>
        </w:rPr>
      </w:pPr>
      <w:bookmarkStart w:id="3" w:name="_Toc410707958"/>
      <w:r>
        <w:rPr>
          <w:rStyle w:val="CharSectno"/>
        </w:rPr>
        <w:t>2</w:t>
      </w:r>
      <w:r>
        <w:rPr>
          <w:snapToGrid w:val="0"/>
        </w:rPr>
        <w:t>.</w:t>
      </w:r>
      <w:r>
        <w:rPr>
          <w:snapToGrid w:val="0"/>
        </w:rPr>
        <w:tab/>
        <w:t>Change of name regulated</w:t>
      </w:r>
      <w:bookmarkEnd w:id="3"/>
      <w:r>
        <w:rPr>
          <w:snapToGrid w:val="0"/>
        </w:rPr>
        <w:t xml:space="preserve"> </w:t>
      </w:r>
    </w:p>
    <w:p w:rsidR="008730F9" w:rsidRDefault="005378F1">
      <w:pPr>
        <w:pStyle w:val="Subsection"/>
        <w:keepNext/>
        <w:rPr>
          <w:snapToGrid w:val="0"/>
        </w:rPr>
      </w:pPr>
      <w:r>
        <w:rPr>
          <w:snapToGrid w:val="0"/>
        </w:rPr>
        <w:tab/>
        <w:t>(1)</w:t>
      </w:r>
      <w:r>
        <w:rPr>
          <w:snapToGrid w:val="0"/>
        </w:rPr>
        <w:tab/>
        <w:t>A person shall not assume, use, or purport to assume or use any name other than any name — </w:t>
      </w:r>
    </w:p>
    <w:p w:rsidR="008730F9" w:rsidRDefault="005378F1">
      <w:pPr>
        <w:pStyle w:val="Indenta"/>
        <w:rPr>
          <w:snapToGrid w:val="0"/>
        </w:rPr>
      </w:pPr>
      <w:r>
        <w:rPr>
          <w:snapToGrid w:val="0"/>
        </w:rPr>
        <w:tab/>
        <w:t>(a)</w:t>
      </w:r>
      <w:r>
        <w:rPr>
          <w:snapToGrid w:val="0"/>
        </w:rPr>
        <w:tab/>
        <w:t>by which he was registered at birth;</w:t>
      </w:r>
    </w:p>
    <w:p w:rsidR="008730F9" w:rsidRDefault="005378F1">
      <w:pPr>
        <w:pStyle w:val="Indenta"/>
        <w:rPr>
          <w:snapToGrid w:val="0"/>
        </w:rPr>
      </w:pPr>
      <w:r>
        <w:rPr>
          <w:snapToGrid w:val="0"/>
        </w:rPr>
        <w:tab/>
        <w:t>(b)</w:t>
      </w:r>
      <w:r>
        <w:rPr>
          <w:snapToGrid w:val="0"/>
        </w:rPr>
        <w:tab/>
        <w:t>which was assumed by marriage;</w:t>
      </w:r>
    </w:p>
    <w:p w:rsidR="008730F9" w:rsidRDefault="005378F1">
      <w:pPr>
        <w:pStyle w:val="Indenta"/>
        <w:rPr>
          <w:snapToGrid w:val="0"/>
        </w:rPr>
      </w:pPr>
      <w:r>
        <w:rPr>
          <w:snapToGrid w:val="0"/>
        </w:rPr>
        <w:tab/>
        <w:t>(c)</w:t>
      </w:r>
      <w:r>
        <w:rPr>
          <w:snapToGrid w:val="0"/>
        </w:rPr>
        <w:tab/>
        <w:t>by which he had been known by repute at the commencement of this Act;</w:t>
      </w:r>
    </w:p>
    <w:p w:rsidR="008730F9" w:rsidRDefault="005378F1">
      <w:pPr>
        <w:pStyle w:val="Indenta"/>
        <w:rPr>
          <w:snapToGrid w:val="0"/>
        </w:rPr>
      </w:pPr>
      <w:r>
        <w:rPr>
          <w:snapToGrid w:val="0"/>
        </w:rPr>
        <w:tab/>
        <w:t>(d)</w:t>
      </w:r>
      <w:r>
        <w:rPr>
          <w:snapToGrid w:val="0"/>
        </w:rPr>
        <w:tab/>
        <w:t>which he had assumed under any statute, deed poll or licence before the commencement of this Act;</w:t>
      </w:r>
    </w:p>
    <w:p w:rsidR="008730F9" w:rsidRDefault="005378F1">
      <w:pPr>
        <w:pStyle w:val="Indenta"/>
        <w:rPr>
          <w:snapToGrid w:val="0"/>
        </w:rPr>
      </w:pPr>
      <w:r>
        <w:rPr>
          <w:snapToGrid w:val="0"/>
        </w:rPr>
        <w:lastRenderedPageBreak/>
        <w:tab/>
        <w:t>(e)</w:t>
      </w:r>
      <w:r>
        <w:rPr>
          <w:snapToGrid w:val="0"/>
        </w:rPr>
        <w:tab/>
        <w:t xml:space="preserve">which he assumed under the provisions of this Act as in force from time to time before the commencement of the </w:t>
      </w:r>
      <w:r>
        <w:rPr>
          <w:i/>
          <w:snapToGrid w:val="0"/>
        </w:rPr>
        <w:t>Change of Names Regulation Amendment Act 1989</w:t>
      </w:r>
      <w:r>
        <w:rPr>
          <w:snapToGrid w:val="0"/>
        </w:rPr>
        <w:t>; or</w:t>
      </w:r>
    </w:p>
    <w:p w:rsidR="008730F9" w:rsidRDefault="005378F1">
      <w:pPr>
        <w:pStyle w:val="Indenta"/>
        <w:keepNext/>
        <w:rPr>
          <w:snapToGrid w:val="0"/>
        </w:rPr>
      </w:pPr>
      <w:r>
        <w:rPr>
          <w:snapToGrid w:val="0"/>
        </w:rPr>
        <w:tab/>
        <w:t>(f)</w:t>
      </w:r>
      <w:r>
        <w:rPr>
          <w:snapToGrid w:val="0"/>
        </w:rPr>
        <w:tab/>
        <w:t>which, after the commencement of that Act, he assumes by virtue of — </w:t>
      </w:r>
    </w:p>
    <w:p w:rsidR="008730F9" w:rsidRDefault="005378F1">
      <w:pPr>
        <w:pStyle w:val="Indenti"/>
        <w:rPr>
          <w:snapToGrid w:val="0"/>
        </w:rPr>
      </w:pPr>
      <w:r>
        <w:rPr>
          <w:snapToGrid w:val="0"/>
        </w:rPr>
        <w:tab/>
        <w:t>(i)</w:t>
      </w:r>
      <w:r>
        <w:rPr>
          <w:snapToGrid w:val="0"/>
        </w:rPr>
        <w:tab/>
        <w:t>a deed poll executed by him; or</w:t>
      </w:r>
    </w:p>
    <w:p w:rsidR="008730F9" w:rsidRDefault="005378F1">
      <w:pPr>
        <w:pStyle w:val="Indenti"/>
        <w:rPr>
          <w:snapToGrid w:val="0"/>
        </w:rPr>
      </w:pPr>
      <w:r>
        <w:rPr>
          <w:snapToGrid w:val="0"/>
        </w:rPr>
        <w:tab/>
        <w:t>(ii)</w:t>
      </w:r>
      <w:r>
        <w:rPr>
          <w:snapToGrid w:val="0"/>
        </w:rPr>
        <w:tab/>
        <w:t>a written licence for a change of name granted by the Registrar General,</w:t>
      </w:r>
    </w:p>
    <w:p w:rsidR="008730F9" w:rsidRDefault="005378F1">
      <w:pPr>
        <w:pStyle w:val="Indenta"/>
        <w:rPr>
          <w:snapToGrid w:val="0"/>
        </w:rPr>
      </w:pPr>
      <w:r>
        <w:rPr>
          <w:snapToGrid w:val="0"/>
        </w:rPr>
        <w:tab/>
      </w:r>
      <w:r>
        <w:rPr>
          <w:snapToGrid w:val="0"/>
        </w:rPr>
        <w:tab/>
        <w:t>registered in either case in the office of the Registrar General at Perth.</w:t>
      </w:r>
    </w:p>
    <w:p w:rsidR="008730F9" w:rsidRDefault="005378F1">
      <w:pPr>
        <w:pStyle w:val="Penstart"/>
        <w:rPr>
          <w:snapToGrid w:val="0"/>
        </w:rPr>
      </w:pPr>
      <w:r>
        <w:rPr>
          <w:snapToGrid w:val="0"/>
        </w:rPr>
        <w:tab/>
        <w:t>Penalty: $2 000.</w:t>
      </w:r>
    </w:p>
    <w:p w:rsidR="008730F9" w:rsidRDefault="005378F1">
      <w:pPr>
        <w:pStyle w:val="Subsection"/>
        <w:rPr>
          <w:snapToGrid w:val="0"/>
        </w:rPr>
      </w:pPr>
      <w:r>
        <w:rPr>
          <w:snapToGrid w:val="0"/>
        </w:rPr>
        <w:tab/>
        <w:t>(2)</w:t>
      </w:r>
      <w:r>
        <w:rPr>
          <w:snapToGrid w:val="0"/>
        </w:rPr>
        <w:tab/>
        <w:t>Where a person has by marriage or by deed poll or by license assumed a name in place of a former name, it shall be unlawful for the person to again assume that former name unless that former name was a name by which he was registered or which he was given at birth or unless by subsequent marriage or by further deed poll or license or by statute he has again assumed that former name.</w:t>
      </w:r>
    </w:p>
    <w:p w:rsidR="008730F9" w:rsidRDefault="005378F1">
      <w:pPr>
        <w:pStyle w:val="Penstart"/>
        <w:rPr>
          <w:snapToGrid w:val="0"/>
        </w:rPr>
      </w:pPr>
      <w:r>
        <w:rPr>
          <w:snapToGrid w:val="0"/>
        </w:rPr>
        <w:tab/>
        <w:t>Penalty: $1 000.</w:t>
      </w:r>
    </w:p>
    <w:p w:rsidR="008730F9" w:rsidRDefault="005378F1">
      <w:pPr>
        <w:pStyle w:val="Subsection"/>
        <w:rPr>
          <w:snapToGrid w:val="0"/>
        </w:rPr>
      </w:pPr>
      <w:r>
        <w:rPr>
          <w:snapToGrid w:val="0"/>
        </w:rPr>
        <w:tab/>
        <w:t>(3)</w:t>
      </w:r>
      <w:r>
        <w:rPr>
          <w:snapToGrid w:val="0"/>
        </w:rPr>
        <w:tab/>
        <w:t>In the issue of a license referred to in subsection (1) the Registrar General is subject to any direction given by the Minister either generally or in a particular case.</w:t>
      </w:r>
    </w:p>
    <w:p w:rsidR="008730F9" w:rsidRDefault="005378F1">
      <w:pPr>
        <w:pStyle w:val="Footnotesection"/>
      </w:pPr>
      <w:r>
        <w:tab/>
        <w:t xml:space="preserve">[Section 2 amended by No. 113 of 1965 s.8; No. 13 of 1980 s.3; No. 11 of 1989 s.5; No. 78 of 1995 s.147.] </w:t>
      </w:r>
    </w:p>
    <w:p w:rsidR="008730F9" w:rsidRDefault="005378F1">
      <w:pPr>
        <w:pStyle w:val="Heading5"/>
        <w:rPr>
          <w:snapToGrid w:val="0"/>
        </w:rPr>
      </w:pPr>
      <w:bookmarkStart w:id="4" w:name="_Toc410707959"/>
      <w:r>
        <w:rPr>
          <w:rStyle w:val="CharSectno"/>
        </w:rPr>
        <w:t>2A</w:t>
      </w:r>
      <w:r>
        <w:rPr>
          <w:snapToGrid w:val="0"/>
        </w:rPr>
        <w:t>.</w:t>
      </w:r>
      <w:r>
        <w:rPr>
          <w:snapToGrid w:val="0"/>
        </w:rPr>
        <w:tab/>
        <w:t>Procedure in relation to change of name</w:t>
      </w:r>
      <w:bookmarkEnd w:id="4"/>
      <w:r>
        <w:rPr>
          <w:snapToGrid w:val="0"/>
        </w:rPr>
        <w:t xml:space="preserve"> </w:t>
      </w:r>
    </w:p>
    <w:p w:rsidR="008730F9" w:rsidRDefault="005378F1">
      <w:pPr>
        <w:pStyle w:val="Subsection"/>
        <w:keepNext/>
        <w:rPr>
          <w:snapToGrid w:val="0"/>
        </w:rPr>
      </w:pPr>
      <w:r>
        <w:rPr>
          <w:snapToGrid w:val="0"/>
        </w:rPr>
        <w:tab/>
        <w:t>(1)</w:t>
      </w:r>
      <w:r>
        <w:rPr>
          <w:snapToGrid w:val="0"/>
        </w:rPr>
        <w:tab/>
        <w:t>A person who wishes to change his name may lodge with the Registrar General — </w:t>
      </w:r>
    </w:p>
    <w:p w:rsidR="008730F9" w:rsidRDefault="005378F1">
      <w:pPr>
        <w:pStyle w:val="Indenta"/>
        <w:rPr>
          <w:snapToGrid w:val="0"/>
        </w:rPr>
      </w:pPr>
      <w:r>
        <w:rPr>
          <w:snapToGrid w:val="0"/>
        </w:rPr>
        <w:tab/>
        <w:t>(a)</w:t>
      </w:r>
      <w:r>
        <w:rPr>
          <w:snapToGrid w:val="0"/>
        </w:rPr>
        <w:tab/>
        <w:t>a deed poll and a memorial of a deed poll; or</w:t>
      </w:r>
    </w:p>
    <w:p w:rsidR="008730F9" w:rsidRDefault="005378F1">
      <w:pPr>
        <w:pStyle w:val="Indenta"/>
        <w:rPr>
          <w:snapToGrid w:val="0"/>
        </w:rPr>
      </w:pPr>
      <w:r>
        <w:rPr>
          <w:snapToGrid w:val="0"/>
        </w:rPr>
        <w:tab/>
        <w:t>(b)</w:t>
      </w:r>
      <w:r>
        <w:rPr>
          <w:snapToGrid w:val="0"/>
        </w:rPr>
        <w:tab/>
        <w:t>an application for change of name by licence,</w:t>
      </w:r>
    </w:p>
    <w:p w:rsidR="008730F9" w:rsidRDefault="005378F1">
      <w:pPr>
        <w:pStyle w:val="Subsection"/>
        <w:rPr>
          <w:snapToGrid w:val="0"/>
        </w:rPr>
      </w:pPr>
      <w:r>
        <w:rPr>
          <w:snapToGrid w:val="0"/>
        </w:rPr>
        <w:tab/>
      </w:r>
      <w:r>
        <w:rPr>
          <w:snapToGrid w:val="0"/>
        </w:rPr>
        <w:tab/>
        <w:t>in a form approved in each case by the Registrar General.</w:t>
      </w:r>
    </w:p>
    <w:p w:rsidR="008730F9" w:rsidRDefault="005378F1">
      <w:pPr>
        <w:pStyle w:val="Subsection"/>
        <w:keepNext/>
        <w:rPr>
          <w:snapToGrid w:val="0"/>
        </w:rPr>
      </w:pPr>
      <w:r>
        <w:rPr>
          <w:snapToGrid w:val="0"/>
        </w:rPr>
        <w:lastRenderedPageBreak/>
        <w:tab/>
        <w:t>(2)</w:t>
      </w:r>
      <w:r>
        <w:rPr>
          <w:snapToGrid w:val="0"/>
        </w:rPr>
        <w:tab/>
        <w:t>Subject to section 2 (3) and to subsection (3), the Registrar General may refuse to register a deed poll or grant a licence for a change of name if — </w:t>
      </w:r>
    </w:p>
    <w:p w:rsidR="008730F9" w:rsidRDefault="005378F1">
      <w:pPr>
        <w:pStyle w:val="Indenta"/>
        <w:rPr>
          <w:snapToGrid w:val="0"/>
        </w:rPr>
      </w:pPr>
      <w:r>
        <w:rPr>
          <w:snapToGrid w:val="0"/>
        </w:rPr>
        <w:tab/>
        <w:t>(a)</w:t>
      </w:r>
      <w:r>
        <w:rPr>
          <w:snapToGrid w:val="0"/>
        </w:rPr>
        <w:tab/>
        <w:t>subsection (1) has not been complied with;</w:t>
      </w:r>
    </w:p>
    <w:p w:rsidR="008730F9" w:rsidRDefault="005378F1">
      <w:pPr>
        <w:pStyle w:val="Indenta"/>
        <w:rPr>
          <w:snapToGrid w:val="0"/>
        </w:rPr>
      </w:pPr>
      <w:r>
        <w:rPr>
          <w:snapToGrid w:val="0"/>
        </w:rPr>
        <w:tab/>
        <w:t>(b)</w:t>
      </w:r>
      <w:r>
        <w:rPr>
          <w:snapToGrid w:val="0"/>
        </w:rPr>
        <w:tab/>
        <w:t>he has reason to believe that the proposed change of name is intended to enable or facilitate the carrying out of an unlawful act;</w:t>
      </w:r>
    </w:p>
    <w:p w:rsidR="008730F9" w:rsidRDefault="005378F1">
      <w:pPr>
        <w:pStyle w:val="Indenta"/>
        <w:rPr>
          <w:snapToGrid w:val="0"/>
        </w:rPr>
      </w:pPr>
      <w:r>
        <w:rPr>
          <w:snapToGrid w:val="0"/>
        </w:rPr>
        <w:tab/>
        <w:t>(c)</w:t>
      </w:r>
      <w:r>
        <w:rPr>
          <w:snapToGrid w:val="0"/>
        </w:rPr>
        <w:tab/>
        <w:t>he considers that the name proposed to be adopted is obscene, offensive, frivolous or contrary to the public interest; or</w:t>
      </w:r>
    </w:p>
    <w:p w:rsidR="008730F9" w:rsidRDefault="005378F1">
      <w:pPr>
        <w:pStyle w:val="Indenta"/>
        <w:rPr>
          <w:snapToGrid w:val="0"/>
        </w:rPr>
      </w:pPr>
      <w:r>
        <w:rPr>
          <w:snapToGrid w:val="0"/>
        </w:rPr>
        <w:tab/>
        <w:t>(d)</w:t>
      </w:r>
      <w:r>
        <w:rPr>
          <w:snapToGrid w:val="0"/>
        </w:rPr>
        <w:tab/>
        <w:t>a registration fee or other prescribed fee has not been paid.</w:t>
      </w:r>
    </w:p>
    <w:p w:rsidR="008730F9" w:rsidRDefault="005378F1">
      <w:pPr>
        <w:pStyle w:val="Subsection"/>
        <w:rPr>
          <w:snapToGrid w:val="0"/>
        </w:rPr>
      </w:pPr>
      <w:r>
        <w:rPr>
          <w:snapToGrid w:val="0"/>
        </w:rPr>
        <w:tab/>
        <w:t>(3)</w:t>
      </w:r>
      <w:r>
        <w:rPr>
          <w:snapToGrid w:val="0"/>
        </w:rPr>
        <w:tab/>
        <w:t>Where the Registrar General refuses to register a deed poll or grant a licence for a change of name, the applicant may in writing, within 21 days after the day on which he received notice of the Registrar General’s decision, request the Minister to direct the Registrar General to register the deed poll or grant the licence, as the case may be, and where the Minister so directs, the Registrar General shall give effect to the direction of the Minister.</w:t>
      </w:r>
    </w:p>
    <w:p w:rsidR="008730F9" w:rsidRDefault="005378F1">
      <w:pPr>
        <w:pStyle w:val="Subsection"/>
        <w:rPr>
          <w:snapToGrid w:val="0"/>
        </w:rPr>
      </w:pPr>
      <w:r>
        <w:rPr>
          <w:snapToGrid w:val="0"/>
        </w:rPr>
        <w:tab/>
        <w:t>(4)</w:t>
      </w:r>
      <w:r>
        <w:rPr>
          <w:snapToGrid w:val="0"/>
        </w:rPr>
        <w:tab/>
        <w:t>Registration of a change of name is effected on the day and at the time when a memorial of a deed poll or of a licence for change of name is entered in the register referred to in section 2B and signed by the Registrar General.</w:t>
      </w:r>
    </w:p>
    <w:p w:rsidR="008730F9" w:rsidRDefault="005378F1">
      <w:pPr>
        <w:pStyle w:val="Footnotesection"/>
      </w:pPr>
      <w:r>
        <w:tab/>
        <w:t xml:space="preserve">[Section 2A inserted by No. 11 of 1989 s.6.] </w:t>
      </w:r>
    </w:p>
    <w:p w:rsidR="008730F9" w:rsidRDefault="005378F1">
      <w:pPr>
        <w:pStyle w:val="Heading5"/>
        <w:rPr>
          <w:snapToGrid w:val="0"/>
        </w:rPr>
      </w:pPr>
      <w:bookmarkStart w:id="5" w:name="_Toc410707960"/>
      <w:r>
        <w:rPr>
          <w:rStyle w:val="CharSectno"/>
        </w:rPr>
        <w:t>2B</w:t>
      </w:r>
      <w:r>
        <w:rPr>
          <w:snapToGrid w:val="0"/>
        </w:rPr>
        <w:t>.</w:t>
      </w:r>
      <w:r>
        <w:rPr>
          <w:snapToGrid w:val="0"/>
          <w:vertAlign w:val="superscript"/>
        </w:rPr>
        <w:t xml:space="preserve"> 2</w:t>
      </w:r>
      <w:r>
        <w:rPr>
          <w:snapToGrid w:val="0"/>
        </w:rPr>
        <w:tab/>
        <w:t>Register of changes of name</w:t>
      </w:r>
      <w:bookmarkEnd w:id="5"/>
      <w:r>
        <w:rPr>
          <w:snapToGrid w:val="0"/>
        </w:rPr>
        <w:t xml:space="preserve"> </w:t>
      </w:r>
    </w:p>
    <w:p w:rsidR="008730F9" w:rsidRDefault="005378F1">
      <w:pPr>
        <w:pStyle w:val="Subsection"/>
        <w:keepNext/>
        <w:rPr>
          <w:snapToGrid w:val="0"/>
        </w:rPr>
      </w:pPr>
      <w:r>
        <w:rPr>
          <w:snapToGrid w:val="0"/>
        </w:rPr>
        <w:tab/>
      </w:r>
      <w:r>
        <w:rPr>
          <w:snapToGrid w:val="0"/>
        </w:rPr>
        <w:tab/>
        <w:t>The Registrar General shall establish and maintain a register and index of the memorials of all deed polls and licences recording a change of name registered in the office of — </w:t>
      </w:r>
    </w:p>
    <w:p w:rsidR="008730F9" w:rsidRDefault="005378F1">
      <w:pPr>
        <w:pStyle w:val="Indenta"/>
        <w:rPr>
          <w:snapToGrid w:val="0"/>
        </w:rPr>
      </w:pPr>
      <w:r>
        <w:rPr>
          <w:snapToGrid w:val="0"/>
        </w:rPr>
        <w:tab/>
        <w:t>(a)</w:t>
      </w:r>
      <w:r>
        <w:rPr>
          <w:snapToGrid w:val="0"/>
        </w:rPr>
        <w:tab/>
        <w:t xml:space="preserve">the Registrar of Deeds and Transfers in Perth in respect of the period commencing on 31 January 1957 and ending with the commencement of the </w:t>
      </w:r>
      <w:r>
        <w:rPr>
          <w:i/>
          <w:snapToGrid w:val="0"/>
        </w:rPr>
        <w:t>Change of Names Regulation Amendment Act 1989</w:t>
      </w:r>
      <w:r>
        <w:rPr>
          <w:snapToGrid w:val="0"/>
        </w:rPr>
        <w:t>; or</w:t>
      </w:r>
    </w:p>
    <w:p w:rsidR="008730F9" w:rsidRDefault="005378F1">
      <w:pPr>
        <w:pStyle w:val="Indenta"/>
        <w:rPr>
          <w:snapToGrid w:val="0"/>
        </w:rPr>
      </w:pPr>
      <w:r>
        <w:rPr>
          <w:snapToGrid w:val="0"/>
        </w:rPr>
        <w:lastRenderedPageBreak/>
        <w:tab/>
        <w:t>(b)</w:t>
      </w:r>
      <w:r>
        <w:rPr>
          <w:snapToGrid w:val="0"/>
        </w:rPr>
        <w:tab/>
        <w:t>the Registrar General in Perth, after the commencement of that Act.</w:t>
      </w:r>
    </w:p>
    <w:p w:rsidR="008730F9" w:rsidRDefault="005378F1">
      <w:pPr>
        <w:pStyle w:val="Footnotesection"/>
      </w:pPr>
      <w:r>
        <w:tab/>
        <w:t xml:space="preserve">[Section 2B inserted by No. 11 of 1989 s.6.] </w:t>
      </w:r>
    </w:p>
    <w:p w:rsidR="008730F9" w:rsidRDefault="005378F1">
      <w:pPr>
        <w:pStyle w:val="Heading5"/>
        <w:rPr>
          <w:snapToGrid w:val="0"/>
        </w:rPr>
      </w:pPr>
      <w:bookmarkStart w:id="6" w:name="_Toc410707961"/>
      <w:r>
        <w:rPr>
          <w:rStyle w:val="CharSectno"/>
        </w:rPr>
        <w:t>2C</w:t>
      </w:r>
      <w:r>
        <w:rPr>
          <w:snapToGrid w:val="0"/>
        </w:rPr>
        <w:t>.</w:t>
      </w:r>
      <w:r>
        <w:rPr>
          <w:snapToGrid w:val="0"/>
        </w:rPr>
        <w:tab/>
        <w:t>Public access to register</w:t>
      </w:r>
      <w:bookmarkEnd w:id="6"/>
      <w:r>
        <w:rPr>
          <w:snapToGrid w:val="0"/>
        </w:rPr>
        <w:t xml:space="preserve"> </w:t>
      </w:r>
    </w:p>
    <w:p w:rsidR="008730F9" w:rsidRDefault="005378F1">
      <w:pPr>
        <w:pStyle w:val="Subsection"/>
        <w:rPr>
          <w:snapToGrid w:val="0"/>
        </w:rPr>
      </w:pPr>
      <w:r>
        <w:rPr>
          <w:snapToGrid w:val="0"/>
        </w:rPr>
        <w:tab/>
        <w:t>(1)</w:t>
      </w:r>
      <w:r>
        <w:rPr>
          <w:snapToGrid w:val="0"/>
        </w:rPr>
        <w:tab/>
        <w:t>Subject to this section, the Registrar General shall at the request of, and on payment of the prescribed fees by, any person cause a search to be made during ordinary office hours of the register or index referred to in section 2B and, where required, issue a certified copy of a memorial in the register.</w:t>
      </w:r>
    </w:p>
    <w:p w:rsidR="008730F9" w:rsidRDefault="005378F1">
      <w:pPr>
        <w:pStyle w:val="Subsection"/>
        <w:keepNext/>
        <w:rPr>
          <w:snapToGrid w:val="0"/>
        </w:rPr>
      </w:pPr>
      <w:r>
        <w:rPr>
          <w:snapToGrid w:val="0"/>
        </w:rPr>
        <w:tab/>
        <w:t>(2)</w:t>
      </w:r>
      <w:r>
        <w:rPr>
          <w:snapToGrid w:val="0"/>
        </w:rPr>
        <w:tab/>
        <w:t>The Registrar General shall refuse to comply with a request under subsection (1) where he has reason to believe that compliance with the request would be — </w:t>
      </w:r>
    </w:p>
    <w:p w:rsidR="008730F9" w:rsidRDefault="005378F1">
      <w:pPr>
        <w:pStyle w:val="Indenta"/>
        <w:rPr>
          <w:snapToGrid w:val="0"/>
        </w:rPr>
      </w:pPr>
      <w:r>
        <w:rPr>
          <w:snapToGrid w:val="0"/>
        </w:rPr>
        <w:tab/>
        <w:t>(a)</w:t>
      </w:r>
      <w:r>
        <w:rPr>
          <w:snapToGrid w:val="0"/>
        </w:rPr>
        <w:tab/>
        <w:t>prejudicial to the safety of a person; or</w:t>
      </w:r>
    </w:p>
    <w:p w:rsidR="008730F9" w:rsidRDefault="005378F1">
      <w:pPr>
        <w:pStyle w:val="Indenta"/>
        <w:rPr>
          <w:snapToGrid w:val="0"/>
        </w:rPr>
      </w:pPr>
      <w:r>
        <w:rPr>
          <w:snapToGrid w:val="0"/>
        </w:rPr>
        <w:tab/>
        <w:t>(b)</w:t>
      </w:r>
      <w:r>
        <w:rPr>
          <w:snapToGrid w:val="0"/>
        </w:rPr>
        <w:tab/>
        <w:t>otherwise contrary to the public interest.</w:t>
      </w:r>
    </w:p>
    <w:p w:rsidR="008730F9" w:rsidRDefault="005378F1">
      <w:pPr>
        <w:pStyle w:val="Subsection"/>
        <w:rPr>
          <w:snapToGrid w:val="0"/>
        </w:rPr>
      </w:pPr>
      <w:r>
        <w:rPr>
          <w:snapToGrid w:val="0"/>
        </w:rPr>
        <w:tab/>
        <w:t>(3)</w:t>
      </w:r>
      <w:r>
        <w:rPr>
          <w:snapToGrid w:val="0"/>
        </w:rPr>
        <w:tab/>
        <w:t>Where the Registrar General exercises his power under subsection (2), the person whose request has been refused may in writing, within 21 days after the day on which he received notice of the Registrar General’s decision, ask the Minister to direct the Registrar General to comply with the request, and where the Minister so directs, the Registrar General shall give effect to the direction of the Minister.</w:t>
      </w:r>
    </w:p>
    <w:p w:rsidR="008730F9" w:rsidRDefault="005378F1">
      <w:pPr>
        <w:pStyle w:val="Footnotesection"/>
      </w:pPr>
      <w:r>
        <w:tab/>
        <w:t xml:space="preserve">[Section 2C inserted by No. 11 of 1989 s.6.] </w:t>
      </w:r>
    </w:p>
    <w:p w:rsidR="008730F9" w:rsidRDefault="005378F1">
      <w:pPr>
        <w:pStyle w:val="Heading5"/>
        <w:rPr>
          <w:snapToGrid w:val="0"/>
        </w:rPr>
      </w:pPr>
      <w:bookmarkStart w:id="7" w:name="_Toc410707962"/>
      <w:r>
        <w:rPr>
          <w:rStyle w:val="CharSectno"/>
        </w:rPr>
        <w:t>2D</w:t>
      </w:r>
      <w:r>
        <w:rPr>
          <w:snapToGrid w:val="0"/>
        </w:rPr>
        <w:t>.</w:t>
      </w:r>
      <w:r>
        <w:rPr>
          <w:snapToGrid w:val="0"/>
        </w:rPr>
        <w:tab/>
        <w:t>Certified copy is evidence</w:t>
      </w:r>
      <w:bookmarkEnd w:id="7"/>
      <w:r>
        <w:rPr>
          <w:snapToGrid w:val="0"/>
        </w:rPr>
        <w:t xml:space="preserve"> </w:t>
      </w:r>
    </w:p>
    <w:p w:rsidR="008730F9" w:rsidRDefault="005378F1">
      <w:pPr>
        <w:pStyle w:val="Subsection"/>
        <w:rPr>
          <w:snapToGrid w:val="0"/>
        </w:rPr>
      </w:pPr>
      <w:r>
        <w:rPr>
          <w:snapToGrid w:val="0"/>
        </w:rPr>
        <w:tab/>
      </w:r>
      <w:r>
        <w:rPr>
          <w:snapToGrid w:val="0"/>
        </w:rPr>
        <w:tab/>
        <w:t>A certified copy of a memorial of a change of name registered under this Act, if it purports to be sealed with the seal of the Registrar General and signed by him or on his behalf, is evidence in all proceedings of the matters appearing in the memorial.</w:t>
      </w:r>
    </w:p>
    <w:p w:rsidR="008730F9" w:rsidRDefault="005378F1">
      <w:pPr>
        <w:pStyle w:val="Footnotesection"/>
      </w:pPr>
      <w:r>
        <w:tab/>
        <w:t xml:space="preserve">[Section 2D inserted by No. 11 of 1989 s.6.] </w:t>
      </w:r>
    </w:p>
    <w:p w:rsidR="008730F9" w:rsidRDefault="005378F1">
      <w:pPr>
        <w:pStyle w:val="Heading5"/>
        <w:rPr>
          <w:snapToGrid w:val="0"/>
        </w:rPr>
      </w:pPr>
      <w:bookmarkStart w:id="8" w:name="_Toc410707963"/>
      <w:r>
        <w:rPr>
          <w:rStyle w:val="CharSectno"/>
        </w:rPr>
        <w:t>2E</w:t>
      </w:r>
      <w:r>
        <w:rPr>
          <w:snapToGrid w:val="0"/>
        </w:rPr>
        <w:t>.</w:t>
      </w:r>
      <w:r>
        <w:rPr>
          <w:snapToGrid w:val="0"/>
        </w:rPr>
        <w:tab/>
        <w:t>Delegation</w:t>
      </w:r>
      <w:bookmarkEnd w:id="8"/>
      <w:r>
        <w:rPr>
          <w:snapToGrid w:val="0"/>
        </w:rPr>
        <w:t xml:space="preserve"> </w:t>
      </w:r>
    </w:p>
    <w:p w:rsidR="008730F9" w:rsidRDefault="005378F1">
      <w:pPr>
        <w:pStyle w:val="Subsection"/>
        <w:rPr>
          <w:snapToGrid w:val="0"/>
        </w:rPr>
      </w:pPr>
      <w:r>
        <w:rPr>
          <w:snapToGrid w:val="0"/>
        </w:rPr>
        <w:tab/>
      </w:r>
      <w:r>
        <w:rPr>
          <w:snapToGrid w:val="0"/>
        </w:rPr>
        <w:tab/>
        <w:t>The Registrar General may delegate in writing to any person employed in his office any of his functions under this Act, other than this power of delegation.</w:t>
      </w:r>
    </w:p>
    <w:p w:rsidR="008730F9" w:rsidRDefault="005378F1">
      <w:pPr>
        <w:pStyle w:val="Footnotesection"/>
      </w:pPr>
      <w:r>
        <w:tab/>
        <w:t xml:space="preserve">[Section 2E inserted by No. 11 of 1989 s.6.] </w:t>
      </w:r>
    </w:p>
    <w:p w:rsidR="008730F9" w:rsidRDefault="005378F1">
      <w:pPr>
        <w:pStyle w:val="Heading5"/>
        <w:rPr>
          <w:snapToGrid w:val="0"/>
        </w:rPr>
      </w:pPr>
      <w:bookmarkStart w:id="9" w:name="_Toc410707964"/>
      <w:r>
        <w:rPr>
          <w:rStyle w:val="CharSectno"/>
        </w:rPr>
        <w:t>3</w:t>
      </w:r>
      <w:r>
        <w:rPr>
          <w:snapToGrid w:val="0"/>
        </w:rPr>
        <w:t>.</w:t>
      </w:r>
      <w:r>
        <w:rPr>
          <w:snapToGrid w:val="0"/>
        </w:rPr>
        <w:tab/>
        <w:t>Exemptions</w:t>
      </w:r>
      <w:bookmarkEnd w:id="9"/>
      <w:r>
        <w:rPr>
          <w:snapToGrid w:val="0"/>
        </w:rPr>
        <w:t xml:space="preserve"> </w:t>
      </w:r>
    </w:p>
    <w:p w:rsidR="008730F9" w:rsidRDefault="005378F1">
      <w:pPr>
        <w:pStyle w:val="Subsection"/>
        <w:rPr>
          <w:snapToGrid w:val="0"/>
        </w:rPr>
      </w:pPr>
      <w:r>
        <w:rPr>
          <w:snapToGrid w:val="0"/>
        </w:rPr>
        <w:tab/>
      </w:r>
      <w:r>
        <w:rPr>
          <w:snapToGrid w:val="0"/>
        </w:rPr>
        <w:tab/>
        <w:t xml:space="preserve">Nothing in this Act shall apply to the use of a firm name under the </w:t>
      </w:r>
      <w:r>
        <w:rPr>
          <w:i/>
          <w:snapToGrid w:val="0"/>
        </w:rPr>
        <w:t>Business Names Act 1962</w:t>
      </w:r>
      <w:r>
        <w:rPr>
          <w:snapToGrid w:val="0"/>
        </w:rPr>
        <w:t xml:space="preserve">, or to the use of a name under the </w:t>
      </w:r>
      <w:r>
        <w:rPr>
          <w:i/>
          <w:snapToGrid w:val="0"/>
        </w:rPr>
        <w:t>Adoption of Children Act 1896</w:t>
      </w:r>
      <w:r>
        <w:rPr>
          <w:snapToGrid w:val="0"/>
        </w:rPr>
        <w:t>.</w:t>
      </w:r>
    </w:p>
    <w:p w:rsidR="008730F9" w:rsidRDefault="005378F1">
      <w:pPr>
        <w:pStyle w:val="Footnotesection"/>
      </w:pPr>
      <w:r>
        <w:tab/>
        <w:t xml:space="preserve">[Section 3 amended by No. 13 of 1980 s.4.] </w:t>
      </w:r>
    </w:p>
    <w:p w:rsidR="008730F9" w:rsidRDefault="005378F1">
      <w:pPr>
        <w:pStyle w:val="Heading5"/>
        <w:rPr>
          <w:snapToGrid w:val="0"/>
        </w:rPr>
      </w:pPr>
      <w:bookmarkStart w:id="10" w:name="_Toc410707965"/>
      <w:r>
        <w:rPr>
          <w:rStyle w:val="CharSectno"/>
        </w:rPr>
        <w:t>4</w:t>
      </w:r>
      <w:r>
        <w:rPr>
          <w:snapToGrid w:val="0"/>
        </w:rPr>
        <w:t>.</w:t>
      </w:r>
      <w:r>
        <w:rPr>
          <w:snapToGrid w:val="0"/>
        </w:rPr>
        <w:tab/>
        <w:t>Fees</w:t>
      </w:r>
      <w:bookmarkEnd w:id="10"/>
      <w:r>
        <w:rPr>
          <w:snapToGrid w:val="0"/>
        </w:rPr>
        <w:t xml:space="preserve"> </w:t>
      </w:r>
    </w:p>
    <w:p w:rsidR="008730F9" w:rsidRDefault="005378F1">
      <w:pPr>
        <w:pStyle w:val="Subsection"/>
        <w:keepNext/>
        <w:rPr>
          <w:snapToGrid w:val="0"/>
        </w:rPr>
      </w:pPr>
      <w:r>
        <w:rPr>
          <w:snapToGrid w:val="0"/>
        </w:rPr>
        <w:tab/>
      </w:r>
      <w:r>
        <w:rPr>
          <w:snapToGrid w:val="0"/>
        </w:rPr>
        <w:tab/>
        <w:t>Fees shall be payable under this Act as may be prescribed by regulation.</w:t>
      </w:r>
    </w:p>
    <w:p w:rsidR="008730F9" w:rsidRDefault="005378F1">
      <w:pPr>
        <w:pStyle w:val="Footnotesection"/>
      </w:pPr>
      <w:r>
        <w:tab/>
        <w:t xml:space="preserve">[Section 4 inserted by No. 54 of 1948 s.4 (3); amended by No. 13 of 1980 s.5.] </w:t>
      </w:r>
    </w:p>
    <w:p w:rsidR="008730F9" w:rsidRDefault="005378F1">
      <w:pPr>
        <w:pStyle w:val="Heading5"/>
        <w:rPr>
          <w:snapToGrid w:val="0"/>
        </w:rPr>
      </w:pPr>
      <w:bookmarkStart w:id="11" w:name="_Toc410707966"/>
      <w:r>
        <w:rPr>
          <w:rStyle w:val="CharSectno"/>
        </w:rPr>
        <w:t>5</w:t>
      </w:r>
      <w:r>
        <w:rPr>
          <w:snapToGrid w:val="0"/>
        </w:rPr>
        <w:t>.</w:t>
      </w:r>
      <w:r>
        <w:rPr>
          <w:snapToGrid w:val="0"/>
        </w:rPr>
        <w:tab/>
        <w:t>Regulations</w:t>
      </w:r>
      <w:bookmarkEnd w:id="11"/>
      <w:r>
        <w:rPr>
          <w:snapToGrid w:val="0"/>
        </w:rPr>
        <w:t xml:space="preserve"> </w:t>
      </w:r>
    </w:p>
    <w:p w:rsidR="008730F9" w:rsidRDefault="005378F1">
      <w:pPr>
        <w:pStyle w:val="Subsection"/>
        <w:rPr>
          <w:snapToGrid w:val="0"/>
        </w:rPr>
      </w:pPr>
      <w:r>
        <w:rPr>
          <w:snapToGrid w:val="0"/>
        </w:rPr>
        <w:tab/>
      </w:r>
      <w:r>
        <w:rPr>
          <w:snapToGrid w:val="0"/>
        </w:rPr>
        <w:tab/>
        <w:t>The Governor may make regulations for the registration of deeds poll, for the registration of licenses, and for other purposes of this Act.</w:t>
      </w:r>
    </w:p>
    <w:p w:rsidR="008730F9" w:rsidRDefault="005378F1">
      <w:pPr>
        <w:pStyle w:val="Footnotesection"/>
      </w:pPr>
      <w:r>
        <w:tab/>
        <w:t xml:space="preserve">[Section 5 amended by No. 13 of 1980 s.6.] </w:t>
      </w:r>
    </w:p>
    <w:p w:rsidR="008730F9" w:rsidRDefault="008730F9">
      <w:pPr>
        <w:rPr>
          <w:rStyle w:val="CharDivText"/>
        </w:rPr>
        <w:sectPr w:rsidR="008730F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8730F9" w:rsidRDefault="005378F1">
      <w:pPr>
        <w:pStyle w:val="nHeading2"/>
      </w:pPr>
      <w:r>
        <w:t>Notes</w:t>
      </w:r>
    </w:p>
    <w:p w:rsidR="008730F9" w:rsidRDefault="005378F1">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Change of Names Regulation Act 1923</w:t>
      </w:r>
      <w:r>
        <w:rPr>
          <w:snapToGrid w:val="0"/>
        </w:rPr>
        <w:t xml:space="preserve"> and includes all amendments effected by the other Acts referred to in the following Table.</w:t>
      </w:r>
    </w:p>
    <w:p w:rsidR="008730F9" w:rsidRDefault="005378F1">
      <w:pPr>
        <w:pStyle w:val="nHeading3"/>
        <w:rPr>
          <w:snapToGrid w:val="0"/>
        </w:rPr>
      </w:pPr>
      <w:r>
        <w:rPr>
          <w:snapToGrid w:val="0"/>
        </w:rPr>
        <w:t>Compilation table</w:t>
      </w:r>
    </w:p>
    <w:tbl>
      <w:tblPr>
        <w:tblW w:w="7081" w:type="dxa"/>
        <w:tblInd w:w="214" w:type="dxa"/>
        <w:tblLayout w:type="fixed"/>
        <w:tblCellMar>
          <w:left w:w="56" w:type="dxa"/>
          <w:right w:w="56" w:type="dxa"/>
        </w:tblCellMar>
        <w:tblLook w:val="0000" w:firstRow="0" w:lastRow="0" w:firstColumn="0" w:lastColumn="0" w:noHBand="0" w:noVBand="0"/>
      </w:tblPr>
      <w:tblGrid>
        <w:gridCol w:w="2266"/>
        <w:gridCol w:w="1133"/>
        <w:gridCol w:w="1133"/>
        <w:gridCol w:w="2549"/>
      </w:tblGrid>
      <w:tr w:rsidR="008730F9">
        <w:trPr>
          <w:tblHeader/>
        </w:trPr>
        <w:tc>
          <w:tcPr>
            <w:tcW w:w="2266" w:type="dxa"/>
            <w:tcBorders>
              <w:top w:val="single" w:sz="8" w:space="0" w:color="auto"/>
              <w:bottom w:val="single" w:sz="8" w:space="0" w:color="auto"/>
            </w:tcBorders>
          </w:tcPr>
          <w:p w:rsidR="008730F9" w:rsidRDefault="005378F1">
            <w:pPr>
              <w:pStyle w:val="nTable"/>
              <w:spacing w:before="40" w:after="40"/>
              <w:rPr>
                <w:b/>
                <w:sz w:val="19"/>
              </w:rPr>
            </w:pPr>
            <w:r>
              <w:rPr>
                <w:b/>
                <w:sz w:val="19"/>
              </w:rPr>
              <w:t>Short title</w:t>
            </w:r>
          </w:p>
        </w:tc>
        <w:tc>
          <w:tcPr>
            <w:tcW w:w="1133" w:type="dxa"/>
            <w:tcBorders>
              <w:top w:val="single" w:sz="8" w:space="0" w:color="auto"/>
              <w:bottom w:val="single" w:sz="8" w:space="0" w:color="auto"/>
            </w:tcBorders>
          </w:tcPr>
          <w:p w:rsidR="008730F9" w:rsidRDefault="005378F1">
            <w:pPr>
              <w:pStyle w:val="nTable"/>
              <w:spacing w:before="40" w:after="40"/>
              <w:rPr>
                <w:b/>
                <w:sz w:val="19"/>
              </w:rPr>
            </w:pPr>
            <w:r>
              <w:rPr>
                <w:b/>
                <w:sz w:val="19"/>
              </w:rPr>
              <w:t>Number and year</w:t>
            </w:r>
          </w:p>
        </w:tc>
        <w:tc>
          <w:tcPr>
            <w:tcW w:w="1133" w:type="dxa"/>
            <w:tcBorders>
              <w:top w:val="single" w:sz="8" w:space="0" w:color="auto"/>
              <w:bottom w:val="single" w:sz="8" w:space="0" w:color="auto"/>
            </w:tcBorders>
          </w:tcPr>
          <w:p w:rsidR="008730F9" w:rsidRDefault="005378F1">
            <w:pPr>
              <w:pStyle w:val="nTable"/>
              <w:spacing w:before="40" w:after="40"/>
              <w:rPr>
                <w:b/>
                <w:sz w:val="19"/>
              </w:rPr>
            </w:pPr>
            <w:r>
              <w:rPr>
                <w:b/>
                <w:sz w:val="19"/>
              </w:rPr>
              <w:t>Assent</w:t>
            </w:r>
          </w:p>
        </w:tc>
        <w:tc>
          <w:tcPr>
            <w:tcW w:w="2549" w:type="dxa"/>
            <w:tcBorders>
              <w:top w:val="single" w:sz="8" w:space="0" w:color="auto"/>
              <w:bottom w:val="single" w:sz="8" w:space="0" w:color="auto"/>
            </w:tcBorders>
          </w:tcPr>
          <w:p w:rsidR="008730F9" w:rsidRDefault="005378F1">
            <w:pPr>
              <w:pStyle w:val="nTable"/>
              <w:spacing w:before="40" w:after="40"/>
              <w:rPr>
                <w:b/>
                <w:sz w:val="19"/>
              </w:rPr>
            </w:pPr>
            <w:r>
              <w:rPr>
                <w:b/>
                <w:sz w:val="19"/>
              </w:rPr>
              <w:t>Commencement</w:t>
            </w:r>
          </w:p>
        </w:tc>
      </w:tr>
      <w:tr w:rsidR="008730F9">
        <w:tc>
          <w:tcPr>
            <w:tcW w:w="2266" w:type="dxa"/>
          </w:tcPr>
          <w:p w:rsidR="008730F9" w:rsidRDefault="005378F1">
            <w:pPr>
              <w:pStyle w:val="nTable"/>
              <w:spacing w:before="40" w:after="40"/>
              <w:rPr>
                <w:sz w:val="19"/>
              </w:rPr>
            </w:pPr>
            <w:r>
              <w:rPr>
                <w:i/>
                <w:sz w:val="19"/>
              </w:rPr>
              <w:t>Change of Names Regulation Act 1923</w:t>
            </w:r>
          </w:p>
        </w:tc>
        <w:tc>
          <w:tcPr>
            <w:tcW w:w="1133" w:type="dxa"/>
          </w:tcPr>
          <w:p w:rsidR="008730F9" w:rsidRDefault="005378F1">
            <w:pPr>
              <w:pStyle w:val="nTable"/>
              <w:spacing w:before="40" w:after="40"/>
              <w:rPr>
                <w:sz w:val="19"/>
              </w:rPr>
            </w:pPr>
            <w:r>
              <w:rPr>
                <w:sz w:val="19"/>
              </w:rPr>
              <w:t>40 of 1923</w:t>
            </w:r>
          </w:p>
        </w:tc>
        <w:tc>
          <w:tcPr>
            <w:tcW w:w="1133" w:type="dxa"/>
          </w:tcPr>
          <w:p w:rsidR="008730F9" w:rsidRDefault="005378F1">
            <w:pPr>
              <w:pStyle w:val="nTable"/>
              <w:spacing w:before="40" w:after="40"/>
              <w:rPr>
                <w:sz w:val="19"/>
              </w:rPr>
            </w:pPr>
            <w:r>
              <w:rPr>
                <w:sz w:val="19"/>
              </w:rPr>
              <w:t>22 Dec 1923</w:t>
            </w:r>
          </w:p>
        </w:tc>
        <w:tc>
          <w:tcPr>
            <w:tcW w:w="2549" w:type="dxa"/>
          </w:tcPr>
          <w:p w:rsidR="008730F9" w:rsidRDefault="005378F1">
            <w:pPr>
              <w:pStyle w:val="nTable"/>
              <w:spacing w:before="40" w:after="40"/>
              <w:rPr>
                <w:sz w:val="19"/>
              </w:rPr>
            </w:pPr>
            <w:r>
              <w:rPr>
                <w:sz w:val="19"/>
              </w:rPr>
              <w:t>22 Dec 1923</w:t>
            </w:r>
          </w:p>
        </w:tc>
      </w:tr>
      <w:tr w:rsidR="008730F9">
        <w:tc>
          <w:tcPr>
            <w:tcW w:w="2266" w:type="dxa"/>
          </w:tcPr>
          <w:p w:rsidR="008730F9" w:rsidRDefault="005378F1">
            <w:pPr>
              <w:pStyle w:val="nTable"/>
              <w:spacing w:before="40" w:after="40"/>
              <w:rPr>
                <w:sz w:val="19"/>
              </w:rPr>
            </w:pPr>
            <w:r>
              <w:rPr>
                <w:i/>
                <w:sz w:val="19"/>
              </w:rPr>
              <w:t>Acts Amendment (Increase of Fees) Act 1948</w:t>
            </w:r>
            <w:r>
              <w:rPr>
                <w:sz w:val="19"/>
              </w:rPr>
              <w:t>,</w:t>
            </w:r>
            <w:r>
              <w:rPr>
                <w:sz w:val="19"/>
              </w:rPr>
              <w:br/>
              <w:t>section 4</w:t>
            </w:r>
          </w:p>
        </w:tc>
        <w:tc>
          <w:tcPr>
            <w:tcW w:w="1133" w:type="dxa"/>
          </w:tcPr>
          <w:p w:rsidR="008730F9" w:rsidRDefault="005378F1">
            <w:pPr>
              <w:pStyle w:val="nTable"/>
              <w:spacing w:before="40" w:after="40"/>
              <w:rPr>
                <w:sz w:val="19"/>
              </w:rPr>
            </w:pPr>
            <w:r>
              <w:rPr>
                <w:sz w:val="19"/>
              </w:rPr>
              <w:t>54 of 1948</w:t>
            </w:r>
          </w:p>
        </w:tc>
        <w:tc>
          <w:tcPr>
            <w:tcW w:w="1133" w:type="dxa"/>
          </w:tcPr>
          <w:p w:rsidR="008730F9" w:rsidRDefault="005378F1">
            <w:pPr>
              <w:pStyle w:val="nTable"/>
              <w:spacing w:before="40" w:after="40"/>
              <w:rPr>
                <w:sz w:val="19"/>
              </w:rPr>
            </w:pPr>
            <w:r>
              <w:rPr>
                <w:sz w:val="19"/>
              </w:rPr>
              <w:t>21 Jan 1949</w:t>
            </w:r>
          </w:p>
        </w:tc>
        <w:tc>
          <w:tcPr>
            <w:tcW w:w="2549" w:type="dxa"/>
          </w:tcPr>
          <w:p w:rsidR="008730F9" w:rsidRDefault="005378F1">
            <w:pPr>
              <w:pStyle w:val="nTable"/>
              <w:spacing w:before="40" w:after="40"/>
              <w:rPr>
                <w:sz w:val="19"/>
              </w:rPr>
            </w:pPr>
            <w:r>
              <w:rPr>
                <w:sz w:val="19"/>
              </w:rPr>
              <w:t>21 Jan 1949</w:t>
            </w:r>
          </w:p>
        </w:tc>
      </w:tr>
      <w:tr w:rsidR="008730F9">
        <w:tc>
          <w:tcPr>
            <w:tcW w:w="2266" w:type="dxa"/>
          </w:tcPr>
          <w:p w:rsidR="008730F9" w:rsidRDefault="005378F1">
            <w:pPr>
              <w:pStyle w:val="nTable"/>
              <w:spacing w:before="40" w:after="40"/>
              <w:rPr>
                <w:sz w:val="19"/>
              </w:rPr>
            </w:pPr>
            <w:r>
              <w:rPr>
                <w:i/>
                <w:sz w:val="19"/>
              </w:rPr>
              <w:t>Decimal Currency Act 1965</w:t>
            </w:r>
          </w:p>
        </w:tc>
        <w:tc>
          <w:tcPr>
            <w:tcW w:w="1133" w:type="dxa"/>
          </w:tcPr>
          <w:p w:rsidR="008730F9" w:rsidRDefault="005378F1">
            <w:pPr>
              <w:pStyle w:val="nTable"/>
              <w:spacing w:before="40" w:after="40"/>
              <w:rPr>
                <w:sz w:val="19"/>
              </w:rPr>
            </w:pPr>
            <w:r>
              <w:rPr>
                <w:sz w:val="19"/>
              </w:rPr>
              <w:t>113 of 1965</w:t>
            </w:r>
          </w:p>
        </w:tc>
        <w:tc>
          <w:tcPr>
            <w:tcW w:w="1133" w:type="dxa"/>
          </w:tcPr>
          <w:p w:rsidR="008730F9" w:rsidRDefault="005378F1">
            <w:pPr>
              <w:pStyle w:val="nTable"/>
              <w:spacing w:before="40" w:after="40"/>
              <w:rPr>
                <w:sz w:val="19"/>
              </w:rPr>
            </w:pPr>
            <w:r>
              <w:rPr>
                <w:sz w:val="19"/>
              </w:rPr>
              <w:t>21 Dec 1965</w:t>
            </w:r>
          </w:p>
        </w:tc>
        <w:tc>
          <w:tcPr>
            <w:tcW w:w="2549" w:type="dxa"/>
          </w:tcPr>
          <w:p w:rsidR="008730F9" w:rsidRDefault="005378F1">
            <w:pPr>
              <w:pStyle w:val="nTable"/>
              <w:spacing w:before="40" w:after="40"/>
              <w:rPr>
                <w:sz w:val="19"/>
              </w:rPr>
            </w:pPr>
            <w:r>
              <w:rPr>
                <w:sz w:val="19"/>
              </w:rPr>
              <w:t>Sections 4 to 9:</w:t>
            </w:r>
            <w:r>
              <w:rPr>
                <w:sz w:val="19"/>
              </w:rPr>
              <w:br/>
              <w:t xml:space="preserve">14 Feb 1966 </w:t>
            </w:r>
            <w:r>
              <w:rPr>
                <w:sz w:val="19"/>
              </w:rPr>
              <w:br/>
              <w:t xml:space="preserve">(see s. 2(2)); balance: </w:t>
            </w:r>
            <w:r>
              <w:rPr>
                <w:sz w:val="19"/>
              </w:rPr>
              <w:br/>
              <w:t>21 Dec 1965</w:t>
            </w:r>
          </w:p>
        </w:tc>
      </w:tr>
      <w:tr w:rsidR="008730F9">
        <w:tc>
          <w:tcPr>
            <w:tcW w:w="2266" w:type="dxa"/>
          </w:tcPr>
          <w:p w:rsidR="008730F9" w:rsidRDefault="005378F1">
            <w:pPr>
              <w:pStyle w:val="nTable"/>
              <w:spacing w:before="40" w:after="40"/>
              <w:rPr>
                <w:sz w:val="19"/>
              </w:rPr>
            </w:pPr>
            <w:r>
              <w:rPr>
                <w:i/>
                <w:sz w:val="19"/>
              </w:rPr>
              <w:t xml:space="preserve">Change of Names Regulation Amendment </w:t>
            </w:r>
            <w:r>
              <w:rPr>
                <w:i/>
                <w:sz w:val="19"/>
              </w:rPr>
              <w:br/>
              <w:t>Act 1980</w:t>
            </w:r>
          </w:p>
        </w:tc>
        <w:tc>
          <w:tcPr>
            <w:tcW w:w="1133" w:type="dxa"/>
          </w:tcPr>
          <w:p w:rsidR="008730F9" w:rsidRDefault="005378F1">
            <w:pPr>
              <w:pStyle w:val="nTable"/>
              <w:spacing w:before="40" w:after="40"/>
              <w:rPr>
                <w:sz w:val="19"/>
              </w:rPr>
            </w:pPr>
            <w:r>
              <w:rPr>
                <w:sz w:val="19"/>
              </w:rPr>
              <w:t>13 of 1980</w:t>
            </w:r>
          </w:p>
        </w:tc>
        <w:tc>
          <w:tcPr>
            <w:tcW w:w="1133" w:type="dxa"/>
          </w:tcPr>
          <w:p w:rsidR="008730F9" w:rsidRDefault="005378F1">
            <w:pPr>
              <w:pStyle w:val="nTable"/>
              <w:spacing w:before="40" w:after="40"/>
              <w:rPr>
                <w:sz w:val="19"/>
              </w:rPr>
            </w:pPr>
            <w:r>
              <w:rPr>
                <w:sz w:val="19"/>
              </w:rPr>
              <w:t>15 Oct 1980</w:t>
            </w:r>
          </w:p>
        </w:tc>
        <w:tc>
          <w:tcPr>
            <w:tcW w:w="2549" w:type="dxa"/>
          </w:tcPr>
          <w:p w:rsidR="008730F9" w:rsidRDefault="005378F1">
            <w:pPr>
              <w:pStyle w:val="nTable"/>
              <w:spacing w:before="40" w:after="40"/>
              <w:rPr>
                <w:sz w:val="19"/>
              </w:rPr>
            </w:pPr>
            <w:r>
              <w:rPr>
                <w:sz w:val="19"/>
              </w:rPr>
              <w:t xml:space="preserve">Section 3 (c), (d) </w:t>
            </w:r>
            <w:r>
              <w:rPr>
                <w:sz w:val="19"/>
              </w:rPr>
              <w:br/>
              <w:t>and (e): 1 Dec 1980</w:t>
            </w:r>
            <w:r>
              <w:rPr>
                <w:sz w:val="19"/>
              </w:rPr>
              <w:br/>
              <w:t xml:space="preserve">(see </w:t>
            </w:r>
            <w:r>
              <w:rPr>
                <w:i/>
                <w:sz w:val="19"/>
              </w:rPr>
              <w:t>Gazette</w:t>
            </w:r>
            <w:r>
              <w:rPr>
                <w:sz w:val="19"/>
              </w:rPr>
              <w:t xml:space="preserve"> 28 Nov 1980 p.3997); </w:t>
            </w:r>
            <w:r>
              <w:rPr>
                <w:sz w:val="19"/>
              </w:rPr>
              <w:br/>
              <w:t>balance: 15 Oct 1990</w:t>
            </w:r>
          </w:p>
        </w:tc>
      </w:tr>
      <w:tr w:rsidR="008730F9">
        <w:tc>
          <w:tcPr>
            <w:tcW w:w="2266" w:type="dxa"/>
          </w:tcPr>
          <w:p w:rsidR="008730F9" w:rsidRDefault="005378F1">
            <w:pPr>
              <w:pStyle w:val="nTable"/>
              <w:spacing w:before="40" w:after="40"/>
              <w:rPr>
                <w:sz w:val="19"/>
              </w:rPr>
            </w:pPr>
            <w:r>
              <w:rPr>
                <w:i/>
                <w:sz w:val="19"/>
              </w:rPr>
              <w:t xml:space="preserve">Change of Names Regulation Amendment </w:t>
            </w:r>
            <w:r>
              <w:rPr>
                <w:i/>
                <w:sz w:val="19"/>
              </w:rPr>
              <w:br/>
              <w:t>Act 1989</w:t>
            </w:r>
          </w:p>
        </w:tc>
        <w:tc>
          <w:tcPr>
            <w:tcW w:w="1133" w:type="dxa"/>
          </w:tcPr>
          <w:p w:rsidR="008730F9" w:rsidRDefault="005378F1">
            <w:pPr>
              <w:pStyle w:val="nTable"/>
              <w:spacing w:before="40" w:after="40"/>
              <w:rPr>
                <w:sz w:val="19"/>
              </w:rPr>
            </w:pPr>
            <w:r>
              <w:rPr>
                <w:sz w:val="19"/>
              </w:rPr>
              <w:t>11 of 1989</w:t>
            </w:r>
          </w:p>
        </w:tc>
        <w:tc>
          <w:tcPr>
            <w:tcW w:w="1133" w:type="dxa"/>
          </w:tcPr>
          <w:p w:rsidR="008730F9" w:rsidRDefault="005378F1">
            <w:pPr>
              <w:pStyle w:val="nTable"/>
              <w:spacing w:before="40" w:after="40"/>
              <w:rPr>
                <w:sz w:val="19"/>
              </w:rPr>
            </w:pPr>
            <w:r>
              <w:rPr>
                <w:sz w:val="19"/>
              </w:rPr>
              <w:t>2 Nov 1989</w:t>
            </w:r>
          </w:p>
        </w:tc>
        <w:tc>
          <w:tcPr>
            <w:tcW w:w="2549" w:type="dxa"/>
          </w:tcPr>
          <w:p w:rsidR="008730F9" w:rsidRDefault="005378F1">
            <w:pPr>
              <w:pStyle w:val="nTable"/>
              <w:spacing w:before="40" w:after="40"/>
              <w:rPr>
                <w:sz w:val="19"/>
              </w:rPr>
            </w:pPr>
            <w:r>
              <w:rPr>
                <w:sz w:val="19"/>
              </w:rPr>
              <w:t xml:space="preserve">29 Jun 1990 (see </w:t>
            </w:r>
            <w:r>
              <w:rPr>
                <w:i/>
                <w:sz w:val="19"/>
              </w:rPr>
              <w:t>Gazette</w:t>
            </w:r>
            <w:r>
              <w:rPr>
                <w:sz w:val="19"/>
              </w:rPr>
              <w:t xml:space="preserve"> 29 Jun 1990 p. 3139)</w:t>
            </w:r>
          </w:p>
        </w:tc>
      </w:tr>
      <w:tr w:rsidR="008730F9">
        <w:tc>
          <w:tcPr>
            <w:tcW w:w="2266" w:type="dxa"/>
            <w:tcBorders>
              <w:bottom w:val="single" w:sz="4" w:space="0" w:color="auto"/>
            </w:tcBorders>
          </w:tcPr>
          <w:p w:rsidR="008730F9" w:rsidRDefault="005378F1">
            <w:pPr>
              <w:pStyle w:val="nTable"/>
              <w:spacing w:before="40" w:after="40"/>
              <w:rPr>
                <w:sz w:val="19"/>
              </w:rPr>
            </w:pPr>
            <w:r>
              <w:rPr>
                <w:i/>
                <w:sz w:val="19"/>
              </w:rPr>
              <w:t xml:space="preserve">Sentencing (Consequential Provisions) </w:t>
            </w:r>
            <w:r>
              <w:rPr>
                <w:i/>
                <w:sz w:val="19"/>
              </w:rPr>
              <w:br/>
              <w:t>Act 1995</w:t>
            </w:r>
            <w:r>
              <w:rPr>
                <w:sz w:val="19"/>
              </w:rPr>
              <w:t>,</w:t>
            </w:r>
            <w:r>
              <w:rPr>
                <w:sz w:val="19"/>
              </w:rPr>
              <w:br/>
              <w:t>section 147</w:t>
            </w:r>
          </w:p>
        </w:tc>
        <w:tc>
          <w:tcPr>
            <w:tcW w:w="1133" w:type="dxa"/>
            <w:tcBorders>
              <w:bottom w:val="single" w:sz="4" w:space="0" w:color="auto"/>
            </w:tcBorders>
          </w:tcPr>
          <w:p w:rsidR="008730F9" w:rsidRDefault="005378F1">
            <w:pPr>
              <w:pStyle w:val="nTable"/>
              <w:spacing w:before="40" w:after="40"/>
              <w:rPr>
                <w:sz w:val="19"/>
              </w:rPr>
            </w:pPr>
            <w:r>
              <w:rPr>
                <w:sz w:val="19"/>
              </w:rPr>
              <w:t>78 of 1995</w:t>
            </w:r>
          </w:p>
        </w:tc>
        <w:tc>
          <w:tcPr>
            <w:tcW w:w="1133" w:type="dxa"/>
            <w:tcBorders>
              <w:bottom w:val="single" w:sz="4" w:space="0" w:color="auto"/>
            </w:tcBorders>
          </w:tcPr>
          <w:p w:rsidR="008730F9" w:rsidRDefault="005378F1">
            <w:pPr>
              <w:pStyle w:val="nTable"/>
              <w:spacing w:before="40" w:after="40"/>
              <w:rPr>
                <w:sz w:val="19"/>
              </w:rPr>
            </w:pPr>
            <w:r>
              <w:rPr>
                <w:sz w:val="19"/>
              </w:rPr>
              <w:t>16 Jan 1996</w:t>
            </w:r>
          </w:p>
        </w:tc>
        <w:tc>
          <w:tcPr>
            <w:tcW w:w="2549" w:type="dxa"/>
            <w:tcBorders>
              <w:bottom w:val="single" w:sz="4" w:space="0" w:color="auto"/>
            </w:tcBorders>
          </w:tcPr>
          <w:p w:rsidR="008730F9" w:rsidRDefault="005378F1">
            <w:pPr>
              <w:pStyle w:val="nTable"/>
              <w:spacing w:before="40" w:after="40"/>
              <w:rPr>
                <w:sz w:val="19"/>
              </w:rPr>
            </w:pPr>
            <w:r>
              <w:rPr>
                <w:sz w:val="19"/>
              </w:rPr>
              <w:t xml:space="preserve">4 Nov 1996 (see s. 2 and </w:t>
            </w:r>
            <w:r>
              <w:rPr>
                <w:i/>
                <w:sz w:val="19"/>
              </w:rPr>
              <w:t>Gazette</w:t>
            </w:r>
            <w:r>
              <w:rPr>
                <w:sz w:val="19"/>
              </w:rPr>
              <w:t xml:space="preserve"> 25 Oct 1996 p. 5632)</w:t>
            </w:r>
          </w:p>
        </w:tc>
      </w:tr>
    </w:tbl>
    <w:p w:rsidR="008730F9" w:rsidRDefault="005378F1">
      <w:pPr>
        <w:pStyle w:val="nSubsection"/>
        <w:keepNext/>
        <w:rPr>
          <w:snapToGrid w:val="0"/>
        </w:rPr>
      </w:pPr>
      <w:r>
        <w:rPr>
          <w:snapToGrid w:val="0"/>
          <w:vertAlign w:val="superscript"/>
        </w:rPr>
        <w:t>2</w:t>
      </w:r>
      <w:r>
        <w:rPr>
          <w:snapToGrid w:val="0"/>
        </w:rPr>
        <w:t xml:space="preserve"> </w:t>
      </w:r>
      <w:r>
        <w:rPr>
          <w:snapToGrid w:val="0"/>
        </w:rPr>
        <w:tab/>
        <w:t xml:space="preserve">Section 7 of the </w:t>
      </w:r>
      <w:r>
        <w:rPr>
          <w:i/>
          <w:snapToGrid w:val="0"/>
        </w:rPr>
        <w:t>Change of Names Regulation Amendment Act 1989</w:t>
      </w:r>
      <w:r>
        <w:rPr>
          <w:snapToGrid w:val="0"/>
        </w:rPr>
        <w:t xml:space="preserve"> (Act No. 11 of 1989) reads as follows: — </w:t>
      </w:r>
    </w:p>
    <w:p w:rsidR="008730F9" w:rsidRDefault="005378F1">
      <w:pPr>
        <w:pStyle w:val="MiscOpen"/>
        <w:rPr>
          <w:snapToGrid w:val="0"/>
        </w:rPr>
      </w:pPr>
      <w:r>
        <w:rPr>
          <w:snapToGrid w:val="0"/>
        </w:rPr>
        <w:t>“</w:t>
      </w:r>
    </w:p>
    <w:p w:rsidR="008730F9" w:rsidRDefault="005378F1">
      <w:pPr>
        <w:pStyle w:val="nzHeading5"/>
        <w:rPr>
          <w:snapToGrid w:val="0"/>
        </w:rPr>
      </w:pPr>
      <w:r>
        <w:rPr>
          <w:snapToGrid w:val="0"/>
        </w:rPr>
        <w:t>7.</w:t>
      </w:r>
      <w:r>
        <w:rPr>
          <w:snapToGrid w:val="0"/>
        </w:rPr>
        <w:tab/>
        <w:t xml:space="preserve">Registrar of Deeds and Transfers to transfer certain records </w:t>
      </w:r>
    </w:p>
    <w:p w:rsidR="008730F9" w:rsidRDefault="005378F1">
      <w:pPr>
        <w:pStyle w:val="nzSubsection"/>
        <w:rPr>
          <w:snapToGrid w:val="0"/>
        </w:rPr>
      </w:pPr>
      <w:r>
        <w:rPr>
          <w:snapToGrid w:val="0"/>
        </w:rPr>
        <w:tab/>
      </w:r>
      <w:r>
        <w:rPr>
          <w:snapToGrid w:val="0"/>
        </w:rPr>
        <w:tab/>
        <w:t xml:space="preserve">The Registrar of Deeds and Transfers shall, notwithstanding the </w:t>
      </w:r>
      <w:r>
        <w:rPr>
          <w:i/>
          <w:snapToGrid w:val="0"/>
        </w:rPr>
        <w:t>Registration of Deeds Act 1856</w:t>
      </w:r>
      <w:r>
        <w:rPr>
          <w:snapToGrid w:val="0"/>
        </w:rPr>
        <w:t>, transfer to the custody and control of the Registrar General the memorials and related indexes of changes of name registered in the office of the Registrar of Deeds and Transfers in Perth in respect of that period commencing on 31 January 1957 and ending with the commencement of this Act.</w:t>
      </w:r>
    </w:p>
    <w:p w:rsidR="008730F9" w:rsidRDefault="005378F1">
      <w:pPr>
        <w:pStyle w:val="MiscClose"/>
        <w:rPr>
          <w:snapToGrid w:val="0"/>
        </w:rPr>
      </w:pPr>
      <w:r>
        <w:rPr>
          <w:snapToGrid w:val="0"/>
        </w:rPr>
        <w:t>”.</w:t>
      </w:r>
    </w:p>
    <w:p w:rsidR="008730F9" w:rsidRDefault="008730F9">
      <w:pPr>
        <w:sectPr w:rsidR="008730F9">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8730F9" w:rsidRDefault="008730F9"/>
    <w:sectPr w:rsidR="008730F9">
      <w:headerReference w:type="even" r:id="rId29"/>
      <w:headerReference w:type="default" r:id="rId30"/>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0F9" w:rsidRDefault="005378F1">
      <w:r>
        <w:separator/>
      </w:r>
    </w:p>
  </w:endnote>
  <w:endnote w:type="continuationSeparator" w:id="0">
    <w:p w:rsidR="008730F9" w:rsidRDefault="0053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F9" w:rsidRDefault="008730F9">
    <w:pPr>
      <w:pStyle w:val="Footer"/>
      <w:tabs>
        <w:tab w:val="clear" w:pos="4153"/>
        <w:tab w:val="right" w:pos="7088"/>
      </w:tabs>
      <w:rPr>
        <w:rStyle w:val="PageNumber"/>
      </w:rPr>
    </w:pPr>
  </w:p>
  <w:p w:rsidR="008730F9" w:rsidRDefault="005378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0E83">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0E83">
      <w:rPr>
        <w:rFonts w:ascii="Arial" w:hAnsi="Arial" w:cs="Arial"/>
        <w:sz w:val="20"/>
        <w:lang w:val="en-US"/>
      </w:rPr>
      <w:t>04 Nov 1996</w:t>
    </w:r>
    <w:r>
      <w:rPr>
        <w:rFonts w:ascii="Arial" w:hAnsi="Arial" w:cs="Arial"/>
        <w:sz w:val="20"/>
        <w:lang w:val="en-US"/>
      </w:rPr>
      <w:fldChar w:fldCharType="end"/>
    </w:r>
  </w:p>
  <w:p w:rsidR="008730F9" w:rsidRDefault="005378F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F9" w:rsidRDefault="008730F9">
    <w:pPr>
      <w:pStyle w:val="Footer"/>
      <w:tabs>
        <w:tab w:val="clear" w:pos="4153"/>
        <w:tab w:val="right" w:pos="7088"/>
      </w:tabs>
      <w:rPr>
        <w:rStyle w:val="PageNumber"/>
      </w:rPr>
    </w:pPr>
  </w:p>
  <w:p w:rsidR="008730F9" w:rsidRDefault="005378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0E83">
      <w:rPr>
        <w:rFonts w:ascii="Arial" w:hAnsi="Arial" w:cs="Arial"/>
        <w:sz w:val="20"/>
        <w:lang w:val="en-US"/>
      </w:rPr>
      <w:t>04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0E83">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rsidR="008730F9" w:rsidRDefault="005378F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F9" w:rsidRDefault="008730F9">
    <w:pPr>
      <w:pStyle w:val="Footer"/>
      <w:tabs>
        <w:tab w:val="clear" w:pos="4153"/>
        <w:tab w:val="right" w:pos="7088"/>
      </w:tabs>
      <w:rPr>
        <w:rStyle w:val="PageNumber"/>
      </w:rPr>
    </w:pPr>
  </w:p>
  <w:p w:rsidR="008730F9" w:rsidRDefault="005378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0E83">
      <w:rPr>
        <w:rFonts w:ascii="Arial" w:hAnsi="Arial" w:cs="Arial"/>
        <w:sz w:val="20"/>
        <w:lang w:val="en-US"/>
      </w:rPr>
      <w:t>04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0E83">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rsidR="008730F9" w:rsidRDefault="005378F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F9" w:rsidRDefault="008730F9">
    <w:pPr>
      <w:pStyle w:val="Footer"/>
      <w:tabs>
        <w:tab w:val="clear" w:pos="4153"/>
        <w:tab w:val="right" w:pos="7088"/>
      </w:tabs>
      <w:rPr>
        <w:rStyle w:val="PageNumber"/>
      </w:rPr>
    </w:pPr>
  </w:p>
  <w:p w:rsidR="008730F9" w:rsidRDefault="005378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0E83">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0E83">
      <w:rPr>
        <w:rFonts w:ascii="Arial" w:hAnsi="Arial" w:cs="Arial"/>
        <w:sz w:val="20"/>
        <w:lang w:val="en-US"/>
      </w:rPr>
      <w:t>04 Nov 1996</w:t>
    </w:r>
    <w:r>
      <w:rPr>
        <w:rFonts w:ascii="Arial" w:hAnsi="Arial" w:cs="Arial"/>
        <w:sz w:val="20"/>
        <w:lang w:val="en-US"/>
      </w:rPr>
      <w:fldChar w:fldCharType="end"/>
    </w:r>
  </w:p>
  <w:p w:rsidR="008730F9" w:rsidRDefault="005378F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F9" w:rsidRDefault="008730F9">
    <w:pPr>
      <w:pStyle w:val="Footer"/>
      <w:tabs>
        <w:tab w:val="clear" w:pos="4153"/>
        <w:tab w:val="right" w:pos="7088"/>
      </w:tabs>
      <w:rPr>
        <w:rStyle w:val="PageNumber"/>
      </w:rPr>
    </w:pPr>
  </w:p>
  <w:p w:rsidR="008730F9" w:rsidRDefault="005378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0E83">
      <w:rPr>
        <w:rFonts w:ascii="Arial" w:hAnsi="Arial" w:cs="Arial"/>
        <w:sz w:val="20"/>
        <w:lang w:val="en-US"/>
      </w:rPr>
      <w:t>04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0E83">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730F9" w:rsidRDefault="005378F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F9" w:rsidRDefault="008730F9">
    <w:pPr>
      <w:pStyle w:val="Footer"/>
      <w:tabs>
        <w:tab w:val="clear" w:pos="4153"/>
        <w:tab w:val="right" w:pos="7088"/>
      </w:tabs>
      <w:rPr>
        <w:rStyle w:val="PageNumber"/>
      </w:rPr>
    </w:pPr>
  </w:p>
  <w:p w:rsidR="008730F9" w:rsidRDefault="005378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0E83">
      <w:rPr>
        <w:rFonts w:ascii="Arial" w:hAnsi="Arial" w:cs="Arial"/>
        <w:sz w:val="20"/>
        <w:lang w:val="en-US"/>
      </w:rPr>
      <w:t>04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0E83">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F0E83">
      <w:rPr>
        <w:rStyle w:val="PageNumber"/>
        <w:rFonts w:ascii="Arial" w:hAnsi="Arial" w:cs="Arial"/>
        <w:noProof/>
      </w:rPr>
      <w:t>i</w:t>
    </w:r>
    <w:r>
      <w:rPr>
        <w:rStyle w:val="PageNumber"/>
        <w:rFonts w:ascii="Arial" w:hAnsi="Arial" w:cs="Arial"/>
      </w:rPr>
      <w:fldChar w:fldCharType="end"/>
    </w:r>
  </w:p>
  <w:p w:rsidR="008730F9" w:rsidRDefault="005378F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F9" w:rsidRDefault="008730F9">
    <w:pPr>
      <w:pStyle w:val="Footer"/>
      <w:tabs>
        <w:tab w:val="clear" w:pos="4153"/>
        <w:tab w:val="right" w:pos="7088"/>
      </w:tabs>
      <w:rPr>
        <w:rStyle w:val="PageNumber"/>
      </w:rPr>
    </w:pPr>
  </w:p>
  <w:p w:rsidR="008730F9" w:rsidRDefault="005378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F0E83">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0E83">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0E83">
      <w:rPr>
        <w:rFonts w:ascii="Arial" w:hAnsi="Arial" w:cs="Arial"/>
        <w:sz w:val="20"/>
        <w:lang w:val="en-US"/>
      </w:rPr>
      <w:t>04 Nov 1996</w:t>
    </w:r>
    <w:r>
      <w:rPr>
        <w:rFonts w:ascii="Arial" w:hAnsi="Arial" w:cs="Arial"/>
        <w:sz w:val="20"/>
        <w:lang w:val="en-US"/>
      </w:rPr>
      <w:fldChar w:fldCharType="end"/>
    </w:r>
    <w:r>
      <w:rPr>
        <w:rFonts w:ascii="Arial" w:hAnsi="Arial" w:cs="Arial"/>
        <w:sz w:val="20"/>
        <w:lang w:val="en-US"/>
      </w:rPr>
      <w:t xml:space="preserve"> </w:t>
    </w:r>
  </w:p>
  <w:p w:rsidR="008730F9" w:rsidRDefault="005378F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F9" w:rsidRDefault="008730F9">
    <w:pPr>
      <w:pStyle w:val="Footer"/>
      <w:tabs>
        <w:tab w:val="clear" w:pos="4153"/>
        <w:tab w:val="right" w:pos="7088"/>
      </w:tabs>
      <w:rPr>
        <w:rStyle w:val="PageNumber"/>
      </w:rPr>
    </w:pPr>
  </w:p>
  <w:p w:rsidR="008730F9" w:rsidRDefault="005378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0E83">
      <w:rPr>
        <w:rFonts w:ascii="Arial" w:hAnsi="Arial" w:cs="Arial"/>
        <w:sz w:val="20"/>
        <w:lang w:val="en-US"/>
      </w:rPr>
      <w:t>04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0E83">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F0E83">
      <w:rPr>
        <w:rStyle w:val="CharPageNo"/>
        <w:rFonts w:ascii="Arial" w:hAnsi="Arial"/>
        <w:noProof/>
      </w:rPr>
      <w:t>7</w:t>
    </w:r>
    <w:r>
      <w:rPr>
        <w:rStyle w:val="CharPageNo"/>
        <w:rFonts w:ascii="Arial" w:hAnsi="Arial"/>
      </w:rPr>
      <w:fldChar w:fldCharType="end"/>
    </w:r>
  </w:p>
  <w:p w:rsidR="008730F9" w:rsidRDefault="005378F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F9" w:rsidRDefault="008730F9">
    <w:pPr>
      <w:pStyle w:val="Footer"/>
      <w:tabs>
        <w:tab w:val="clear" w:pos="4153"/>
        <w:tab w:val="right" w:pos="7088"/>
      </w:tabs>
      <w:rPr>
        <w:rStyle w:val="PageNumber"/>
      </w:rPr>
    </w:pPr>
  </w:p>
  <w:p w:rsidR="008730F9" w:rsidRDefault="005378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0E83">
      <w:rPr>
        <w:rFonts w:ascii="Arial" w:hAnsi="Arial" w:cs="Arial"/>
        <w:sz w:val="20"/>
        <w:lang w:val="en-US"/>
      </w:rPr>
      <w:t>04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0E83">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F0E83">
      <w:rPr>
        <w:rStyle w:val="CharPageNo"/>
        <w:rFonts w:ascii="Arial" w:hAnsi="Arial"/>
        <w:noProof/>
      </w:rPr>
      <w:t>1</w:t>
    </w:r>
    <w:r>
      <w:rPr>
        <w:rStyle w:val="CharPageNo"/>
        <w:rFonts w:ascii="Arial" w:hAnsi="Arial"/>
      </w:rPr>
      <w:fldChar w:fldCharType="end"/>
    </w:r>
  </w:p>
  <w:p w:rsidR="008730F9" w:rsidRDefault="005378F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0F9" w:rsidRDefault="005378F1">
      <w:r>
        <w:separator/>
      </w:r>
    </w:p>
  </w:footnote>
  <w:footnote w:type="continuationSeparator" w:id="0">
    <w:p w:rsidR="008730F9" w:rsidRDefault="00537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F9" w:rsidRDefault="005378F1">
    <w:pPr>
      <w:pStyle w:val="headerpartodd"/>
      <w:ind w:left="0" w:firstLine="0"/>
      <w:rPr>
        <w:i/>
      </w:rPr>
    </w:pPr>
    <w:r>
      <w:rPr>
        <w:i/>
      </w:rPr>
      <w:fldChar w:fldCharType="begin"/>
    </w:r>
    <w:r>
      <w:rPr>
        <w:i/>
      </w:rPr>
      <w:instrText xml:space="preserve"> Styleref "Name of Act/Reg" </w:instrText>
    </w:r>
    <w:r>
      <w:rPr>
        <w:i/>
      </w:rPr>
      <w:fldChar w:fldCharType="separate"/>
    </w:r>
    <w:r w:rsidR="001F0E83">
      <w:rPr>
        <w:i/>
        <w:noProof/>
      </w:rPr>
      <w:t>Change of Names Regulation Act 1923</w:t>
    </w:r>
    <w:r>
      <w:rPr>
        <w:i/>
      </w:rPr>
      <w:fldChar w:fldCharType="end"/>
    </w:r>
  </w:p>
  <w:p w:rsidR="008730F9" w:rsidRDefault="005378F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730F9" w:rsidRDefault="005378F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730F9" w:rsidRDefault="008730F9">
    <w:pPr>
      <w:pStyle w:val="headerpart"/>
      <w:rPr>
        <w:sz w:val="24"/>
      </w:rPr>
    </w:pPr>
  </w:p>
  <w:p w:rsidR="008730F9" w:rsidRDefault="008730F9">
    <w:pPr>
      <w:pBdr>
        <w:bottom w:val="single" w:sz="6" w:space="1" w:color="auto"/>
      </w:pBdr>
      <w:rPr>
        <w:b/>
      </w:rPr>
    </w:pPr>
  </w:p>
  <w:p w:rsidR="008730F9" w:rsidRDefault="008730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730F9">
      <w:trPr>
        <w:cantSplit/>
      </w:trPr>
      <w:tc>
        <w:tcPr>
          <w:tcW w:w="7312" w:type="dxa"/>
          <w:gridSpan w:val="2"/>
        </w:tcPr>
        <w:p w:rsidR="008730F9" w:rsidRDefault="005378F1">
          <w:pPr>
            <w:pStyle w:val="HeaderActNameLeft"/>
          </w:pPr>
          <w:fldSimple w:instr=" Styleref &quot;Name of Act/Reg&quot; ">
            <w:r w:rsidR="001F0E83">
              <w:rPr>
                <w:noProof/>
              </w:rPr>
              <w:t>Change of Names Regulation Act 1923</w:t>
            </w:r>
          </w:fldSimple>
        </w:p>
      </w:tc>
    </w:tr>
    <w:tr w:rsidR="008730F9">
      <w:tc>
        <w:tcPr>
          <w:tcW w:w="1548" w:type="dxa"/>
        </w:tcPr>
        <w:p w:rsidR="008730F9" w:rsidRDefault="008730F9">
          <w:pPr>
            <w:pStyle w:val="HeaderNumberLeft"/>
          </w:pPr>
        </w:p>
      </w:tc>
      <w:tc>
        <w:tcPr>
          <w:tcW w:w="5764" w:type="dxa"/>
        </w:tcPr>
        <w:p w:rsidR="008730F9" w:rsidRDefault="008730F9">
          <w:pPr>
            <w:pStyle w:val="HeaderTextLeft"/>
          </w:pPr>
        </w:p>
      </w:tc>
    </w:tr>
    <w:tr w:rsidR="008730F9">
      <w:tc>
        <w:tcPr>
          <w:tcW w:w="1548" w:type="dxa"/>
        </w:tcPr>
        <w:p w:rsidR="008730F9" w:rsidRDefault="008730F9">
          <w:pPr>
            <w:pStyle w:val="HeaderNumberLeft"/>
          </w:pPr>
        </w:p>
      </w:tc>
      <w:tc>
        <w:tcPr>
          <w:tcW w:w="5764" w:type="dxa"/>
        </w:tcPr>
        <w:p w:rsidR="008730F9" w:rsidRDefault="008730F9">
          <w:pPr>
            <w:pStyle w:val="HeaderTextLeft"/>
          </w:pPr>
        </w:p>
      </w:tc>
    </w:tr>
    <w:tr w:rsidR="008730F9">
      <w:trPr>
        <w:cantSplit/>
      </w:trPr>
      <w:tc>
        <w:tcPr>
          <w:tcW w:w="7312" w:type="dxa"/>
          <w:gridSpan w:val="2"/>
        </w:tcPr>
        <w:p w:rsidR="008730F9" w:rsidRDefault="008730F9">
          <w:pPr>
            <w:pStyle w:val="HeaderSectionLeft"/>
          </w:pPr>
        </w:p>
      </w:tc>
    </w:tr>
  </w:tbl>
  <w:p w:rsidR="008730F9" w:rsidRDefault="008730F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730F9">
      <w:trPr>
        <w:cantSplit/>
      </w:trPr>
      <w:tc>
        <w:tcPr>
          <w:tcW w:w="7312" w:type="dxa"/>
          <w:gridSpan w:val="2"/>
        </w:tcPr>
        <w:p w:rsidR="008730F9" w:rsidRDefault="005378F1">
          <w:pPr>
            <w:pStyle w:val="HeaderActNameRight"/>
          </w:pPr>
          <w:fldSimple w:instr=" Styleref &quot;Name of Act/Reg&quot; ">
            <w:r w:rsidR="001F0E83">
              <w:rPr>
                <w:noProof/>
              </w:rPr>
              <w:t>Change of Names Regulation Act 1923</w:t>
            </w:r>
          </w:fldSimple>
        </w:p>
      </w:tc>
    </w:tr>
    <w:tr w:rsidR="008730F9">
      <w:tc>
        <w:tcPr>
          <w:tcW w:w="5760" w:type="dxa"/>
        </w:tcPr>
        <w:p w:rsidR="008730F9" w:rsidRDefault="008730F9">
          <w:pPr>
            <w:pStyle w:val="HeaderTextRight"/>
          </w:pPr>
        </w:p>
      </w:tc>
      <w:tc>
        <w:tcPr>
          <w:tcW w:w="1552" w:type="dxa"/>
        </w:tcPr>
        <w:p w:rsidR="008730F9" w:rsidRDefault="008730F9">
          <w:pPr>
            <w:pStyle w:val="HeaderNumberRight"/>
          </w:pPr>
        </w:p>
      </w:tc>
    </w:tr>
    <w:tr w:rsidR="008730F9">
      <w:tc>
        <w:tcPr>
          <w:tcW w:w="5760" w:type="dxa"/>
        </w:tcPr>
        <w:p w:rsidR="008730F9" w:rsidRDefault="008730F9">
          <w:pPr>
            <w:pStyle w:val="HeaderTextRight"/>
          </w:pPr>
        </w:p>
      </w:tc>
      <w:tc>
        <w:tcPr>
          <w:tcW w:w="1552" w:type="dxa"/>
        </w:tcPr>
        <w:p w:rsidR="008730F9" w:rsidRDefault="008730F9">
          <w:pPr>
            <w:pStyle w:val="HeaderNumberRight"/>
          </w:pPr>
        </w:p>
      </w:tc>
    </w:tr>
    <w:tr w:rsidR="008730F9">
      <w:trPr>
        <w:cantSplit/>
      </w:trPr>
      <w:tc>
        <w:tcPr>
          <w:tcW w:w="7312" w:type="dxa"/>
          <w:gridSpan w:val="2"/>
        </w:tcPr>
        <w:p w:rsidR="008730F9" w:rsidRDefault="008730F9">
          <w:pPr>
            <w:pStyle w:val="HeaderSectionRight"/>
          </w:pPr>
        </w:p>
      </w:tc>
    </w:tr>
  </w:tbl>
  <w:p w:rsidR="008730F9" w:rsidRDefault="008730F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F9" w:rsidRDefault="008730F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F9" w:rsidRDefault="005378F1">
    <w:pPr>
      <w:pStyle w:val="headerpartodd"/>
      <w:ind w:left="0" w:firstLine="0"/>
      <w:rPr>
        <w:i/>
      </w:rPr>
    </w:pPr>
    <w:r>
      <w:rPr>
        <w:i/>
      </w:rPr>
      <w:fldChar w:fldCharType="begin"/>
    </w:r>
    <w:r>
      <w:rPr>
        <w:i/>
      </w:rPr>
      <w:instrText xml:space="preserve"> Styleref "Name of Act/Reg" </w:instrText>
    </w:r>
    <w:r>
      <w:rPr>
        <w:i/>
      </w:rPr>
      <w:fldChar w:fldCharType="separate"/>
    </w:r>
    <w:r w:rsidR="001F0E83">
      <w:rPr>
        <w:i/>
        <w:noProof/>
      </w:rPr>
      <w:t>Change of Names Regulation Act 1923</w:t>
    </w:r>
    <w:r>
      <w:rPr>
        <w:i/>
      </w:rPr>
      <w:fldChar w:fldCharType="end"/>
    </w:r>
  </w:p>
  <w:p w:rsidR="008730F9" w:rsidRDefault="008730F9">
    <w:pPr>
      <w:pStyle w:val="headerpartodd"/>
      <w:ind w:left="0" w:firstLine="0"/>
      <w:rPr>
        <w:b w:val="0"/>
        <w:i/>
      </w:rPr>
    </w:pPr>
  </w:p>
  <w:p w:rsidR="008730F9" w:rsidRDefault="008730F9">
    <w:pPr>
      <w:pStyle w:val="headerpart"/>
    </w:pPr>
  </w:p>
  <w:p w:rsidR="008730F9" w:rsidRDefault="008730F9">
    <w:pPr>
      <w:pStyle w:val="headerpart"/>
    </w:pPr>
  </w:p>
  <w:p w:rsidR="008730F9" w:rsidRDefault="008730F9">
    <w:pPr>
      <w:pBdr>
        <w:bottom w:val="single" w:sz="6" w:space="1" w:color="auto"/>
      </w:pBdr>
      <w:rPr>
        <w:b/>
      </w:rPr>
    </w:pPr>
  </w:p>
  <w:p w:rsidR="008730F9" w:rsidRDefault="008730F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F9" w:rsidRDefault="005378F1">
    <w:pPr>
      <w:pStyle w:val="headerpartodd"/>
      <w:ind w:left="0" w:firstLine="0"/>
      <w:jc w:val="right"/>
      <w:rPr>
        <w:i/>
      </w:rPr>
    </w:pPr>
    <w:r>
      <w:rPr>
        <w:i/>
      </w:rPr>
      <w:fldChar w:fldCharType="begin"/>
    </w:r>
    <w:r>
      <w:rPr>
        <w:i/>
      </w:rPr>
      <w:instrText xml:space="preserve"> Styleref "Name of Act/Reg" </w:instrText>
    </w:r>
    <w:r>
      <w:rPr>
        <w:i/>
      </w:rPr>
      <w:fldChar w:fldCharType="separate"/>
    </w:r>
    <w:r w:rsidR="001F0E83">
      <w:rPr>
        <w:i/>
        <w:noProof/>
      </w:rPr>
      <w:t>Change of Names Regulation Act 1923</w:t>
    </w:r>
    <w:r>
      <w:rPr>
        <w:i/>
      </w:rPr>
      <w:fldChar w:fldCharType="end"/>
    </w:r>
  </w:p>
  <w:p w:rsidR="008730F9" w:rsidRDefault="008730F9">
    <w:pPr>
      <w:pStyle w:val="headerpartodd"/>
      <w:ind w:left="0" w:firstLine="0"/>
      <w:jc w:val="right"/>
      <w:rPr>
        <w:b w:val="0"/>
        <w:i/>
      </w:rPr>
    </w:pPr>
  </w:p>
  <w:p w:rsidR="008730F9" w:rsidRDefault="008730F9">
    <w:pPr>
      <w:pStyle w:val="headerpart"/>
      <w:jc w:val="right"/>
    </w:pPr>
  </w:p>
  <w:p w:rsidR="008730F9" w:rsidRDefault="008730F9">
    <w:pPr>
      <w:pStyle w:val="headerpart"/>
      <w:jc w:val="right"/>
      <w:rPr>
        <w:sz w:val="24"/>
      </w:rPr>
    </w:pPr>
  </w:p>
  <w:p w:rsidR="008730F9" w:rsidRDefault="008730F9">
    <w:pPr>
      <w:pBdr>
        <w:bottom w:val="single" w:sz="6" w:space="1" w:color="auto"/>
      </w:pBdr>
      <w:jc w:val="right"/>
      <w:rPr>
        <w:b/>
      </w:rPr>
    </w:pPr>
  </w:p>
  <w:p w:rsidR="008730F9" w:rsidRDefault="00873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83" w:rsidRDefault="001F0E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83" w:rsidRDefault="001F0E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730F9">
      <w:trPr>
        <w:cantSplit/>
      </w:trPr>
      <w:tc>
        <w:tcPr>
          <w:tcW w:w="7312" w:type="dxa"/>
          <w:gridSpan w:val="2"/>
        </w:tcPr>
        <w:p w:rsidR="008730F9" w:rsidRDefault="005378F1">
          <w:pPr>
            <w:pStyle w:val="HeaderActNameLeft"/>
          </w:pPr>
          <w:r>
            <w:rPr>
              <w:i w:val="0"/>
            </w:rPr>
            <w:fldChar w:fldCharType="begin"/>
          </w:r>
          <w:r>
            <w:rPr>
              <w:i w:val="0"/>
            </w:rPr>
            <w:instrText xml:space="preserve"> Styleref "Name of Act/Reg" </w:instrText>
          </w:r>
          <w:r>
            <w:rPr>
              <w:i w:val="0"/>
            </w:rPr>
            <w:fldChar w:fldCharType="separate"/>
          </w:r>
          <w:r w:rsidR="001F0E83">
            <w:rPr>
              <w:i w:val="0"/>
              <w:noProof/>
            </w:rPr>
            <w:t>Change of Names Regulation Act 1923</w:t>
          </w:r>
          <w:r>
            <w:rPr>
              <w:i w:val="0"/>
            </w:rPr>
            <w:fldChar w:fldCharType="end"/>
          </w:r>
        </w:p>
      </w:tc>
    </w:tr>
    <w:tr w:rsidR="008730F9">
      <w:tc>
        <w:tcPr>
          <w:tcW w:w="1548" w:type="dxa"/>
        </w:tcPr>
        <w:p w:rsidR="008730F9" w:rsidRDefault="008730F9">
          <w:pPr>
            <w:pStyle w:val="HeaderNumberLeft"/>
          </w:pPr>
        </w:p>
      </w:tc>
      <w:tc>
        <w:tcPr>
          <w:tcW w:w="5764" w:type="dxa"/>
        </w:tcPr>
        <w:p w:rsidR="008730F9" w:rsidRDefault="008730F9">
          <w:pPr>
            <w:pStyle w:val="HeaderTextLeft"/>
          </w:pPr>
        </w:p>
      </w:tc>
    </w:tr>
    <w:tr w:rsidR="008730F9">
      <w:tc>
        <w:tcPr>
          <w:tcW w:w="1548" w:type="dxa"/>
        </w:tcPr>
        <w:p w:rsidR="008730F9" w:rsidRDefault="008730F9">
          <w:pPr>
            <w:pStyle w:val="HeaderNumberLeft"/>
          </w:pPr>
        </w:p>
      </w:tc>
      <w:tc>
        <w:tcPr>
          <w:tcW w:w="5764" w:type="dxa"/>
        </w:tcPr>
        <w:p w:rsidR="008730F9" w:rsidRDefault="008730F9">
          <w:pPr>
            <w:pStyle w:val="HeaderTextLeft"/>
          </w:pPr>
        </w:p>
      </w:tc>
    </w:tr>
    <w:tr w:rsidR="008730F9">
      <w:trPr>
        <w:cantSplit/>
      </w:trPr>
      <w:tc>
        <w:tcPr>
          <w:tcW w:w="7312" w:type="dxa"/>
          <w:gridSpan w:val="2"/>
        </w:tcPr>
        <w:p w:rsidR="008730F9" w:rsidRDefault="008730F9">
          <w:pPr>
            <w:pStyle w:val="HeaderSectionLeft"/>
          </w:pPr>
        </w:p>
      </w:tc>
    </w:tr>
  </w:tbl>
  <w:p w:rsidR="008730F9" w:rsidRDefault="008730F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730F9">
      <w:trPr>
        <w:cantSplit/>
      </w:trPr>
      <w:tc>
        <w:tcPr>
          <w:tcW w:w="7312" w:type="dxa"/>
          <w:gridSpan w:val="2"/>
        </w:tcPr>
        <w:p w:rsidR="008730F9" w:rsidRDefault="005378F1">
          <w:pPr>
            <w:pStyle w:val="HeaderActNameRight"/>
          </w:pPr>
          <w:fldSimple w:instr=" Styleref &quot;Name of Act/Reg&quot; ">
            <w:r w:rsidR="001F0E83">
              <w:rPr>
                <w:noProof/>
              </w:rPr>
              <w:t>Change of Names Regulation Act 1923</w:t>
            </w:r>
          </w:fldSimple>
        </w:p>
      </w:tc>
    </w:tr>
    <w:tr w:rsidR="008730F9">
      <w:tc>
        <w:tcPr>
          <w:tcW w:w="5760" w:type="dxa"/>
        </w:tcPr>
        <w:p w:rsidR="008730F9" w:rsidRDefault="008730F9">
          <w:pPr>
            <w:pStyle w:val="HeaderTextRight"/>
          </w:pPr>
        </w:p>
      </w:tc>
      <w:tc>
        <w:tcPr>
          <w:tcW w:w="1552" w:type="dxa"/>
        </w:tcPr>
        <w:p w:rsidR="008730F9" w:rsidRDefault="008730F9">
          <w:pPr>
            <w:pStyle w:val="HeaderNumberRight"/>
          </w:pPr>
        </w:p>
      </w:tc>
    </w:tr>
    <w:tr w:rsidR="008730F9">
      <w:tc>
        <w:tcPr>
          <w:tcW w:w="5760" w:type="dxa"/>
        </w:tcPr>
        <w:p w:rsidR="008730F9" w:rsidRDefault="008730F9">
          <w:pPr>
            <w:pStyle w:val="HeaderTextRight"/>
          </w:pPr>
        </w:p>
      </w:tc>
      <w:tc>
        <w:tcPr>
          <w:tcW w:w="1552" w:type="dxa"/>
        </w:tcPr>
        <w:p w:rsidR="008730F9" w:rsidRDefault="008730F9">
          <w:pPr>
            <w:pStyle w:val="HeaderNumberRight"/>
          </w:pPr>
        </w:p>
      </w:tc>
    </w:tr>
    <w:tr w:rsidR="008730F9">
      <w:trPr>
        <w:cantSplit/>
      </w:trPr>
      <w:tc>
        <w:tcPr>
          <w:tcW w:w="7312" w:type="dxa"/>
          <w:gridSpan w:val="2"/>
        </w:tcPr>
        <w:p w:rsidR="008730F9" w:rsidRDefault="008730F9">
          <w:pPr>
            <w:pStyle w:val="HeaderSectionRight"/>
          </w:pPr>
        </w:p>
      </w:tc>
    </w:tr>
  </w:tbl>
  <w:p w:rsidR="008730F9" w:rsidRDefault="008730F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F9" w:rsidRDefault="008730F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730F9">
      <w:trPr>
        <w:cantSplit/>
      </w:trPr>
      <w:tc>
        <w:tcPr>
          <w:tcW w:w="7312" w:type="dxa"/>
          <w:gridSpan w:val="2"/>
        </w:tcPr>
        <w:p w:rsidR="008730F9" w:rsidRDefault="005378F1">
          <w:pPr>
            <w:pStyle w:val="HeaderActNameLeft"/>
          </w:pPr>
          <w:fldSimple w:instr=" Styleref &quot;Name of Act/Reg&quot; ">
            <w:r w:rsidR="001F0E83">
              <w:rPr>
                <w:noProof/>
              </w:rPr>
              <w:t>Change of Names Regulation Act 1923</w:t>
            </w:r>
          </w:fldSimple>
        </w:p>
      </w:tc>
    </w:tr>
    <w:tr w:rsidR="008730F9">
      <w:tc>
        <w:tcPr>
          <w:tcW w:w="1305" w:type="dxa"/>
        </w:tcPr>
        <w:p w:rsidR="008730F9" w:rsidRDefault="005378F1">
          <w:pPr>
            <w:pStyle w:val="HeaderNumberLeft"/>
          </w:pPr>
          <w:r>
            <w:fldChar w:fldCharType="begin"/>
          </w:r>
          <w:r>
            <w:instrText xml:space="preserve"> styleref CharPartNo </w:instrText>
          </w:r>
          <w:r>
            <w:fldChar w:fldCharType="end"/>
          </w:r>
        </w:p>
      </w:tc>
      <w:tc>
        <w:tcPr>
          <w:tcW w:w="6007" w:type="dxa"/>
        </w:tcPr>
        <w:p w:rsidR="008730F9" w:rsidRDefault="005378F1">
          <w:pPr>
            <w:pStyle w:val="HeaderTextLeft"/>
          </w:pPr>
          <w:r>
            <w:fldChar w:fldCharType="begin"/>
          </w:r>
          <w:r>
            <w:instrText xml:space="preserve"> styleref CharPartText </w:instrText>
          </w:r>
          <w:r>
            <w:fldChar w:fldCharType="end"/>
          </w:r>
        </w:p>
      </w:tc>
    </w:tr>
    <w:tr w:rsidR="008730F9">
      <w:tc>
        <w:tcPr>
          <w:tcW w:w="1305" w:type="dxa"/>
        </w:tcPr>
        <w:p w:rsidR="008730F9" w:rsidRDefault="005378F1">
          <w:pPr>
            <w:pStyle w:val="HeaderNumberLeft"/>
          </w:pPr>
          <w:r>
            <w:fldChar w:fldCharType="begin"/>
          </w:r>
          <w:r>
            <w:instrText xml:space="preserve"> styleref CharDivNo </w:instrText>
          </w:r>
          <w:r>
            <w:fldChar w:fldCharType="end"/>
          </w:r>
        </w:p>
      </w:tc>
      <w:tc>
        <w:tcPr>
          <w:tcW w:w="6007" w:type="dxa"/>
        </w:tcPr>
        <w:p w:rsidR="008730F9" w:rsidRDefault="005378F1">
          <w:pPr>
            <w:pStyle w:val="HeaderTextLeft"/>
          </w:pPr>
          <w:r>
            <w:fldChar w:fldCharType="begin"/>
          </w:r>
          <w:r>
            <w:instrText xml:space="preserve"> styleref CharDivText </w:instrText>
          </w:r>
          <w:r>
            <w:fldChar w:fldCharType="end"/>
          </w:r>
        </w:p>
      </w:tc>
    </w:tr>
    <w:tr w:rsidR="008730F9">
      <w:trPr>
        <w:cantSplit/>
      </w:trPr>
      <w:tc>
        <w:tcPr>
          <w:tcW w:w="7312" w:type="dxa"/>
          <w:gridSpan w:val="2"/>
        </w:tcPr>
        <w:p w:rsidR="008730F9" w:rsidRDefault="005378F1">
          <w:pPr>
            <w:pStyle w:val="HeaderSectionLeft"/>
          </w:pPr>
          <w:r>
            <w:t xml:space="preserve">s. </w:t>
          </w:r>
          <w:fldSimple w:instr=" styleref CharSectno ">
            <w:r w:rsidR="001F0E83">
              <w:rPr>
                <w:noProof/>
              </w:rPr>
              <w:t>1</w:t>
            </w:r>
          </w:fldSimple>
        </w:p>
      </w:tc>
    </w:tr>
  </w:tbl>
  <w:p w:rsidR="008730F9" w:rsidRDefault="008730F9">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730F9">
      <w:trPr>
        <w:cantSplit/>
      </w:trPr>
      <w:tc>
        <w:tcPr>
          <w:tcW w:w="7312" w:type="dxa"/>
          <w:gridSpan w:val="2"/>
        </w:tcPr>
        <w:p w:rsidR="008730F9" w:rsidRDefault="005378F1">
          <w:pPr>
            <w:pStyle w:val="HeaderActNameRight"/>
          </w:pPr>
          <w:fldSimple w:instr=" Styleref &quot;Name of Act/Reg&quot; ">
            <w:r w:rsidR="001F0E83">
              <w:rPr>
                <w:noProof/>
              </w:rPr>
              <w:t>Change of Names Regulation Act 1923</w:t>
            </w:r>
          </w:fldSimple>
        </w:p>
      </w:tc>
    </w:tr>
    <w:tr w:rsidR="008730F9">
      <w:tc>
        <w:tcPr>
          <w:tcW w:w="5985" w:type="dxa"/>
        </w:tcPr>
        <w:p w:rsidR="008730F9" w:rsidRDefault="005378F1">
          <w:pPr>
            <w:pStyle w:val="HeaderTextRight"/>
          </w:pPr>
          <w:r>
            <w:fldChar w:fldCharType="begin"/>
          </w:r>
          <w:r>
            <w:instrText xml:space="preserve"> styleref CharPartText </w:instrText>
          </w:r>
          <w:r>
            <w:fldChar w:fldCharType="end"/>
          </w:r>
        </w:p>
      </w:tc>
      <w:tc>
        <w:tcPr>
          <w:tcW w:w="1327" w:type="dxa"/>
        </w:tcPr>
        <w:p w:rsidR="008730F9" w:rsidRDefault="005378F1">
          <w:pPr>
            <w:pStyle w:val="HeaderNumberRight"/>
          </w:pPr>
          <w:r>
            <w:fldChar w:fldCharType="begin"/>
          </w:r>
          <w:r>
            <w:instrText xml:space="preserve"> styleref CharPartNo </w:instrText>
          </w:r>
          <w:r>
            <w:fldChar w:fldCharType="end"/>
          </w:r>
        </w:p>
      </w:tc>
    </w:tr>
    <w:tr w:rsidR="008730F9">
      <w:tc>
        <w:tcPr>
          <w:tcW w:w="5985" w:type="dxa"/>
        </w:tcPr>
        <w:p w:rsidR="008730F9" w:rsidRDefault="005378F1">
          <w:pPr>
            <w:pStyle w:val="HeaderTextRight"/>
          </w:pPr>
          <w:r>
            <w:fldChar w:fldCharType="begin"/>
          </w:r>
          <w:r>
            <w:instrText xml:space="preserve"> styleref CharDivText </w:instrText>
          </w:r>
          <w:r>
            <w:fldChar w:fldCharType="end"/>
          </w:r>
        </w:p>
      </w:tc>
      <w:tc>
        <w:tcPr>
          <w:tcW w:w="1327" w:type="dxa"/>
        </w:tcPr>
        <w:p w:rsidR="008730F9" w:rsidRDefault="005378F1">
          <w:pPr>
            <w:pStyle w:val="HeaderNumberRight"/>
          </w:pPr>
          <w:r>
            <w:fldChar w:fldCharType="begin"/>
          </w:r>
          <w:r>
            <w:instrText xml:space="preserve"> styleref CharDivNo </w:instrText>
          </w:r>
          <w:r>
            <w:fldChar w:fldCharType="end"/>
          </w:r>
        </w:p>
      </w:tc>
    </w:tr>
    <w:tr w:rsidR="008730F9">
      <w:trPr>
        <w:cantSplit/>
      </w:trPr>
      <w:tc>
        <w:tcPr>
          <w:tcW w:w="7312" w:type="dxa"/>
          <w:gridSpan w:val="2"/>
        </w:tcPr>
        <w:p w:rsidR="008730F9" w:rsidRDefault="005378F1">
          <w:pPr>
            <w:pStyle w:val="HeaderSectionRight"/>
          </w:pPr>
          <w:r>
            <w:t xml:space="preserve">s. </w:t>
          </w:r>
          <w:fldSimple w:instr=" styleref CharSectno ">
            <w:r w:rsidR="001F0E83">
              <w:rPr>
                <w:noProof/>
              </w:rPr>
              <w:t>1</w:t>
            </w:r>
          </w:fldSimple>
        </w:p>
      </w:tc>
    </w:tr>
  </w:tbl>
  <w:p w:rsidR="008730F9" w:rsidRDefault="008730F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F9" w:rsidRDefault="00873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F1"/>
    <w:rsid w:val="001B7AC2"/>
    <w:rsid w:val="001F0E83"/>
    <w:rsid w:val="005378F1"/>
    <w:rsid w:val="005A00BD"/>
    <w:rsid w:val="008730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paragraph" w:customStyle="1" w:styleId="nzLongTitle">
    <w:name w:val="nzLong Title"/>
    <w:basedOn w:val="Normal"/>
    <w:pPr>
      <w:spacing w:before="40"/>
      <w:ind w:left="567" w:right="284"/>
    </w:pPr>
    <w:rPr>
      <w:b/>
      <w:sz w:val="20"/>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auto"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auto"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auto"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auto"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auto"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auto" w:fill="auto"/>
      <w:spacing w:before="120"/>
      <w:ind w:left="567" w:right="284"/>
    </w:pPr>
    <w:rPr>
      <w:b/>
      <w:sz w:val="20"/>
    </w:rPr>
  </w:style>
  <w:style w:type="paragraph" w:customStyle="1" w:styleId="nzHeading5">
    <w:name w:val="nzHeading 5"/>
    <w:basedOn w:val="zHeading5"/>
    <w:pPr>
      <w:pBdr>
        <w:left w:val="none" w:sz="0" w:space="0" w:color="auto"/>
        <w:right w:val="none" w:sz="0" w:space="0" w:color="auto"/>
      </w:pBdr>
      <w:shd w:val="clear" w:color="auto"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auto"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auto" w:fill="auto"/>
      <w:tabs>
        <w:tab w:val="clear" w:pos="2621"/>
        <w:tab w:val="clear" w:pos="2909"/>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auto"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auto" w:fill="auto"/>
      <w:tabs>
        <w:tab w:val="clear" w:pos="3197"/>
        <w:tab w:val="clear" w:pos="3485"/>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auto" w:fill="auto"/>
      <w:tabs>
        <w:tab w:val="clear" w:pos="1325"/>
        <w:tab w:val="clear" w:pos="1613"/>
        <w:tab w:val="right" w:pos="2155"/>
        <w:tab w:val="left" w:pos="2438"/>
      </w:tabs>
      <w:spacing w:before="40" w:line="240" w:lineRule="auto"/>
      <w:ind w:left="2552" w:right="284" w:hanging="2183"/>
    </w:pPr>
    <w:rPr>
      <w:sz w:val="20"/>
    </w:rPr>
  </w:style>
  <w:style w:type="paragraph" w:customStyle="1" w:styleId="nzPenstart">
    <w:name w:val="nzPenstart"/>
    <w:basedOn w:val="zPenstart"/>
    <w:pPr>
      <w:pBdr>
        <w:left w:val="none" w:sz="0" w:space="0" w:color="auto"/>
        <w:right w:val="none" w:sz="0" w:space="0" w:color="auto"/>
      </w:pBdr>
      <w:shd w:val="clear" w:color="auto" w:fill="auto"/>
      <w:tabs>
        <w:tab w:val="clear" w:pos="893"/>
        <w:tab w:val="left" w:pos="1446"/>
      </w:tabs>
      <w:spacing w:before="40" w:line="240" w:lineRule="auto"/>
      <w:ind w:left="1843" w:right="284" w:hanging="1021"/>
    </w:pPr>
    <w:rPr>
      <w:sz w:val="20"/>
    </w:rPr>
  </w:style>
  <w:style w:type="paragraph" w:customStyle="1" w:styleId="nzSubsection">
    <w:name w:val="nzSubsection"/>
    <w:basedOn w:val="zSubsection"/>
    <w:pPr>
      <w:pBdr>
        <w:left w:val="none" w:sz="0" w:space="0" w:color="auto"/>
        <w:right w:val="none" w:sz="0" w:space="0" w:color="auto"/>
      </w:pBdr>
      <w:shd w:val="clear" w:color="auto"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rPr>
      <w:sz w:val="20"/>
    </w:rPr>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nzMiscellaneousBody">
    <w:name w:val="nzMiscellaneous Body"/>
    <w:basedOn w:val="zMiscellaneousBody"/>
    <w:pPr>
      <w:pBdr>
        <w:left w:val="none" w:sz="0" w:space="0" w:color="auto"/>
        <w:right w:val="none" w:sz="0" w:space="0" w:color="auto"/>
      </w:pBdr>
      <w:shd w:val="clear" w:color="auto" w:fill="auto"/>
      <w:tabs>
        <w:tab w:val="clear" w:pos="605"/>
        <w:tab w:val="clear" w:pos="893"/>
      </w:tabs>
      <w:spacing w:before="80" w:line="240" w:lineRule="auto"/>
      <w:ind w:left="567" w:right="284" w:firstLine="0"/>
    </w:pPr>
    <w:rPr>
      <w:sz w:val="20"/>
    </w:rPr>
  </w:style>
  <w:style w:type="paragraph" w:customStyle="1" w:styleId="yFootnoteheading">
    <w:name w:val="yFootnote(heading)"/>
    <w:basedOn w:val="Footnoteheading"/>
    <w:rPr>
      <w:sz w:val="22"/>
    </w:rPr>
  </w:style>
  <w:style w:type="paragraph" w:customStyle="1" w:styleId="nzMiscellaneousHeading">
    <w:name w:val="nzMiscellaneous Heading"/>
    <w:basedOn w:val="zMiscellaneousHeading"/>
    <w:pPr>
      <w:keepNext/>
      <w:pBdr>
        <w:left w:val="none" w:sz="0" w:space="0" w:color="auto"/>
        <w:right w:val="none" w:sz="0" w:space="0" w:color="auto"/>
      </w:pBdr>
      <w:shd w:val="clear" w:color="auto" w:fill="auto"/>
      <w:tabs>
        <w:tab w:val="clear" w:pos="605"/>
        <w:tab w:val="clear" w:pos="893"/>
      </w:tabs>
      <w:spacing w:before="80" w:line="240" w:lineRule="auto"/>
      <w:ind w:left="567" w:right="284" w:firstLine="0"/>
      <w:jc w:val="center"/>
    </w:pPr>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customStyle="1" w:styleId="nzNumberedItem">
    <w:name w:val="nzNumberedItem"/>
    <w:basedOn w:val="Normal"/>
    <w:pPr>
      <w:tabs>
        <w:tab w:val="left" w:pos="1446"/>
      </w:tabs>
      <w:spacing w:before="40"/>
      <w:ind w:left="1446" w:right="284" w:hanging="879"/>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paragraph" w:customStyle="1" w:styleId="nzLongTitle">
    <w:name w:val="nzLong Title"/>
    <w:basedOn w:val="Normal"/>
    <w:pPr>
      <w:spacing w:before="40"/>
      <w:ind w:left="567" w:right="284"/>
    </w:pPr>
    <w:rPr>
      <w:b/>
      <w:sz w:val="20"/>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auto"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auto"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auto"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auto"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auto"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auto" w:fill="auto"/>
      <w:spacing w:before="120"/>
      <w:ind w:left="567" w:right="284"/>
    </w:pPr>
    <w:rPr>
      <w:b/>
      <w:sz w:val="20"/>
    </w:rPr>
  </w:style>
  <w:style w:type="paragraph" w:customStyle="1" w:styleId="nzHeading5">
    <w:name w:val="nzHeading 5"/>
    <w:basedOn w:val="zHeading5"/>
    <w:pPr>
      <w:pBdr>
        <w:left w:val="none" w:sz="0" w:space="0" w:color="auto"/>
        <w:right w:val="none" w:sz="0" w:space="0" w:color="auto"/>
      </w:pBdr>
      <w:shd w:val="clear" w:color="auto"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auto"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auto" w:fill="auto"/>
      <w:tabs>
        <w:tab w:val="clear" w:pos="2621"/>
        <w:tab w:val="clear" w:pos="2909"/>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auto"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auto" w:fill="auto"/>
      <w:tabs>
        <w:tab w:val="clear" w:pos="3197"/>
        <w:tab w:val="clear" w:pos="3485"/>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auto" w:fill="auto"/>
      <w:tabs>
        <w:tab w:val="clear" w:pos="1325"/>
        <w:tab w:val="clear" w:pos="1613"/>
        <w:tab w:val="right" w:pos="2155"/>
        <w:tab w:val="left" w:pos="2438"/>
      </w:tabs>
      <w:spacing w:before="40" w:line="240" w:lineRule="auto"/>
      <w:ind w:left="2552" w:right="284" w:hanging="2183"/>
    </w:pPr>
    <w:rPr>
      <w:sz w:val="20"/>
    </w:rPr>
  </w:style>
  <w:style w:type="paragraph" w:customStyle="1" w:styleId="nzPenstart">
    <w:name w:val="nzPenstart"/>
    <w:basedOn w:val="zPenstart"/>
    <w:pPr>
      <w:pBdr>
        <w:left w:val="none" w:sz="0" w:space="0" w:color="auto"/>
        <w:right w:val="none" w:sz="0" w:space="0" w:color="auto"/>
      </w:pBdr>
      <w:shd w:val="clear" w:color="auto" w:fill="auto"/>
      <w:tabs>
        <w:tab w:val="clear" w:pos="893"/>
        <w:tab w:val="left" w:pos="1446"/>
      </w:tabs>
      <w:spacing w:before="40" w:line="240" w:lineRule="auto"/>
      <w:ind w:left="1843" w:right="284" w:hanging="1021"/>
    </w:pPr>
    <w:rPr>
      <w:sz w:val="20"/>
    </w:rPr>
  </w:style>
  <w:style w:type="paragraph" w:customStyle="1" w:styleId="nzSubsection">
    <w:name w:val="nzSubsection"/>
    <w:basedOn w:val="zSubsection"/>
    <w:pPr>
      <w:pBdr>
        <w:left w:val="none" w:sz="0" w:space="0" w:color="auto"/>
        <w:right w:val="none" w:sz="0" w:space="0" w:color="auto"/>
      </w:pBdr>
      <w:shd w:val="clear" w:color="auto"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rPr>
      <w:sz w:val="20"/>
    </w:rPr>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nzMiscellaneousBody">
    <w:name w:val="nzMiscellaneous Body"/>
    <w:basedOn w:val="zMiscellaneousBody"/>
    <w:pPr>
      <w:pBdr>
        <w:left w:val="none" w:sz="0" w:space="0" w:color="auto"/>
        <w:right w:val="none" w:sz="0" w:space="0" w:color="auto"/>
      </w:pBdr>
      <w:shd w:val="clear" w:color="auto" w:fill="auto"/>
      <w:tabs>
        <w:tab w:val="clear" w:pos="605"/>
        <w:tab w:val="clear" w:pos="893"/>
      </w:tabs>
      <w:spacing w:before="80" w:line="240" w:lineRule="auto"/>
      <w:ind w:left="567" w:right="284" w:firstLine="0"/>
    </w:pPr>
    <w:rPr>
      <w:sz w:val="20"/>
    </w:rPr>
  </w:style>
  <w:style w:type="paragraph" w:customStyle="1" w:styleId="yFootnoteheading">
    <w:name w:val="yFootnote(heading)"/>
    <w:basedOn w:val="Footnoteheading"/>
    <w:rPr>
      <w:sz w:val="22"/>
    </w:rPr>
  </w:style>
  <w:style w:type="paragraph" w:customStyle="1" w:styleId="nzMiscellaneousHeading">
    <w:name w:val="nzMiscellaneous Heading"/>
    <w:basedOn w:val="zMiscellaneousHeading"/>
    <w:pPr>
      <w:keepNext/>
      <w:pBdr>
        <w:left w:val="none" w:sz="0" w:space="0" w:color="auto"/>
        <w:right w:val="none" w:sz="0" w:space="0" w:color="auto"/>
      </w:pBdr>
      <w:shd w:val="clear" w:color="auto" w:fill="auto"/>
      <w:tabs>
        <w:tab w:val="clear" w:pos="605"/>
        <w:tab w:val="clear" w:pos="893"/>
      </w:tabs>
      <w:spacing w:before="80" w:line="240" w:lineRule="auto"/>
      <w:ind w:left="567" w:right="284" w:firstLine="0"/>
      <w:jc w:val="center"/>
    </w:pPr>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customStyle="1" w:styleId="nzNumberedItem">
    <w:name w:val="nzNumberedItem"/>
    <w:basedOn w:val="Normal"/>
    <w:pPr>
      <w:tabs>
        <w:tab w:val="left" w:pos="1446"/>
      </w:tabs>
      <w:spacing w:before="40"/>
      <w:ind w:left="1446" w:right="284" w:hanging="879"/>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1596</Words>
  <Characters>7135</Characters>
  <Application>Microsoft Office Word</Application>
  <DocSecurity>0</DocSecurity>
  <Lines>246</Lines>
  <Paragraphs>153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Names Regulation Act 1923 - 02-f0-02</dc:title>
  <dc:subject/>
  <dc:creator>harroldd</dc:creator>
  <cp:keywords/>
  <cp:lastModifiedBy>svcMRProcess</cp:lastModifiedBy>
  <cp:revision>4</cp:revision>
  <cp:lastPrinted>2006-04-06T08:17:00Z</cp:lastPrinted>
  <dcterms:created xsi:type="dcterms:W3CDTF">2014-08-19T04:52:00Z</dcterms:created>
  <dcterms:modified xsi:type="dcterms:W3CDTF">2014-08-19T04:52:00Z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1923</vt:lpwstr>
  </property>
  <property fmtid="{D5CDD505-2E9C-101B-9397-08002B2CF9AE}" pid="3" name="CommencementDate">
    <vt:lpwstr>19961104</vt:lpwstr>
  </property>
  <property fmtid="{D5CDD505-2E9C-101B-9397-08002B2CF9AE}" pid="4" name="DocumentType">
    <vt:lpwstr>Act</vt:lpwstr>
  </property>
  <property fmtid="{D5CDD505-2E9C-101B-9397-08002B2CF9AE}" pid="5" name="AsAtDate">
    <vt:lpwstr>04 Nov 1996</vt:lpwstr>
  </property>
  <property fmtid="{D5CDD505-2E9C-101B-9397-08002B2CF9AE}" pid="6" name="Suffix">
    <vt:lpwstr>02-f0-02</vt:lpwstr>
  </property>
</Properties>
</file>