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_Toc421008024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_Toc421008025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_Toc421008026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_Toc421008027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_Toc421008028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_Toc421008029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_Toc421008030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Termination of audit agreement, Executive Director to be notified</w:t>
      </w:r>
      <w:r>
        <w:tab/>
      </w:r>
      <w:r>
        <w:fldChar w:fldCharType="begin"/>
      </w:r>
      <w:r>
        <w:instrText xml:space="preserve"> PAGEREF _Toc421008031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Performance of audit</w:t>
      </w:r>
      <w:r>
        <w:tab/>
      </w:r>
      <w:r>
        <w:fldChar w:fldCharType="begin"/>
      </w:r>
      <w:r>
        <w:instrText xml:space="preserve"> PAGEREF _Toc421008032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_Toc421008033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_Toc421008034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_Toc421008035 \h </w:instrText>
      </w:r>
      <w:r>
        <w:fldChar w:fldCharType="separate"/>
      </w:r>
      <w:r>
        <w:t>2</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_Toc421008036 \h </w:instrText>
      </w:r>
      <w:r>
        <w:fldChar w:fldCharType="separate"/>
      </w:r>
      <w:r>
        <w:t>2</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_Toc421008037 \h </w:instrText>
      </w:r>
      <w:r>
        <w:fldChar w:fldCharType="separate"/>
      </w:r>
      <w:r>
        <w:t>2</w:t>
      </w:r>
      <w:r>
        <w:fldChar w:fldCharType="end"/>
      </w:r>
    </w:p>
    <w:p>
      <w:pPr>
        <w:pStyle w:val="TOC8"/>
        <w:rPr>
          <w:rFonts w:asciiTheme="minorHAnsi" w:eastAsiaTheme="minorEastAsia" w:hAnsiTheme="minorHAnsi" w:cstheme="minorBidi"/>
          <w:szCs w:val="22"/>
        </w:rPr>
      </w:pPr>
      <w:r>
        <w:t>15.</w:t>
      </w:r>
      <w:r>
        <w:tab/>
        <w:t>Compliance audit return, certified copy of etc. to be given to Executive Director</w:t>
      </w:r>
      <w:r>
        <w:tab/>
      </w:r>
      <w:r>
        <w:fldChar w:fldCharType="begin"/>
      </w:r>
      <w:r>
        <w:instrText xml:space="preserve"> PAGEREF _Toc421008038 \h </w:instrText>
      </w:r>
      <w:r>
        <w:fldChar w:fldCharType="separate"/>
      </w:r>
      <w:r>
        <w:t>2</w:t>
      </w:r>
      <w:r>
        <w:fldChar w:fldCharType="end"/>
      </w:r>
    </w:p>
    <w:p>
      <w:pPr>
        <w:pStyle w:val="TOC8"/>
        <w:rPr>
          <w:rFonts w:asciiTheme="minorHAnsi" w:eastAsiaTheme="minorEastAsia" w:hAnsiTheme="minorHAnsi" w:cstheme="minorBidi"/>
          <w:szCs w:val="22"/>
        </w:rPr>
      </w:pPr>
      <w:r>
        <w:t>16.</w:t>
      </w:r>
      <w:r>
        <w:tab/>
        <w:t>Audit committee, functions of</w:t>
      </w:r>
      <w:r>
        <w:tab/>
      </w:r>
      <w:r>
        <w:fldChar w:fldCharType="begin"/>
      </w:r>
      <w:r>
        <w:instrText xml:space="preserve"> PAGEREF _Toc421008039 \h </w:instrText>
      </w:r>
      <w:r>
        <w:fldChar w:fldCharType="separate"/>
      </w:r>
      <w:r>
        <w:t>2</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_Toc421008040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_Toc421008042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3" w:name="_Toc377565042"/>
      <w:bookmarkStart w:id="4" w:name="_Toc421008024"/>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5" w:name="_Toc377565043"/>
      <w:bookmarkStart w:id="6" w:name="_Toc42100802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7" w:name="_Toc377565044"/>
      <w:bookmarkStart w:id="8" w:name="_Toc421008026"/>
      <w:r>
        <w:rPr>
          <w:rStyle w:val="CharSectno"/>
        </w:rPr>
        <w:t>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9" w:name="_Toc377565045"/>
      <w:bookmarkStart w:id="10" w:name="_Toc421008027"/>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9"/>
      <w:bookmarkEnd w:id="10"/>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11" w:name="_Toc377565046"/>
      <w:bookmarkStart w:id="12" w:name="_Toc421008028"/>
      <w:r>
        <w:rPr>
          <w:rStyle w:val="CharSectno"/>
        </w:rPr>
        <w:lastRenderedPageBreak/>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11"/>
      <w:bookmarkEnd w:id="12"/>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13" w:name="_Toc377565047"/>
      <w:bookmarkStart w:id="14" w:name="_Toc421008029"/>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13"/>
      <w:bookmarkEnd w:id="14"/>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lastRenderedPageBreak/>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15" w:name="_Toc377565048"/>
      <w:bookmarkStart w:id="16" w:name="_Toc421008030"/>
      <w:r>
        <w:rPr>
          <w:rStyle w:val="CharSectno"/>
        </w:rPr>
        <w:t>7</w:t>
      </w:r>
      <w:r>
        <w:rPr>
          <w:snapToGrid w:val="0"/>
        </w:rPr>
        <w:t>.</w:t>
      </w:r>
      <w:r>
        <w:rPr>
          <w:snapToGrid w:val="0"/>
        </w:rPr>
        <w:tab/>
        <w:t>Agreements with auditors, contents of</w:t>
      </w:r>
      <w:bookmarkEnd w:id="15"/>
      <w:bookmarkEnd w:id="16"/>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7" w:name="_Toc377565049"/>
      <w:bookmarkStart w:id="18" w:name="_Toc421008031"/>
      <w:r>
        <w:rPr>
          <w:rStyle w:val="CharSectno"/>
        </w:rPr>
        <w:t>8</w:t>
      </w:r>
      <w:r>
        <w:rPr>
          <w:snapToGrid w:val="0"/>
        </w:rPr>
        <w:t>.</w:t>
      </w:r>
      <w:r>
        <w:rPr>
          <w:snapToGrid w:val="0"/>
        </w:rPr>
        <w:tab/>
        <w:t>Termination of audit agreement, Executive Director to be notified</w:t>
      </w:r>
      <w:bookmarkEnd w:id="17"/>
      <w:bookmarkEnd w:id="18"/>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19" w:name="_Toc377565050"/>
      <w:bookmarkStart w:id="20" w:name="_Toc421008032"/>
      <w:r>
        <w:rPr>
          <w:rStyle w:val="CharSectno"/>
        </w:rPr>
        <w:t>9</w:t>
      </w:r>
      <w:r>
        <w:rPr>
          <w:snapToGrid w:val="0"/>
        </w:rPr>
        <w:t>.</w:t>
      </w:r>
      <w:r>
        <w:rPr>
          <w:snapToGrid w:val="0"/>
        </w:rPr>
        <w:tab/>
        <w:t>Performance of audit</w:t>
      </w:r>
      <w:bookmarkEnd w:id="19"/>
      <w:bookmarkEnd w:id="20"/>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21" w:name="_Toc377565051"/>
      <w:bookmarkStart w:id="22" w:name="_Toc421008033"/>
      <w:r>
        <w:rPr>
          <w:rStyle w:val="CharSectno"/>
        </w:rPr>
        <w:t>10</w:t>
      </w:r>
      <w:r>
        <w:rPr>
          <w:snapToGrid w:val="0"/>
        </w:rPr>
        <w:t>.</w:t>
      </w:r>
      <w:r>
        <w:rPr>
          <w:snapToGrid w:val="0"/>
        </w:rPr>
        <w:tab/>
        <w:t>Report by auditor</w:t>
      </w:r>
      <w:bookmarkEnd w:id="21"/>
      <w:bookmarkEnd w:id="22"/>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in Gazette 21 Jun 2013 p. 2449-50.]</w:t>
      </w:r>
    </w:p>
    <w:p>
      <w:pPr>
        <w:pStyle w:val="Heading5"/>
        <w:rPr>
          <w:snapToGrid w:val="0"/>
        </w:rPr>
      </w:pPr>
      <w:bookmarkStart w:id="23" w:name="_Toc377565052"/>
      <w:bookmarkStart w:id="24" w:name="_Toc421008034"/>
      <w:r>
        <w:rPr>
          <w:rStyle w:val="CharSectno"/>
        </w:rPr>
        <w:t>11</w:t>
      </w:r>
      <w:r>
        <w:rPr>
          <w:snapToGrid w:val="0"/>
        </w:rPr>
        <w:t>.</w:t>
      </w:r>
      <w:r>
        <w:rPr>
          <w:snapToGrid w:val="0"/>
        </w:rPr>
        <w:tab/>
        <w:t>Hours and fees, auditor to give Minister statement of</w:t>
      </w:r>
      <w:bookmarkEnd w:id="23"/>
      <w:bookmarkEnd w:id="24"/>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25" w:name="_Toc377565053"/>
      <w:bookmarkStart w:id="26" w:name="_Toc421008035"/>
      <w:r>
        <w:rPr>
          <w:rStyle w:val="CharSectno"/>
        </w:rPr>
        <w:t>12</w:t>
      </w:r>
      <w:r>
        <w:rPr>
          <w:snapToGrid w:val="0"/>
        </w:rPr>
        <w:t>.</w:t>
      </w:r>
      <w:r>
        <w:rPr>
          <w:snapToGrid w:val="0"/>
        </w:rPr>
        <w:tab/>
        <w:t>Auditor’s conflict of interest, auditor to report</w:t>
      </w:r>
      <w:bookmarkEnd w:id="25"/>
      <w:bookmarkEnd w:id="26"/>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27" w:name="_Toc377565054"/>
      <w:bookmarkStart w:id="28" w:name="_Toc421008036"/>
      <w:r>
        <w:rPr>
          <w:rStyle w:val="CharSectno"/>
        </w:rPr>
        <w:t>13</w:t>
      </w:r>
      <w:r>
        <w:t>.</w:t>
      </w:r>
      <w:r>
        <w:tab/>
        <w:t>Prescribed statutory requirements for which compliance audit needed (Act s. 7.13(1)(i))</w:t>
      </w:r>
      <w:bookmarkEnd w:id="27"/>
      <w:bookmarkEnd w:id="28"/>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Mar>
              <w:bottom w:w="57" w:type="dxa"/>
            </w:tcMar>
          </w:tcPr>
          <w:p>
            <w:pPr>
              <w:pStyle w:val="TableNAm"/>
            </w:pPr>
            <w:r>
              <w:t>r. 24</w:t>
            </w:r>
          </w:p>
        </w:tc>
        <w:tc>
          <w:tcPr>
            <w:tcW w:w="1995" w:type="dxa"/>
            <w:tcMar>
              <w:bottom w:w="57" w:type="dxa"/>
            </w:tcMar>
          </w:tcPr>
          <w:p>
            <w:pPr>
              <w:pStyle w:val="TableNAm"/>
            </w:pPr>
            <w:r>
              <w:t>r. 24E</w:t>
            </w:r>
          </w:p>
        </w:tc>
        <w:tc>
          <w:tcPr>
            <w:tcW w:w="1996" w:type="dxa"/>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w:t>
      </w:r>
    </w:p>
    <w:p>
      <w:pPr>
        <w:pStyle w:val="Heading5"/>
      </w:pPr>
      <w:bookmarkStart w:id="29" w:name="_Toc377565055"/>
      <w:bookmarkStart w:id="30" w:name="_Toc421008037"/>
      <w:r>
        <w:rPr>
          <w:rStyle w:val="CharSectno"/>
        </w:rPr>
        <w:t>14</w:t>
      </w:r>
      <w:r>
        <w:t>.</w:t>
      </w:r>
      <w:r>
        <w:tab/>
        <w:t>Compliance audits by local governments</w:t>
      </w:r>
      <w:bookmarkEnd w:id="29"/>
      <w:bookmarkEnd w:id="30"/>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31" w:name="_Toc377565056"/>
      <w:bookmarkStart w:id="32" w:name="_Toc421008038"/>
      <w:r>
        <w:rPr>
          <w:rStyle w:val="CharSectno"/>
        </w:rPr>
        <w:t>15</w:t>
      </w:r>
      <w:r>
        <w:t>.</w:t>
      </w:r>
      <w:r>
        <w:tab/>
        <w:t>Compliance audit return, certified copy of etc. to be given to Executive Director</w:t>
      </w:r>
      <w:bookmarkEnd w:id="31"/>
      <w:bookmarkEnd w:id="32"/>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33" w:name="_Toc377565057"/>
      <w:bookmarkStart w:id="34" w:name="_Toc421008039"/>
      <w:r>
        <w:rPr>
          <w:rStyle w:val="CharSectno"/>
        </w:rPr>
        <w:t>16</w:t>
      </w:r>
      <w:r>
        <w:t>.</w:t>
      </w:r>
      <w:r>
        <w:tab/>
        <w:t>Audit committee, functions of</w:t>
      </w:r>
      <w:bookmarkEnd w:id="33"/>
      <w:bookmarkEnd w:id="34"/>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 and</w:t>
      </w:r>
    </w:p>
    <w:p>
      <w:pPr>
        <w:pStyle w:val="Indenta"/>
      </w:pPr>
      <w:r>
        <w:tab/>
        <w:t>(c)</w:t>
      </w:r>
      <w:r>
        <w:tab/>
        <w:t xml:space="preserve">is 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Footnotesection"/>
      </w:pPr>
      <w:r>
        <w:tab/>
        <w:t>[Regulation 16 inserted in Gazette 31 Mar 2005 p. 1043; amended in Gazette 8 Feb 2013 p. 867.]</w:t>
      </w:r>
    </w:p>
    <w:p>
      <w:pPr>
        <w:pStyle w:val="Heading5"/>
      </w:pPr>
      <w:bookmarkStart w:id="35" w:name="_Toc377565058"/>
      <w:bookmarkStart w:id="36" w:name="_Toc421008040"/>
      <w:r>
        <w:rPr>
          <w:rStyle w:val="CharSectno"/>
        </w:rPr>
        <w:t>17</w:t>
      </w:r>
      <w:r>
        <w:t>.</w:t>
      </w:r>
      <w:r>
        <w:tab/>
        <w:t>CEO to review certain systems and procedures</w:t>
      </w:r>
      <w:bookmarkEnd w:id="35"/>
      <w:bookmarkEnd w:id="36"/>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at least once every 2 calendar years.</w:t>
      </w:r>
    </w:p>
    <w:p>
      <w:pPr>
        <w:pStyle w:val="Subsection"/>
      </w:pPr>
      <w:r>
        <w:tab/>
        <w:t>(3)</w:t>
      </w:r>
      <w:r>
        <w:tab/>
        <w:t>The CEO is to report to the audit committee the results of that review.</w:t>
      </w:r>
    </w:p>
    <w:p>
      <w:pPr>
        <w:pStyle w:val="Footnotesection"/>
      </w:pPr>
      <w:r>
        <w:tab/>
        <w:t>[Regulation 17 inserted in Gazette 8 Feb 2013 p. 868.]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7565059"/>
      <w:bookmarkStart w:id="38" w:name="_Toc421008022"/>
      <w:bookmarkStart w:id="39" w:name="_Toc421008041"/>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77565060"/>
      <w:bookmarkStart w:id="41" w:name="_Toc421008042"/>
      <w:r>
        <w:rPr>
          <w:snapToGrid w:val="0"/>
        </w:rPr>
        <w:t>Compilation table</w:t>
      </w:r>
      <w:bookmarkEnd w:id="40"/>
      <w:bookmarkEnd w:id="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single" w:sz="8" w:space="0" w:color="auto"/>
            </w:tcBorders>
            <w:shd w:val="clear" w:color="auto" w:fill="auto"/>
          </w:tcPr>
          <w:p>
            <w:pPr>
              <w:pStyle w:val="nTable"/>
              <w:spacing w:after="40"/>
              <w:rPr>
                <w:i/>
              </w:rPr>
            </w:pPr>
            <w:r>
              <w:rPr>
                <w:i/>
              </w:rPr>
              <w:t>Local Government (Audit) Amendment Regulations (No. 2) 2013</w:t>
            </w:r>
          </w:p>
        </w:tc>
        <w:tc>
          <w:tcPr>
            <w:tcW w:w="1276" w:type="dxa"/>
            <w:tcBorders>
              <w:top w:val="nil"/>
              <w:bottom w:val="single" w:sz="8" w:space="0" w:color="auto"/>
            </w:tcBorders>
            <w:shd w:val="clear" w:color="auto" w:fill="auto"/>
          </w:tcPr>
          <w:p>
            <w:pPr>
              <w:pStyle w:val="nTable"/>
              <w:spacing w:after="40"/>
            </w:pPr>
            <w:r>
              <w:t>21 Jun 2013 p. 2449-50</w:t>
            </w:r>
          </w:p>
        </w:tc>
        <w:tc>
          <w:tcPr>
            <w:tcW w:w="2693" w:type="dxa"/>
            <w:tcBorders>
              <w:top w:val="nil"/>
              <w:bottom w:val="single" w:sz="8" w:space="0" w:color="auto"/>
            </w:tcBorders>
            <w:shd w:val="clear" w:color="auto" w:fill="auto"/>
          </w:tcPr>
          <w:p>
            <w:pPr>
              <w:pStyle w:val="nTable"/>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3" w:name="_Toc421008043"/>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 consumption ratio</w:t>
      </w:r>
      <w:r>
        <w:tab/>
        <w:t>10(4A)</w:t>
      </w:r>
    </w:p>
    <w:p>
      <w:pPr>
        <w:pStyle w:val="DefinedTerms"/>
      </w:pPr>
      <w:r>
        <w:t xml:space="preserve">asset renewal funding ratio </w:t>
      </w:r>
      <w:r>
        <w:tab/>
        <w:t>10(4A)</w:t>
      </w:r>
    </w:p>
    <w:p>
      <w:pPr>
        <w:pStyle w:val="DefinedTerms"/>
      </w:pPr>
      <w:r>
        <w:t>audit committee</w:t>
      </w:r>
      <w:r>
        <w:tab/>
        <w:t>3</w:t>
      </w:r>
    </w:p>
    <w:p>
      <w:pPr>
        <w:pStyle w:val="DefinedTerms"/>
      </w:pPr>
      <w:r>
        <w:t>Australian Accounting Standards</w:t>
      </w:r>
      <w:r>
        <w:tab/>
        <w:t>3</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relevant person</w:t>
      </w:r>
      <w:r>
        <w:tab/>
        <w:t>6(3)</w:t>
      </w:r>
    </w:p>
    <w:p>
      <w:pPr>
        <w:pStyle w:val="DefinedTerms"/>
      </w:pPr>
      <w:r>
        <w:t>section</w:t>
      </w:r>
      <w:r>
        <w:tab/>
        <w:t>3</w:t>
      </w:r>
    </w:p>
    <w:p>
      <w:pPr>
        <w:pStyle w:val="DefinedTerms"/>
      </w:pPr>
      <w:r>
        <w:t>value</w:t>
      </w:r>
      <w:r>
        <w:tab/>
        <w:t>6(3)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2110851"/>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13330</Characters>
  <Application>Microsoft Office Word</Application>
  <DocSecurity>0</DocSecurity>
  <Lines>512</Lines>
  <Paragraphs>365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1996 - 02-d0-03</dc:title>
  <dc:subject/>
  <dc:creator>David Harrold</dc:creator>
  <cp:keywords/>
  <dc:description/>
  <cp:lastModifiedBy>svcMRProcess</cp:lastModifiedBy>
  <cp:revision>4</cp:revision>
  <cp:lastPrinted>2011-11-07T07:44:00Z</cp:lastPrinted>
  <dcterms:created xsi:type="dcterms:W3CDTF">2015-06-02T04:00:00Z</dcterms:created>
  <dcterms:modified xsi:type="dcterms:W3CDTF">2015-06-02T04:00:00Z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20130622</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AsAtDate">
    <vt:lpwstr>22 Jun 2013</vt:lpwstr>
  </property>
  <property fmtid="{D5CDD505-2E9C-101B-9397-08002B2CF9AE}" pid="9" name="Suffix">
    <vt:lpwstr>02-d0-03</vt:lpwstr>
  </property>
</Properties>
</file>