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_Toc377393503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_Toc377393504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_Toc377393505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_Toc377393506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1A — Notice of redundancy</w:t>
      </w:r>
    </w:p>
    <w:p>
      <w:pPr>
        <w:pStyle w:val="TOC8"/>
        <w:rPr>
          <w:rFonts w:asciiTheme="minorHAnsi" w:eastAsiaTheme="minorEastAsia" w:hAnsiTheme="minorHAnsi" w:cstheme="minorBidi"/>
          <w:szCs w:val="22"/>
        </w:rPr>
      </w:pPr>
      <w:r>
        <w:t>4AA.</w:t>
      </w:r>
      <w:r>
        <w:tab/>
        <w:t>Entitlement to be consulted regarding redundancy</w:t>
      </w:r>
      <w:r>
        <w:tab/>
      </w:r>
      <w:r>
        <w:fldChar w:fldCharType="begin"/>
      </w:r>
      <w:r>
        <w:instrText xml:space="preserve"> PAGEREF _Toc377393508 \h </w:instrText>
      </w:r>
      <w:r>
        <w:fldChar w:fldCharType="separate"/>
      </w:r>
      <w:r>
        <w:t>7</w:t>
      </w:r>
      <w:r>
        <w:fldChar w:fldCharType="end"/>
      </w:r>
    </w:p>
    <w:p>
      <w:pPr>
        <w:pStyle w:val="TOC8"/>
        <w:rPr>
          <w:rFonts w:asciiTheme="minorHAnsi" w:eastAsiaTheme="minorEastAsia" w:hAnsiTheme="minorHAnsi" w:cstheme="minorBidi"/>
          <w:szCs w:val="22"/>
        </w:rPr>
      </w:pPr>
      <w:r>
        <w:t>4A.</w:t>
      </w:r>
      <w:r>
        <w:tab/>
        <w:t>Entitlement to notice of redundancy and pay in lieu</w:t>
      </w:r>
      <w:r>
        <w:tab/>
      </w:r>
      <w:r>
        <w:fldChar w:fldCharType="begin"/>
      </w:r>
      <w:r>
        <w:instrText xml:space="preserve"> PAGEREF _Toc377393509 \h </w:instrText>
      </w:r>
      <w:r>
        <w:fldChar w:fldCharType="separate"/>
      </w:r>
      <w:r>
        <w:t>8</w:t>
      </w:r>
      <w:r>
        <w:fldChar w:fldCharType="end"/>
      </w:r>
    </w:p>
    <w:p>
      <w:pPr>
        <w:pStyle w:val="TOC8"/>
        <w:rPr>
          <w:rFonts w:asciiTheme="minorHAnsi" w:eastAsiaTheme="minorEastAsia" w:hAnsiTheme="minorHAnsi" w:cstheme="minorBidi"/>
          <w:szCs w:val="22"/>
        </w:rPr>
      </w:pPr>
      <w:r>
        <w:t>5A.</w:t>
      </w:r>
      <w:r>
        <w:tab/>
        <w:t>Minister may approve voluntary severance scheme</w:t>
      </w:r>
      <w:r>
        <w:tab/>
      </w:r>
      <w:r>
        <w:fldChar w:fldCharType="begin"/>
      </w:r>
      <w:r>
        <w:instrText xml:space="preserve"> PAGEREF _Toc377393510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2 — Transfer and voluntary severance</w:t>
      </w:r>
    </w:p>
    <w:p>
      <w:pPr>
        <w:pStyle w:val="TOC8"/>
        <w:rPr>
          <w:rFonts w:asciiTheme="minorHAnsi" w:eastAsiaTheme="minorEastAsia" w:hAnsiTheme="minorHAnsi" w:cstheme="minorBidi"/>
          <w:szCs w:val="22"/>
        </w:rPr>
      </w:pPr>
      <w:r>
        <w:t>5</w:t>
      </w:r>
      <w:r>
        <w:rPr>
          <w:snapToGrid w:val="0"/>
        </w:rPr>
        <w:t>.</w:t>
      </w:r>
      <w:r>
        <w:rPr>
          <w:snapToGrid w:val="0"/>
        </w:rPr>
        <w:tab/>
        <w:t>Certain employees may be transferred</w:t>
      </w:r>
      <w:r>
        <w:tab/>
      </w:r>
      <w:r>
        <w:fldChar w:fldCharType="begin"/>
      </w:r>
      <w:r>
        <w:instrText xml:space="preserve"> PAGEREF _Toc377393512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Voluntary severance for certain employees</w:t>
      </w:r>
      <w:r>
        <w:tab/>
      </w:r>
      <w:r>
        <w:fldChar w:fldCharType="begin"/>
      </w:r>
      <w:r>
        <w:instrText xml:space="preserve"> PAGEREF _Toc377393513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Substituted voluntary severance for surplus employees</w:t>
      </w:r>
      <w:r>
        <w:tab/>
      </w:r>
      <w:r>
        <w:fldChar w:fldCharType="begin"/>
      </w:r>
      <w:r>
        <w:instrText xml:space="preserve"> PAGEREF _Toc377393514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3 — Privatization and contracting out</w:t>
      </w:r>
    </w:p>
    <w:p>
      <w:pPr>
        <w:pStyle w:val="TOC8"/>
        <w:rPr>
          <w:rFonts w:asciiTheme="minorHAnsi" w:eastAsiaTheme="minorEastAsia" w:hAnsiTheme="minorHAnsi" w:cstheme="minorBidi"/>
          <w:szCs w:val="22"/>
        </w:rPr>
      </w:pPr>
      <w:r>
        <w:t>8</w:t>
      </w:r>
      <w:r>
        <w:rPr>
          <w:snapToGrid w:val="0"/>
        </w:rPr>
        <w:t>.</w:t>
      </w:r>
      <w:r>
        <w:rPr>
          <w:snapToGrid w:val="0"/>
        </w:rPr>
        <w:tab/>
        <w:t>Private sector offers of offices, posts or positions on privatization or contracting out</w:t>
      </w:r>
      <w:r>
        <w:tab/>
      </w:r>
      <w:r>
        <w:fldChar w:fldCharType="begin"/>
      </w:r>
      <w:r>
        <w:instrText xml:space="preserve"> PAGEREF _Toc377393516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Benefits to which employees accepting offers of employment are entitled</w:t>
      </w:r>
      <w:r>
        <w:tab/>
      </w:r>
      <w:r>
        <w:fldChar w:fldCharType="begin"/>
      </w:r>
      <w:r>
        <w:instrText xml:space="preserve"> PAGEREF _Toc377393517 \h </w:instrText>
      </w:r>
      <w:r>
        <w:fldChar w:fldCharType="separate"/>
      </w:r>
      <w:r>
        <w:t>14</w:t>
      </w:r>
      <w:r>
        <w:fldChar w:fldCharType="end"/>
      </w:r>
    </w:p>
    <w:p>
      <w:pPr>
        <w:pStyle w:val="TOC8"/>
        <w:rPr>
          <w:rFonts w:asciiTheme="minorHAnsi" w:eastAsiaTheme="minorEastAsia" w:hAnsiTheme="minorHAnsi" w:cstheme="minorBidi"/>
          <w:szCs w:val="22"/>
        </w:rPr>
      </w:pPr>
      <w:r>
        <w:t>10.</w:t>
      </w:r>
      <w:r>
        <w:tab/>
      </w:r>
      <w:r>
        <w:rPr>
          <w:snapToGrid w:val="0"/>
        </w:rPr>
        <w:t>Employees</w:t>
      </w:r>
      <w:r>
        <w:t xml:space="preserve"> dismissed under certain sections of Act not entitled to certain payments</w:t>
      </w:r>
      <w:r>
        <w:tab/>
      </w:r>
      <w:r>
        <w:fldChar w:fldCharType="begin"/>
      </w:r>
      <w:r>
        <w:instrText xml:space="preserve"> PAGEREF _Toc377393518 \h </w:instrText>
      </w:r>
      <w:r>
        <w:fldChar w:fldCharType="separate"/>
      </w:r>
      <w:r>
        <w:t>16</w:t>
      </w:r>
      <w:r>
        <w:fldChar w:fldCharType="end"/>
      </w:r>
    </w:p>
    <w:p>
      <w:pPr>
        <w:pStyle w:val="TOC8"/>
        <w:rPr>
          <w:rFonts w:asciiTheme="minorHAnsi" w:eastAsiaTheme="minorEastAsia" w:hAnsiTheme="minorHAnsi" w:cstheme="minorBidi"/>
          <w:szCs w:val="22"/>
        </w:rPr>
      </w:pPr>
      <w:r>
        <w:t>11A.</w:t>
      </w:r>
      <w:r>
        <w:tab/>
      </w:r>
      <w:r>
        <w:rPr>
          <w:snapToGrid w:val="0"/>
        </w:rPr>
        <w:t>Employees</w:t>
      </w:r>
      <w:r>
        <w:t xml:space="preserve"> dismissed under certain continued sections of Act not entitled to certain payments</w:t>
      </w:r>
      <w:r>
        <w:tab/>
      </w:r>
      <w:r>
        <w:fldChar w:fldCharType="begin"/>
      </w:r>
      <w:r>
        <w:instrText xml:space="preserve"> PAGEREF _Toc377393519 \h </w:instrText>
      </w:r>
      <w:r>
        <w:fldChar w:fldCharType="separate"/>
      </w:r>
      <w:r>
        <w:t>16</w:t>
      </w:r>
      <w:r>
        <w:fldChar w:fldCharType="end"/>
      </w:r>
    </w:p>
    <w:p>
      <w:pPr>
        <w:pStyle w:val="TOC2"/>
        <w:tabs>
          <w:tab w:val="right" w:leader="dot" w:pos="7078"/>
        </w:tabs>
        <w:rPr>
          <w:rFonts w:asciiTheme="minorHAnsi" w:eastAsiaTheme="minorEastAsia" w:hAnsiTheme="minorHAnsi" w:cstheme="minorBidi"/>
          <w:b w:val="0"/>
          <w:sz w:val="22"/>
          <w:szCs w:val="22"/>
        </w:rPr>
      </w:pPr>
      <w:r>
        <w:t>Part 4 — Registered employees</w:t>
      </w:r>
    </w:p>
    <w:p>
      <w:pPr>
        <w:pStyle w:val="TOC8"/>
        <w:rPr>
          <w:rFonts w:asciiTheme="minorHAnsi" w:eastAsiaTheme="minorEastAsia" w:hAnsiTheme="minorHAnsi" w:cstheme="minorBidi"/>
          <w:szCs w:val="22"/>
        </w:rPr>
      </w:pPr>
      <w:r>
        <w:t>11</w:t>
      </w:r>
      <w:r>
        <w:rPr>
          <w:snapToGrid w:val="0"/>
        </w:rPr>
        <w:t>.</w:t>
      </w:r>
      <w:r>
        <w:rPr>
          <w:snapToGrid w:val="0"/>
        </w:rPr>
        <w:tab/>
        <w:t>Registration of employees</w:t>
      </w:r>
      <w:r>
        <w:tab/>
      </w:r>
      <w:r>
        <w:fldChar w:fldCharType="begin"/>
      </w:r>
      <w:r>
        <w:instrText xml:space="preserve"> PAGEREF _Toc377393521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Special leave for registered employees</w:t>
      </w:r>
      <w:r>
        <w:tab/>
      </w:r>
      <w:r>
        <w:fldChar w:fldCharType="begin"/>
      </w:r>
      <w:r>
        <w:instrText xml:space="preserve"> PAGEREF _Toc377393522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Redeployment of registered employees</w:t>
      </w:r>
      <w:r>
        <w:tab/>
      </w:r>
      <w:r>
        <w:fldChar w:fldCharType="begin"/>
      </w:r>
      <w:r>
        <w:instrText xml:space="preserve"> PAGEREF _Toc377393523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Retraining of registered employees</w:t>
      </w:r>
      <w:r>
        <w:tab/>
      </w:r>
      <w:r>
        <w:fldChar w:fldCharType="begin"/>
      </w:r>
      <w:r>
        <w:instrText xml:space="preserve"> PAGEREF _Toc377393524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Voluntary severance for certain registered employees</w:t>
      </w:r>
      <w:r>
        <w:tab/>
      </w:r>
      <w:r>
        <w:fldChar w:fldCharType="begin"/>
      </w:r>
      <w:r>
        <w:instrText xml:space="preserve"> PAGEREF _Toc377393525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Voluntary severance initiated by registered employees</w:t>
      </w:r>
      <w:r>
        <w:tab/>
      </w:r>
      <w:r>
        <w:fldChar w:fldCharType="begin"/>
      </w:r>
      <w:r>
        <w:instrText xml:space="preserve"> PAGEREF _Toc377393526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Substituted voluntary severance for surplus registered employees</w:t>
      </w:r>
      <w:r>
        <w:tab/>
      </w:r>
      <w:r>
        <w:fldChar w:fldCharType="begin"/>
      </w:r>
      <w:r>
        <w:instrText xml:space="preserve"> PAGEREF _Toc377393527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Benefits to which registered employees accepting offers of offices, posts or positions are entitled</w:t>
      </w:r>
      <w:r>
        <w:tab/>
      </w:r>
      <w:r>
        <w:fldChar w:fldCharType="begin"/>
      </w:r>
      <w:r>
        <w:instrText xml:space="preserve"> PAGEREF _Toc377393528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Benefits to which registered employees accepting private sector employment are entitled</w:t>
      </w:r>
      <w:r>
        <w:tab/>
      </w:r>
      <w:r>
        <w:fldChar w:fldCharType="begin"/>
      </w:r>
      <w:r>
        <w:instrText xml:space="preserve"> PAGEREF _Toc377393529 \h </w:instrText>
      </w:r>
      <w:r>
        <w:fldChar w:fldCharType="separate"/>
      </w:r>
      <w:r>
        <w:t>24</w:t>
      </w:r>
      <w:r>
        <w:fldChar w:fldCharType="end"/>
      </w:r>
    </w:p>
    <w:p>
      <w:pPr>
        <w:pStyle w:val="TOC2"/>
        <w:tabs>
          <w:tab w:val="right" w:leader="dot" w:pos="7078"/>
        </w:tabs>
        <w:rPr>
          <w:rFonts w:asciiTheme="minorHAnsi" w:eastAsiaTheme="minorEastAsia" w:hAnsiTheme="minorHAnsi" w:cstheme="minorBidi"/>
          <w:b w:val="0"/>
          <w:sz w:val="22"/>
          <w:szCs w:val="22"/>
        </w:rPr>
      </w:pPr>
      <w:r>
        <w:t>Part 5 — Voluntary severance payments and other benefits</w:t>
      </w:r>
    </w:p>
    <w:p>
      <w:pPr>
        <w:pStyle w:val="TOC8"/>
        <w:rPr>
          <w:rFonts w:asciiTheme="minorHAnsi" w:eastAsiaTheme="minorEastAsia" w:hAnsiTheme="minorHAnsi" w:cstheme="minorBidi"/>
          <w:szCs w:val="22"/>
        </w:rPr>
      </w:pPr>
      <w:r>
        <w:t>20</w:t>
      </w:r>
      <w:r>
        <w:rPr>
          <w:snapToGrid w:val="0"/>
        </w:rPr>
        <w:t>.</w:t>
      </w:r>
      <w:r>
        <w:rPr>
          <w:snapToGrid w:val="0"/>
        </w:rPr>
        <w:tab/>
        <w:t>Severance payments</w:t>
      </w:r>
      <w:r>
        <w:tab/>
      </w:r>
      <w:r>
        <w:fldChar w:fldCharType="begin"/>
      </w:r>
      <w:r>
        <w:instrText xml:space="preserve"> PAGEREF _Toc377393531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benefits payable on voluntary severance</w:t>
      </w:r>
      <w:r>
        <w:tab/>
      </w:r>
      <w:r>
        <w:fldChar w:fldCharType="begin"/>
      </w:r>
      <w:r>
        <w:instrText xml:space="preserve"> PAGEREF _Toc377393532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 on employment in Public Sector</w:t>
      </w:r>
      <w:r>
        <w:tab/>
      </w:r>
      <w:r>
        <w:fldChar w:fldCharType="begin"/>
      </w:r>
      <w:r>
        <w:instrText xml:space="preserve"> PAGEREF _Toc377393533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23</w:t>
      </w:r>
      <w:r>
        <w:rPr>
          <w:snapToGrid w:val="0"/>
        </w:rPr>
        <w:t>.</w:t>
      </w:r>
      <w:r>
        <w:rPr>
          <w:snapToGrid w:val="0"/>
        </w:rPr>
        <w:tab/>
        <w:t>Rate of pay of surplus employees</w:t>
      </w:r>
      <w:r>
        <w:tab/>
      </w:r>
      <w:r>
        <w:fldChar w:fldCharType="begin"/>
      </w:r>
      <w:r>
        <w:instrText xml:space="preserve"> PAGEREF _Toc377393535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Employing authorities to notify Commissioner of vacancies</w:t>
      </w:r>
      <w:r>
        <w:tab/>
      </w:r>
      <w:r>
        <w:fldChar w:fldCharType="begin"/>
      </w:r>
      <w:r>
        <w:instrText xml:space="preserve"> PAGEREF _Toc377393536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Prescribed period for certain references</w:t>
      </w:r>
      <w:r>
        <w:tab/>
      </w:r>
      <w:r>
        <w:fldChar w:fldCharType="begin"/>
      </w:r>
      <w:r>
        <w:instrText xml:space="preserve"> PAGEREF _Toc377393537 \h </w:instrText>
      </w:r>
      <w:r>
        <w:fldChar w:fldCharType="separate"/>
      </w:r>
      <w:r>
        <w:t>29</w:t>
      </w:r>
      <w:r>
        <w:fldChar w:fldCharType="end"/>
      </w:r>
    </w:p>
    <w:p>
      <w:pPr>
        <w:pStyle w:val="TOC8"/>
        <w:rPr>
          <w:rFonts w:asciiTheme="minorHAnsi" w:eastAsiaTheme="minorEastAsia" w:hAnsiTheme="minorHAnsi" w:cstheme="minorBidi"/>
          <w:szCs w:val="22"/>
        </w:rPr>
      </w:pPr>
      <w:r>
        <w:t>26.</w:t>
      </w:r>
      <w:r>
        <w:tab/>
        <w:t>Transitional provision: Ministerial actions</w:t>
      </w:r>
      <w:r>
        <w:tab/>
      </w:r>
      <w:r>
        <w:fldChar w:fldCharType="begin"/>
      </w:r>
      <w:r>
        <w:instrText xml:space="preserve"> PAGEREF _Toc377393538 \h </w:instrText>
      </w:r>
      <w:r>
        <w:fldChar w:fldCharType="separate"/>
      </w:r>
      <w:r>
        <w:t>30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_Toc377393540 \h </w:instrText>
      </w:r>
      <w:r>
        <w:fldChar w:fldCharType="separate"/>
      </w:r>
      <w:r>
        <w:t>31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37739350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39350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3" w:name="_Toc37739350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4" w:name="_Toc377393505"/>
      <w:r>
        <w:rPr>
          <w:rStyle w:val="CharSectno"/>
        </w:rPr>
        <w:t>3</w:t>
      </w:r>
      <w:r>
        <w:rPr>
          <w:snapToGrid w:val="0"/>
        </w:rPr>
        <w:t>.</w:t>
      </w:r>
      <w:r>
        <w:rPr>
          <w:snapToGrid w:val="0"/>
        </w:rPr>
        <w:tab/>
        <w:t>Terms used in these regulations</w:t>
      </w:r>
      <w:bookmarkEnd w:id="4"/>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 xml:space="preserve">Fair Work Act 2009 </w:t>
      </w:r>
      <w:r>
        <w:t>(Commonwealth); or</w:t>
      </w:r>
    </w:p>
    <w:p>
      <w:pPr>
        <w:pStyle w:val="Defpara"/>
      </w:pPr>
      <w:r>
        <w:tab/>
        <w:t>(b)</w:t>
      </w:r>
      <w:r>
        <w:tab/>
        <w:t xml:space="preserve">a transitional instrument as defined in the </w:t>
      </w:r>
      <w:r>
        <w:rPr>
          <w:i/>
        </w:rPr>
        <w:t xml:space="preserve">Fair Work (Transitional Provisions and Consequential Amendments) Act 2009 </w:t>
      </w:r>
      <w:r>
        <w:t>(Commonwealth) Schedule 2 item 2;</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26 Jun 2013 p. 2649-50.] </w:t>
      </w:r>
    </w:p>
    <w:p>
      <w:pPr>
        <w:pStyle w:val="Heading5"/>
        <w:rPr>
          <w:snapToGrid w:val="0"/>
        </w:rPr>
      </w:pPr>
      <w:bookmarkStart w:id="5" w:name="_Toc377393506"/>
      <w:r>
        <w:rPr>
          <w:rStyle w:val="CharSectno"/>
        </w:rPr>
        <w:t>4</w:t>
      </w:r>
      <w:r>
        <w:rPr>
          <w:snapToGrid w:val="0"/>
        </w:rPr>
        <w:t>.</w:t>
      </w:r>
      <w:r>
        <w:rPr>
          <w:snapToGrid w:val="0"/>
        </w:rPr>
        <w:tab/>
        <w:t>Application</w:t>
      </w:r>
      <w:bookmarkEnd w:id="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subregulations (2A) and (2), </w:t>
      </w:r>
      <w:r>
        <w:rPr>
          <w:snapToGrid w:val="0"/>
        </w:rPr>
        <w:t>these regulations apply to and in relation to all employees in departments or organisations and to all employing authorities of departments or organisations.</w:t>
      </w:r>
    </w:p>
    <w:p>
      <w:pPr>
        <w:pStyle w:val="Subsection"/>
      </w:pPr>
      <w:r>
        <w:tab/>
        <w:t>(2A)</w:t>
      </w:r>
      <w:r>
        <w:tab/>
        <w:t xml:space="preserve">An employee who is employed under a contract of employment that has a fixed term and who is not a permanent officer — </w:t>
      </w:r>
    </w:p>
    <w:p>
      <w:pPr>
        <w:pStyle w:val="Indenta"/>
      </w:pPr>
      <w:r>
        <w:tab/>
        <w:t>(a)</w:t>
      </w:r>
      <w:r>
        <w:tab/>
        <w:t>is not eligible for redeployment under these regulations; and</w:t>
      </w:r>
    </w:p>
    <w:p>
      <w:pPr>
        <w:pStyle w:val="Indenta"/>
      </w:pPr>
      <w:r>
        <w:tab/>
        <w:t>(b)</w:t>
      </w:r>
      <w:r>
        <w:tab/>
        <w:t>if section 59 of the Act applies to the employee or the employee is a ministerial officer, is not eligible for voluntary severance under these regulations.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 or</w:t>
      </w:r>
    </w:p>
    <w:p>
      <w:pPr>
        <w:pStyle w:val="Indenta"/>
        <w:rPr>
          <w:snapToGrid w:val="0"/>
        </w:rPr>
      </w:pPr>
      <w:r>
        <w:rPr>
          <w:snapToGrid w:val="0"/>
        </w:rPr>
        <w:tab/>
        <w:t>(b)</w:t>
      </w:r>
      <w:r>
        <w:rPr>
          <w:snapToGrid w:val="0"/>
        </w:rPr>
        <w:tab/>
        <w:t>whose employment in the Public Sector is terminated because of misconduct or substandard or unsatisfactory performance; or</w:t>
      </w:r>
    </w:p>
    <w:p>
      <w:pPr>
        <w:pStyle w:val="Indenta"/>
        <w:rPr>
          <w:snapToGrid w:val="0"/>
        </w:rPr>
      </w:pPr>
      <w:r>
        <w:rPr>
          <w:snapToGrid w:val="0"/>
        </w:rPr>
        <w:tab/>
        <w:t>(c)</w:t>
      </w:r>
      <w:r>
        <w:rPr>
          <w:snapToGrid w:val="0"/>
        </w:rPr>
        <w:tab/>
        <w:t>who is dismissed under Division 3 of Part 5 of the Act;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 26 Jun 2013 p. 2650-1.]</w:t>
      </w:r>
    </w:p>
    <w:p>
      <w:pPr>
        <w:pStyle w:val="Heading2"/>
      </w:pPr>
      <w:bookmarkStart w:id="6" w:name="_Toc377393507"/>
      <w:r>
        <w:rPr>
          <w:rStyle w:val="CharPartNo"/>
        </w:rPr>
        <w:t>Part 1A</w:t>
      </w:r>
      <w:r>
        <w:t> — </w:t>
      </w:r>
      <w:r>
        <w:rPr>
          <w:rStyle w:val="CharPartText"/>
        </w:rPr>
        <w:t>Notice of redundancy</w:t>
      </w:r>
      <w:bookmarkEnd w:id="6"/>
    </w:p>
    <w:p>
      <w:pPr>
        <w:pStyle w:val="Footnoteheading"/>
      </w:pPr>
      <w:r>
        <w:tab/>
        <w:t>[Heading inserted in Gazette 1 Sep 2000 p. 5020.]</w:t>
      </w:r>
    </w:p>
    <w:p>
      <w:pPr>
        <w:pStyle w:val="Heading5"/>
      </w:pPr>
      <w:bookmarkStart w:id="7" w:name="_Toc377393508"/>
      <w:r>
        <w:rPr>
          <w:rStyle w:val="CharSectno"/>
        </w:rPr>
        <w:t>4AA</w:t>
      </w:r>
      <w:r>
        <w:t>.</w:t>
      </w:r>
      <w:r>
        <w:tab/>
        <w:t>Entitlement to be consulted regarding redundancy</w:t>
      </w:r>
      <w:bookmarkEnd w:id="7"/>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 the employee may become surplus to the requirements of his or her department or organisation; or</w:t>
      </w:r>
    </w:p>
    <w:p>
      <w:pPr>
        <w:pStyle w:val="Indenta"/>
      </w:pPr>
      <w:r>
        <w:tab/>
        <w:t>(b)</w:t>
      </w:r>
      <w:r>
        <w:tab/>
        <w:t>the employee may otherwise become surplus to the requirements of his or her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of an employee is to be abolished and the employee may become surplus to the requirements of his or her department or organisation; or</w:t>
      </w:r>
    </w:p>
    <w:p>
      <w:pPr>
        <w:pStyle w:val="Indenti"/>
      </w:pPr>
      <w:r>
        <w:tab/>
        <w:t>(ii)</w:t>
      </w:r>
      <w:r>
        <w:tab/>
        <w:t>the employee may otherwise become surplus to the requirements of his or her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 amended in Gazette 26 Jun 2013 p. 2651.]</w:t>
      </w:r>
    </w:p>
    <w:p>
      <w:pPr>
        <w:pStyle w:val="Heading5"/>
      </w:pPr>
      <w:bookmarkStart w:id="8" w:name="_Toc377393509"/>
      <w:r>
        <w:rPr>
          <w:rStyle w:val="CharSectno"/>
        </w:rPr>
        <w:t>4A</w:t>
      </w:r>
      <w:r>
        <w:t>.</w:t>
      </w:r>
      <w:r>
        <w:tab/>
        <w:t>Entitlement to notice of redundancy and pay in lieu</w:t>
      </w:r>
      <w:bookmarkEnd w:id="8"/>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Defstart"/>
      </w:pPr>
      <w:r>
        <w:tab/>
      </w:r>
      <w:r>
        <w:rPr>
          <w:rStyle w:val="CharDefText"/>
        </w:rPr>
        <w:t>prescribed written notice</w:t>
      </w:r>
      <w:r>
        <w:t xml:space="preserve"> means — </w:t>
      </w:r>
    </w:p>
    <w:p>
      <w:pPr>
        <w:pStyle w:val="Defpara"/>
      </w:pPr>
      <w:r>
        <w:tab/>
        <w:t>(a)</w:t>
      </w:r>
      <w:r>
        <w:tab/>
        <w:t>in the case of notice in relation to an employee who is an applicant under a scheme approved under regulation 5A(1) — 20 weeks’ written notice;</w:t>
      </w:r>
    </w:p>
    <w:p>
      <w:pPr>
        <w:pStyle w:val="Defpara"/>
      </w:pPr>
      <w:r>
        <w:tab/>
        <w:t>(b)</w:t>
      </w:r>
      <w:r>
        <w:tab/>
        <w:t>otherwise — 12 weeks’ written notice.</w:t>
      </w:r>
    </w:p>
    <w:p>
      <w:pPr>
        <w:pStyle w:val="Subsection"/>
      </w:pPr>
      <w:r>
        <w:tab/>
        <w:t>(2)</w:t>
      </w:r>
      <w:r>
        <w:tab/>
        <w:t xml:space="preserve">The employing authority of an employee must give the employee at least the prescribed written notice of the fact that — </w:t>
      </w:r>
    </w:p>
    <w:p>
      <w:pPr>
        <w:pStyle w:val="Indenta"/>
      </w:pPr>
      <w:r>
        <w:tab/>
        <w:t>(a)</w:t>
      </w:r>
      <w:r>
        <w:tab/>
        <w:t>the employee’s office, post or position is to be abolished and the employee will become surplus to the requirements of his or her department or organisation; or</w:t>
      </w:r>
    </w:p>
    <w:p>
      <w:pPr>
        <w:pStyle w:val="Indenta"/>
      </w:pPr>
      <w:r>
        <w:tab/>
        <w:t>(b)</w:t>
      </w:r>
      <w:r>
        <w:tab/>
        <w:t>the employee will otherwise become surplus to the requirements of his or her department or organisation.</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 26 Jun 2013 p. 2652.]</w:t>
      </w:r>
    </w:p>
    <w:p>
      <w:pPr>
        <w:pStyle w:val="Heading5"/>
      </w:pPr>
      <w:bookmarkStart w:id="9" w:name="_Toc377393510"/>
      <w:r>
        <w:rPr>
          <w:rStyle w:val="CharSectno"/>
        </w:rPr>
        <w:t>5A</w:t>
      </w:r>
      <w:r>
        <w:t>.</w:t>
      </w:r>
      <w:r>
        <w:tab/>
        <w:t>Minister may approve voluntary severance scheme</w:t>
      </w:r>
      <w:bookmarkEnd w:id="9"/>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Footnotesection"/>
      </w:pPr>
      <w:r>
        <w:tab/>
        <w:t>[Regulation 5A inserted in Gazette 26 Jun 2013 p. 2653.]</w:t>
      </w:r>
    </w:p>
    <w:p>
      <w:pPr>
        <w:pStyle w:val="Heading2"/>
      </w:pPr>
      <w:bookmarkStart w:id="10" w:name="_Toc377393511"/>
      <w:r>
        <w:rPr>
          <w:rStyle w:val="CharPartNo"/>
        </w:rPr>
        <w:t>Part 2</w:t>
      </w:r>
      <w:r>
        <w:rPr>
          <w:rStyle w:val="CharDivNo"/>
        </w:rPr>
        <w:t> </w:t>
      </w:r>
      <w:r>
        <w:t>—</w:t>
      </w:r>
      <w:r>
        <w:rPr>
          <w:rStyle w:val="CharDivText"/>
        </w:rPr>
        <w:t> </w:t>
      </w:r>
      <w:r>
        <w:rPr>
          <w:rStyle w:val="CharPartText"/>
        </w:rPr>
        <w:t>Transfer and voluntary severance</w:t>
      </w:r>
      <w:bookmarkEnd w:id="10"/>
      <w:r>
        <w:rPr>
          <w:rStyle w:val="CharPartText"/>
        </w:rPr>
        <w:t xml:space="preserve"> </w:t>
      </w:r>
    </w:p>
    <w:p>
      <w:pPr>
        <w:pStyle w:val="Heading5"/>
        <w:rPr>
          <w:snapToGrid w:val="0"/>
        </w:rPr>
      </w:pPr>
      <w:bookmarkStart w:id="11" w:name="_Toc377393512"/>
      <w:r>
        <w:rPr>
          <w:rStyle w:val="CharSectno"/>
        </w:rPr>
        <w:t>5</w:t>
      </w:r>
      <w:r>
        <w:rPr>
          <w:snapToGrid w:val="0"/>
        </w:rPr>
        <w:t>.</w:t>
      </w:r>
      <w:r>
        <w:rPr>
          <w:snapToGrid w:val="0"/>
        </w:rPr>
        <w:tab/>
        <w:t>Certain employees may be transferred</w:t>
      </w:r>
      <w:bookmarkEnd w:id="11"/>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12" w:name="_Toc377393513"/>
      <w:r>
        <w:rPr>
          <w:rStyle w:val="CharSectno"/>
        </w:rPr>
        <w:t>6</w:t>
      </w:r>
      <w:r>
        <w:rPr>
          <w:snapToGrid w:val="0"/>
        </w:rPr>
        <w:t>.</w:t>
      </w:r>
      <w:r>
        <w:rPr>
          <w:snapToGrid w:val="0"/>
        </w:rPr>
        <w:tab/>
        <w:t>Voluntary severance for certain employees</w:t>
      </w:r>
      <w:bookmarkEnd w:id="12"/>
      <w:r>
        <w:rPr>
          <w:snapToGrid w:val="0"/>
        </w:rPr>
        <w:t xml:space="preserve"> </w:t>
      </w:r>
    </w:p>
    <w:p>
      <w:pPr>
        <w:pStyle w:val="Subsection"/>
      </w:pPr>
      <w:r>
        <w:tab/>
        <w:t>(1)</w:t>
      </w:r>
      <w:r>
        <w:tab/>
        <w:t xml:space="preserve">The employing authority of an employee may, with the prior approval of the Commissioner, offer voluntary severance to an employee — </w:t>
      </w:r>
    </w:p>
    <w:p>
      <w:pPr>
        <w:pStyle w:val="Indenta"/>
      </w:pPr>
      <w:r>
        <w:tab/>
        <w:t>(a)</w:t>
      </w:r>
      <w:r>
        <w:tab/>
        <w:t>whose office, post or position is, or is to be, abolished and who is, or will become, surplus to the requirements of his or her department or organisation; or</w:t>
      </w:r>
    </w:p>
    <w:p>
      <w:pPr>
        <w:pStyle w:val="Indenta"/>
      </w:pPr>
      <w:r>
        <w:tab/>
        <w:t>(b)</w:t>
      </w:r>
      <w:r>
        <w:tab/>
        <w:t>who is, or will become, otherwise surplus to the requirements of his or her department or organisation.</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 26 Jun 2013 p. 2653-4.]</w:t>
      </w:r>
    </w:p>
    <w:p>
      <w:pPr>
        <w:pStyle w:val="Heading5"/>
        <w:rPr>
          <w:snapToGrid w:val="0"/>
        </w:rPr>
      </w:pPr>
      <w:bookmarkStart w:id="13" w:name="_Toc377393514"/>
      <w:r>
        <w:rPr>
          <w:rStyle w:val="CharSectno"/>
        </w:rPr>
        <w:t>7</w:t>
      </w:r>
      <w:r>
        <w:rPr>
          <w:snapToGrid w:val="0"/>
        </w:rPr>
        <w:t>.</w:t>
      </w:r>
      <w:r>
        <w:rPr>
          <w:snapToGrid w:val="0"/>
        </w:rPr>
        <w:tab/>
        <w:t>Substituted voluntary severance for surplus employees</w:t>
      </w:r>
      <w:bookmarkEnd w:id="13"/>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rPr>
          <w:snapToGrid w:val="0"/>
        </w:rPr>
      </w:pPr>
      <w:r>
        <w:rPr>
          <w:snapToGrid w:val="0"/>
        </w:rPr>
        <w:tab/>
        <w:t>(1)</w:t>
      </w:r>
      <w:r>
        <w:rPr>
          <w:snapToGrid w:val="0"/>
        </w:rPr>
        <w:tab/>
        <w:t>If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a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 26 Jun 2013 p. 2654.]</w:t>
      </w:r>
    </w:p>
    <w:p>
      <w:pPr>
        <w:pStyle w:val="Heading2"/>
      </w:pPr>
      <w:bookmarkStart w:id="14" w:name="_Toc377393515"/>
      <w:r>
        <w:rPr>
          <w:rStyle w:val="CharPartNo"/>
        </w:rPr>
        <w:t>Part 3</w:t>
      </w:r>
      <w:r>
        <w:rPr>
          <w:rStyle w:val="CharDivNo"/>
        </w:rPr>
        <w:t> </w:t>
      </w:r>
      <w:r>
        <w:t>—</w:t>
      </w:r>
      <w:r>
        <w:rPr>
          <w:rStyle w:val="CharDivText"/>
        </w:rPr>
        <w:t> </w:t>
      </w:r>
      <w:r>
        <w:rPr>
          <w:rStyle w:val="CharPartText"/>
        </w:rPr>
        <w:t>Privatization and contracting out</w:t>
      </w:r>
      <w:bookmarkEnd w:id="14"/>
      <w:r>
        <w:rPr>
          <w:rStyle w:val="CharPartText"/>
        </w:rPr>
        <w:t xml:space="preserve"> </w:t>
      </w:r>
    </w:p>
    <w:p>
      <w:pPr>
        <w:pStyle w:val="Heading5"/>
        <w:rPr>
          <w:snapToGrid w:val="0"/>
        </w:rPr>
      </w:pPr>
      <w:bookmarkStart w:id="15" w:name="_Toc377393516"/>
      <w:r>
        <w:rPr>
          <w:rStyle w:val="CharSectno"/>
        </w:rPr>
        <w:t>8</w:t>
      </w:r>
      <w:r>
        <w:rPr>
          <w:snapToGrid w:val="0"/>
        </w:rPr>
        <w:t>.</w:t>
      </w:r>
      <w:r>
        <w:rPr>
          <w:snapToGrid w:val="0"/>
        </w:rPr>
        <w:tab/>
        <w:t>Private sector offers of offices, posts or positions on privatization or contracting out</w:t>
      </w:r>
      <w:bookmarkEnd w:id="15"/>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16" w:name="_Toc377393517"/>
      <w:r>
        <w:rPr>
          <w:rStyle w:val="CharSectno"/>
        </w:rPr>
        <w:t>9</w:t>
      </w:r>
      <w:r>
        <w:rPr>
          <w:snapToGrid w:val="0"/>
        </w:rPr>
        <w:t>.</w:t>
      </w:r>
      <w:r>
        <w:rPr>
          <w:snapToGrid w:val="0"/>
        </w:rPr>
        <w:tab/>
        <w:t>Benefits to which employees accepting offers of employment are entitled</w:t>
      </w:r>
      <w:bookmarkEnd w:id="16"/>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1" o:title=""/>
          </v:shape>
          <o:OLEObject Type="Embed" ProgID="Equation.3" ShapeID="_x0000_i1025" DrawAspect="Content" ObjectID="_1644352550" r:id="rId22"/>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17" w:name="_Toc377393518"/>
      <w:r>
        <w:rPr>
          <w:rStyle w:val="CharSectno"/>
        </w:rPr>
        <w:t>10</w:t>
      </w:r>
      <w:r>
        <w:t>.</w:t>
      </w:r>
      <w:r>
        <w:tab/>
      </w:r>
      <w:r>
        <w:rPr>
          <w:snapToGrid w:val="0"/>
        </w:rPr>
        <w:t>Employees</w:t>
      </w:r>
      <w:r>
        <w:t xml:space="preserve"> dismissed under certain sections of Act not entitled to certain payments</w:t>
      </w:r>
      <w:bookmarkEnd w:id="17"/>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18" w:name="_Toc377393519"/>
      <w:r>
        <w:rPr>
          <w:rStyle w:val="CharSectno"/>
        </w:rPr>
        <w:t>11A</w:t>
      </w:r>
      <w:r>
        <w:t>.</w:t>
      </w:r>
      <w:r>
        <w:tab/>
      </w:r>
      <w:r>
        <w:rPr>
          <w:snapToGrid w:val="0"/>
        </w:rPr>
        <w:t>Employees</w:t>
      </w:r>
      <w:r>
        <w:t xml:space="preserve"> dismissed under certain continued sections of Act not entitled to certain payments</w:t>
      </w:r>
      <w:bookmarkEnd w:id="18"/>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19" w:name="_Toc377393520"/>
      <w:r>
        <w:rPr>
          <w:rStyle w:val="CharPartNo"/>
        </w:rPr>
        <w:t>Part 4</w:t>
      </w:r>
      <w:r>
        <w:rPr>
          <w:rStyle w:val="CharDivNo"/>
        </w:rPr>
        <w:t> </w:t>
      </w:r>
      <w:r>
        <w:t>—</w:t>
      </w:r>
      <w:r>
        <w:rPr>
          <w:rStyle w:val="CharDivText"/>
        </w:rPr>
        <w:t> </w:t>
      </w:r>
      <w:r>
        <w:rPr>
          <w:rStyle w:val="CharPartText"/>
        </w:rPr>
        <w:t>Registered employees</w:t>
      </w:r>
      <w:bookmarkEnd w:id="19"/>
      <w:r>
        <w:rPr>
          <w:rStyle w:val="CharPartText"/>
        </w:rPr>
        <w:t xml:space="preserve"> </w:t>
      </w:r>
    </w:p>
    <w:p>
      <w:pPr>
        <w:pStyle w:val="Heading5"/>
        <w:rPr>
          <w:snapToGrid w:val="0"/>
        </w:rPr>
      </w:pPr>
      <w:bookmarkStart w:id="20" w:name="_Toc377393521"/>
      <w:r>
        <w:rPr>
          <w:rStyle w:val="CharSectno"/>
        </w:rPr>
        <w:t>11</w:t>
      </w:r>
      <w:r>
        <w:rPr>
          <w:snapToGrid w:val="0"/>
        </w:rPr>
        <w:t>.</w:t>
      </w:r>
      <w:r>
        <w:rPr>
          <w:snapToGrid w:val="0"/>
        </w:rPr>
        <w:tab/>
        <w:t>Registration of employees</w:t>
      </w:r>
      <w:bookmarkEnd w:id="20"/>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pPr>
      <w:r>
        <w:tab/>
        <w:t>(1)</w:t>
      </w:r>
      <w:r>
        <w:tab/>
        <w:t>The employing authority of a surplus employee who cannot be transferred within his or her department or organisation 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 26 Jun 2013 p. 2654-5.]</w:t>
      </w:r>
    </w:p>
    <w:p>
      <w:pPr>
        <w:pStyle w:val="Heading5"/>
        <w:rPr>
          <w:snapToGrid w:val="0"/>
        </w:rPr>
      </w:pPr>
      <w:bookmarkStart w:id="21" w:name="_Toc377393522"/>
      <w:r>
        <w:rPr>
          <w:rStyle w:val="CharSectno"/>
        </w:rPr>
        <w:t>12</w:t>
      </w:r>
      <w:r>
        <w:rPr>
          <w:snapToGrid w:val="0"/>
        </w:rPr>
        <w:t>.</w:t>
      </w:r>
      <w:r>
        <w:rPr>
          <w:snapToGrid w:val="0"/>
        </w:rPr>
        <w:tab/>
        <w:t>Special leave for registered employees</w:t>
      </w:r>
      <w:bookmarkEnd w:id="21"/>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22" w:name="_Toc377393523"/>
      <w:r>
        <w:rPr>
          <w:rStyle w:val="CharSectno"/>
        </w:rPr>
        <w:t>13</w:t>
      </w:r>
      <w:r>
        <w:rPr>
          <w:snapToGrid w:val="0"/>
        </w:rPr>
        <w:t>.</w:t>
      </w:r>
      <w:r>
        <w:rPr>
          <w:snapToGrid w:val="0"/>
        </w:rPr>
        <w:tab/>
        <w:t>Redeployment of registered employees</w:t>
      </w:r>
      <w:bookmarkEnd w:id="22"/>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23" w:name="_Toc377393524"/>
      <w:r>
        <w:rPr>
          <w:rStyle w:val="CharSectno"/>
        </w:rPr>
        <w:t>14</w:t>
      </w:r>
      <w:r>
        <w:rPr>
          <w:snapToGrid w:val="0"/>
        </w:rPr>
        <w:t>.</w:t>
      </w:r>
      <w:r>
        <w:rPr>
          <w:snapToGrid w:val="0"/>
        </w:rPr>
        <w:tab/>
        <w:t>Retraining of registered employees</w:t>
      </w:r>
      <w:bookmarkEnd w:id="23"/>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24" w:name="_Toc377393525"/>
      <w:r>
        <w:rPr>
          <w:rStyle w:val="CharSectno"/>
        </w:rPr>
        <w:t>15</w:t>
      </w:r>
      <w:r>
        <w:rPr>
          <w:snapToGrid w:val="0"/>
        </w:rPr>
        <w:t>.</w:t>
      </w:r>
      <w:r>
        <w:rPr>
          <w:snapToGrid w:val="0"/>
        </w:rPr>
        <w:tab/>
        <w:t>Voluntary severance for certain registered employees</w:t>
      </w:r>
      <w:bookmarkEnd w:id="24"/>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25" w:name="_Toc377393526"/>
      <w:r>
        <w:rPr>
          <w:rStyle w:val="CharSectno"/>
        </w:rPr>
        <w:t>16</w:t>
      </w:r>
      <w:r>
        <w:rPr>
          <w:snapToGrid w:val="0"/>
        </w:rPr>
        <w:t>.</w:t>
      </w:r>
      <w:r>
        <w:rPr>
          <w:snapToGrid w:val="0"/>
        </w:rPr>
        <w:tab/>
        <w:t>Voluntary severance initiated by registered employees</w:t>
      </w:r>
      <w:bookmarkEnd w:id="25"/>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26" w:name="_Toc377393527"/>
      <w:r>
        <w:rPr>
          <w:rStyle w:val="CharSectno"/>
        </w:rPr>
        <w:t>17</w:t>
      </w:r>
      <w:r>
        <w:rPr>
          <w:snapToGrid w:val="0"/>
        </w:rPr>
        <w:t>.</w:t>
      </w:r>
      <w:r>
        <w:rPr>
          <w:snapToGrid w:val="0"/>
        </w:rPr>
        <w:tab/>
        <w:t>Substituted voluntary severance for surplus registered employees</w:t>
      </w:r>
      <w:bookmarkEnd w:id="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27" w:name="_Toc377393528"/>
      <w:r>
        <w:rPr>
          <w:rStyle w:val="CharSectno"/>
        </w:rPr>
        <w:t>18</w:t>
      </w:r>
      <w:r>
        <w:rPr>
          <w:snapToGrid w:val="0"/>
        </w:rPr>
        <w:t>.</w:t>
      </w:r>
      <w:r>
        <w:rPr>
          <w:snapToGrid w:val="0"/>
        </w:rPr>
        <w:tab/>
        <w:t>Benefits to which registered employees accepting offers of offices, posts or positions are entitled</w:t>
      </w:r>
      <w:bookmarkEnd w:id="27"/>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28" w:name="_Toc377393529"/>
      <w:r>
        <w:rPr>
          <w:rStyle w:val="CharSectno"/>
        </w:rPr>
        <w:t>19</w:t>
      </w:r>
      <w:r>
        <w:rPr>
          <w:snapToGrid w:val="0"/>
        </w:rPr>
        <w:t>.</w:t>
      </w:r>
      <w:r>
        <w:rPr>
          <w:snapToGrid w:val="0"/>
        </w:rPr>
        <w:tab/>
        <w:t>Benefits to which registered employees accepting private sector employment are entitled</w:t>
      </w:r>
      <w:bookmarkEnd w:id="28"/>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3" o:title=""/>
          </v:shape>
          <o:OLEObject Type="Embed" ProgID="Equation.3" ShapeID="_x0000_i1026" DrawAspect="Content" ObjectID="_1644352551" r:id="rId24"/>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29" w:name="_Toc377393530"/>
      <w:r>
        <w:rPr>
          <w:rStyle w:val="CharPartNo"/>
        </w:rPr>
        <w:t>Part 5</w:t>
      </w:r>
      <w:r>
        <w:rPr>
          <w:rStyle w:val="CharDivNo"/>
        </w:rPr>
        <w:t> </w:t>
      </w:r>
      <w:r>
        <w:t>—</w:t>
      </w:r>
      <w:r>
        <w:rPr>
          <w:rStyle w:val="CharDivText"/>
        </w:rPr>
        <w:t> </w:t>
      </w:r>
      <w:r>
        <w:rPr>
          <w:rStyle w:val="CharPartText"/>
        </w:rPr>
        <w:t>Voluntary severance payments and other benefits</w:t>
      </w:r>
      <w:bookmarkEnd w:id="29"/>
      <w:r>
        <w:rPr>
          <w:rStyle w:val="CharPartText"/>
        </w:rPr>
        <w:t xml:space="preserve"> </w:t>
      </w:r>
    </w:p>
    <w:p>
      <w:pPr>
        <w:pStyle w:val="Heading5"/>
        <w:rPr>
          <w:snapToGrid w:val="0"/>
        </w:rPr>
      </w:pPr>
      <w:bookmarkStart w:id="30" w:name="_Toc377393531"/>
      <w:r>
        <w:rPr>
          <w:rStyle w:val="CharSectno"/>
        </w:rPr>
        <w:t>20</w:t>
      </w:r>
      <w:r>
        <w:rPr>
          <w:snapToGrid w:val="0"/>
        </w:rPr>
        <w:t>.</w:t>
      </w:r>
      <w:r>
        <w:rPr>
          <w:snapToGrid w:val="0"/>
        </w:rPr>
        <w:tab/>
        <w:t>Severance payments</w:t>
      </w:r>
      <w:bookmarkEnd w:id="30"/>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5" o:title=""/>
          </v:shape>
          <o:OLEObject Type="Embed" ProgID="Equation.3" ShapeID="_x0000_i1027" DrawAspect="Content" ObjectID="_1644352552" r:id="rId26"/>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31" w:name="_Toc377393532"/>
      <w:r>
        <w:rPr>
          <w:rStyle w:val="CharSectno"/>
        </w:rPr>
        <w:t>21</w:t>
      </w:r>
      <w:r>
        <w:rPr>
          <w:snapToGrid w:val="0"/>
        </w:rPr>
        <w:t>.</w:t>
      </w:r>
      <w:r>
        <w:rPr>
          <w:snapToGrid w:val="0"/>
        </w:rPr>
        <w:tab/>
        <w:t>Other benefits payable on voluntary severance</w:t>
      </w:r>
      <w:bookmarkEnd w:id="31"/>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32" w:name="_Toc377393533"/>
      <w:r>
        <w:rPr>
          <w:rStyle w:val="CharSectno"/>
        </w:rPr>
        <w:t>22</w:t>
      </w:r>
      <w:r>
        <w:rPr>
          <w:snapToGrid w:val="0"/>
        </w:rPr>
        <w:t>.</w:t>
      </w:r>
      <w:r>
        <w:rPr>
          <w:snapToGrid w:val="0"/>
        </w:rPr>
        <w:tab/>
        <w:t>Restriction on employment in Public Sector</w:t>
      </w:r>
      <w:bookmarkEnd w:id="32"/>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33" w:name="_Toc377393534"/>
      <w:r>
        <w:rPr>
          <w:rStyle w:val="CharPartNo"/>
        </w:rPr>
        <w:t>Part 6</w:t>
      </w:r>
      <w:r>
        <w:rPr>
          <w:rStyle w:val="CharDivNo"/>
        </w:rPr>
        <w:t> </w:t>
      </w:r>
      <w:r>
        <w:t>—</w:t>
      </w:r>
      <w:r>
        <w:rPr>
          <w:rStyle w:val="CharDivText"/>
        </w:rPr>
        <w:t> </w:t>
      </w:r>
      <w:r>
        <w:rPr>
          <w:rStyle w:val="CharPartText"/>
        </w:rPr>
        <w:t>General</w:t>
      </w:r>
      <w:bookmarkEnd w:id="33"/>
      <w:r>
        <w:rPr>
          <w:rStyle w:val="CharPartText"/>
        </w:rPr>
        <w:t xml:space="preserve"> </w:t>
      </w:r>
    </w:p>
    <w:p>
      <w:pPr>
        <w:pStyle w:val="Heading5"/>
        <w:rPr>
          <w:snapToGrid w:val="0"/>
        </w:rPr>
      </w:pPr>
      <w:bookmarkStart w:id="34" w:name="_Toc377393535"/>
      <w:r>
        <w:rPr>
          <w:rStyle w:val="CharSectno"/>
        </w:rPr>
        <w:t>23</w:t>
      </w:r>
      <w:r>
        <w:rPr>
          <w:snapToGrid w:val="0"/>
        </w:rPr>
        <w:t>.</w:t>
      </w:r>
      <w:r>
        <w:rPr>
          <w:snapToGrid w:val="0"/>
        </w:rPr>
        <w:tab/>
        <w:t>Rate of pay of surplus employees</w:t>
      </w:r>
      <w:bookmarkEnd w:id="34"/>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35" w:name="_Toc377393536"/>
      <w:r>
        <w:rPr>
          <w:rStyle w:val="CharSectno"/>
        </w:rPr>
        <w:t>24</w:t>
      </w:r>
      <w:r>
        <w:rPr>
          <w:snapToGrid w:val="0"/>
        </w:rPr>
        <w:t>.</w:t>
      </w:r>
      <w:r>
        <w:rPr>
          <w:snapToGrid w:val="0"/>
        </w:rPr>
        <w:tab/>
        <w:t>Employing authorities to notify Commissioner of vacancies</w:t>
      </w:r>
      <w:bookmarkEnd w:id="35"/>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36" w:name="_Toc377393537"/>
      <w:r>
        <w:rPr>
          <w:rStyle w:val="CharSectno"/>
        </w:rPr>
        <w:t>25</w:t>
      </w:r>
      <w:r>
        <w:rPr>
          <w:snapToGrid w:val="0"/>
        </w:rPr>
        <w:t>.</w:t>
      </w:r>
      <w:r>
        <w:rPr>
          <w:snapToGrid w:val="0"/>
        </w:rPr>
        <w:tab/>
        <w:t>Prescribed period for certain references</w:t>
      </w:r>
      <w:bookmarkEnd w:id="36"/>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37" w:name="_Toc377393538"/>
      <w:r>
        <w:rPr>
          <w:rStyle w:val="CharSectno"/>
        </w:rPr>
        <w:t>26</w:t>
      </w:r>
      <w:r>
        <w:t>.</w:t>
      </w:r>
      <w:r>
        <w:tab/>
        <w:t>Transitional provision: Ministerial actions</w:t>
      </w:r>
      <w:bookmarkEnd w:id="3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nHeading2"/>
      </w:pPr>
      <w:bookmarkStart w:id="38" w:name="_Toc377393539"/>
      <w:r>
        <w:t>Notes</w:t>
      </w:r>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377393540"/>
      <w:r>
        <w:rPr>
          <w:snapToGrid w:val="0"/>
        </w:rPr>
        <w:t>Compilation table</w:t>
      </w:r>
      <w:bookmarkEnd w:id="39"/>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sz w:val="19"/>
              </w:rPr>
            </w:pPr>
            <w:r>
              <w:rPr>
                <w:i/>
                <w:sz w:val="19"/>
              </w:rPr>
              <w:t>Public Sector Management (Redeployment and Redundancy) Amendment Regulations 2010</w:t>
            </w:r>
          </w:p>
        </w:tc>
        <w:tc>
          <w:tcPr>
            <w:tcW w:w="1248" w:type="dxa"/>
            <w:tcBorders>
              <w:top w:val="nil"/>
              <w:bottom w:val="nil"/>
            </w:tcBorders>
          </w:tcPr>
          <w:p>
            <w:pPr>
              <w:pStyle w:val="nTable"/>
              <w:spacing w:after="40"/>
              <w:rPr>
                <w:snapToGrid w:val="0"/>
                <w:sz w:val="19"/>
              </w:rPr>
            </w:pPr>
            <w:r>
              <w:rPr>
                <w:sz w:val="19"/>
              </w:rPr>
              <w:t>5 Nov 2010 p. 5568</w:t>
            </w:r>
            <w:r>
              <w:rPr>
                <w:sz w:val="19"/>
              </w:rPr>
              <w:noBreakHyphen/>
              <w:t>70</w:t>
            </w:r>
          </w:p>
        </w:tc>
        <w:tc>
          <w:tcPr>
            <w:tcW w:w="2712" w:type="dxa"/>
            <w:gridSpan w:val="2"/>
            <w:tcBorders>
              <w:top w:val="nil"/>
              <w:bottom w:val="nil"/>
            </w:tcBorders>
          </w:tcPr>
          <w:p>
            <w:pPr>
              <w:pStyle w:val="nTable"/>
              <w:spacing w:after="40"/>
              <w:rPr>
                <w:snapToGrid w:val="0"/>
                <w:sz w:val="19"/>
              </w:rPr>
            </w:pPr>
            <w:r>
              <w:rPr>
                <w:snapToGrid w:val="0"/>
                <w:sz w:val="19"/>
                <w:szCs w:val="19"/>
              </w:rPr>
              <w:t>Pt. 1: 5 Nov 2010 (see r. 2(a));</w:t>
            </w:r>
            <w:r>
              <w:rPr>
                <w:snapToGrid w:val="0"/>
                <w:sz w:val="19"/>
                <w:szCs w:val="19"/>
              </w:rPr>
              <w:br/>
            </w:r>
            <w:r>
              <w:rPr>
                <w:snapToGrid w:val="0"/>
                <w:sz w:val="19"/>
              </w:rPr>
              <w:t xml:space="preserve">Pt. 2: 1 Dec 2010 (see r. 2(b) and </w:t>
            </w:r>
            <w:r>
              <w:rPr>
                <w:i/>
                <w:iCs/>
                <w:snapToGrid w:val="0"/>
                <w:sz w:val="19"/>
              </w:rPr>
              <w:t>Gazette</w:t>
            </w:r>
            <w:r>
              <w:rPr>
                <w:snapToGrid w:val="0"/>
                <w:sz w:val="19"/>
              </w:rPr>
              <w:t xml:space="preserve"> 5 Nov 2010 p. 5563);</w:t>
            </w:r>
            <w:r>
              <w:rPr>
                <w:snapToGrid w:val="0"/>
                <w:sz w:val="19"/>
              </w:rPr>
              <w:br/>
              <w:t xml:space="preserve">Pt. 3: 28 Mar 2011 (see r. 2(c) and </w:t>
            </w:r>
            <w:r>
              <w:rPr>
                <w:i/>
                <w:snapToGrid w:val="0"/>
                <w:sz w:val="19"/>
              </w:rPr>
              <w:t>Gazette</w:t>
            </w:r>
            <w:r>
              <w:rPr>
                <w:snapToGrid w:val="0"/>
                <w:sz w:val="19"/>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i/>
                <w:sz w:val="19"/>
              </w:rPr>
            </w:pPr>
            <w:r>
              <w:rPr>
                <w:i/>
                <w:sz w:val="19"/>
              </w:rPr>
              <w:t>Public Sector Management (Redeployment and Redundancy) Amendment Regulations 2013</w:t>
            </w:r>
          </w:p>
        </w:tc>
        <w:tc>
          <w:tcPr>
            <w:tcW w:w="1248" w:type="dxa"/>
            <w:tcBorders>
              <w:top w:val="nil"/>
              <w:bottom w:val="single" w:sz="4" w:space="0" w:color="auto"/>
            </w:tcBorders>
          </w:tcPr>
          <w:p>
            <w:pPr>
              <w:pStyle w:val="nTable"/>
              <w:spacing w:after="40"/>
              <w:rPr>
                <w:sz w:val="19"/>
              </w:rPr>
            </w:pPr>
            <w:r>
              <w:rPr>
                <w:sz w:val="19"/>
              </w:rPr>
              <w:t>26 Jun 2013 p. 2649-55</w:t>
            </w:r>
          </w:p>
        </w:tc>
        <w:tc>
          <w:tcPr>
            <w:tcW w:w="2712" w:type="dxa"/>
            <w:gridSpan w:val="2"/>
            <w:tcBorders>
              <w:top w:val="nil"/>
              <w:bottom w:val="single" w:sz="4" w:space="0" w:color="auto"/>
            </w:tcBorders>
          </w:tcPr>
          <w:p>
            <w:pPr>
              <w:pStyle w:val="nTable"/>
              <w:spacing w:after="40"/>
              <w:rPr>
                <w:snapToGrid w:val="0"/>
                <w:sz w:val="19"/>
                <w:szCs w:val="19"/>
              </w:rPr>
            </w:pPr>
            <w:r>
              <w:rPr>
                <w:snapToGrid w:val="0"/>
                <w:sz w:val="19"/>
                <w:szCs w:val="19"/>
              </w:rPr>
              <w:t>r. 1 and 2: 26 Jun 2013 (see r. 2(a));</w:t>
            </w:r>
            <w:r>
              <w:rPr>
                <w:snapToGrid w:val="0"/>
                <w:sz w:val="19"/>
                <w:szCs w:val="19"/>
              </w:rPr>
              <w:br/>
              <w:t>Regulations other than r. 1 and 2: 27 Jun 2013 (see r. 2(b))</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45"/>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1209112845" w:val="RemoveTrackChanges"/>
    <w:docVar w:name="WAFER_20151209112845_GUID" w:val="344cc025-701c-417d-b8a2-ed0297cdd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7671</Words>
  <Characters>38819</Characters>
  <Application>Microsoft Office Word</Application>
  <DocSecurity>0</DocSecurity>
  <Lines>1049</Lines>
  <Paragraphs>540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1994 - 02-e0-04</dc:title>
  <dc:subject/>
  <dc:creator/>
  <cp:keywords/>
  <dc:description/>
  <cp:lastModifiedBy>svcMRProcess</cp:lastModifiedBy>
  <cp:revision>4</cp:revision>
  <cp:lastPrinted>2006-10-19T02:30:00Z</cp:lastPrinted>
  <dcterms:created xsi:type="dcterms:W3CDTF">2020-02-27T15:49:00Z</dcterms:created>
  <dcterms:modified xsi:type="dcterms:W3CDTF">2020-02-27T15:49:00Z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20130627</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AsAtDate">
    <vt:lpwstr>27 Jun 2013</vt:lpwstr>
  </property>
  <property fmtid="{D5CDD505-2E9C-101B-9397-08002B2CF9AE}" pid="9" name="Suffix">
    <vt:lpwstr>02-e0-04</vt:lpwstr>
  </property>
</Properties>
</file>