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Energy Operators (Powers)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_Toc359927745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_Toc359927746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r>
      <w:r>
        <w:rPr>
          <w:snapToGrid w:val="0"/>
        </w:rPr>
        <w:t>Terms used</w:t>
      </w:r>
      <w:r>
        <w:tab/>
      </w:r>
      <w:r>
        <w:fldChar w:fldCharType="begin"/>
      </w:r>
      <w:r>
        <w:instrText xml:space="preserve"> PAGEREF _Toc359927747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tab/>
        <w:t>Carbon component</w:t>
      </w:r>
      <w:r>
        <w:tab/>
      </w:r>
      <w:r>
        <w:fldChar w:fldCharType="begin"/>
      </w:r>
      <w:r>
        <w:instrText xml:space="preserve"> PAGEREF _Toc359927748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r>
      <w:r>
        <w:rPr>
          <w:snapToGrid w:val="0"/>
        </w:rPr>
        <w:t>Electricity charges</w:t>
      </w:r>
      <w:r>
        <w:tab/>
      </w:r>
      <w:r>
        <w:fldChar w:fldCharType="begin"/>
      </w:r>
      <w:r>
        <w:instrText xml:space="preserve"> PAGEREF _Toc359927749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Application of residential tariffs</w:t>
      </w:r>
      <w:r>
        <w:tab/>
      </w:r>
      <w:r>
        <w:fldChar w:fldCharType="begin"/>
      </w:r>
      <w:r>
        <w:instrText xml:space="preserve"> PAGEREF _Toc359927750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Meter rental</w:t>
      </w:r>
      <w:r>
        <w:tab/>
      </w:r>
      <w:r>
        <w:fldChar w:fldCharType="begin"/>
      </w:r>
      <w:r>
        <w:instrText xml:space="preserve"> PAGEREF _Toc359927751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Fees</w:t>
      </w:r>
      <w:r>
        <w:tab/>
      </w:r>
      <w:r>
        <w:fldChar w:fldCharType="begin"/>
      </w:r>
      <w:r>
        <w:instrText xml:space="preserve"> PAGEREF _Toc359927752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Payment</w:t>
      </w:r>
      <w:r>
        <w:tab/>
      </w:r>
      <w:r>
        <w:fldChar w:fldCharType="begin"/>
      </w:r>
      <w:r>
        <w:instrText xml:space="preserve"> PAGEREF _Toc359927753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Calculation of charges</w:t>
      </w:r>
      <w:r>
        <w:tab/>
      </w:r>
      <w:r>
        <w:fldChar w:fldCharType="begin"/>
      </w:r>
      <w:r>
        <w:instrText xml:space="preserve"> PAGEREF _Toc359927754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Changes in rates</w:t>
      </w:r>
      <w:r>
        <w:tab/>
      </w:r>
      <w:r>
        <w:fldChar w:fldCharType="begin"/>
      </w:r>
      <w:r>
        <w:instrText xml:space="preserve"> PAGEREF _Toc359927755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Prescribed rate of interest for s. 62(16) of the Act</w:t>
      </w:r>
      <w:r>
        <w:tab/>
      </w:r>
      <w:r>
        <w:fldChar w:fldCharType="begin"/>
      </w:r>
      <w:r>
        <w:instrText xml:space="preserve"> PAGEREF _Toc359927756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Supply charges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_Toc359927758 \h </w:instrText>
      </w:r>
      <w:r>
        <w:fldChar w:fldCharType="separate"/>
      </w:r>
      <w:r>
        <w:t>8</w:t>
      </w:r>
      <w:r>
        <w:fldChar w:fldCharType="end"/>
      </w:r>
    </w:p>
    <w:p>
      <w:pPr>
        <w:pStyle w:val="TOC8"/>
        <w:rPr>
          <w:rFonts w:asciiTheme="minorHAnsi" w:eastAsiaTheme="minorEastAsia" w:hAnsiTheme="minorHAnsi" w:cstheme="minorBidi"/>
          <w:szCs w:val="22"/>
          <w:lang w:eastAsia="en-AU"/>
        </w:rPr>
      </w:pPr>
      <w:r>
        <w:t>2.</w:t>
      </w:r>
      <w:r>
        <w:tab/>
        <w:t>Tariff L2 (general supply — low/medium voltage tariff)</w:t>
      </w:r>
      <w:r>
        <w:tab/>
      </w:r>
      <w:r>
        <w:fldChar w:fldCharType="begin"/>
      </w:r>
      <w:r>
        <w:instrText xml:space="preserve"> PAGEREF _Toc359927759 \h </w:instrText>
      </w:r>
      <w:r>
        <w:fldChar w:fldCharType="separate"/>
      </w:r>
      <w:r>
        <w:t>8</w:t>
      </w:r>
      <w:r>
        <w:fldChar w:fldCharType="end"/>
      </w:r>
    </w:p>
    <w:p>
      <w:pPr>
        <w:pStyle w:val="TOC8"/>
        <w:rPr>
          <w:rFonts w:asciiTheme="minorHAnsi" w:eastAsiaTheme="minorEastAsia" w:hAnsiTheme="minorHAnsi" w:cstheme="minorBidi"/>
          <w:szCs w:val="22"/>
          <w:lang w:eastAsia="en-AU"/>
        </w:rPr>
      </w:pPr>
      <w:r>
        <w:t>3.</w:t>
      </w:r>
      <w:r>
        <w:tab/>
        <w:t>Tariff L4 (general supply — low/medium voltage tariff)</w:t>
      </w:r>
      <w:r>
        <w:tab/>
      </w:r>
      <w:r>
        <w:fldChar w:fldCharType="begin"/>
      </w:r>
      <w:r>
        <w:instrText xml:space="preserve"> PAGEREF _Toc359927760 \h </w:instrText>
      </w:r>
      <w:r>
        <w:fldChar w:fldCharType="separate"/>
      </w:r>
      <w:r>
        <w:t>9</w:t>
      </w:r>
      <w:r>
        <w:fldChar w:fldCharType="end"/>
      </w:r>
    </w:p>
    <w:p>
      <w:pPr>
        <w:pStyle w:val="TOC8"/>
        <w:rPr>
          <w:rFonts w:asciiTheme="minorHAnsi" w:eastAsiaTheme="minorEastAsia" w:hAnsiTheme="minorHAnsi" w:cstheme="minorBidi"/>
          <w:szCs w:val="22"/>
          <w:lang w:eastAsia="en-AU"/>
        </w:rPr>
      </w:pPr>
      <w:r>
        <w:t>4.</w:t>
      </w:r>
      <w:r>
        <w:tab/>
        <w:t>Tariff M2 (general supply — high voltage tariff)</w:t>
      </w:r>
      <w:r>
        <w:tab/>
      </w:r>
      <w:r>
        <w:fldChar w:fldCharType="begin"/>
      </w:r>
      <w:r>
        <w:instrText xml:space="preserve"> PAGEREF _Toc359927761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tab/>
        <w:t>Tariff N2 (regional non</w:t>
      </w:r>
      <w:r>
        <w:noBreakHyphen/>
        <w:t>integrated systems — cost of supply tariff)</w:t>
      </w:r>
      <w:r>
        <w:tab/>
      </w:r>
      <w:r>
        <w:fldChar w:fldCharType="begin"/>
      </w:r>
      <w:r>
        <w:instrText xml:space="preserve"> PAGEREF _Toc359927762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tab/>
        <w:t>Tariff P2 (North West interconnected system — cost of supply tariff)</w:t>
      </w:r>
      <w:r>
        <w:tab/>
      </w:r>
      <w:r>
        <w:fldChar w:fldCharType="begin"/>
      </w:r>
      <w:r>
        <w:instrText xml:space="preserve"> PAGEREF _Toc359927763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Tariff A2 (residential tariff)</w:t>
      </w:r>
      <w:r>
        <w:tab/>
      </w:r>
      <w:r>
        <w:fldChar w:fldCharType="begin"/>
      </w:r>
      <w:r>
        <w:instrText xml:space="preserve"> PAGEREF _Toc359927764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tab/>
        <w:t>Tariff C2 (special community service tariff)</w:t>
      </w:r>
      <w:r>
        <w:tab/>
      </w:r>
      <w:r>
        <w:fldChar w:fldCharType="begin"/>
      </w:r>
      <w:r>
        <w:instrText xml:space="preserve"> PAGEREF _Toc359927765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tab/>
        <w:t>Tariff D2 (special tariff for certain premises)</w:t>
      </w:r>
      <w:r>
        <w:tab/>
      </w:r>
      <w:r>
        <w:fldChar w:fldCharType="begin"/>
      </w:r>
      <w:r>
        <w:instrText xml:space="preserve"> PAGEREF _Toc359927766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Tariff K2 (general supply with residential tariff)</w:t>
      </w:r>
      <w:r>
        <w:tab/>
      </w:r>
      <w:r>
        <w:fldChar w:fldCharType="begin"/>
      </w:r>
      <w:r>
        <w:instrText xml:space="preserve"> PAGEREF _Toc359927767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tab/>
        <w:t>Tariff W2 (traffic light installations)</w:t>
      </w:r>
      <w:r>
        <w:tab/>
      </w:r>
      <w:r>
        <w:fldChar w:fldCharType="begin"/>
      </w:r>
      <w:r>
        <w:instrText xml:space="preserve"> PAGEREF _Toc359927768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2A — Carbon components</w:t>
      </w:r>
    </w:p>
    <w:p>
      <w:pPr>
        <w:pStyle w:val="TOC2"/>
        <w:tabs>
          <w:tab w:val="right" w:leader="dot" w:pos="7086"/>
        </w:tabs>
        <w:rPr>
          <w:rFonts w:asciiTheme="minorHAnsi" w:eastAsiaTheme="minorEastAsia" w:hAnsiTheme="minorHAnsi" w:cstheme="minorBidi"/>
          <w:b w:val="0"/>
          <w:sz w:val="22"/>
          <w:szCs w:val="22"/>
          <w:lang w:eastAsia="en-AU"/>
        </w:rPr>
      </w:pPr>
      <w:r>
        <w:t>Schedule 2 — Street lighting</w:t>
      </w:r>
    </w:p>
    <w:p>
      <w:pPr>
        <w:pStyle w:val="TOC2"/>
        <w:tabs>
          <w:tab w:val="right" w:leader="dot" w:pos="7086"/>
        </w:tabs>
        <w:rPr>
          <w:rFonts w:asciiTheme="minorHAnsi" w:eastAsiaTheme="minorEastAsia" w:hAnsiTheme="minorHAnsi" w:cstheme="minorBidi"/>
          <w:b w:val="0"/>
          <w:sz w:val="22"/>
          <w:szCs w:val="22"/>
          <w:lang w:eastAsia="en-AU"/>
        </w:rPr>
      </w:pPr>
      <w:r>
        <w:t>Schedule 3 — Meter rentals</w:t>
      </w:r>
    </w:p>
    <w:p>
      <w:pPr>
        <w:pStyle w:val="TOC2"/>
        <w:tabs>
          <w:tab w:val="right" w:leader="dot" w:pos="7086"/>
        </w:tabs>
        <w:rPr>
          <w:rFonts w:asciiTheme="minorHAnsi" w:eastAsiaTheme="minorEastAsia" w:hAnsiTheme="minorHAnsi" w:cstheme="minorBidi"/>
          <w:b w:val="0"/>
          <w:sz w:val="22"/>
          <w:szCs w:val="22"/>
          <w:lang w:eastAsia="en-AU"/>
        </w:rPr>
      </w:pPr>
      <w:r>
        <w:t>Schedule 4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_Toc359927774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35992774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0" w:name="_Toc123621894"/>
      <w:bookmarkStart w:id="11" w:name="_Toc128284267"/>
      <w:bookmarkStart w:id="12" w:name="_Toc359927746"/>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359927747"/>
      <w:r>
        <w:rPr>
          <w:rStyle w:val="CharSectno"/>
        </w:rPr>
        <w:t>3</w:t>
      </w:r>
      <w:r>
        <w:t>.</w:t>
      </w:r>
      <w:r>
        <w:tab/>
      </w:r>
      <w:bookmarkEnd w:id="13"/>
      <w:bookmarkEnd w:id="14"/>
      <w:bookmarkEnd w:id="15"/>
      <w:bookmarkEnd w:id="16"/>
      <w:bookmarkEnd w:id="17"/>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w:t>
      </w:r>
    </w:p>
    <w:p>
      <w:pPr>
        <w:pStyle w:val="Heading5"/>
      </w:pPr>
      <w:bookmarkStart w:id="23" w:name="_Toc359927748"/>
      <w:bookmarkStart w:id="24" w:name="_Toc486232664"/>
      <w:bookmarkStart w:id="25" w:name="_Toc509735409"/>
      <w:bookmarkStart w:id="26" w:name="_Toc511625641"/>
      <w:bookmarkStart w:id="27" w:name="_Toc512237523"/>
      <w:bookmarkStart w:id="28" w:name="_Toc512935995"/>
      <w:bookmarkStart w:id="29" w:name="_Toc44470744"/>
      <w:bookmarkStart w:id="30" w:name="_Toc63831848"/>
      <w:bookmarkStart w:id="31" w:name="_Toc123621896"/>
      <w:bookmarkStart w:id="32" w:name="_Toc128284269"/>
      <w:r>
        <w:rPr>
          <w:rStyle w:val="CharSectno"/>
        </w:rPr>
        <w:t>4A</w:t>
      </w:r>
      <w:r>
        <w:t>.</w:t>
      </w:r>
      <w:r>
        <w:tab/>
        <w:t>Carbon component</w:t>
      </w:r>
      <w:bookmarkEnd w:id="23"/>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2900-2.]</w:t>
      </w:r>
    </w:p>
    <w:p>
      <w:pPr>
        <w:pStyle w:val="Heading5"/>
        <w:rPr>
          <w:snapToGrid w:val="0"/>
        </w:rPr>
      </w:pPr>
      <w:bookmarkStart w:id="33" w:name="_Toc359927749"/>
      <w:r>
        <w:rPr>
          <w:rStyle w:val="CharSectno"/>
        </w:rPr>
        <w:t>4</w:t>
      </w:r>
      <w:r>
        <w:t>.</w:t>
      </w:r>
      <w:r>
        <w:tab/>
      </w:r>
      <w:r>
        <w:rPr>
          <w:snapToGrid w:val="0"/>
        </w:rPr>
        <w:t>Electricity charges</w:t>
      </w:r>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4" w:name="_Toc123621897"/>
      <w:bookmarkStart w:id="35" w:name="_Toc128284270"/>
      <w:bookmarkStart w:id="36" w:name="_Toc359927750"/>
      <w:r>
        <w:rPr>
          <w:rStyle w:val="CharSectno"/>
        </w:rPr>
        <w:t>5</w:t>
      </w:r>
      <w:r>
        <w:t>.</w:t>
      </w:r>
      <w:r>
        <w:tab/>
        <w:t>Application of residential tariffs</w:t>
      </w:r>
      <w:bookmarkEnd w:id="34"/>
      <w:bookmarkEnd w:id="35"/>
      <w:bookmarkEnd w:id="3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7" w:name="_Toc123621898"/>
      <w:bookmarkStart w:id="38" w:name="_Toc128284271"/>
      <w:bookmarkStart w:id="39" w:name="_Toc359927751"/>
      <w:r>
        <w:rPr>
          <w:rStyle w:val="CharSectno"/>
        </w:rPr>
        <w:t>6</w:t>
      </w:r>
      <w:r>
        <w:t>.</w:t>
      </w:r>
      <w:r>
        <w:tab/>
        <w:t>Meter rental</w:t>
      </w:r>
      <w:bookmarkEnd w:id="37"/>
      <w:bookmarkEnd w:id="38"/>
      <w:bookmarkEnd w:id="3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0" w:name="_Toc123621899"/>
      <w:bookmarkStart w:id="41" w:name="_Toc128284272"/>
      <w:bookmarkStart w:id="42" w:name="_Toc359927752"/>
      <w:r>
        <w:rPr>
          <w:rStyle w:val="CharSectno"/>
        </w:rPr>
        <w:t>7</w:t>
      </w:r>
      <w:r>
        <w:t>.</w:t>
      </w:r>
      <w:r>
        <w:tab/>
        <w:t>Fees</w:t>
      </w:r>
      <w:bookmarkEnd w:id="40"/>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3" w:name="_Toc123621900"/>
      <w:bookmarkStart w:id="44" w:name="_Toc128284273"/>
      <w:bookmarkStart w:id="45" w:name="_Toc359927753"/>
      <w:r>
        <w:rPr>
          <w:rStyle w:val="CharSectno"/>
        </w:rPr>
        <w:t>8</w:t>
      </w:r>
      <w:r>
        <w:t>.</w:t>
      </w:r>
      <w:r>
        <w:tab/>
        <w:t>Payment</w:t>
      </w:r>
      <w:bookmarkEnd w:id="43"/>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bookmarkStart w:id="46" w:name="_Toc123621901"/>
      <w:bookmarkStart w:id="47" w:name="_Toc128284274"/>
      <w:r>
        <w:t>[</w:t>
      </w:r>
      <w:r>
        <w:rPr>
          <w:b/>
        </w:rPr>
        <w:t>9.</w:t>
      </w:r>
      <w:r>
        <w:tab/>
        <w:t>Deleted in Gazette 21 Sep 2012 p. 4423.]</w:t>
      </w:r>
    </w:p>
    <w:p>
      <w:pPr>
        <w:pStyle w:val="Heading5"/>
      </w:pPr>
      <w:bookmarkStart w:id="48" w:name="_Toc123621902"/>
      <w:bookmarkStart w:id="49" w:name="_Toc128284275"/>
      <w:bookmarkStart w:id="50" w:name="_Toc359927754"/>
      <w:bookmarkEnd w:id="46"/>
      <w:bookmarkEnd w:id="47"/>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359927755"/>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359927756"/>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64986320"/>
      <w:bookmarkStart w:id="110" w:name="_Toc265662290"/>
      <w:bookmarkStart w:id="111" w:name="_Toc297283500"/>
      <w:bookmarkStart w:id="112" w:name="_Toc328577438"/>
      <w:bookmarkStart w:id="113" w:name="_Toc335917449"/>
      <w:bookmarkStart w:id="114" w:name="_Toc359927757"/>
      <w:bookmarkStart w:id="115" w:name="_Toc123621759"/>
      <w:bookmarkStart w:id="116" w:name="_Toc123621906"/>
      <w:bookmarkStart w:id="117" w:name="_Toc123624866"/>
      <w:bookmarkStart w:id="118" w:name="_Toc123624933"/>
      <w:bookmarkStart w:id="119" w:name="_Toc123630128"/>
      <w:bookmarkStart w:id="120" w:name="_Toc123630146"/>
      <w:bookmarkStart w:id="121" w:name="_Toc123630164"/>
      <w:bookmarkStart w:id="122" w:name="_Toc124052050"/>
      <w:bookmarkStart w:id="123" w:name="_Toc124057995"/>
      <w:bookmarkStart w:id="124" w:name="_Toc124058056"/>
      <w:bookmarkStart w:id="125" w:name="_Toc124133810"/>
      <w:bookmarkStart w:id="126" w:name="_Toc124148133"/>
      <w:bookmarkStart w:id="127" w:name="_Toc124157865"/>
      <w:bookmarkStart w:id="128" w:name="_Toc124216742"/>
      <w:bookmarkStart w:id="129" w:name="_Toc124217250"/>
      <w:bookmarkStart w:id="130" w:name="_Toc124218589"/>
      <w:bookmarkStart w:id="131" w:name="_Toc124222749"/>
      <w:bookmarkStart w:id="132" w:name="_Toc124224477"/>
      <w:bookmarkStart w:id="133" w:name="_Toc124224510"/>
      <w:bookmarkStart w:id="134" w:name="_Toc124224878"/>
      <w:bookmarkStart w:id="135" w:name="_Toc124224978"/>
      <w:bookmarkStart w:id="136" w:name="_Toc124225768"/>
      <w:bookmarkStart w:id="137" w:name="_Toc124226029"/>
      <w:bookmarkStart w:id="138" w:name="_Toc124235191"/>
      <w:bookmarkStart w:id="139" w:name="_Toc124235992"/>
      <w:bookmarkStart w:id="140" w:name="_Toc125272418"/>
      <w:bookmarkStart w:id="141" w:name="_Toc125279428"/>
      <w:bookmarkStart w:id="142" w:name="_Toc127005829"/>
      <w:bookmarkStart w:id="143" w:name="_Toc127006376"/>
      <w:bookmarkStart w:id="144" w:name="_Toc127077910"/>
      <w:bookmarkStart w:id="145" w:name="_Toc127078615"/>
      <w:bookmarkStart w:id="146" w:name="_Toc127079202"/>
      <w:bookmarkStart w:id="147" w:name="_Toc127079724"/>
      <w:bookmarkStart w:id="148" w:name="_Toc127083149"/>
      <w:bookmarkStart w:id="149" w:name="_Toc127084571"/>
      <w:bookmarkStart w:id="150" w:name="_Toc127084605"/>
      <w:bookmarkStart w:id="151" w:name="_Toc127084752"/>
      <w:bookmarkStart w:id="152" w:name="_Toc127085271"/>
      <w:bookmarkStart w:id="153" w:name="_Toc127085680"/>
      <w:bookmarkStart w:id="154" w:name="_Toc127085722"/>
      <w:bookmarkStart w:id="155" w:name="_Toc127085794"/>
      <w:bookmarkStart w:id="156" w:name="_Toc127086362"/>
      <w:bookmarkStart w:id="157" w:name="_Toc127672634"/>
      <w:bookmarkStart w:id="158" w:name="_Toc127695303"/>
      <w:bookmarkStart w:id="159" w:name="_Toc127695746"/>
      <w:bookmarkStart w:id="160" w:name="_Toc127699630"/>
      <w:bookmarkStart w:id="161" w:name="_Toc127947040"/>
      <w:bookmarkStart w:id="162" w:name="_Toc127947929"/>
      <w:bookmarkStart w:id="163" w:name="_Toc127947955"/>
      <w:bookmarkStart w:id="164" w:name="_Toc127959125"/>
      <w:bookmarkStart w:id="165" w:name="_Toc127959534"/>
      <w:bookmarkStart w:id="166" w:name="_Toc128191086"/>
      <w:bookmarkStart w:id="167" w:name="_Toc128196509"/>
      <w:bookmarkStart w:id="168" w:name="_Toc128283915"/>
      <w:bookmarkStart w:id="169" w:name="_Toc128284074"/>
      <w:bookmarkStart w:id="170" w:name="_Toc128284100"/>
      <w:bookmarkStart w:id="171" w:name="_Toc128284289"/>
      <w:bookmarkStart w:id="172"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t> — </w:t>
      </w:r>
      <w:r>
        <w:rPr>
          <w:rStyle w:val="CharSchText"/>
        </w:rPr>
        <w:t>Supply charges</w:t>
      </w:r>
      <w:bookmarkEnd w:id="109"/>
      <w:bookmarkEnd w:id="110"/>
      <w:bookmarkEnd w:id="111"/>
      <w:bookmarkEnd w:id="112"/>
      <w:bookmarkEnd w:id="113"/>
      <w:bookmarkEnd w:id="114"/>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73" w:name="_Toc359927758"/>
      <w:r>
        <w:rPr>
          <w:rStyle w:val="CharSClsNo"/>
        </w:rPr>
        <w:t>1</w:t>
      </w:r>
      <w:r>
        <w:t>.</w:t>
      </w:r>
      <w:r>
        <w:rPr>
          <w:b w:val="0"/>
        </w:rPr>
        <w:tab/>
      </w:r>
      <w:r>
        <w:t>Terms used</w:t>
      </w:r>
      <w:bookmarkEnd w:id="173"/>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74" w:name="_Toc359927759"/>
      <w:r>
        <w:rPr>
          <w:rStyle w:val="CharSClsNo"/>
        </w:rPr>
        <w:t>2</w:t>
      </w:r>
      <w:r>
        <w:t>.</w:t>
      </w:r>
      <w:r>
        <w:tab/>
        <w:t>Tariff L2 (general supply — low/medium voltage tariff)</w:t>
      </w:r>
      <w:bookmarkEnd w:id="174"/>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27.6108</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24.9792</w:t>
      </w:r>
      <w:r>
        <w:t xml:space="preserve">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 14 Jun 2013 p. 2223.]</w:t>
      </w:r>
    </w:p>
    <w:p>
      <w:pPr>
        <w:pStyle w:val="yHeading5"/>
      </w:pPr>
      <w:bookmarkStart w:id="175" w:name="_Toc359927760"/>
      <w:r>
        <w:rPr>
          <w:rStyle w:val="CharSClsNo"/>
        </w:rPr>
        <w:t>3</w:t>
      </w:r>
      <w:r>
        <w:t>.</w:t>
      </w:r>
      <w:r>
        <w:tab/>
        <w:t>Tariff L4 (general supply — low/medium voltage tariff)</w:t>
      </w:r>
      <w:bookmarkEnd w:id="175"/>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w:t>
      </w:r>
      <w:r>
        <w:rPr>
          <w:szCs w:val="22"/>
        </w:rPr>
        <w:t>33.5148</w:t>
      </w:r>
      <w:r>
        <w:t xml:space="preserve"> cents plus the carbon component) per unit for the first 1 650 units per day; and</w:t>
      </w:r>
    </w:p>
    <w:p>
      <w:pPr>
        <w:pStyle w:val="yIndenti0"/>
      </w:pPr>
      <w:r>
        <w:tab/>
        <w:t>(ii)</w:t>
      </w:r>
      <w:r>
        <w:tab/>
      </w:r>
      <w:r>
        <w:rPr>
          <w:szCs w:val="22"/>
        </w:rPr>
        <w:t>32.0206</w:t>
      </w:r>
      <w:r>
        <w:t xml:space="preserve"> cents (being </w:t>
      </w:r>
      <w:r>
        <w:rPr>
          <w:szCs w:val="22"/>
        </w:rPr>
        <w:t>30.3153</w:t>
      </w:r>
      <w:r>
        <w:t xml:space="preserve">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 14 Jun 2013 p. 2223.]</w:t>
      </w:r>
    </w:p>
    <w:p>
      <w:pPr>
        <w:pStyle w:val="yHeading5"/>
      </w:pPr>
      <w:bookmarkStart w:id="176" w:name="_Toc359927761"/>
      <w:r>
        <w:rPr>
          <w:rStyle w:val="CharSClsNo"/>
        </w:rPr>
        <w:t>4</w:t>
      </w:r>
      <w:r>
        <w:t>.</w:t>
      </w:r>
      <w:r>
        <w:tab/>
        <w:t>Tariff M2 (general supply — high voltage tariff)</w:t>
      </w:r>
      <w:bookmarkEnd w:id="176"/>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r>
      <w:r>
        <w:rPr>
          <w:szCs w:val="22"/>
        </w:rPr>
        <w:t>31.8586</w:t>
      </w:r>
      <w:r>
        <w:t xml:space="preserve"> cents (being </w:t>
      </w:r>
      <w:r>
        <w:rPr>
          <w:szCs w:val="22"/>
        </w:rPr>
        <w:t>30.1534</w:t>
      </w:r>
      <w:r>
        <w:t xml:space="preserve"> cents plus the carbon component) per unit for the first 1 650 units per day; and</w:t>
      </w:r>
    </w:p>
    <w:p>
      <w:pPr>
        <w:pStyle w:val="yIndenti0"/>
      </w:pPr>
      <w:r>
        <w:tab/>
        <w:t>(ii)</w:t>
      </w:r>
      <w:r>
        <w:tab/>
      </w:r>
      <w:r>
        <w:rPr>
          <w:szCs w:val="22"/>
        </w:rPr>
        <w:t>28.8541</w:t>
      </w:r>
      <w:r>
        <w:t xml:space="preserve"> cents (being </w:t>
      </w:r>
      <w:r>
        <w:rPr>
          <w:szCs w:val="22"/>
        </w:rPr>
        <w:t>27.1489</w:t>
      </w:r>
      <w:r>
        <w:t xml:space="preserve"> cents plus the carbon component) per unit per day for all units exceeding 1 650 units.</w:t>
      </w:r>
    </w:p>
    <w:p>
      <w:pPr>
        <w:pStyle w:val="yFootnotesection"/>
      </w:pPr>
      <w:r>
        <w:tab/>
        <w:t>[Clause 4 inserted in Gazette 26 Mar 2010 p. 1181; amended in Gazette 24 Jun 2011 p. 2496; 29 Jun 2012 p. 2903; 14 Jun 2013 p. 2224.]</w:t>
      </w:r>
    </w:p>
    <w:p>
      <w:pPr>
        <w:pStyle w:val="yHeading5"/>
      </w:pPr>
      <w:bookmarkStart w:id="177" w:name="_Toc359927762"/>
      <w:r>
        <w:rPr>
          <w:rStyle w:val="CharSClsNo"/>
        </w:rPr>
        <w:t>5</w:t>
      </w:r>
      <w:r>
        <w:t>.</w:t>
      </w:r>
      <w:r>
        <w:tab/>
        <w:t>Tariff N2 (regional non</w:t>
      </w:r>
      <w:r>
        <w:noBreakHyphen/>
        <w:t>integrated systems — cost of supply tariff)</w:t>
      </w:r>
      <w:bookmarkEnd w:id="177"/>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701"/>
        </w:tabs>
        <w:spacing w:before="120" w:after="120"/>
        <w:rPr>
          <w:sz w:val="20"/>
        </w:rPr>
      </w:pPr>
      <w:r>
        <w:rPr>
          <w:noProof w:val="0"/>
          <w:sz w:val="20"/>
        </w:rPr>
        <w:tab/>
      </w:r>
      <m:oMath>
        <m:r>
          <m:rPr>
            <m:sty m:val="p"/>
          </m:rPr>
          <w:rPr>
            <w:rFonts w:ascii="Cambria Math" w:hAnsi="Cambria Math"/>
            <w:sz w:val="20"/>
          </w:rPr>
          <m:t xml:space="preserve">R = </m:t>
        </m:r>
        <m:d>
          <m:dPr>
            <m:begChr m:val="{"/>
            <m:endChr m:val="}"/>
            <m:ctrlPr>
              <w:rPr>
                <w:rFonts w:ascii="Cambria Math" w:hAnsi="Cambria Math"/>
                <w:sz w:val="20"/>
              </w:rPr>
            </m:ctrlPr>
          </m:dPr>
          <m:e>
            <m:d>
              <m:dPr>
                <m:begChr m:val="["/>
                <m:endChr m:val="]"/>
                <m:ctrlPr>
                  <w:rPr>
                    <w:rFonts w:ascii="Cambria Math" w:hAnsi="Cambria Math"/>
                    <w:sz w:val="20"/>
                  </w:rPr>
                </m:ctrlPr>
              </m:dPr>
              <m:e>
                <m:r>
                  <m:rPr>
                    <m:sty m:val="p"/>
                  </m:rPr>
                  <w:rPr>
                    <w:rFonts w:ascii="Cambria Math" w:hAnsi="Cambria Math"/>
                    <w:sz w:val="20"/>
                  </w:rPr>
                  <m:t xml:space="preserve">18.7797= </m:t>
                </m:r>
                <m:f>
                  <m:fPr>
                    <m:ctrlPr>
                      <w:rPr>
                        <w:rFonts w:ascii="Cambria Math" w:hAnsi="Cambria Math"/>
                        <w:sz w:val="20"/>
                      </w:rPr>
                    </m:ctrlPr>
                  </m:fPr>
                  <m:num>
                    <m:r>
                      <m:rPr>
                        <m:sty m:val="p"/>
                      </m:rPr>
                      <w:rPr>
                        <w:rFonts w:ascii="Cambria Math" w:hAnsi="Cambria Math"/>
                        <w:sz w:val="20"/>
                      </w:rPr>
                      <m:t xml:space="preserve">8.5552 × P </m:t>
                    </m:r>
                  </m:num>
                  <m:den>
                    <m:r>
                      <m:rPr>
                        <m:sty m:val="p"/>
                      </m:rPr>
                      <w:rPr>
                        <w:rFonts w:ascii="Cambria Math" w:hAnsi="Cambria Math"/>
                        <w:sz w:val="20"/>
                      </w:rPr>
                      <m:t>39.18</m:t>
                    </m:r>
                  </m:den>
                </m:f>
              </m:e>
            </m:d>
            <m:r>
              <m:rPr>
                <m:sty m:val="p"/>
              </m:rPr>
              <w:rPr>
                <w:rFonts w:ascii="Cambria Math" w:hAnsi="Cambria Math"/>
                <w:sz w:val="20"/>
              </w:rPr>
              <m:t>+1.5502</m:t>
            </m:r>
          </m:e>
        </m:d>
        <m:r>
          <m:rPr>
            <m:sty m:val="p"/>
          </m:rPr>
          <w:rPr>
            <w:rFonts w:ascii="Cambria Math" w:hAnsi="Cambria Math"/>
            <w:sz w:val="20"/>
          </w:rPr>
          <m:t xml:space="preserve"> ×1.1</m:t>
        </m:r>
      </m:oMath>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 14 Jun 2013 p. 2224.]</w:t>
      </w:r>
    </w:p>
    <w:p>
      <w:pPr>
        <w:pStyle w:val="yHeading5"/>
      </w:pPr>
      <w:bookmarkStart w:id="178" w:name="_Toc359927763"/>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78"/>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 xml:space="preserve">a charge for metered consumption at the rate of </w:t>
      </w:r>
      <w:r>
        <w:rPr>
          <w:szCs w:val="22"/>
        </w:rPr>
        <w:t>43.9179</w:t>
      </w:r>
      <w:r>
        <w:t xml:space="preserve"> cents (being 42.2127 cents plus the carbon component) per unit.</w:t>
      </w:r>
    </w:p>
    <w:p>
      <w:pPr>
        <w:pStyle w:val="yFootnotesection"/>
      </w:pPr>
      <w:r>
        <w:tab/>
        <w:t>[Clause 6 inserted in Gazette 26 Mar 2010 p. 1182-3; amended in Gazette 24 Jun 2011 p. 2496; 29 Jun 2012 p. 2904; 14 Jun 2013 p. 2224.]</w:t>
      </w:r>
    </w:p>
    <w:p>
      <w:pPr>
        <w:pStyle w:val="yHeading5"/>
      </w:pPr>
      <w:bookmarkStart w:id="179" w:name="_Toc359927764"/>
      <w:r>
        <w:rPr>
          <w:rStyle w:val="CharSClsNo"/>
        </w:rPr>
        <w:t>7</w:t>
      </w:r>
      <w:r>
        <w:t>.</w:t>
      </w:r>
      <w:r>
        <w:tab/>
        <w:t>Tariff A2 (residential tariff)</w:t>
      </w:r>
      <w:bookmarkEnd w:id="179"/>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24.2000</w:t>
      </w:r>
      <w:r>
        <w:t xml:space="preserve"> cents plus the carbon component) per unit.</w:t>
      </w:r>
    </w:p>
    <w:p>
      <w:pPr>
        <w:pStyle w:val="yFootnotesection"/>
      </w:pPr>
      <w:r>
        <w:tab/>
        <w:t>[Clause 7 inserted in Gazette 26 Mar 2010 p. 1183; amended in Gazette 24 Jun 2011 p. 2496; 29 Jun 2012 p. 2904-5; 14 Jun 2013 p. 2224.]</w:t>
      </w:r>
    </w:p>
    <w:p>
      <w:pPr>
        <w:pStyle w:val="yHeading5"/>
      </w:pPr>
      <w:bookmarkStart w:id="180" w:name="_Toc359927765"/>
      <w:r>
        <w:rPr>
          <w:rStyle w:val="CharSClsNo"/>
        </w:rPr>
        <w:t>8</w:t>
      </w:r>
      <w:r>
        <w:t>.</w:t>
      </w:r>
      <w:r>
        <w:tab/>
        <w:t>Tariff C2 (special community service tariff)</w:t>
      </w:r>
      <w:bookmarkEnd w:id="180"/>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21.9224</w:t>
      </w:r>
      <w:r>
        <w:t xml:space="preserve"> cents plus the carbon component) per unit for the first 20 units per day; and</w:t>
      </w:r>
    </w:p>
    <w:p>
      <w:pPr>
        <w:pStyle w:val="yIndenti0"/>
      </w:pPr>
      <w:r>
        <w:tab/>
        <w:t>(ii)</w:t>
      </w:r>
      <w:r>
        <w:tab/>
      </w:r>
      <w:r>
        <w:rPr>
          <w:szCs w:val="22"/>
        </w:rPr>
        <w:t>29.0041</w:t>
      </w:r>
      <w:r>
        <w:t xml:space="preserve"> cents (being </w:t>
      </w:r>
      <w:r>
        <w:rPr>
          <w:szCs w:val="22"/>
        </w:rPr>
        <w:t>27.2989</w:t>
      </w:r>
      <w:r>
        <w:t xml:space="preserve"> cents plus the carbon component) for the next 1 630 units per day; and</w:t>
      </w:r>
    </w:p>
    <w:p>
      <w:pPr>
        <w:pStyle w:val="yIndenti0"/>
      </w:pPr>
      <w:r>
        <w:tab/>
        <w:t>(iii)</w:t>
      </w:r>
      <w:r>
        <w:tab/>
      </w:r>
      <w:r>
        <w:rPr>
          <w:szCs w:val="22"/>
        </w:rPr>
        <w:t>26.4030</w:t>
      </w:r>
      <w:r>
        <w:t xml:space="preserve"> cents (being </w:t>
      </w:r>
      <w:r>
        <w:rPr>
          <w:szCs w:val="22"/>
        </w:rPr>
        <w:t>24.6978</w:t>
      </w:r>
      <w:r>
        <w:t xml:space="preserve">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 14 Jun 2013 p. 2224.]</w:t>
      </w:r>
    </w:p>
    <w:p>
      <w:pPr>
        <w:pStyle w:val="yHeading5"/>
      </w:pPr>
      <w:bookmarkStart w:id="181" w:name="_Toc359927766"/>
      <w:r>
        <w:rPr>
          <w:rStyle w:val="CharSClsNo"/>
        </w:rPr>
        <w:t>9</w:t>
      </w:r>
      <w:r>
        <w:t>.</w:t>
      </w:r>
      <w:r>
        <w:tab/>
        <w:t>Tariff D2 (special tariff for certain premises)</w:t>
      </w:r>
      <w:bookmarkEnd w:id="181"/>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20.4682</w:t>
      </w:r>
      <w:r>
        <w:t xml:space="preserve">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 14 Jun 2013 p. 2224.]</w:t>
      </w:r>
    </w:p>
    <w:p>
      <w:pPr>
        <w:pStyle w:val="yHeading5"/>
      </w:pPr>
      <w:bookmarkStart w:id="182" w:name="_Toc359927767"/>
      <w:r>
        <w:rPr>
          <w:rStyle w:val="CharSClsNo"/>
        </w:rPr>
        <w:t>10</w:t>
      </w:r>
      <w:r>
        <w:t>.</w:t>
      </w:r>
      <w:r>
        <w:tab/>
        <w:t xml:space="preserve">Tariff </w:t>
      </w:r>
      <w:smartTag w:uri="urn:schemas-microsoft-com:office:smarttags" w:element="place">
        <w:r>
          <w:t>K2</w:t>
        </w:r>
      </w:smartTag>
      <w:r>
        <w:t xml:space="preserve"> (general supply with residential tariff)</w:t>
      </w:r>
      <w:bookmarkEnd w:id="182"/>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24.2000</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27.6108</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24.9792</w:t>
      </w:r>
      <w:r>
        <w:t xml:space="preserve"> cents plus the carbon component) per unit per day for all units exceeding 1 650 units.</w:t>
      </w:r>
    </w:p>
    <w:p>
      <w:pPr>
        <w:pStyle w:val="yFootnotesection"/>
      </w:pPr>
      <w:r>
        <w:tab/>
        <w:t>[Clause 10 inserted in Gazette 26 Mar 2010 p. 1185; amended in Gazette 24 Jun 2011 p. 2496; 29 Jun 2012 p. 2906; 14 Jun 2013 p. 2224-5.]</w:t>
      </w:r>
    </w:p>
    <w:p>
      <w:pPr>
        <w:pStyle w:val="yHeading5"/>
      </w:pPr>
      <w:bookmarkStart w:id="183" w:name="_Toc359927768"/>
      <w:r>
        <w:rPr>
          <w:rStyle w:val="CharSClsNo"/>
        </w:rPr>
        <w:t>11</w:t>
      </w:r>
      <w:r>
        <w:t>.</w:t>
      </w:r>
      <w:r>
        <w:tab/>
        <w:t>Tariff W2 (traffic light installations)</w:t>
      </w:r>
      <w:bookmarkEnd w:id="183"/>
    </w:p>
    <w:p>
      <w:pPr>
        <w:pStyle w:val="ySubsection"/>
      </w:pPr>
      <w:r>
        <w:tab/>
      </w:r>
      <w:r>
        <w:tab/>
        <w:t xml:space="preserve">Tariff W2 comprises a charge of </w:t>
      </w:r>
      <w:r>
        <w:rPr>
          <w:szCs w:val="22"/>
        </w:rPr>
        <w:t>$5.9236</w:t>
      </w:r>
      <w:r>
        <w:t xml:space="preserve"> (being </w:t>
      </w:r>
      <w:r>
        <w:rPr>
          <w:szCs w:val="22"/>
        </w:rPr>
        <w:t>$5.5143</w:t>
      </w:r>
      <w:r>
        <w:t xml:space="preserve"> plus the carbon component) per day per kW of installed wattage.</w:t>
      </w:r>
    </w:p>
    <w:p>
      <w:pPr>
        <w:pStyle w:val="yFootnotesection"/>
      </w:pPr>
      <w:r>
        <w:tab/>
        <w:t>[Clause 11 inserted in Gazette 26 Mar 2010 p. 1185; amended in Gazette 24 Jun 2011 p. 2496; 29 Jun 2012 p. 2906; 14 Jun 2013 p. 2225.]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84" w:name="_Toc359927769"/>
      <w:bookmarkStart w:id="185" w:name="_Toc328577450"/>
      <w:bookmarkStart w:id="186" w:name="_Toc335917461"/>
      <w:bookmarkStart w:id="187" w:name="_Toc297283512"/>
      <w:bookmarkStart w:id="188" w:name="_Toc124157866"/>
      <w:bookmarkStart w:id="189" w:name="_Toc124216743"/>
      <w:bookmarkStart w:id="190" w:name="_Toc124217251"/>
      <w:bookmarkStart w:id="191" w:name="_Toc124218590"/>
      <w:bookmarkStart w:id="192" w:name="_Toc124222750"/>
      <w:bookmarkStart w:id="193" w:name="_Toc124224478"/>
      <w:bookmarkStart w:id="194" w:name="_Toc124224511"/>
      <w:bookmarkStart w:id="195" w:name="_Toc124224879"/>
      <w:bookmarkStart w:id="196" w:name="_Toc124224979"/>
      <w:bookmarkStart w:id="197" w:name="_Toc124225769"/>
      <w:bookmarkStart w:id="198" w:name="_Toc124226030"/>
      <w:bookmarkStart w:id="199" w:name="_Toc124235192"/>
      <w:bookmarkStart w:id="200" w:name="_Toc124235993"/>
      <w:bookmarkStart w:id="201" w:name="_Toc125272419"/>
      <w:bookmarkStart w:id="202" w:name="_Toc125279429"/>
      <w:bookmarkStart w:id="203" w:name="_Toc127005830"/>
      <w:bookmarkStart w:id="204" w:name="_Toc127006377"/>
      <w:bookmarkStart w:id="205" w:name="_Toc127077911"/>
      <w:bookmarkStart w:id="206" w:name="_Toc127078616"/>
      <w:bookmarkStart w:id="207" w:name="_Toc127079203"/>
      <w:bookmarkStart w:id="208" w:name="_Toc127079725"/>
      <w:bookmarkStart w:id="209" w:name="_Toc127083150"/>
      <w:bookmarkStart w:id="210" w:name="_Toc127084572"/>
      <w:bookmarkStart w:id="211" w:name="_Toc127084606"/>
      <w:bookmarkStart w:id="212" w:name="_Toc127084753"/>
      <w:bookmarkStart w:id="213" w:name="_Toc127085272"/>
      <w:bookmarkStart w:id="214" w:name="_Toc127085681"/>
      <w:bookmarkStart w:id="215" w:name="_Toc127085723"/>
      <w:bookmarkStart w:id="216" w:name="_Toc127085795"/>
      <w:bookmarkStart w:id="217" w:name="_Toc127086363"/>
      <w:bookmarkStart w:id="218" w:name="_Toc127672635"/>
      <w:bookmarkStart w:id="219" w:name="_Toc127695304"/>
      <w:bookmarkStart w:id="220" w:name="_Toc127695747"/>
      <w:bookmarkStart w:id="221" w:name="_Toc127699631"/>
      <w:bookmarkStart w:id="222" w:name="_Toc127947041"/>
      <w:bookmarkStart w:id="223" w:name="_Toc127947930"/>
      <w:bookmarkStart w:id="224" w:name="_Toc127947956"/>
      <w:bookmarkStart w:id="225" w:name="_Toc127959126"/>
      <w:bookmarkStart w:id="226" w:name="_Toc127959535"/>
      <w:bookmarkStart w:id="227" w:name="_Toc128191087"/>
      <w:bookmarkStart w:id="228" w:name="_Toc128196510"/>
      <w:bookmarkStart w:id="229" w:name="_Toc128283916"/>
      <w:bookmarkStart w:id="230" w:name="_Toc128284075"/>
      <w:bookmarkStart w:id="231" w:name="_Toc128284101"/>
      <w:bookmarkStart w:id="232" w:name="_Toc128284290"/>
      <w:bookmarkStart w:id="233" w:name="_Toc131496147"/>
      <w:bookmarkStart w:id="234" w:name="_Toc131497430"/>
      <w:bookmarkStart w:id="235" w:name="_Toc131501862"/>
      <w:bookmarkStart w:id="236" w:name="_Toc171050318"/>
      <w:bookmarkStart w:id="237" w:name="_Toc226274355"/>
      <w:bookmarkStart w:id="238" w:name="_Toc233186904"/>
      <w:bookmarkStart w:id="239" w:name="_Toc233187704"/>
      <w:bookmarkStart w:id="240" w:name="_Toc238445889"/>
      <w:bookmarkStart w:id="241" w:name="_Toc239133929"/>
      <w:bookmarkStart w:id="242" w:name="_Toc240167050"/>
      <w:bookmarkStart w:id="243" w:name="_Toc243272773"/>
      <w:bookmarkStart w:id="244" w:name="_Toc257301564"/>
      <w:bookmarkStart w:id="245" w:name="_Toc257301639"/>
      <w:bookmarkStart w:id="246" w:name="_Toc264986334"/>
      <w:bookmarkStart w:id="247" w:name="_Toc265662303"/>
      <w:bookmarkStart w:id="248" w:name="_Toc123621760"/>
      <w:bookmarkStart w:id="249" w:name="_Toc123621907"/>
      <w:bookmarkStart w:id="250" w:name="_Toc123624867"/>
      <w:bookmarkStart w:id="251" w:name="_Toc123624934"/>
      <w:bookmarkStart w:id="252" w:name="_Toc123630129"/>
      <w:bookmarkStart w:id="253" w:name="_Toc123630147"/>
      <w:bookmarkStart w:id="254" w:name="_Toc123630165"/>
      <w:bookmarkStart w:id="255" w:name="_Toc124052051"/>
      <w:bookmarkStart w:id="256" w:name="_Toc124057996"/>
      <w:bookmarkStart w:id="257" w:name="_Toc124058057"/>
      <w:bookmarkStart w:id="258" w:name="_Toc124133811"/>
      <w:bookmarkStart w:id="259" w:name="_Toc12414813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SchNo"/>
        </w:rPr>
        <w:t>Schedule 2A</w:t>
      </w:r>
      <w:r>
        <w:rPr>
          <w:rStyle w:val="CharSDivNo"/>
        </w:rPr>
        <w:t> </w:t>
      </w:r>
      <w:r>
        <w:t>—</w:t>
      </w:r>
      <w:r>
        <w:rPr>
          <w:rStyle w:val="CharSDivText"/>
        </w:rPr>
        <w:t> </w:t>
      </w:r>
      <w:r>
        <w:rPr>
          <w:rStyle w:val="CharSchText"/>
        </w:rPr>
        <w:t>Carbon components</w:t>
      </w:r>
      <w:bookmarkEnd w:id="184"/>
    </w:p>
    <w:p>
      <w:pPr>
        <w:pStyle w:val="yShoulderClause"/>
      </w:pPr>
      <w:r>
        <w:t>[bl. 4A(2)]</w:t>
      </w:r>
    </w:p>
    <w:p>
      <w:pPr>
        <w:pStyle w:val="yFootnoteheading"/>
        <w:spacing w:after="120"/>
      </w:pPr>
      <w:r>
        <w:tab/>
        <w:t>[Heading inserted in Gazette 14 Jun 2013 p. 2225.]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2(2)(b)(i) and (ii)</w:t>
            </w:r>
          </w:p>
        </w:tc>
        <w:tc>
          <w:tcPr>
            <w:tcW w:w="2693" w:type="dxa"/>
          </w:tcPr>
          <w:p>
            <w:pPr>
              <w:pStyle w:val="yTableNAm"/>
            </w:pPr>
            <w:r>
              <w:t>1.7052 cents</w:t>
            </w:r>
          </w:p>
        </w:tc>
      </w:tr>
      <w:tr>
        <w:tc>
          <w:tcPr>
            <w:tcW w:w="3544" w:type="dxa"/>
          </w:tcPr>
          <w:p>
            <w:pPr>
              <w:pStyle w:val="yTableNAm"/>
            </w:pPr>
            <w:r>
              <w:t>Sch. 1 cl. 3(2)(b)(i) and (ii)</w:t>
            </w:r>
          </w:p>
        </w:tc>
        <w:tc>
          <w:tcPr>
            <w:tcW w:w="2693" w:type="dxa"/>
          </w:tcPr>
          <w:p>
            <w:pPr>
              <w:pStyle w:val="yTableNAm"/>
            </w:pPr>
            <w:r>
              <w:t>1.7052 cents</w:t>
            </w:r>
          </w:p>
        </w:tc>
      </w:tr>
      <w:tr>
        <w:tc>
          <w:tcPr>
            <w:tcW w:w="3544" w:type="dxa"/>
          </w:tcPr>
          <w:p>
            <w:pPr>
              <w:pStyle w:val="yTableNAm"/>
            </w:pPr>
            <w:r>
              <w:t>Sch. 1 cl. 4(2)(b)(i) and (ii)</w:t>
            </w:r>
          </w:p>
        </w:tc>
        <w:tc>
          <w:tcPr>
            <w:tcW w:w="2693" w:type="dxa"/>
          </w:tcPr>
          <w:p>
            <w:pPr>
              <w:pStyle w:val="yTableNAm"/>
            </w:pPr>
            <w:r>
              <w:t>1.7052 cents</w:t>
            </w:r>
          </w:p>
        </w:tc>
      </w:tr>
      <w:tr>
        <w:tc>
          <w:tcPr>
            <w:tcW w:w="3544" w:type="dxa"/>
          </w:tcPr>
          <w:p>
            <w:pPr>
              <w:pStyle w:val="yTableNAm"/>
            </w:pPr>
            <w:r>
              <w:t>Sch. 1 cl. 6(2)(b)</w:t>
            </w:r>
          </w:p>
        </w:tc>
        <w:tc>
          <w:tcPr>
            <w:tcW w:w="2693" w:type="dxa"/>
          </w:tcPr>
          <w:p>
            <w:pPr>
              <w:pStyle w:val="yTableNAm"/>
            </w:pPr>
            <w:r>
              <w:t>1.7052 cents</w:t>
            </w:r>
          </w:p>
        </w:tc>
      </w:tr>
      <w:tr>
        <w:tc>
          <w:tcPr>
            <w:tcW w:w="3544" w:type="dxa"/>
          </w:tcPr>
          <w:p>
            <w:pPr>
              <w:pStyle w:val="yTableNAm"/>
            </w:pPr>
            <w:r>
              <w:t>Sch. 1 cl. 7(2)(b)</w:t>
            </w:r>
          </w:p>
        </w:tc>
        <w:tc>
          <w:tcPr>
            <w:tcW w:w="2693" w:type="dxa"/>
          </w:tcPr>
          <w:p>
            <w:pPr>
              <w:pStyle w:val="yTableNAm"/>
            </w:pPr>
            <w:r>
              <w:t>1.7052 cents</w:t>
            </w:r>
          </w:p>
        </w:tc>
      </w:tr>
      <w:tr>
        <w:tc>
          <w:tcPr>
            <w:tcW w:w="3544" w:type="dxa"/>
          </w:tcPr>
          <w:p>
            <w:pPr>
              <w:pStyle w:val="yTableNAm"/>
            </w:pPr>
            <w:r>
              <w:t>Sch. 1 cl. 8(2)(b)(i), (ii) and (iii)</w:t>
            </w:r>
          </w:p>
        </w:tc>
        <w:tc>
          <w:tcPr>
            <w:tcW w:w="2693" w:type="dxa"/>
          </w:tcPr>
          <w:p>
            <w:pPr>
              <w:pStyle w:val="yTableNAm"/>
            </w:pPr>
            <w:r>
              <w:t>1.7052 cents</w:t>
            </w:r>
          </w:p>
        </w:tc>
      </w:tr>
      <w:tr>
        <w:tc>
          <w:tcPr>
            <w:tcW w:w="3544" w:type="dxa"/>
          </w:tcPr>
          <w:p>
            <w:pPr>
              <w:pStyle w:val="yTableNAm"/>
            </w:pPr>
            <w:r>
              <w:t>Sch. 1 cl. 9(2)(c)</w:t>
            </w:r>
          </w:p>
        </w:tc>
        <w:tc>
          <w:tcPr>
            <w:tcW w:w="2693" w:type="dxa"/>
          </w:tcPr>
          <w:p>
            <w:pPr>
              <w:pStyle w:val="yTableNAm"/>
            </w:pPr>
            <w:r>
              <w:t>1.7052 cents</w:t>
            </w:r>
          </w:p>
        </w:tc>
      </w:tr>
      <w:tr>
        <w:tc>
          <w:tcPr>
            <w:tcW w:w="3544" w:type="dxa"/>
          </w:tcPr>
          <w:p>
            <w:pPr>
              <w:pStyle w:val="yTableNAm"/>
            </w:pPr>
            <w:r>
              <w:t>Sch. 1 cl. 10(2)(b)(i), (ii) and (iii)</w:t>
            </w:r>
          </w:p>
        </w:tc>
        <w:tc>
          <w:tcPr>
            <w:tcW w:w="2693" w:type="dxa"/>
          </w:tcPr>
          <w:p>
            <w:pPr>
              <w:pStyle w:val="yTableNAm"/>
            </w:pPr>
            <w:r>
              <w:t>1.7052 cents</w:t>
            </w:r>
          </w:p>
        </w:tc>
      </w:tr>
      <w:tr>
        <w:tc>
          <w:tcPr>
            <w:tcW w:w="3544" w:type="dxa"/>
          </w:tcPr>
          <w:p>
            <w:pPr>
              <w:pStyle w:val="yTableNAm"/>
            </w:pPr>
            <w:r>
              <w:t>Sch. 1 cl. 11</w:t>
            </w:r>
          </w:p>
        </w:tc>
        <w:tc>
          <w:tcPr>
            <w:tcW w:w="2693" w:type="dxa"/>
          </w:tcPr>
          <w:p>
            <w:pPr>
              <w:pStyle w:val="yTableNAm"/>
            </w:pPr>
            <w:r>
              <w:t>$0.4093</w:t>
            </w:r>
          </w:p>
        </w:tc>
      </w:tr>
    </w:tbl>
    <w:p>
      <w:pPr>
        <w:pStyle w:val="yFootnotesection"/>
      </w:pPr>
      <w:r>
        <w:tab/>
        <w:t>[Schedule 2A inserted in Gazette 14 Jun 2013 p. 2225.]</w:t>
      </w:r>
    </w:p>
    <w:p>
      <w:pPr>
        <w:pStyle w:val="yScheduleHeading"/>
      </w:pPr>
      <w:bookmarkStart w:id="260" w:name="_Toc359927770"/>
      <w:bookmarkStart w:id="261" w:name="_Toc328577451"/>
      <w:bookmarkStart w:id="262" w:name="_Toc335917462"/>
      <w:bookmarkEnd w:id="185"/>
      <w:bookmarkEnd w:id="186"/>
      <w:r>
        <w:rPr>
          <w:rStyle w:val="CharSchNo"/>
        </w:rPr>
        <w:t>Schedule 2</w:t>
      </w:r>
      <w:r>
        <w:rPr>
          <w:rStyle w:val="CharSDivNo"/>
        </w:rPr>
        <w:t> </w:t>
      </w:r>
      <w:r>
        <w:t>—</w:t>
      </w:r>
      <w:r>
        <w:rPr>
          <w:rStyle w:val="CharSDivText"/>
        </w:rPr>
        <w:t> </w:t>
      </w:r>
      <w:r>
        <w:rPr>
          <w:rStyle w:val="CharSchText"/>
        </w:rPr>
        <w:t>Street lighting</w:t>
      </w:r>
      <w:bookmarkEnd w:id="260"/>
    </w:p>
    <w:p>
      <w:pPr>
        <w:pStyle w:val="yShoulderClause"/>
      </w:pPr>
      <w:r>
        <w:t>[bl. 4(2)]</w:t>
      </w:r>
    </w:p>
    <w:p>
      <w:pPr>
        <w:pStyle w:val="yFootnoteheading"/>
        <w:spacing w:after="120"/>
      </w:pPr>
      <w:r>
        <w:tab/>
        <w:t>[Heading inserted in Gazette 14 Jun 2013 p. 2225.]</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rPr>
                <w:highlight w:val="cyan"/>
              </w:rPr>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0.4553)</w:t>
            </w:r>
          </w:p>
        </w:tc>
        <w:tc>
          <w:tcPr>
            <w:tcW w:w="1512" w:type="dxa"/>
          </w:tcPr>
          <w:p>
            <w:pPr>
              <w:pStyle w:val="yTableNAm"/>
            </w:pPr>
            <w:r>
              <w:rPr>
                <w:sz w:val="16"/>
                <w:szCs w:val="16"/>
              </w:rPr>
              <w:t>32.6942</w:t>
            </w:r>
            <w:r>
              <w:rPr>
                <w:sz w:val="16"/>
                <w:szCs w:val="16"/>
              </w:rPr>
              <w:br/>
              <w:t>(includes carbon component of  0.5619)</w:t>
            </w:r>
          </w:p>
        </w:tc>
        <w:tc>
          <w:tcPr>
            <w:tcW w:w="1512" w:type="dxa"/>
          </w:tcPr>
          <w:p>
            <w:pPr>
              <w:pStyle w:val="yTableNAm"/>
            </w:pPr>
            <w:r>
              <w:rPr>
                <w:sz w:val="16"/>
                <w:szCs w:val="16"/>
              </w:rPr>
              <w:t>35.6707</w:t>
            </w:r>
            <w:r>
              <w:rPr>
                <w:sz w:val="16"/>
                <w:szCs w:val="16"/>
              </w:rPr>
              <w:br/>
              <w:t>(includes carbon component of  0.9643)</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0.7285)</w:t>
            </w:r>
          </w:p>
        </w:tc>
        <w:tc>
          <w:tcPr>
            <w:tcW w:w="1512" w:type="dxa"/>
          </w:tcPr>
          <w:p>
            <w:pPr>
              <w:pStyle w:val="yTableNAm"/>
            </w:pPr>
            <w:r>
              <w:rPr>
                <w:sz w:val="16"/>
                <w:szCs w:val="16"/>
              </w:rPr>
              <w:t>38.8641</w:t>
            </w:r>
            <w:r>
              <w:rPr>
                <w:sz w:val="16"/>
                <w:szCs w:val="16"/>
              </w:rPr>
              <w:br/>
              <w:t>(includes carbon component of  0.8990)</w:t>
            </w:r>
          </w:p>
        </w:tc>
        <w:tc>
          <w:tcPr>
            <w:tcW w:w="1512" w:type="dxa"/>
          </w:tcPr>
          <w:p>
            <w:pPr>
              <w:pStyle w:val="yTableNAm"/>
            </w:pPr>
            <w:r>
              <w:rPr>
                <w:sz w:val="16"/>
                <w:szCs w:val="16"/>
              </w:rPr>
              <w:t>43.5290</w:t>
            </w:r>
            <w:r>
              <w:rPr>
                <w:sz w:val="16"/>
                <w:szCs w:val="16"/>
              </w:rPr>
              <w:br/>
              <w:t>(includes carbon component of  1.5429)</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1.1382)</w:t>
            </w:r>
          </w:p>
        </w:tc>
        <w:tc>
          <w:tcPr>
            <w:tcW w:w="1512" w:type="dxa"/>
          </w:tcPr>
          <w:p>
            <w:pPr>
              <w:pStyle w:val="yTableNAm"/>
            </w:pPr>
            <w:r>
              <w:rPr>
                <w:sz w:val="16"/>
                <w:szCs w:val="16"/>
              </w:rPr>
              <w:t>48.9323</w:t>
            </w:r>
            <w:r>
              <w:rPr>
                <w:sz w:val="16"/>
                <w:szCs w:val="16"/>
              </w:rPr>
              <w:br/>
              <w:t>(includes carbon component of  1.4047)</w:t>
            </w:r>
          </w:p>
        </w:tc>
        <w:tc>
          <w:tcPr>
            <w:tcW w:w="1512" w:type="dxa"/>
          </w:tcPr>
          <w:p>
            <w:pPr>
              <w:pStyle w:val="yTableNAm"/>
            </w:pPr>
            <w:r>
              <w:rPr>
                <w:sz w:val="16"/>
                <w:szCs w:val="16"/>
              </w:rPr>
              <w:t>55.6511</w:t>
            </w:r>
            <w:r>
              <w:rPr>
                <w:sz w:val="16"/>
                <w:szCs w:val="16"/>
              </w:rPr>
              <w:br/>
              <w:t>(includes carbon component of  2.4108)</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1.2748)</w:t>
            </w:r>
          </w:p>
        </w:tc>
        <w:tc>
          <w:tcPr>
            <w:tcW w:w="1512" w:type="dxa"/>
          </w:tcPr>
          <w:p>
            <w:pPr>
              <w:pStyle w:val="yTableNAm"/>
            </w:pPr>
            <w:r>
              <w:rPr>
                <w:sz w:val="16"/>
                <w:szCs w:val="16"/>
              </w:rPr>
              <w:t>50.2763</w:t>
            </w:r>
            <w:r>
              <w:rPr>
                <w:sz w:val="16"/>
                <w:szCs w:val="16"/>
              </w:rPr>
              <w:br/>
              <w:t>(includes carbon component of  1.5732)</w:t>
            </w:r>
          </w:p>
        </w:tc>
        <w:tc>
          <w:tcPr>
            <w:tcW w:w="1512" w:type="dxa"/>
          </w:tcPr>
          <w:p>
            <w:pPr>
              <w:pStyle w:val="yTableNAm"/>
            </w:pPr>
            <w:r>
              <w:rPr>
                <w:sz w:val="16"/>
                <w:szCs w:val="16"/>
              </w:rPr>
              <w:t>57.9535</w:t>
            </w:r>
            <w:r>
              <w:rPr>
                <w:sz w:val="16"/>
                <w:szCs w:val="16"/>
              </w:rPr>
              <w:br/>
              <w:t>(includes carbon component of  2.7000)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2.2765)</w:t>
            </w:r>
          </w:p>
        </w:tc>
        <w:tc>
          <w:tcPr>
            <w:tcW w:w="1512" w:type="dxa"/>
          </w:tcPr>
          <w:p>
            <w:pPr>
              <w:pStyle w:val="yTableNAm"/>
            </w:pPr>
            <w:r>
              <w:rPr>
                <w:sz w:val="16"/>
                <w:szCs w:val="16"/>
              </w:rPr>
              <w:t>63.2442</w:t>
            </w:r>
            <w:r>
              <w:rPr>
                <w:sz w:val="16"/>
                <w:szCs w:val="16"/>
              </w:rPr>
              <w:br/>
              <w:t>(includes carbon component of  2.8093)</w:t>
            </w:r>
          </w:p>
        </w:tc>
        <w:tc>
          <w:tcPr>
            <w:tcW w:w="1512" w:type="dxa"/>
          </w:tcPr>
          <w:p>
            <w:pPr>
              <w:pStyle w:val="yTableNAm"/>
            </w:pPr>
            <w:r>
              <w:rPr>
                <w:sz w:val="16"/>
                <w:szCs w:val="16"/>
              </w:rPr>
              <w:t>76.7579</w:t>
            </w:r>
            <w:r>
              <w:rPr>
                <w:sz w:val="16"/>
                <w:szCs w:val="16"/>
              </w:rPr>
              <w:br/>
              <w:t>(includes carbon component of  4.8215)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3.6423)</w:t>
            </w:r>
          </w:p>
        </w:tc>
        <w:tc>
          <w:tcPr>
            <w:tcW w:w="1512" w:type="dxa"/>
          </w:tcPr>
          <w:p>
            <w:pPr>
              <w:pStyle w:val="yTableNAm"/>
            </w:pPr>
            <w:r>
              <w:rPr>
                <w:sz w:val="16"/>
                <w:szCs w:val="16"/>
              </w:rPr>
              <w:t>94.2758</w:t>
            </w:r>
            <w:r>
              <w:rPr>
                <w:sz w:val="16"/>
                <w:szCs w:val="16"/>
              </w:rPr>
              <w:br/>
              <w:t>(includes carbon component of  4.4950)</w:t>
            </w:r>
          </w:p>
        </w:tc>
        <w:tc>
          <w:tcPr>
            <w:tcW w:w="1512" w:type="dxa"/>
          </w:tcPr>
          <w:p>
            <w:pPr>
              <w:pStyle w:val="yTableNAm"/>
            </w:pPr>
            <w:r>
              <w:rPr>
                <w:sz w:val="16"/>
                <w:szCs w:val="16"/>
              </w:rPr>
              <w:t>115.4720</w:t>
            </w:r>
            <w:r>
              <w:rPr>
                <w:sz w:val="16"/>
                <w:szCs w:val="16"/>
              </w:rPr>
              <w:br/>
              <w:t>(includes carbon component of  7.7144)</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1.3659)</w:t>
            </w:r>
          </w:p>
        </w:tc>
        <w:tc>
          <w:tcPr>
            <w:tcW w:w="1512" w:type="dxa"/>
          </w:tcPr>
          <w:p>
            <w:pPr>
              <w:pStyle w:val="yTableNAm"/>
            </w:pPr>
            <w:r>
              <w:rPr>
                <w:sz w:val="16"/>
                <w:szCs w:val="16"/>
              </w:rPr>
              <w:t>47.0267</w:t>
            </w:r>
            <w:r>
              <w:rPr>
                <w:sz w:val="16"/>
                <w:szCs w:val="16"/>
              </w:rPr>
              <w:br/>
              <w:t>(includes carbon component of  1.6856)</w:t>
            </w:r>
          </w:p>
        </w:tc>
        <w:tc>
          <w:tcPr>
            <w:tcW w:w="1512" w:type="dxa"/>
          </w:tcPr>
          <w:p>
            <w:pPr>
              <w:pStyle w:val="yTableNAm"/>
            </w:pPr>
            <w:r>
              <w:rPr>
                <w:sz w:val="16"/>
                <w:szCs w:val="16"/>
              </w:rPr>
              <w:t>57.5522</w:t>
            </w:r>
            <w:r>
              <w:rPr>
                <w:sz w:val="16"/>
                <w:szCs w:val="16"/>
              </w:rPr>
              <w:br/>
              <w:t>(includes carbon component of  2.8929)</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2.2765)</w:t>
            </w:r>
          </w:p>
        </w:tc>
        <w:tc>
          <w:tcPr>
            <w:tcW w:w="1512" w:type="dxa"/>
          </w:tcPr>
          <w:p>
            <w:pPr>
              <w:pStyle w:val="yTableNAm"/>
            </w:pPr>
            <w:r>
              <w:rPr>
                <w:sz w:val="16"/>
                <w:szCs w:val="16"/>
              </w:rPr>
              <w:t>71.2114</w:t>
            </w:r>
            <w:r>
              <w:rPr>
                <w:sz w:val="16"/>
                <w:szCs w:val="16"/>
              </w:rPr>
              <w:br/>
              <w:t>(includes carbon component of  2.8093)</w:t>
            </w:r>
          </w:p>
        </w:tc>
        <w:tc>
          <w:tcPr>
            <w:tcW w:w="1512" w:type="dxa"/>
          </w:tcPr>
          <w:p>
            <w:pPr>
              <w:pStyle w:val="yTableNAm"/>
            </w:pPr>
            <w:r>
              <w:rPr>
                <w:sz w:val="16"/>
                <w:szCs w:val="16"/>
              </w:rPr>
              <w:t>87.1424</w:t>
            </w:r>
            <w:r>
              <w:rPr>
                <w:sz w:val="16"/>
                <w:szCs w:val="16"/>
              </w:rPr>
              <w:br/>
              <w:t>(includes carbon component of  4.8215)</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19.2860)</w:t>
            </w:r>
          </w:p>
        </w:tc>
      </w:tr>
      <w:tr>
        <w:trPr>
          <w:cantSplit/>
        </w:trPr>
        <w:tc>
          <w:tcPr>
            <w:tcW w:w="6946" w:type="dxa"/>
            <w:gridSpan w:val="6"/>
          </w:tcPr>
          <w:p>
            <w:pPr>
              <w:pStyle w:val="yTableNAm"/>
              <w:rPr>
                <w:highlight w:val="cyan"/>
              </w:rPr>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2.2765)</w:t>
            </w:r>
          </w:p>
        </w:tc>
        <w:tc>
          <w:tcPr>
            <w:tcW w:w="1512" w:type="dxa"/>
          </w:tcPr>
          <w:p>
            <w:pPr>
              <w:pStyle w:val="yTableNAm"/>
            </w:pPr>
            <w:r>
              <w:rPr>
                <w:sz w:val="16"/>
                <w:szCs w:val="16"/>
              </w:rPr>
              <w:t>79.9387</w:t>
            </w:r>
            <w:r>
              <w:rPr>
                <w:sz w:val="16"/>
                <w:szCs w:val="16"/>
              </w:rPr>
              <w:br/>
              <w:t>(includes carbon component of  2.8093)</w:t>
            </w:r>
          </w:p>
        </w:tc>
        <w:tc>
          <w:tcPr>
            <w:tcW w:w="1512" w:type="dxa"/>
          </w:tcPr>
          <w:p>
            <w:pPr>
              <w:pStyle w:val="yTableNAm"/>
            </w:pPr>
            <w:r>
              <w:rPr>
                <w:sz w:val="16"/>
                <w:szCs w:val="16"/>
              </w:rPr>
              <w:t>93.4674</w:t>
            </w:r>
            <w:r>
              <w:rPr>
                <w:sz w:val="16"/>
                <w:szCs w:val="16"/>
              </w:rPr>
              <w:br/>
              <w:t>(includes carbon component of  4.8215)</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3.6423)</w:t>
            </w:r>
          </w:p>
        </w:tc>
        <w:tc>
          <w:tcPr>
            <w:tcW w:w="1512" w:type="dxa"/>
          </w:tcPr>
          <w:p>
            <w:pPr>
              <w:pStyle w:val="yTableNAm"/>
            </w:pPr>
            <w:r>
              <w:rPr>
                <w:sz w:val="16"/>
                <w:szCs w:val="16"/>
              </w:rPr>
              <w:t>111.0006</w:t>
            </w:r>
            <w:r>
              <w:rPr>
                <w:sz w:val="16"/>
                <w:szCs w:val="16"/>
              </w:rPr>
              <w:br/>
              <w:t>(includes carbon component of  4.4950)</w:t>
            </w:r>
          </w:p>
        </w:tc>
        <w:tc>
          <w:tcPr>
            <w:tcW w:w="1512" w:type="dxa"/>
          </w:tcPr>
          <w:p>
            <w:pPr>
              <w:pStyle w:val="yTableNAm"/>
            </w:pPr>
            <w:r>
              <w:rPr>
                <w:sz w:val="16"/>
                <w:szCs w:val="16"/>
              </w:rPr>
              <w:t>132.1207</w:t>
            </w:r>
            <w:r>
              <w:rPr>
                <w:sz w:val="16"/>
                <w:szCs w:val="16"/>
              </w:rPr>
              <w:br/>
              <w:t>(includes carbon component of  7.7144)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2.2765)</w:t>
            </w:r>
          </w:p>
        </w:tc>
        <w:tc>
          <w:tcPr>
            <w:tcW w:w="1512" w:type="dxa"/>
          </w:tcPr>
          <w:p>
            <w:pPr>
              <w:pStyle w:val="yTableNAm"/>
            </w:pPr>
            <w:r>
              <w:rPr>
                <w:sz w:val="16"/>
                <w:szCs w:val="16"/>
              </w:rPr>
              <w:t>71.5459</w:t>
            </w:r>
            <w:r>
              <w:rPr>
                <w:sz w:val="16"/>
                <w:szCs w:val="16"/>
              </w:rPr>
              <w:br/>
              <w:t>(includes carbon component of  2.8093)</w:t>
            </w:r>
          </w:p>
        </w:tc>
        <w:tc>
          <w:tcPr>
            <w:tcW w:w="1512" w:type="dxa"/>
          </w:tcPr>
          <w:p>
            <w:pPr>
              <w:pStyle w:val="yTableNAm"/>
            </w:pPr>
            <w:r>
              <w:rPr>
                <w:sz w:val="16"/>
                <w:szCs w:val="16"/>
              </w:rPr>
              <w:t>85.1051</w:t>
            </w:r>
            <w:r>
              <w:rPr>
                <w:sz w:val="16"/>
                <w:szCs w:val="16"/>
              </w:rPr>
              <w:br/>
              <w:t>(includes carbon component of  4.8215)</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2.2765)</w:t>
            </w:r>
          </w:p>
        </w:tc>
        <w:tc>
          <w:tcPr>
            <w:tcW w:w="1512" w:type="dxa"/>
          </w:tcPr>
          <w:p>
            <w:pPr>
              <w:pStyle w:val="yTableNAm"/>
            </w:pPr>
            <w:r>
              <w:rPr>
                <w:sz w:val="16"/>
                <w:szCs w:val="16"/>
              </w:rPr>
              <w:t>79.9387</w:t>
            </w:r>
            <w:r>
              <w:rPr>
                <w:sz w:val="16"/>
                <w:szCs w:val="16"/>
              </w:rPr>
              <w:br/>
              <w:t>(includes carbon component of  2.8093)</w:t>
            </w:r>
          </w:p>
        </w:tc>
        <w:tc>
          <w:tcPr>
            <w:tcW w:w="1512" w:type="dxa"/>
          </w:tcPr>
          <w:p>
            <w:pPr>
              <w:pStyle w:val="yTableNAm"/>
            </w:pPr>
            <w:r>
              <w:rPr>
                <w:sz w:val="16"/>
                <w:szCs w:val="16"/>
              </w:rPr>
              <w:t>93.4674</w:t>
            </w:r>
            <w:r>
              <w:rPr>
                <w:sz w:val="16"/>
                <w:szCs w:val="16"/>
              </w:rPr>
              <w:br/>
              <w:t>(includes carbon component of  4.8215)</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3.6423)</w:t>
            </w:r>
          </w:p>
        </w:tc>
        <w:tc>
          <w:tcPr>
            <w:tcW w:w="1512" w:type="dxa"/>
          </w:tcPr>
          <w:p>
            <w:pPr>
              <w:pStyle w:val="yTableNAm"/>
            </w:pPr>
            <w:r>
              <w:rPr>
                <w:sz w:val="16"/>
                <w:szCs w:val="16"/>
              </w:rPr>
              <w:t>102.6534</w:t>
            </w:r>
            <w:r>
              <w:rPr>
                <w:sz w:val="16"/>
                <w:szCs w:val="16"/>
              </w:rPr>
              <w:br/>
              <w:t>(includes carbon component of  4.4950)</w:t>
            </w:r>
          </w:p>
        </w:tc>
        <w:tc>
          <w:tcPr>
            <w:tcW w:w="1512" w:type="dxa"/>
          </w:tcPr>
          <w:p>
            <w:pPr>
              <w:pStyle w:val="yTableNAm"/>
            </w:pPr>
            <w:r>
              <w:rPr>
                <w:sz w:val="16"/>
                <w:szCs w:val="16"/>
              </w:rPr>
              <w:t>123.7887</w:t>
            </w:r>
            <w:r>
              <w:rPr>
                <w:sz w:val="16"/>
                <w:szCs w:val="16"/>
              </w:rPr>
              <w:br/>
              <w:t>(includes carbon component of  7.7144)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3.6423)</w:t>
            </w:r>
          </w:p>
        </w:tc>
        <w:tc>
          <w:tcPr>
            <w:tcW w:w="1512" w:type="dxa"/>
          </w:tcPr>
          <w:p>
            <w:pPr>
              <w:pStyle w:val="yTableNAm"/>
            </w:pPr>
            <w:r>
              <w:rPr>
                <w:sz w:val="16"/>
                <w:szCs w:val="16"/>
              </w:rPr>
              <w:t>111.0006</w:t>
            </w:r>
            <w:r>
              <w:rPr>
                <w:sz w:val="16"/>
                <w:szCs w:val="16"/>
              </w:rPr>
              <w:br/>
              <w:t>(includes carbon component of  4.4950)</w:t>
            </w:r>
          </w:p>
        </w:tc>
        <w:tc>
          <w:tcPr>
            <w:tcW w:w="1512" w:type="dxa"/>
          </w:tcPr>
          <w:p>
            <w:pPr>
              <w:pStyle w:val="yTableNAm"/>
            </w:pPr>
            <w:r>
              <w:rPr>
                <w:sz w:val="16"/>
                <w:szCs w:val="16"/>
              </w:rPr>
              <w:t>132.1207</w:t>
            </w:r>
            <w:r>
              <w:rPr>
                <w:sz w:val="16"/>
                <w:szCs w:val="16"/>
              </w:rPr>
              <w:br/>
              <w:t>(includes carbon component of  7.7144)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1.3659)</w:t>
            </w:r>
          </w:p>
        </w:tc>
        <w:tc>
          <w:tcPr>
            <w:tcW w:w="1512" w:type="dxa"/>
          </w:tcPr>
          <w:p>
            <w:pPr>
              <w:pStyle w:val="yTableNAm"/>
            </w:pPr>
            <w:r>
              <w:rPr>
                <w:sz w:val="16"/>
                <w:szCs w:val="16"/>
              </w:rPr>
              <w:t>70.3955</w:t>
            </w:r>
            <w:r>
              <w:rPr>
                <w:sz w:val="16"/>
                <w:szCs w:val="16"/>
              </w:rPr>
              <w:br/>
              <w:t>(includes carbon component of  1.6856)</w:t>
            </w:r>
          </w:p>
        </w:tc>
        <w:tc>
          <w:tcPr>
            <w:tcW w:w="1512" w:type="dxa"/>
          </w:tcPr>
          <w:p>
            <w:pPr>
              <w:pStyle w:val="yTableNAm"/>
            </w:pPr>
            <w:r>
              <w:rPr>
                <w:sz w:val="16"/>
                <w:szCs w:val="16"/>
              </w:rPr>
              <w:t>80.8907</w:t>
            </w:r>
            <w:r>
              <w:rPr>
                <w:sz w:val="16"/>
                <w:szCs w:val="16"/>
              </w:rPr>
              <w:br/>
              <w:t>(includes carbon component of  2.8929)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2.2765)</w:t>
            </w:r>
          </w:p>
        </w:tc>
        <w:tc>
          <w:tcPr>
            <w:tcW w:w="1512" w:type="dxa"/>
          </w:tcPr>
          <w:p>
            <w:pPr>
              <w:pStyle w:val="yTableNAm"/>
            </w:pPr>
            <w:r>
              <w:rPr>
                <w:sz w:val="16"/>
                <w:szCs w:val="16"/>
              </w:rPr>
              <w:t>83.7549</w:t>
            </w:r>
            <w:r>
              <w:rPr>
                <w:sz w:val="16"/>
                <w:szCs w:val="16"/>
              </w:rPr>
              <w:br/>
              <w:t>(includes carbon component of  2.8093)</w:t>
            </w:r>
          </w:p>
        </w:tc>
        <w:tc>
          <w:tcPr>
            <w:tcW w:w="1512" w:type="dxa"/>
          </w:tcPr>
          <w:p>
            <w:pPr>
              <w:pStyle w:val="yTableNAm"/>
            </w:pPr>
            <w:r>
              <w:rPr>
                <w:sz w:val="16"/>
                <w:szCs w:val="16"/>
              </w:rPr>
              <w:t>99.6556</w:t>
            </w:r>
            <w:r>
              <w:rPr>
                <w:sz w:val="16"/>
                <w:szCs w:val="16"/>
              </w:rPr>
              <w:br/>
              <w:t>(includes carbon component of  4.8215)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2.2765)</w:t>
            </w:r>
          </w:p>
        </w:tc>
        <w:tc>
          <w:tcPr>
            <w:tcW w:w="1512" w:type="dxa"/>
          </w:tcPr>
          <w:p>
            <w:pPr>
              <w:pStyle w:val="yTableNAm"/>
            </w:pPr>
            <w:r>
              <w:rPr>
                <w:sz w:val="16"/>
                <w:szCs w:val="16"/>
              </w:rPr>
              <w:t>96.2832</w:t>
            </w:r>
            <w:r>
              <w:rPr>
                <w:sz w:val="16"/>
                <w:szCs w:val="16"/>
              </w:rPr>
              <w:br/>
              <w:t>(includes carbon component of  2.8093)</w:t>
            </w:r>
          </w:p>
        </w:tc>
        <w:tc>
          <w:tcPr>
            <w:tcW w:w="1512" w:type="dxa"/>
          </w:tcPr>
          <w:p>
            <w:pPr>
              <w:pStyle w:val="yTableNAm"/>
            </w:pPr>
            <w:r>
              <w:rPr>
                <w:sz w:val="16"/>
                <w:szCs w:val="16"/>
              </w:rPr>
              <w:t>112.1991</w:t>
            </w:r>
            <w:r>
              <w:rPr>
                <w:sz w:val="16"/>
                <w:szCs w:val="16"/>
              </w:rPr>
              <w:br/>
              <w:t>(includes carbon component of  4.8215)</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0.5464)</w:t>
            </w:r>
          </w:p>
        </w:tc>
        <w:tc>
          <w:tcPr>
            <w:tcW w:w="1512" w:type="dxa"/>
          </w:tcPr>
          <w:p>
            <w:pPr>
              <w:pStyle w:val="yTableNAm"/>
            </w:pPr>
            <w:r>
              <w:rPr>
                <w:sz w:val="16"/>
                <w:szCs w:val="16"/>
              </w:rPr>
              <w:t>32.8502</w:t>
            </w:r>
            <w:r>
              <w:rPr>
                <w:sz w:val="16"/>
                <w:szCs w:val="16"/>
              </w:rPr>
              <w:br/>
              <w:t>(includes carbon component of  0.6742)</w:t>
            </w:r>
          </w:p>
        </w:tc>
        <w:tc>
          <w:tcPr>
            <w:tcW w:w="1512" w:type="dxa"/>
          </w:tcPr>
          <w:p>
            <w:pPr>
              <w:pStyle w:val="yTableNAm"/>
            </w:pPr>
            <w:r>
              <w:rPr>
                <w:sz w:val="16"/>
                <w:szCs w:val="16"/>
              </w:rPr>
              <w:t>35.9384</w:t>
            </w:r>
            <w:r>
              <w:rPr>
                <w:sz w:val="16"/>
                <w:szCs w:val="16"/>
              </w:rPr>
              <w:br/>
              <w:t>(includes carbon component of  1.1572)</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0.9106)</w:t>
            </w:r>
          </w:p>
        </w:tc>
        <w:tc>
          <w:tcPr>
            <w:tcW w:w="1512" w:type="dxa"/>
          </w:tcPr>
          <w:p>
            <w:pPr>
              <w:pStyle w:val="yTableNAm"/>
            </w:pPr>
            <w:r>
              <w:rPr>
                <w:sz w:val="16"/>
                <w:szCs w:val="16"/>
              </w:rPr>
              <w:t>33.4745</w:t>
            </w:r>
            <w:r>
              <w:rPr>
                <w:sz w:val="16"/>
                <w:szCs w:val="16"/>
              </w:rPr>
              <w:br/>
              <w:t>(includes carbon component of  1.1237)</w:t>
            </w:r>
          </w:p>
        </w:tc>
        <w:tc>
          <w:tcPr>
            <w:tcW w:w="1512" w:type="dxa"/>
          </w:tcPr>
          <w:p>
            <w:pPr>
              <w:pStyle w:val="yTableNAm"/>
            </w:pPr>
            <w:r>
              <w:rPr>
                <w:sz w:val="16"/>
                <w:szCs w:val="16"/>
              </w:rPr>
              <w:t>37.0098</w:t>
            </w:r>
            <w:r>
              <w:rPr>
                <w:sz w:val="16"/>
                <w:szCs w:val="16"/>
              </w:rPr>
              <w:br/>
              <w:t>(includes carbon component of  1.9286)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1.8212)</w:t>
            </w:r>
          </w:p>
        </w:tc>
        <w:tc>
          <w:tcPr>
            <w:tcW w:w="1512" w:type="dxa"/>
          </w:tcPr>
          <w:p>
            <w:pPr>
              <w:pStyle w:val="yTableNAm"/>
            </w:pPr>
            <w:r>
              <w:rPr>
                <w:sz w:val="16"/>
                <w:szCs w:val="16"/>
              </w:rPr>
              <w:t>40.7370</w:t>
            </w:r>
            <w:r>
              <w:rPr>
                <w:sz w:val="16"/>
                <w:szCs w:val="16"/>
              </w:rPr>
              <w:br/>
              <w:t>(includes carbon component of  2.2475)</w:t>
            </w:r>
          </w:p>
        </w:tc>
        <w:tc>
          <w:tcPr>
            <w:tcW w:w="1512" w:type="dxa"/>
          </w:tcPr>
          <w:p>
            <w:pPr>
              <w:pStyle w:val="yTableNAm"/>
            </w:pPr>
            <w:r>
              <w:rPr>
                <w:sz w:val="16"/>
                <w:szCs w:val="16"/>
              </w:rPr>
              <w:t>46.7433</w:t>
            </w:r>
            <w:r>
              <w:rPr>
                <w:sz w:val="16"/>
                <w:szCs w:val="16"/>
              </w:rPr>
              <w:br/>
              <w:t>(includes carbon component of  3.8572)</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2.7318)</w:t>
            </w:r>
          </w:p>
        </w:tc>
        <w:tc>
          <w:tcPr>
            <w:tcW w:w="1512" w:type="dxa"/>
          </w:tcPr>
          <w:p>
            <w:pPr>
              <w:pStyle w:val="yTableNAm"/>
            </w:pPr>
            <w:r>
              <w:rPr>
                <w:sz w:val="16"/>
                <w:szCs w:val="16"/>
              </w:rPr>
              <w:t>51.6635</w:t>
            </w:r>
            <w:r>
              <w:rPr>
                <w:sz w:val="16"/>
                <w:szCs w:val="16"/>
              </w:rPr>
              <w:br/>
              <w:t>(includes carbon component of  3.3712)</w:t>
            </w:r>
          </w:p>
        </w:tc>
        <w:tc>
          <w:tcPr>
            <w:tcW w:w="1512" w:type="dxa"/>
          </w:tcPr>
          <w:p>
            <w:pPr>
              <w:pStyle w:val="yTableNAm"/>
            </w:pPr>
            <w:r>
              <w:rPr>
                <w:sz w:val="16"/>
                <w:szCs w:val="16"/>
              </w:rPr>
              <w:t>60.3384</w:t>
            </w:r>
            <w:r>
              <w:rPr>
                <w:sz w:val="16"/>
                <w:szCs w:val="16"/>
              </w:rPr>
              <w:br/>
              <w:t>(includes carbon component of  5.7858)</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4.5529)</w:t>
            </w:r>
          </w:p>
        </w:tc>
        <w:tc>
          <w:tcPr>
            <w:tcW w:w="1512" w:type="dxa"/>
          </w:tcPr>
          <w:p>
            <w:pPr>
              <w:pStyle w:val="yTableNAm"/>
            </w:pPr>
            <w:r>
              <w:rPr>
                <w:sz w:val="16"/>
                <w:szCs w:val="16"/>
              </w:rPr>
              <w:t>83.8404</w:t>
            </w:r>
            <w:r>
              <w:rPr>
                <w:sz w:val="16"/>
                <w:szCs w:val="16"/>
              </w:rPr>
              <w:br/>
              <w:t>(includes carbon component of  5.6187)</w:t>
            </w:r>
          </w:p>
        </w:tc>
        <w:tc>
          <w:tcPr>
            <w:tcW w:w="1512" w:type="dxa"/>
          </w:tcPr>
          <w:p>
            <w:pPr>
              <w:pStyle w:val="yTableNAm"/>
            </w:pPr>
            <w:r>
              <w:rPr>
                <w:sz w:val="16"/>
                <w:szCs w:val="16"/>
              </w:rPr>
              <w:t>100.1637</w:t>
            </w:r>
            <w:r>
              <w:rPr>
                <w:sz w:val="16"/>
                <w:szCs w:val="16"/>
              </w:rPr>
              <w:br/>
              <w:t>(includes carbon component of  9.6430)</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0.3642)</w:t>
            </w:r>
          </w:p>
        </w:tc>
        <w:tc>
          <w:tcPr>
            <w:tcW w:w="1512" w:type="dxa"/>
          </w:tcPr>
          <w:p>
            <w:pPr>
              <w:pStyle w:val="yTableNAm"/>
            </w:pPr>
            <w:r>
              <w:rPr>
                <w:sz w:val="16"/>
                <w:szCs w:val="16"/>
              </w:rPr>
              <w:t>32.5381</w:t>
            </w:r>
            <w:r>
              <w:rPr>
                <w:sz w:val="16"/>
                <w:szCs w:val="16"/>
              </w:rPr>
              <w:br/>
              <w:t>(includes carbon component of  0.4495)</w:t>
            </w:r>
          </w:p>
        </w:tc>
        <w:tc>
          <w:tcPr>
            <w:tcW w:w="1512" w:type="dxa"/>
          </w:tcPr>
          <w:p>
            <w:pPr>
              <w:pStyle w:val="yTableNAm"/>
            </w:pPr>
            <w:r>
              <w:rPr>
                <w:sz w:val="16"/>
                <w:szCs w:val="16"/>
              </w:rPr>
              <w:t>35.4027</w:t>
            </w:r>
            <w:r>
              <w:rPr>
                <w:sz w:val="16"/>
                <w:szCs w:val="16"/>
              </w:rPr>
              <w:br/>
              <w:t>(includes carbon component of  0.7714)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0.7285)</w:t>
            </w:r>
          </w:p>
        </w:tc>
        <w:tc>
          <w:tcPr>
            <w:tcW w:w="1512" w:type="dxa"/>
          </w:tcPr>
          <w:p>
            <w:pPr>
              <w:pStyle w:val="yTableNAm"/>
            </w:pPr>
            <w:r>
              <w:rPr>
                <w:sz w:val="16"/>
                <w:szCs w:val="16"/>
              </w:rPr>
              <w:t>38.8641</w:t>
            </w:r>
            <w:r>
              <w:rPr>
                <w:sz w:val="16"/>
                <w:szCs w:val="16"/>
              </w:rPr>
              <w:br/>
              <w:t>(includes carbon component of  0.8990)</w:t>
            </w:r>
          </w:p>
        </w:tc>
        <w:tc>
          <w:tcPr>
            <w:tcW w:w="1512" w:type="dxa"/>
          </w:tcPr>
          <w:p>
            <w:pPr>
              <w:pStyle w:val="yTableNAm"/>
            </w:pPr>
            <w:r>
              <w:rPr>
                <w:sz w:val="16"/>
                <w:szCs w:val="16"/>
              </w:rPr>
              <w:t>43.5290</w:t>
            </w:r>
            <w:r>
              <w:rPr>
                <w:sz w:val="16"/>
                <w:szCs w:val="16"/>
              </w:rPr>
              <w:br/>
              <w:t>(includes carbon component of  1.5429)</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1.4569)</w:t>
            </w:r>
          </w:p>
        </w:tc>
        <w:tc>
          <w:tcPr>
            <w:tcW w:w="1512" w:type="dxa"/>
            <w:tcBorders>
              <w:bottom w:val="single" w:sz="4" w:space="0" w:color="auto"/>
            </w:tcBorders>
          </w:tcPr>
          <w:p>
            <w:pPr>
              <w:pStyle w:val="yTableNAm"/>
            </w:pPr>
            <w:r>
              <w:rPr>
                <w:sz w:val="16"/>
                <w:szCs w:val="16"/>
              </w:rPr>
              <w:t>54.6783</w:t>
            </w:r>
            <w:r>
              <w:rPr>
                <w:sz w:val="16"/>
                <w:szCs w:val="16"/>
              </w:rPr>
              <w:br/>
              <w:t>(includes carbon component of  1.7980)</w:t>
            </w:r>
          </w:p>
        </w:tc>
        <w:tc>
          <w:tcPr>
            <w:tcW w:w="1512" w:type="dxa"/>
            <w:tcBorders>
              <w:bottom w:val="single" w:sz="4" w:space="0" w:color="auto"/>
            </w:tcBorders>
          </w:tcPr>
          <w:p>
            <w:pPr>
              <w:pStyle w:val="yTableNAm"/>
            </w:pPr>
            <w:r>
              <w:rPr>
                <w:sz w:val="16"/>
                <w:szCs w:val="16"/>
              </w:rPr>
              <w:t>64.8293</w:t>
            </w:r>
            <w:r>
              <w:rPr>
                <w:sz w:val="16"/>
                <w:szCs w:val="16"/>
              </w:rPr>
              <w:br/>
              <w:t>(includes carbon component of  3.0858)</w:t>
            </w:r>
          </w:p>
        </w:tc>
      </w:tr>
    </w:tbl>
    <w:p>
      <w:pPr>
        <w:pStyle w:val="yFootnotesection"/>
      </w:pPr>
      <w:r>
        <w:tab/>
        <w:t>[Schedule 2 inserted in Gazette 14 Jun 2013 p. 2225-7.]</w:t>
      </w:r>
    </w:p>
    <w:p>
      <w:pPr>
        <w:pStyle w:val="yScheduleHeading"/>
      </w:pPr>
      <w:bookmarkStart w:id="263" w:name="_Toc297283513"/>
      <w:bookmarkStart w:id="264" w:name="_Toc328577452"/>
      <w:bookmarkStart w:id="265" w:name="_Toc335917463"/>
      <w:bookmarkStart w:id="266" w:name="_Toc359927771"/>
      <w:bookmarkEnd w:id="261"/>
      <w:bookmarkEnd w:id="262"/>
      <w:bookmarkEnd w:id="187"/>
      <w:r>
        <w:rPr>
          <w:rStyle w:val="CharSchNo"/>
        </w:rPr>
        <w:t>Schedule 3</w:t>
      </w:r>
      <w:r>
        <w:rPr>
          <w:rStyle w:val="CharSDivNo"/>
        </w:rPr>
        <w:t> </w:t>
      </w:r>
      <w:r>
        <w:t>—</w:t>
      </w:r>
      <w:r>
        <w:rPr>
          <w:rStyle w:val="CharSDivText"/>
        </w:rPr>
        <w:t> </w:t>
      </w:r>
      <w:r>
        <w:rPr>
          <w:rStyle w:val="CharSchText"/>
        </w:rPr>
        <w:t>Meter rentals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63"/>
      <w:bookmarkEnd w:id="264"/>
      <w:bookmarkEnd w:id="265"/>
      <w:bookmarkEnd w:id="266"/>
    </w:p>
    <w:bookmarkEnd w:id="248"/>
    <w:bookmarkEnd w:id="249"/>
    <w:bookmarkEnd w:id="250"/>
    <w:bookmarkEnd w:id="251"/>
    <w:bookmarkEnd w:id="252"/>
    <w:bookmarkEnd w:id="253"/>
    <w:bookmarkEnd w:id="254"/>
    <w:bookmarkEnd w:id="255"/>
    <w:bookmarkEnd w:id="256"/>
    <w:bookmarkEnd w:id="257"/>
    <w:bookmarkEnd w:id="258"/>
    <w:bookmarkEnd w:id="259"/>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67" w:name="_Toc264986336"/>
      <w:bookmarkStart w:id="268" w:name="_Toc265662304"/>
      <w:bookmarkStart w:id="269" w:name="_Toc297283514"/>
      <w:bookmarkStart w:id="270" w:name="_Toc328577453"/>
      <w:bookmarkStart w:id="271" w:name="_Toc335917464"/>
      <w:bookmarkStart w:id="272" w:name="_Toc359927772"/>
      <w:bookmarkStart w:id="273" w:name="_Toc113695922"/>
      <w:r>
        <w:rPr>
          <w:rStyle w:val="CharSchNo"/>
        </w:rPr>
        <w:t>Schedule 4</w:t>
      </w:r>
      <w:r>
        <w:t> — </w:t>
      </w:r>
      <w:r>
        <w:rPr>
          <w:rStyle w:val="CharSchText"/>
        </w:rPr>
        <w:t>Fees</w:t>
      </w:r>
      <w:bookmarkEnd w:id="267"/>
      <w:bookmarkEnd w:id="268"/>
      <w:bookmarkEnd w:id="269"/>
      <w:bookmarkEnd w:id="270"/>
      <w:bookmarkEnd w:id="271"/>
      <w:bookmarkEnd w:id="272"/>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74" w:name="_Toc131497432"/>
      <w:bookmarkStart w:id="275" w:name="_Toc131501864"/>
      <w:bookmarkStart w:id="276" w:name="_Toc171050320"/>
      <w:bookmarkStart w:id="277" w:name="_Toc226274357"/>
      <w:bookmarkStart w:id="278" w:name="_Toc233186906"/>
      <w:bookmarkStart w:id="279" w:name="_Toc233187706"/>
      <w:bookmarkStart w:id="280" w:name="_Toc238445891"/>
      <w:bookmarkStart w:id="281" w:name="_Toc239133931"/>
      <w:bookmarkStart w:id="282" w:name="_Toc240167052"/>
      <w:bookmarkStart w:id="283" w:name="_Toc243272775"/>
      <w:bookmarkStart w:id="284" w:name="_Toc257301566"/>
      <w:bookmarkStart w:id="285" w:name="_Toc257301641"/>
      <w:bookmarkStart w:id="286" w:name="_Toc264986337"/>
      <w:bookmarkStart w:id="287" w:name="_Toc265662305"/>
      <w:bookmarkStart w:id="288" w:name="_Toc297283515"/>
      <w:bookmarkStart w:id="289" w:name="_Toc328577454"/>
      <w:bookmarkStart w:id="290" w:name="_Toc335917465"/>
      <w:bookmarkStart w:id="291" w:name="_Toc359927773"/>
      <w:r>
        <w:t>Notes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bookmarkStart w:id="292" w:name="_Toc70311430"/>
      <w:bookmarkStart w:id="293"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94" w:name="_Toc359927774"/>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c>
          <w:tcPr>
            <w:tcW w:w="3118" w:type="dxa"/>
            <w:tcBorders>
              <w:bottom w:val="single" w:sz="4" w:space="0" w:color="auto"/>
            </w:tcBorders>
          </w:tcPr>
          <w:p>
            <w:pPr>
              <w:pStyle w:val="nTable"/>
              <w:rPr>
                <w:i/>
                <w:noProof/>
                <w:snapToGrid w:val="0"/>
                <w:sz w:val="19"/>
              </w:rPr>
            </w:pPr>
            <w:r>
              <w:rPr>
                <w:i/>
                <w:noProof/>
                <w:snapToGrid w:val="0"/>
                <w:sz w:val="19"/>
              </w:rPr>
              <w:t>Energy Operators (Regional Power Corporation) (Charges) Amendment By-laws 2013</w:t>
            </w:r>
          </w:p>
        </w:tc>
        <w:tc>
          <w:tcPr>
            <w:tcW w:w="1276" w:type="dxa"/>
            <w:tcBorders>
              <w:bottom w:val="single" w:sz="4" w:space="0" w:color="auto"/>
            </w:tcBorders>
          </w:tcPr>
          <w:p>
            <w:pPr>
              <w:pStyle w:val="nTable"/>
              <w:rPr>
                <w:sz w:val="19"/>
              </w:rPr>
            </w:pPr>
            <w:r>
              <w:rPr>
                <w:sz w:val="19"/>
              </w:rPr>
              <w:t>14 Jun 2013 p. 2223-7</w:t>
            </w:r>
          </w:p>
        </w:tc>
        <w:tc>
          <w:tcPr>
            <w:tcW w:w="2693" w:type="dxa"/>
            <w:tcBorders>
              <w:bottom w:val="single" w:sz="4" w:space="0" w:color="auto"/>
            </w:tcBorders>
          </w:tcPr>
          <w:p>
            <w:pPr>
              <w:pStyle w:val="nTable"/>
              <w:rPr>
                <w:sz w:val="19"/>
              </w:rPr>
            </w:pPr>
            <w:r>
              <w:rPr>
                <w:sz w:val="19"/>
              </w:rPr>
              <w:t>bl. 1 and 2: 14 Jun 2013 (see bl. 2(a));</w:t>
            </w:r>
            <w:r>
              <w:rPr>
                <w:sz w:val="19"/>
              </w:rPr>
              <w:br/>
              <w:t>By</w:t>
            </w:r>
            <w:r>
              <w:rPr>
                <w:sz w:val="19"/>
              </w:rPr>
              <w:noBreakHyphen/>
              <w:t>laws other than bl. 1 and 2: 1 Jul 2013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95" w:name="_Toc240167054"/>
      <w:bookmarkStart w:id="296" w:name="_Toc243272777"/>
      <w:bookmarkStart w:id="297" w:name="_Toc257301569"/>
      <w:bookmarkStart w:id="298" w:name="_Toc257301644"/>
      <w:bookmarkStart w:id="299" w:name="_Toc264986340"/>
      <w:bookmarkStart w:id="300" w:name="_Toc265662307"/>
      <w:bookmarkStart w:id="301" w:name="_Toc297283517"/>
      <w:bookmarkStart w:id="302" w:name="_Toc328577456"/>
      <w:bookmarkStart w:id="303" w:name="_Toc335917467"/>
      <w:bookmarkStart w:id="304" w:name="_Toc359927775"/>
      <w:r>
        <w:rPr>
          <w:sz w:val="28"/>
        </w:rPr>
        <w:t>Defined Terms</w:t>
      </w:r>
      <w:bookmarkEnd w:id="295"/>
      <w:bookmarkEnd w:id="296"/>
      <w:bookmarkEnd w:id="297"/>
      <w:bookmarkEnd w:id="298"/>
      <w:bookmarkEnd w:id="299"/>
      <w:bookmarkEnd w:id="300"/>
      <w:bookmarkEnd w:id="301"/>
      <w:bookmarkEnd w:id="302"/>
      <w:bookmarkEnd w:id="303"/>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5" w:name="DefinedTerms"/>
      <w:bookmarkEnd w:id="305"/>
      <w:r>
        <w:t>carbon component</w:t>
      </w:r>
      <w:r>
        <w:tab/>
        <w:t>3</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smartTag w:uri="urn:schemas-microsoft-com:office:smarttags" w:element="place">
        <w:smartTag w:uri="urn:schemas-microsoft-com:office:smarttags" w:element="State">
          <w:r>
            <w:t>North West</w:t>
          </w:r>
        </w:smartTag>
      </w:smartTag>
      <w:r>
        <w:t xml:space="preserve">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4662</Words>
  <Characters>24199</Characters>
  <Application>Microsoft Office Word</Application>
  <DocSecurity>0</DocSecurity>
  <Lines>1152</Lines>
  <Paragraphs>641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2006 - 01-g0-00</dc:title>
  <dc:subject/>
  <dc:creator/>
  <cp:keywords/>
  <dc:description/>
  <cp:lastModifiedBy>svcMRProcess</cp:lastModifiedBy>
  <cp:revision>4</cp:revision>
  <cp:lastPrinted>2009-10-14T00:38:00Z</cp:lastPrinted>
  <dcterms:created xsi:type="dcterms:W3CDTF">2020-02-24T14:40:00Z</dcterms:created>
  <dcterms:modified xsi:type="dcterms:W3CDTF">2020-02-24T14:40:00Z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20130701</vt:lpwstr>
  </property>
  <property fmtid="{D5CDD505-2E9C-101B-9397-08002B2CF9AE}" pid="4" name="OwlsUID">
    <vt:i4>38408</vt:i4>
  </property>
  <property fmtid="{D5CDD505-2E9C-101B-9397-08002B2CF9AE}" pid="5" name="AsAtDate">
    <vt:lpwstr>01 Jul 2013</vt:lpwstr>
  </property>
  <property fmtid="{D5CDD505-2E9C-101B-9397-08002B2CF9AE}" pid="6" name="Suffix">
    <vt:lpwstr>01-g0-00</vt:lpwstr>
  </property>
  <property fmtid="{D5CDD505-2E9C-101B-9397-08002B2CF9AE}" pid="7" name="ReprintNo">
    <vt:lpwstr>1</vt:lpwstr>
  </property>
  <property fmtid="{D5CDD505-2E9C-101B-9397-08002B2CF9AE}" pid="8" name="DocumentType">
    <vt:lpwstr>Reg</vt:lpwstr>
  </property>
</Properties>
</file>