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Local Government Act 1995</w:t>
      </w:r>
    </w:p>
    <w:p>
      <w:pPr>
        <w:pStyle w:val="NameofActRegPage1"/>
        <w:spacing w:before="1800" w:after="4200"/>
        <w:ind w:left="573"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(Administration)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_Toc377388752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_Toc377388753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_Toc377388754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_Toc377388756 \h </w:instrText>
      </w:r>
      <w:r>
        <w:fldChar w:fldCharType="separate"/>
      </w:r>
      <w:r>
        <w:t>3</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_Toc377388757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_Toc377388758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_Toc377388759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_Toc377388760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_Toc377388761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_Toc377388762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_Toc377388763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_Toc377388764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_Toc377388765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_Toc377388766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_Toc377388767 \h </w:instrText>
      </w:r>
      <w:r>
        <w:fldChar w:fldCharType="separate"/>
      </w:r>
      <w:r>
        <w:t>8</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_Toc377388768 \h </w:instrText>
      </w:r>
      <w:r>
        <w:fldChar w:fldCharType="separate"/>
      </w:r>
      <w:r>
        <w:t>9</w:t>
      </w:r>
      <w:r>
        <w:fldChar w:fldCharType="end"/>
      </w:r>
    </w:p>
    <w:p>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_Toc377388769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_Toc377388771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_Toc377388772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_Toc377388773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_Toc377388774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_Toc377388776 \h </w:instrText>
      </w:r>
      <w:r>
        <w:fldChar w:fldCharType="separate"/>
      </w:r>
      <w:r>
        <w:t>12</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_Toc377388777 \h </w:instrText>
      </w:r>
      <w:r>
        <w:fldChar w:fldCharType="separate"/>
      </w:r>
      <w:r>
        <w:t>13</w:t>
      </w:r>
      <w:r>
        <w:fldChar w:fldCharType="end"/>
      </w:r>
    </w:p>
    <w:p>
      <w:pPr>
        <w:pStyle w:val="TOC8"/>
        <w:rPr>
          <w:rFonts w:asciiTheme="minorHAnsi" w:eastAsiaTheme="minorEastAsia" w:hAnsiTheme="minorHAnsi" w:cstheme="minorBidi"/>
          <w:szCs w:val="22"/>
        </w:rPr>
      </w:pPr>
      <w:r>
        <w:t>18C.</w:t>
      </w:r>
      <w:r>
        <w:tab/>
        <w:t>Selection and appointment process for CEOs</w:t>
      </w:r>
      <w:r>
        <w:tab/>
      </w:r>
      <w:r>
        <w:fldChar w:fldCharType="begin"/>
      </w:r>
      <w:r>
        <w:instrText xml:space="preserve"> PAGEREF _Toc377388778 \h </w:instrText>
      </w:r>
      <w:r>
        <w:fldChar w:fldCharType="separate"/>
      </w:r>
      <w:r>
        <w:t>13</w:t>
      </w:r>
      <w:r>
        <w:fldChar w:fldCharType="end"/>
      </w:r>
    </w:p>
    <w:p>
      <w:pPr>
        <w:pStyle w:val="TOC8"/>
        <w:rPr>
          <w:rFonts w:asciiTheme="minorHAnsi" w:eastAsiaTheme="minorEastAsia" w:hAnsiTheme="minorHAnsi" w:cstheme="minorBidi"/>
          <w:szCs w:val="22"/>
        </w:rPr>
      </w:pPr>
      <w:r>
        <w:t>18D.</w:t>
      </w:r>
      <w:r>
        <w:tab/>
        <w:t>Performance review of CEO, local government’s duties as to</w:t>
      </w:r>
      <w:r>
        <w:tab/>
      </w:r>
      <w:r>
        <w:fldChar w:fldCharType="begin"/>
      </w:r>
      <w:r>
        <w:instrText xml:space="preserve"> PAGEREF _Toc377388779 \h </w:instrText>
      </w:r>
      <w:r>
        <w:fldChar w:fldCharType="separate"/>
      </w:r>
      <w:r>
        <w:t>13</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_Toc377388780 \h </w:instrText>
      </w:r>
      <w:r>
        <w:fldChar w:fldCharType="separate"/>
      </w:r>
      <w:r>
        <w:t>13</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_Toc377388781 \h </w:instrText>
      </w:r>
      <w:r>
        <w:fldChar w:fldCharType="separate"/>
      </w:r>
      <w:r>
        <w:t>14</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_Toc377388782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_Toc377388783 \h </w:instrText>
      </w:r>
      <w:r>
        <w:fldChar w:fldCharType="separate"/>
      </w:r>
      <w:r>
        <w:t>14</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_Toc377388784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Annual reports and planning</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_Toc377388787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about numbers of certain employees to be included (Act s. 5.53(2)(g))</w:t>
      </w:r>
      <w:r>
        <w:tab/>
      </w:r>
      <w:r>
        <w:fldChar w:fldCharType="begin"/>
      </w:r>
      <w:r>
        <w:instrText xml:space="preserve"> PAGEREF _Toc377388789 \h </w:instrText>
      </w:r>
      <w:r>
        <w:fldChar w:fldCharType="separate"/>
      </w:r>
      <w:r>
        <w:t>16</w:t>
      </w:r>
      <w:r>
        <w:fldChar w:fldCharType="end"/>
      </w:r>
    </w:p>
    <w:p>
      <w:pPr>
        <w:pStyle w:val="TOC8"/>
        <w:rPr>
          <w:rFonts w:asciiTheme="minorHAnsi" w:eastAsiaTheme="minorEastAsia" w:hAnsiTheme="minorHAnsi" w:cstheme="minorBidi"/>
          <w:szCs w:val="22"/>
        </w:rPr>
      </w:pPr>
      <w:r>
        <w:t>19CA.</w:t>
      </w:r>
      <w:r>
        <w:tab/>
        <w:t>Information about modifications to certain plans to be included (Act s. 5.53(2)(i))</w:t>
      </w:r>
      <w:r>
        <w:tab/>
      </w:r>
      <w:r>
        <w:fldChar w:fldCharType="begin"/>
      </w:r>
      <w:r>
        <w:instrText xml:space="preserve"> PAGEREF _Toc377388790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_Toc377388792 \h </w:instrText>
      </w:r>
      <w:r>
        <w:fldChar w:fldCharType="separate"/>
      </w:r>
      <w:r>
        <w:t>17</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_Toc377388793 \h </w:instrText>
      </w:r>
      <w:r>
        <w:fldChar w:fldCharType="separate"/>
      </w:r>
      <w:r>
        <w:t>18</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_Toc377388794 \h </w:instrText>
      </w:r>
      <w:r>
        <w:fldChar w:fldCharType="separate"/>
      </w:r>
      <w:r>
        <w:t>20</w:t>
      </w:r>
      <w:r>
        <w:fldChar w:fldCharType="end"/>
      </w:r>
    </w:p>
    <w:p>
      <w:pPr>
        <w:pStyle w:val="TOC8"/>
        <w:rPr>
          <w:rFonts w:asciiTheme="minorHAnsi" w:eastAsiaTheme="minorEastAsia" w:hAnsiTheme="minorHAnsi" w:cstheme="minorBidi"/>
          <w:szCs w:val="22"/>
        </w:rPr>
      </w:pPr>
      <w:r>
        <w:t>19D.</w:t>
      </w:r>
      <w:r>
        <w:tab/>
        <w:t>Adoption of plan, public notice of to be given</w:t>
      </w:r>
      <w:r>
        <w:tab/>
      </w:r>
      <w:r>
        <w:fldChar w:fldCharType="begin"/>
      </w:r>
      <w:r>
        <w:instrText xml:space="preserve"> PAGEREF _Toc377388795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6 — Disclosure of financial interests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_Toc377388797 \h </w:instrText>
      </w:r>
      <w:r>
        <w:fldChar w:fldCharType="separate"/>
      </w:r>
      <w:r>
        <w:t>22</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_Toc377388798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_Toc377388799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_Toc377388800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_Toc377388801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 xml:space="preserve">Amount of gift prescribed </w:t>
      </w:r>
      <w:r>
        <w:t>(Act </w:t>
      </w:r>
      <w:r>
        <w:rPr>
          <w:snapToGrid w:val="0"/>
        </w:rPr>
        <w:t xml:space="preserve">s. </w:t>
      </w:r>
      <w:r>
        <w:t>5</w:t>
      </w:r>
      <w:r>
        <w:rPr>
          <w:snapToGrid w:val="0"/>
        </w:rPr>
        <w:t>.82(2)(a))</w:t>
      </w:r>
      <w:r>
        <w:tab/>
      </w:r>
      <w:r>
        <w:fldChar w:fldCharType="begin"/>
      </w:r>
      <w:r>
        <w:instrText xml:space="preserve"> PAGEREF _Toc377388802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Amount of contribution to travel prescribed </w:t>
      </w:r>
      <w:r>
        <w:t>(Act </w:t>
      </w:r>
      <w:r>
        <w:rPr>
          <w:snapToGrid w:val="0"/>
        </w:rPr>
        <w:t>s. </w:t>
      </w:r>
      <w:r>
        <w:t>5</w:t>
      </w:r>
      <w:r>
        <w:rPr>
          <w:snapToGrid w:val="0"/>
        </w:rPr>
        <w:t>.83(2)(d))</w:t>
      </w:r>
      <w:r>
        <w:tab/>
      </w:r>
      <w:r>
        <w:fldChar w:fldCharType="begin"/>
      </w:r>
      <w:r>
        <w:instrText xml:space="preserve"> PAGEREF _Toc377388803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_Toc377388804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_Toc377388805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_Toc377388807 \h </w:instrText>
      </w:r>
      <w:r>
        <w:fldChar w:fldCharType="separate"/>
      </w:r>
      <w:r>
        <w:t>26</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_Toc377388808 \h </w:instrText>
      </w:r>
      <w:r>
        <w:fldChar w:fldCharType="separate"/>
      </w:r>
      <w:r>
        <w:t>27</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_Toc377388809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_Toc377388811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_Toc377388812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_Toc377388813 \h </w:instrText>
      </w:r>
      <w:r>
        <w:fldChar w:fldCharType="separate"/>
      </w:r>
      <w:r>
        <w:t>30</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_Toc377388814 \h </w:instrText>
      </w:r>
      <w:r>
        <w:fldChar w:fldCharType="separate"/>
      </w:r>
      <w:r>
        <w:t>31</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_Toc377388815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9 — Codes of conduct</w:t>
      </w:r>
    </w:p>
    <w:p>
      <w:pPr>
        <w:pStyle w:val="TOC8"/>
        <w:rPr>
          <w:rFonts w:asciiTheme="minorHAnsi" w:eastAsiaTheme="minorEastAsia" w:hAnsiTheme="minorHAnsi" w:cstheme="minorBidi"/>
          <w:szCs w:val="22"/>
        </w:rPr>
      </w:pPr>
      <w:r>
        <w:t>34B.</w:t>
      </w:r>
      <w:r>
        <w:tab/>
        <w:t>Codes of conduct about gifts, content of (Act s. 5.103(3))</w:t>
      </w:r>
      <w:r>
        <w:tab/>
      </w:r>
      <w:r>
        <w:fldChar w:fldCharType="begin"/>
      </w:r>
      <w:r>
        <w:instrText xml:space="preserve"> PAGEREF _Toc377388817 \h </w:instrText>
      </w:r>
      <w:r>
        <w:fldChar w:fldCharType="separate"/>
      </w:r>
      <w:r>
        <w:t>33</w:t>
      </w:r>
      <w:r>
        <w:fldChar w:fldCharType="end"/>
      </w:r>
    </w:p>
    <w:p>
      <w:pPr>
        <w:pStyle w:val="TOC8"/>
        <w:rPr>
          <w:rFonts w:asciiTheme="minorHAnsi" w:eastAsiaTheme="minorEastAsia" w:hAnsiTheme="minorHAnsi" w:cstheme="minorBidi"/>
          <w:szCs w:val="22"/>
        </w:rPr>
      </w:pPr>
      <w:r>
        <w:t>34C.</w:t>
      </w:r>
      <w:r>
        <w:tab/>
        <w:t>Codes of conduct about disclosing interests affecting impartiality, content of (Act s. 5.103(3))</w:t>
      </w:r>
      <w:r>
        <w:tab/>
      </w:r>
      <w:r>
        <w:fldChar w:fldCharType="begin"/>
      </w:r>
      <w:r>
        <w:instrText xml:space="preserve"> PAGEREF _Toc377388818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_Toc377388821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 w:name="_Toc377388751"/>
      <w:r>
        <w:rPr>
          <w:rStyle w:val="CharPartNo"/>
        </w:rPr>
        <w:t>Part 1</w:t>
      </w:r>
      <w:r>
        <w:rPr>
          <w:rStyle w:val="CharDivNo"/>
        </w:rPr>
        <w:t> </w:t>
      </w:r>
      <w:r>
        <w:t>—</w:t>
      </w:r>
      <w:r>
        <w:rPr>
          <w:rStyle w:val="CharDivText"/>
        </w:rPr>
        <w:t> </w:t>
      </w:r>
      <w:r>
        <w:rPr>
          <w:rStyle w:val="CharPartText"/>
        </w:rPr>
        <w:t>Preliminary</w:t>
      </w:r>
      <w:bookmarkEnd w:id="1"/>
    </w:p>
    <w:p>
      <w:pPr>
        <w:pStyle w:val="Footnoteheading"/>
      </w:pPr>
      <w:r>
        <w:tab/>
        <w:t>[Heading inserted in Gazette 26 Aug 2011 p. 3482.]</w:t>
      </w:r>
    </w:p>
    <w:p>
      <w:pPr>
        <w:pStyle w:val="Heading5"/>
        <w:rPr>
          <w:snapToGrid w:val="0"/>
        </w:rPr>
      </w:pPr>
      <w:bookmarkStart w:id="2" w:name="_Toc377388752"/>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3" w:name="_Toc377388753"/>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4" w:name="_Toc377388754"/>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5" w:name="_Toc377388755"/>
      <w:r>
        <w:rPr>
          <w:rStyle w:val="CharPartNo"/>
        </w:rPr>
        <w:t>Part 2</w:t>
      </w:r>
      <w:r>
        <w:rPr>
          <w:rStyle w:val="CharDivNo"/>
        </w:rPr>
        <w:t> </w:t>
      </w:r>
      <w:r>
        <w:t>—</w:t>
      </w:r>
      <w:r>
        <w:rPr>
          <w:rStyle w:val="CharDivText"/>
        </w:rPr>
        <w:t> </w:t>
      </w:r>
      <w:r>
        <w:rPr>
          <w:rStyle w:val="CharPartText"/>
        </w:rPr>
        <w:t>Council and committee meetings</w:t>
      </w:r>
      <w:bookmarkEnd w:id="5"/>
    </w:p>
    <w:p>
      <w:pPr>
        <w:pStyle w:val="Footnoteheading"/>
      </w:pPr>
      <w:r>
        <w:tab/>
        <w:t>[Heading inserted in Gazette 26 Aug 2011 p. 3482.]</w:t>
      </w:r>
    </w:p>
    <w:p>
      <w:pPr>
        <w:pStyle w:val="Heading5"/>
        <w:spacing w:before="180"/>
        <w:rPr>
          <w:snapToGrid w:val="0"/>
        </w:rPr>
      </w:pPr>
      <w:bookmarkStart w:id="6" w:name="_Toc377388756"/>
      <w:r>
        <w:rPr>
          <w:rStyle w:val="CharSectno"/>
        </w:rPr>
        <w:t>4</w:t>
      </w:r>
      <w:r>
        <w:rPr>
          <w:snapToGrid w:val="0"/>
        </w:rPr>
        <w:t>.</w:t>
      </w:r>
      <w:r>
        <w:rPr>
          <w:snapToGrid w:val="0"/>
        </w:rPr>
        <w:tab/>
        <w:t>Committee members, resignation of</w:t>
      </w:r>
      <w:bookmarkEnd w:id="6"/>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7" w:name="_Toc377388757"/>
      <w:r>
        <w:rPr>
          <w:rStyle w:val="CharSectno"/>
        </w:rPr>
        <w:t>4A</w:t>
      </w:r>
      <w:r>
        <w:t>.</w:t>
      </w:r>
      <w:r>
        <w:tab/>
        <w:t>Matter prescribed for when meeting may be closed to public (Act s. 5.23(2)(h))</w:t>
      </w:r>
      <w:bookmarkEnd w:id="7"/>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8" w:name="_Toc377388758"/>
      <w:r>
        <w:rPr>
          <w:rStyle w:val="CharSectno"/>
        </w:rPr>
        <w:t>5</w:t>
      </w:r>
      <w:r>
        <w:rPr>
          <w:snapToGrid w:val="0"/>
        </w:rPr>
        <w:t>.</w:t>
      </w:r>
      <w:r>
        <w:rPr>
          <w:snapToGrid w:val="0"/>
        </w:rPr>
        <w:tab/>
        <w:t xml:space="preserve">Question time for public, meetings that require prescribed </w:t>
      </w:r>
      <w:r>
        <w:t>(Act </w:t>
      </w:r>
      <w:r>
        <w:rPr>
          <w:snapToGrid w:val="0"/>
        </w:rPr>
        <w:t>s. 5.24)</w:t>
      </w:r>
      <w:bookmarkEnd w:id="8"/>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9" w:name="_Toc377388759"/>
      <w:r>
        <w:rPr>
          <w:rStyle w:val="CharSectno"/>
        </w:rPr>
        <w:t>6</w:t>
      </w:r>
      <w:r>
        <w:rPr>
          <w:snapToGrid w:val="0"/>
        </w:rPr>
        <w:t>.</w:t>
      </w:r>
      <w:r>
        <w:rPr>
          <w:snapToGrid w:val="0"/>
        </w:rPr>
        <w:tab/>
        <w:t xml:space="preserve">Question time for public, minimum time for </w:t>
      </w:r>
      <w:r>
        <w:t>(Act </w:t>
      </w:r>
      <w:r>
        <w:rPr>
          <w:snapToGrid w:val="0"/>
        </w:rPr>
        <w:t>s. 5.24(2))</w:t>
      </w:r>
      <w:bookmarkEnd w:id="9"/>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10" w:name="_Toc377388760"/>
      <w:r>
        <w:rPr>
          <w:rStyle w:val="CharSectno"/>
        </w:rPr>
        <w:t>7</w:t>
      </w:r>
      <w:r>
        <w:rPr>
          <w:snapToGrid w:val="0"/>
        </w:rPr>
        <w:t>.</w:t>
      </w:r>
      <w:r>
        <w:rPr>
          <w:snapToGrid w:val="0"/>
        </w:rPr>
        <w:tab/>
        <w:t xml:space="preserve">Question time for public, procedure for </w:t>
      </w:r>
      <w:r>
        <w:t>(Act </w:t>
      </w:r>
      <w:r>
        <w:rPr>
          <w:snapToGrid w:val="0"/>
        </w:rPr>
        <w:t>s. 5.24(2))</w:t>
      </w:r>
      <w:bookmarkEnd w:id="10"/>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11" w:name="_Toc377388761"/>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11"/>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12" w:name="_Toc377388762"/>
      <w:r>
        <w:rPr>
          <w:rStyle w:val="CharSectno"/>
        </w:rPr>
        <w:t>9</w:t>
      </w:r>
      <w:r>
        <w:rPr>
          <w:snapToGrid w:val="0"/>
        </w:rPr>
        <w:t>.</w:t>
      </w:r>
      <w:r>
        <w:rPr>
          <w:snapToGrid w:val="0"/>
        </w:rPr>
        <w:tab/>
        <w:t xml:space="preserve">Voting to be open </w:t>
      </w:r>
      <w:r>
        <w:t>(Act </w:t>
      </w:r>
      <w:r>
        <w:rPr>
          <w:snapToGrid w:val="0"/>
        </w:rPr>
        <w:t>s. 5.25(1)(d))</w:t>
      </w:r>
      <w:bookmarkEnd w:id="12"/>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13" w:name="_Toc377388763"/>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1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14" w:name="_Toc377388764"/>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14"/>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15" w:name="_Toc377388765"/>
      <w:r>
        <w:rPr>
          <w:rStyle w:val="CharSectno"/>
        </w:rPr>
        <w:t>12</w:t>
      </w:r>
      <w:r>
        <w:rPr>
          <w:snapToGrid w:val="0"/>
        </w:rPr>
        <w:t>.</w:t>
      </w:r>
      <w:r>
        <w:rPr>
          <w:snapToGrid w:val="0"/>
        </w:rPr>
        <w:tab/>
        <w:t xml:space="preserve">Meetings, public notice of </w:t>
      </w:r>
      <w:r>
        <w:t>(Act </w:t>
      </w:r>
      <w:r>
        <w:rPr>
          <w:snapToGrid w:val="0"/>
        </w:rPr>
        <w:t>s. 5.25(1)(g))</w:t>
      </w:r>
      <w:bookmarkEnd w:id="15"/>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16" w:name="_Toc377388766"/>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16"/>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17" w:name="_Toc377388767"/>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17"/>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18" w:name="_Toc377388768"/>
      <w:r>
        <w:rPr>
          <w:rStyle w:val="CharSectno"/>
        </w:rPr>
        <w:t>14A</w:t>
      </w:r>
      <w:r>
        <w:t>.</w:t>
      </w:r>
      <w:r>
        <w:tab/>
        <w:t>Attendance by telephone etc. (Act s. 5.25(1)(ba))</w:t>
      </w:r>
      <w:bookmarkEnd w:id="18"/>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19" w:name="_Toc377388769"/>
      <w:r>
        <w:rPr>
          <w:rStyle w:val="CharSectno"/>
        </w:rPr>
        <w:t>14B</w:t>
      </w:r>
      <w:r>
        <w:t>.</w:t>
      </w:r>
      <w:r>
        <w:tab/>
        <w:t>Attendance by telephone etc. after natural disaster (Act s. 5.25(1)(ba))</w:t>
      </w:r>
      <w:bookmarkEnd w:id="19"/>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20" w:name="_Toc377388770"/>
      <w:r>
        <w:rPr>
          <w:rStyle w:val="CharPartNo"/>
        </w:rPr>
        <w:t>Part 3</w:t>
      </w:r>
      <w:r>
        <w:rPr>
          <w:rStyle w:val="CharDivNo"/>
        </w:rPr>
        <w:t> </w:t>
      </w:r>
      <w:r>
        <w:t>—</w:t>
      </w:r>
      <w:r>
        <w:rPr>
          <w:rStyle w:val="CharDivText"/>
        </w:rPr>
        <w:t> </w:t>
      </w:r>
      <w:r>
        <w:rPr>
          <w:rStyle w:val="CharPartText"/>
        </w:rPr>
        <w:t>Electors’ meetings</w:t>
      </w:r>
      <w:bookmarkEnd w:id="20"/>
    </w:p>
    <w:p>
      <w:pPr>
        <w:pStyle w:val="Footnoteheading"/>
      </w:pPr>
      <w:r>
        <w:tab/>
        <w:t>[Heading inserted in Gazette 26 Aug 2011 p. 3482.]</w:t>
      </w:r>
    </w:p>
    <w:p>
      <w:pPr>
        <w:pStyle w:val="Heading5"/>
        <w:rPr>
          <w:snapToGrid w:val="0"/>
        </w:rPr>
      </w:pPr>
      <w:bookmarkStart w:id="21" w:name="_Toc377388771"/>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21"/>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22" w:name="_Toc377388772"/>
      <w:r>
        <w:rPr>
          <w:rStyle w:val="CharSectno"/>
        </w:rPr>
        <w:t>16</w:t>
      </w:r>
      <w:r>
        <w:rPr>
          <w:snapToGrid w:val="0"/>
        </w:rPr>
        <w:t>.</w:t>
      </w:r>
      <w:r>
        <w:rPr>
          <w:snapToGrid w:val="0"/>
        </w:rPr>
        <w:tab/>
        <w:t>Request for special meeting, form of (Act s. 5.28(2))</w:t>
      </w:r>
      <w:bookmarkEnd w:id="22"/>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23" w:name="_Toc377388773"/>
      <w:r>
        <w:rPr>
          <w:rStyle w:val="CharSectno"/>
        </w:rPr>
        <w:t>17</w:t>
      </w:r>
      <w:r>
        <w:rPr>
          <w:snapToGrid w:val="0"/>
        </w:rPr>
        <w:t>.</w:t>
      </w:r>
      <w:r>
        <w:rPr>
          <w:snapToGrid w:val="0"/>
        </w:rPr>
        <w:tab/>
        <w:t>Voting at meeting </w:t>
      </w:r>
      <w:r>
        <w:t>(Act </w:t>
      </w:r>
      <w:r>
        <w:rPr>
          <w:snapToGrid w:val="0"/>
        </w:rPr>
        <w:t>s. 5.31)</w:t>
      </w:r>
      <w:bookmarkEnd w:id="23"/>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24" w:name="_Toc377388774"/>
      <w:r>
        <w:rPr>
          <w:rStyle w:val="CharSectno"/>
        </w:rPr>
        <w:t>18</w:t>
      </w:r>
      <w:r>
        <w:rPr>
          <w:snapToGrid w:val="0"/>
        </w:rPr>
        <w:t>.</w:t>
      </w:r>
      <w:r>
        <w:rPr>
          <w:snapToGrid w:val="0"/>
        </w:rPr>
        <w:tab/>
        <w:t>Procedure at meeting </w:t>
      </w:r>
      <w:r>
        <w:t>(Act </w:t>
      </w:r>
      <w:r>
        <w:rPr>
          <w:snapToGrid w:val="0"/>
        </w:rPr>
        <w:t>s. 5.31)</w:t>
      </w:r>
      <w:bookmarkEnd w:id="24"/>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25" w:name="_Toc377388775"/>
      <w:r>
        <w:rPr>
          <w:rStyle w:val="CharPartNo"/>
        </w:rPr>
        <w:t>Part 4</w:t>
      </w:r>
      <w:r>
        <w:rPr>
          <w:rStyle w:val="CharDivNo"/>
        </w:rPr>
        <w:t> </w:t>
      </w:r>
      <w:r>
        <w:t>—</w:t>
      </w:r>
      <w:r>
        <w:rPr>
          <w:rStyle w:val="CharDivText"/>
        </w:rPr>
        <w:t> </w:t>
      </w:r>
      <w:r>
        <w:rPr>
          <w:rStyle w:val="CharPartText"/>
        </w:rPr>
        <w:t>Local government employees</w:t>
      </w:r>
      <w:bookmarkEnd w:id="25"/>
    </w:p>
    <w:p>
      <w:pPr>
        <w:pStyle w:val="Footnoteheading"/>
      </w:pPr>
      <w:r>
        <w:tab/>
        <w:t>[Heading inserted in Gazette 26 Aug 2011 p. 3482.]</w:t>
      </w:r>
    </w:p>
    <w:p>
      <w:pPr>
        <w:pStyle w:val="Heading5"/>
      </w:pPr>
      <w:bookmarkStart w:id="26" w:name="_Toc377388776"/>
      <w:r>
        <w:rPr>
          <w:rStyle w:val="CharSectno"/>
        </w:rPr>
        <w:t>18A</w:t>
      </w:r>
      <w:r>
        <w:t>.</w:t>
      </w:r>
      <w:r>
        <w:tab/>
        <w:t>Vacancy in position of CEO or senior employee to be advertised (Act s. 5.36(4) and 5.37(3))</w:t>
      </w:r>
      <w:bookmarkEnd w:id="26"/>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27" w:name="_Toc377388777"/>
      <w:r>
        <w:rPr>
          <w:rStyle w:val="CharSectno"/>
        </w:rPr>
        <w:t>18B</w:t>
      </w:r>
      <w:r>
        <w:t>.</w:t>
      </w:r>
      <w:r>
        <w:tab/>
        <w:t>Contracts of CEOs and senior employees, content of (Act s. 5.39(3)(c))</w:t>
      </w:r>
      <w:bookmarkEnd w:id="27"/>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28" w:name="_Toc377388778"/>
      <w:r>
        <w:rPr>
          <w:rStyle w:val="CharSectno"/>
        </w:rPr>
        <w:t>18C</w:t>
      </w:r>
      <w:r>
        <w:t>.</w:t>
      </w:r>
      <w:r>
        <w:tab/>
        <w:t>Selection and appointment process for CEOs</w:t>
      </w:r>
      <w:bookmarkEnd w:id="28"/>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29" w:name="_Toc377388779"/>
      <w:r>
        <w:rPr>
          <w:rStyle w:val="CharSectno"/>
        </w:rPr>
        <w:t>18D</w:t>
      </w:r>
      <w:r>
        <w:t>.</w:t>
      </w:r>
      <w:r>
        <w:tab/>
        <w:t>Performance review of CEO, local government’s duties as to</w:t>
      </w:r>
      <w:bookmarkEnd w:id="29"/>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30" w:name="_Toc377388780"/>
      <w:r>
        <w:rPr>
          <w:rStyle w:val="CharSectno"/>
        </w:rPr>
        <w:t>18E</w:t>
      </w:r>
      <w:r>
        <w:t>.</w:t>
      </w:r>
      <w:r>
        <w:tab/>
        <w:t>False information in application for CEO position, offence</w:t>
      </w:r>
      <w:bookmarkEnd w:id="30"/>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spacing w:before="110"/>
        <w:ind w:left="890" w:hanging="890"/>
      </w:pPr>
      <w:r>
        <w:tab/>
        <w:t>[Regulation 18E inserted in Gazette 31 Mar 2005 p. 1038-9; amended in Gazette 19 Aug 2005 p. 3872.]</w:t>
      </w:r>
    </w:p>
    <w:p>
      <w:pPr>
        <w:pStyle w:val="Heading5"/>
      </w:pPr>
      <w:bookmarkStart w:id="31" w:name="_Toc377388781"/>
      <w:r>
        <w:rPr>
          <w:rStyle w:val="CharSectno"/>
        </w:rPr>
        <w:t>18F</w:t>
      </w:r>
      <w:r>
        <w:t>.</w:t>
      </w:r>
      <w:r>
        <w:tab/>
        <w:t>Remuneration and benefits of CEO to be as advertised</w:t>
      </w:r>
      <w:bookmarkEnd w:id="31"/>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32" w:name="_Toc377388782"/>
      <w:r>
        <w:rPr>
          <w:rStyle w:val="CharSectno"/>
        </w:rPr>
        <w:t>18G</w:t>
      </w:r>
      <w:r>
        <w:t>.</w:t>
      </w:r>
      <w:r>
        <w:tab/>
        <w:t>Delegations to CEOs, limits on (Act s. 5.43)</w:t>
      </w:r>
      <w:bookmarkEnd w:id="32"/>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33" w:name="_Toc377388783"/>
      <w:r>
        <w:rPr>
          <w:rStyle w:val="CharSectno"/>
        </w:rPr>
        <w:t>19</w:t>
      </w:r>
      <w:r>
        <w:rPr>
          <w:snapToGrid w:val="0"/>
        </w:rPr>
        <w:t>.</w:t>
      </w:r>
      <w:r>
        <w:rPr>
          <w:snapToGrid w:val="0"/>
        </w:rPr>
        <w:tab/>
        <w:t xml:space="preserve">Delegates to keep certain records </w:t>
      </w:r>
      <w:r>
        <w:t>(Act </w:t>
      </w:r>
      <w:r>
        <w:rPr>
          <w:snapToGrid w:val="0"/>
        </w:rPr>
        <w:t>s. 5.46(3))</w:t>
      </w:r>
      <w:bookmarkEnd w:id="33"/>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34" w:name="_Toc377388784"/>
      <w:r>
        <w:rPr>
          <w:rStyle w:val="CharSectno"/>
        </w:rPr>
        <w:t>19A</w:t>
      </w:r>
      <w:r>
        <w:t>.</w:t>
      </w:r>
      <w:r>
        <w:tab/>
        <w:t>Payments in addition to contract or award, limits of (Act s. 5.50(3))</w:t>
      </w:r>
      <w:bookmarkEnd w:id="34"/>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 amended in Gazette 13 Jul 2012 p. 3218.]</w:t>
      </w:r>
    </w:p>
    <w:p>
      <w:pPr>
        <w:pStyle w:val="Heading2"/>
      </w:pPr>
      <w:bookmarkStart w:id="35" w:name="_Toc377388785"/>
      <w:r>
        <w:rPr>
          <w:rStyle w:val="CharPartNo"/>
        </w:rPr>
        <w:t>Part 5</w:t>
      </w:r>
      <w:r>
        <w:t> — </w:t>
      </w:r>
      <w:r>
        <w:rPr>
          <w:rStyle w:val="CharPartText"/>
        </w:rPr>
        <w:t>Annual reports and planning</w:t>
      </w:r>
      <w:bookmarkEnd w:id="35"/>
    </w:p>
    <w:p>
      <w:pPr>
        <w:pStyle w:val="Footnoteheading"/>
      </w:pPr>
      <w:r>
        <w:tab/>
        <w:t>[Heading inserted in Gazette 26 Aug 2011 p. 3482.]</w:t>
      </w:r>
    </w:p>
    <w:p>
      <w:pPr>
        <w:pStyle w:val="Heading3"/>
      </w:pPr>
      <w:bookmarkStart w:id="36" w:name="_Toc377388786"/>
      <w:r>
        <w:rPr>
          <w:rStyle w:val="CharDivNo"/>
        </w:rPr>
        <w:t>Division 1</w:t>
      </w:r>
      <w:r>
        <w:t> — </w:t>
      </w:r>
      <w:r>
        <w:rPr>
          <w:rStyle w:val="CharDivText"/>
        </w:rPr>
        <w:t>Preliminary</w:t>
      </w:r>
      <w:bookmarkEnd w:id="36"/>
    </w:p>
    <w:p>
      <w:pPr>
        <w:pStyle w:val="Footnoteheading"/>
      </w:pPr>
      <w:r>
        <w:tab/>
        <w:t>[Heading inserted in Gazette 26 Aug 2011 p. 3482.]</w:t>
      </w:r>
    </w:p>
    <w:p>
      <w:pPr>
        <w:pStyle w:val="Heading5"/>
      </w:pPr>
      <w:bookmarkStart w:id="37" w:name="_Toc377388787"/>
      <w:r>
        <w:rPr>
          <w:rStyle w:val="CharSectno"/>
        </w:rPr>
        <w:t>19BA</w:t>
      </w:r>
      <w:r>
        <w:t>.</w:t>
      </w:r>
      <w:r>
        <w:tab/>
        <w:t>Terms used</w:t>
      </w:r>
      <w:bookmarkEnd w:id="37"/>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38" w:name="_Toc377388788"/>
      <w:r>
        <w:rPr>
          <w:rStyle w:val="CharDivNo"/>
        </w:rPr>
        <w:t>Division 2</w:t>
      </w:r>
      <w:r>
        <w:t> — </w:t>
      </w:r>
      <w:r>
        <w:rPr>
          <w:rStyle w:val="CharDivText"/>
        </w:rPr>
        <w:t>Annual reports</w:t>
      </w:r>
      <w:bookmarkEnd w:id="38"/>
    </w:p>
    <w:p>
      <w:pPr>
        <w:pStyle w:val="Footnoteheading"/>
      </w:pPr>
      <w:r>
        <w:tab/>
        <w:t>[Heading inserted in Gazette 26 Aug 2011 p. 3483.]</w:t>
      </w:r>
    </w:p>
    <w:p>
      <w:pPr>
        <w:pStyle w:val="Heading5"/>
      </w:pPr>
      <w:bookmarkStart w:id="39" w:name="_Toc377388789"/>
      <w:r>
        <w:rPr>
          <w:rStyle w:val="CharSectno"/>
        </w:rPr>
        <w:t>19B</w:t>
      </w:r>
      <w:r>
        <w:t>.</w:t>
      </w:r>
      <w:r>
        <w:tab/>
        <w:t>Information about numbers of certain employees to be included (Act s. 5.53(2)(g))</w:t>
      </w:r>
      <w:bookmarkEnd w:id="39"/>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40" w:name="_Toc377388790"/>
      <w:r>
        <w:rPr>
          <w:rStyle w:val="CharSectno"/>
        </w:rPr>
        <w:t>19CA</w:t>
      </w:r>
      <w:r>
        <w:t>.</w:t>
      </w:r>
      <w:r>
        <w:tab/>
        <w:t>Information about modifications to certain plans to be included (Act s. 5.53(2)(i))</w:t>
      </w:r>
      <w:bookmarkEnd w:id="40"/>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41" w:name="_Toc377388791"/>
      <w:r>
        <w:rPr>
          <w:rStyle w:val="CharDivNo"/>
        </w:rPr>
        <w:t>Division 3</w:t>
      </w:r>
      <w:r>
        <w:t> — </w:t>
      </w:r>
      <w:r>
        <w:rPr>
          <w:rStyle w:val="CharDivText"/>
        </w:rPr>
        <w:t>Planning for the future</w:t>
      </w:r>
      <w:bookmarkEnd w:id="41"/>
    </w:p>
    <w:p>
      <w:pPr>
        <w:pStyle w:val="Footnoteheading"/>
        <w:spacing w:before="100"/>
      </w:pPr>
      <w:r>
        <w:tab/>
        <w:t>[Heading inserted in Gazette 26 Aug 2011 p. 3483.]</w:t>
      </w:r>
    </w:p>
    <w:p>
      <w:pPr>
        <w:pStyle w:val="Heading5"/>
      </w:pPr>
      <w:bookmarkStart w:id="42" w:name="_Toc377388792"/>
      <w:r>
        <w:rPr>
          <w:rStyle w:val="CharSectno"/>
        </w:rPr>
        <w:t>19C</w:t>
      </w:r>
      <w:r>
        <w:t>.</w:t>
      </w:r>
      <w:r>
        <w:tab/>
        <w:t>Strategic community plans, requirements for (Act s. 5.56)</w:t>
      </w:r>
      <w:bookmarkEnd w:id="42"/>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NotesPerm"/>
        <w:spacing w:before="120"/>
      </w:pPr>
      <w: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43" w:name="_Toc377388793"/>
      <w:r>
        <w:rPr>
          <w:rStyle w:val="CharSectno"/>
        </w:rPr>
        <w:t>19DA</w:t>
      </w:r>
      <w:r>
        <w:t>.</w:t>
      </w:r>
      <w:r>
        <w:tab/>
        <w:t>Corporate business plans, requirements for (Act s. 5.56)</w:t>
      </w:r>
      <w:bookmarkEnd w:id="43"/>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NotesPerm"/>
        <w:spacing w:before="120"/>
      </w:pPr>
      <w: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44" w:name="_Toc377388794"/>
      <w:r>
        <w:rPr>
          <w:rStyle w:val="CharSectno"/>
        </w:rPr>
        <w:t>19DB</w:t>
      </w:r>
      <w:r>
        <w:t>.</w:t>
      </w:r>
      <w:r>
        <w:tab/>
        <w:t>Transitional provisions for plans for the future until 30 June 2013</w:t>
      </w:r>
      <w:bookmarkEnd w:id="44"/>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45" w:name="_Toc377388795"/>
      <w:r>
        <w:rPr>
          <w:rStyle w:val="CharSectno"/>
        </w:rPr>
        <w:t>19D</w:t>
      </w:r>
      <w:r>
        <w:t>.</w:t>
      </w:r>
      <w:r>
        <w:tab/>
        <w:t>Adoption of plan, public notice of to be given</w:t>
      </w:r>
      <w:bookmarkEnd w:id="45"/>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46" w:name="_Toc377388796"/>
      <w:r>
        <w:rPr>
          <w:rStyle w:val="CharPartNo"/>
        </w:rPr>
        <w:t>Part 6</w:t>
      </w:r>
      <w:r>
        <w:rPr>
          <w:rStyle w:val="CharDivNo"/>
        </w:rPr>
        <w:t> </w:t>
      </w:r>
      <w:r>
        <w:t>—</w:t>
      </w:r>
      <w:r>
        <w:rPr>
          <w:rStyle w:val="CharDivText"/>
        </w:rPr>
        <w:t> </w:t>
      </w:r>
      <w:r>
        <w:rPr>
          <w:rStyle w:val="CharPartText"/>
        </w:rPr>
        <w:t>Disclosure of financial interests</w:t>
      </w:r>
      <w:bookmarkEnd w:id="46"/>
    </w:p>
    <w:p>
      <w:pPr>
        <w:pStyle w:val="Footnoteheading"/>
      </w:pPr>
      <w:r>
        <w:tab/>
        <w:t>[Heading inserted in Gazette 26 Aug 2011 p. 3487.]</w:t>
      </w:r>
    </w:p>
    <w:p>
      <w:pPr>
        <w:pStyle w:val="Heading5"/>
      </w:pPr>
      <w:bookmarkStart w:id="47" w:name="_Toc377388797"/>
      <w:r>
        <w:rPr>
          <w:rStyle w:val="CharSectno"/>
        </w:rPr>
        <w:t>20</w:t>
      </w:r>
      <w:r>
        <w:t>.</w:t>
      </w:r>
      <w:r>
        <w:tab/>
        <w:t>Closely associated persons, matters prescribed for (Act s. 5.62)</w:t>
      </w:r>
      <w:bookmarkEnd w:id="47"/>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48" w:name="_Toc377388798"/>
      <w:r>
        <w:rPr>
          <w:rStyle w:val="CharSectno"/>
        </w:rPr>
        <w:t>21</w:t>
      </w:r>
      <w:r>
        <w:t>.</w:t>
      </w:r>
      <w:r>
        <w:tab/>
        <w:t>Interests that need not be disclosed (Act s. 5.63(1)(h))</w:t>
      </w:r>
      <w:bookmarkEnd w:id="48"/>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49" w:name="_Toc377388799"/>
      <w:r>
        <w:rPr>
          <w:rStyle w:val="CharSectno"/>
        </w:rPr>
        <w:t>22</w:t>
      </w:r>
      <w:r>
        <w:rPr>
          <w:snapToGrid w:val="0"/>
        </w:rPr>
        <w:t>.</w:t>
      </w:r>
      <w:r>
        <w:rPr>
          <w:snapToGrid w:val="0"/>
        </w:rPr>
        <w:tab/>
        <w:t xml:space="preserve">Primary returns, form of </w:t>
      </w:r>
      <w:r>
        <w:t>(Act </w:t>
      </w:r>
      <w:r>
        <w:rPr>
          <w:snapToGrid w:val="0"/>
        </w:rPr>
        <w:t>s. 5.75(1) and (2))</w:t>
      </w:r>
      <w:bookmarkEnd w:id="49"/>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50" w:name="_Toc377388800"/>
      <w:r>
        <w:rPr>
          <w:rStyle w:val="CharSectno"/>
        </w:rPr>
        <w:t>23</w:t>
      </w:r>
      <w:r>
        <w:rPr>
          <w:snapToGrid w:val="0"/>
        </w:rPr>
        <w:t>.</w:t>
      </w:r>
      <w:r>
        <w:rPr>
          <w:snapToGrid w:val="0"/>
        </w:rPr>
        <w:tab/>
        <w:t xml:space="preserve">Annual returns, form of </w:t>
      </w:r>
      <w:r>
        <w:t>(Act </w:t>
      </w:r>
      <w:r>
        <w:rPr>
          <w:snapToGrid w:val="0"/>
        </w:rPr>
        <w:t>s. 5.76(1) and (2))</w:t>
      </w:r>
      <w:bookmarkEnd w:id="50"/>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51" w:name="_Toc377388801"/>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51"/>
    </w:p>
    <w:p>
      <w:pPr>
        <w:pStyle w:val="Subsection"/>
        <w:rPr>
          <w:snapToGrid w:val="0"/>
        </w:rPr>
      </w:pPr>
      <w:r>
        <w:rPr>
          <w:snapToGrid w:val="0"/>
        </w:rPr>
        <w:tab/>
      </w:r>
      <w:r>
        <w:rPr>
          <w:snapToGrid w:val="0"/>
        </w:rPr>
        <w:tab/>
        <w:t>The amount of income prescribed for the purposes of section 5.80(3) is $500.</w:t>
      </w:r>
    </w:p>
    <w:p>
      <w:pPr>
        <w:pStyle w:val="Heading5"/>
        <w:rPr>
          <w:snapToGrid w:val="0"/>
        </w:rPr>
      </w:pPr>
      <w:bookmarkStart w:id="52" w:name="_Toc377388802"/>
      <w:r>
        <w:rPr>
          <w:rStyle w:val="CharSectno"/>
        </w:rPr>
        <w:t>25</w:t>
      </w:r>
      <w:r>
        <w:rPr>
          <w:snapToGrid w:val="0"/>
        </w:rPr>
        <w:t>.</w:t>
      </w:r>
      <w:r>
        <w:rPr>
          <w:snapToGrid w:val="0"/>
        </w:rPr>
        <w:tab/>
        <w:t xml:space="preserve">Amount of gift prescribed </w:t>
      </w:r>
      <w:r>
        <w:t>(Act </w:t>
      </w:r>
      <w:r>
        <w:rPr>
          <w:snapToGrid w:val="0"/>
        </w:rPr>
        <w:t xml:space="preserve">s. </w:t>
      </w:r>
      <w:r>
        <w:rPr>
          <w:rStyle w:val="CharSectno"/>
        </w:rPr>
        <w:t>5</w:t>
      </w:r>
      <w:r>
        <w:rPr>
          <w:snapToGrid w:val="0"/>
        </w:rPr>
        <w:t>.82(2)(a))</w:t>
      </w:r>
      <w:bookmarkEnd w:id="52"/>
    </w:p>
    <w:p>
      <w:pPr>
        <w:pStyle w:val="Subsection"/>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rPr>
          <w:snapToGrid w:val="0"/>
        </w:rPr>
      </w:pPr>
      <w:bookmarkStart w:id="53" w:name="_Toc377388803"/>
      <w:r>
        <w:rPr>
          <w:rStyle w:val="CharSectno"/>
        </w:rPr>
        <w:t>26</w:t>
      </w:r>
      <w:r>
        <w:rPr>
          <w:snapToGrid w:val="0"/>
        </w:rPr>
        <w:t>.</w:t>
      </w:r>
      <w:r>
        <w:rPr>
          <w:snapToGrid w:val="0"/>
        </w:rPr>
        <w:tab/>
        <w:t xml:space="preserve">Amount of contribution to travel prescribed </w:t>
      </w:r>
      <w:r>
        <w:t>(Act </w:t>
      </w:r>
      <w:r>
        <w:rPr>
          <w:snapToGrid w:val="0"/>
        </w:rPr>
        <w:t>s. </w:t>
      </w:r>
      <w:r>
        <w:rPr>
          <w:rStyle w:val="CharSectno"/>
        </w:rPr>
        <w:t>5</w:t>
      </w:r>
      <w:r>
        <w:rPr>
          <w:snapToGrid w:val="0"/>
        </w:rPr>
        <w:t>.83(2)(d))</w:t>
      </w:r>
      <w:bookmarkEnd w:id="53"/>
    </w:p>
    <w:p>
      <w:pPr>
        <w:pStyle w:val="Subsection"/>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54" w:name="_Toc377388804"/>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54"/>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55" w:name="_Toc377388805"/>
      <w:r>
        <w:rPr>
          <w:rStyle w:val="CharSectno"/>
        </w:rPr>
        <w:t>28</w:t>
      </w:r>
      <w:r>
        <w:rPr>
          <w:snapToGrid w:val="0"/>
        </w:rPr>
        <w:t>.</w:t>
      </w:r>
      <w:r>
        <w:rPr>
          <w:snapToGrid w:val="0"/>
        </w:rPr>
        <w:tab/>
        <w:t xml:space="preserve">Register of financial interests, form of </w:t>
      </w:r>
      <w:r>
        <w:t>(Act </w:t>
      </w:r>
      <w:r>
        <w:rPr>
          <w:snapToGrid w:val="0"/>
        </w:rPr>
        <w:t>s. 5.88(2))</w:t>
      </w:r>
      <w:bookmarkEnd w:id="55"/>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2"/>
      </w:pPr>
      <w:bookmarkStart w:id="56" w:name="_Toc377388806"/>
      <w:r>
        <w:rPr>
          <w:rStyle w:val="CharPartNo"/>
        </w:rPr>
        <w:t>Part 7</w:t>
      </w:r>
      <w:r>
        <w:rPr>
          <w:rStyle w:val="CharDivNo"/>
        </w:rPr>
        <w:t> </w:t>
      </w:r>
      <w:r>
        <w:t>—</w:t>
      </w:r>
      <w:r>
        <w:rPr>
          <w:rStyle w:val="CharDivText"/>
        </w:rPr>
        <w:t> </w:t>
      </w:r>
      <w:r>
        <w:rPr>
          <w:rStyle w:val="CharPartText"/>
        </w:rPr>
        <w:t>Access to information</w:t>
      </w:r>
      <w:bookmarkEnd w:id="56"/>
    </w:p>
    <w:p>
      <w:pPr>
        <w:pStyle w:val="Footnoteheading"/>
        <w:spacing w:before="100"/>
      </w:pPr>
      <w:r>
        <w:tab/>
        <w:t>[Heading inserted in Gazette 26 Aug 2011 p. 3487.]</w:t>
      </w:r>
    </w:p>
    <w:p>
      <w:pPr>
        <w:pStyle w:val="Heading5"/>
        <w:rPr>
          <w:snapToGrid w:val="0"/>
        </w:rPr>
      </w:pPr>
      <w:bookmarkStart w:id="57" w:name="_Toc377388807"/>
      <w:r>
        <w:rPr>
          <w:rStyle w:val="CharSectno"/>
        </w:rPr>
        <w:t>29</w:t>
      </w:r>
      <w:r>
        <w:rPr>
          <w:snapToGrid w:val="0"/>
        </w:rPr>
        <w:t>.</w:t>
      </w:r>
      <w:r>
        <w:rPr>
          <w:snapToGrid w:val="0"/>
        </w:rPr>
        <w:tab/>
        <w:t xml:space="preserve">Information to be available for public inspection </w:t>
      </w:r>
      <w:r>
        <w:t>(Act </w:t>
      </w:r>
      <w:r>
        <w:rPr>
          <w:snapToGrid w:val="0"/>
        </w:rPr>
        <w:t>s. 5.94)</w:t>
      </w:r>
      <w:bookmarkEnd w:id="57"/>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58" w:name="_Toc377388808"/>
      <w:r>
        <w:rPr>
          <w:rStyle w:val="CharSectno"/>
        </w:rPr>
        <w:t>29A</w:t>
      </w:r>
      <w:r>
        <w:t>.</w:t>
      </w:r>
      <w:r>
        <w:tab/>
        <w:t>Limits on right to inspect local government information (Act s. 5.95)</w:t>
      </w:r>
      <w:bookmarkEnd w:id="58"/>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59" w:name="_Toc377388809"/>
      <w:r>
        <w:rPr>
          <w:rStyle w:val="CharSectno"/>
        </w:rPr>
        <w:t>29B</w:t>
      </w:r>
      <w:r>
        <w:t>.</w:t>
      </w:r>
      <w:r>
        <w:tab/>
        <w:t>Copies of certain information not to be provided (Act s. 5.96)</w:t>
      </w:r>
      <w:bookmarkEnd w:id="59"/>
    </w:p>
    <w:p>
      <w:pPr>
        <w:pStyle w:val="Subsection"/>
      </w:pPr>
      <w:r>
        <w:tab/>
        <w:t>(1)</w:t>
      </w:r>
      <w:r>
        <w:tab/>
        <w:t>A local government is not required to make available to a person copies of information referred to in section 5.94(m) or (s) unless the CEO of the local government is satisfied that the information will not be used for a commercial purpose.</w:t>
      </w:r>
    </w:p>
    <w:p>
      <w:pPr>
        <w:pStyle w:val="Subsection"/>
      </w:pPr>
      <w:r>
        <w:tab/>
        <w:t>(2)</w:t>
      </w:r>
      <w:r>
        <w:tab/>
        <w:t>A request to a local government for a copy of information referred to in section 5.94(m) or (s) is to be in a form approved by the CEO of the local government.</w:t>
      </w:r>
    </w:p>
    <w:p>
      <w:pPr>
        <w:pStyle w:val="Subsection"/>
      </w:pPr>
      <w:r>
        <w:tab/>
        <w:t>(3)</w:t>
      </w:r>
      <w:r>
        <w:tab/>
        <w:t>Information contained in a request referred to in subregulation (2) is to be verified by statutory declaration.</w:t>
      </w:r>
    </w:p>
    <w:p>
      <w:pPr>
        <w:pStyle w:val="Footnotesection"/>
      </w:pPr>
      <w:r>
        <w:tab/>
        <w:t>[Regulation 29B inserted in Gazette 3 May 2011 p. 1594-5.]</w:t>
      </w:r>
    </w:p>
    <w:p>
      <w:pPr>
        <w:pStyle w:val="Heading2"/>
      </w:pPr>
      <w:bookmarkStart w:id="60" w:name="_Toc377388810"/>
      <w:r>
        <w:rPr>
          <w:rStyle w:val="CharPartNo"/>
        </w:rPr>
        <w:t>Part 8</w:t>
      </w:r>
      <w:r>
        <w:rPr>
          <w:rStyle w:val="CharDivNo"/>
        </w:rPr>
        <w:t> </w:t>
      </w:r>
      <w:r>
        <w:t>—</w:t>
      </w:r>
      <w:r>
        <w:rPr>
          <w:rStyle w:val="CharDivText"/>
        </w:rPr>
        <w:t> </w:t>
      </w:r>
      <w:r>
        <w:rPr>
          <w:rStyle w:val="CharPartText"/>
        </w:rPr>
        <w:t>Local government payments and gifts to members</w:t>
      </w:r>
      <w:bookmarkEnd w:id="60"/>
    </w:p>
    <w:p>
      <w:pPr>
        <w:pStyle w:val="Footnoteheading"/>
      </w:pPr>
      <w:r>
        <w:tab/>
        <w:t>[Heading inserted in Gazette 26 Aug 2011 p. 3487.]</w:t>
      </w:r>
    </w:p>
    <w:p>
      <w:pPr>
        <w:pStyle w:val="Heading5"/>
        <w:rPr>
          <w:snapToGrid w:val="0"/>
        </w:rPr>
      </w:pPr>
      <w:bookmarkStart w:id="61" w:name="_Toc377388811"/>
      <w:r>
        <w:rPr>
          <w:rStyle w:val="CharSectno"/>
        </w:rPr>
        <w:t>30</w:t>
      </w:r>
      <w:r>
        <w:rPr>
          <w:snapToGrid w:val="0"/>
        </w:rPr>
        <w:t>.</w:t>
      </w:r>
      <w:r>
        <w:rPr>
          <w:snapToGrid w:val="0"/>
        </w:rPr>
        <w:tab/>
        <w:t xml:space="preserve">Meeting attendance fees </w:t>
      </w:r>
      <w:r>
        <w:t>(Act </w:t>
      </w:r>
      <w:r>
        <w:rPr>
          <w:snapToGrid w:val="0"/>
        </w:rPr>
        <w:t>s. 5.98(1) and (2A))</w:t>
      </w:r>
      <w:bookmarkEnd w:id="61"/>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in Gazette 23 Apr 1999 p. 1719; 31 Mar 2005 p. 1034; 3 May 2011 p. 1595-6; 13 Jul 2012 p. 3219.]</w:t>
      </w:r>
    </w:p>
    <w:p>
      <w:pPr>
        <w:pStyle w:val="Heading5"/>
        <w:rPr>
          <w:snapToGrid w:val="0"/>
        </w:rPr>
      </w:pPr>
      <w:bookmarkStart w:id="62" w:name="_Toc377388812"/>
      <w:r>
        <w:rPr>
          <w:rStyle w:val="CharSectno"/>
        </w:rPr>
        <w:t>31</w:t>
      </w:r>
      <w:r>
        <w:rPr>
          <w:snapToGrid w:val="0"/>
        </w:rPr>
        <w:t>.</w:t>
      </w:r>
      <w:r>
        <w:rPr>
          <w:snapToGrid w:val="0"/>
        </w:rPr>
        <w:tab/>
        <w:t xml:space="preserve">Expenses to be reimbursed </w:t>
      </w:r>
      <w:r>
        <w:t>(Act </w:t>
      </w:r>
      <w:r>
        <w:rPr>
          <w:snapToGrid w:val="0"/>
        </w:rPr>
        <w:t>s. 5.98(2)(a) and (3))</w:t>
      </w:r>
      <w:bookmarkEnd w:id="62"/>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in Gazette 31 Mar 2005 p. 1034; 13 Jul 2012 p. 3219.]</w:t>
      </w:r>
    </w:p>
    <w:p>
      <w:pPr>
        <w:pStyle w:val="Heading5"/>
        <w:rPr>
          <w:snapToGrid w:val="0"/>
        </w:rPr>
      </w:pPr>
      <w:bookmarkStart w:id="63" w:name="_Toc377388813"/>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63"/>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in Gazette 13 Jul 2012 p. 3219.]</w:t>
      </w:r>
    </w:p>
    <w:p>
      <w:pPr>
        <w:pStyle w:val="Ednotesection"/>
      </w:pPr>
      <w:r>
        <w:t>[</w:t>
      </w:r>
      <w:r>
        <w:rPr>
          <w:b/>
        </w:rPr>
        <w:t>33-34AB.</w:t>
      </w:r>
      <w:r>
        <w:tab/>
        <w:t>Deleted in Gazette 13 Jul 2012 p. 3219]</w:t>
      </w:r>
    </w:p>
    <w:p>
      <w:pPr>
        <w:pStyle w:val="Heading5"/>
        <w:spacing w:before="200"/>
      </w:pPr>
      <w:bookmarkStart w:id="64" w:name="_Toc377388814"/>
      <w:r>
        <w:rPr>
          <w:rStyle w:val="CharSectno"/>
        </w:rPr>
        <w:t>34AC</w:t>
      </w:r>
      <w:r>
        <w:t>.</w:t>
      </w:r>
      <w:r>
        <w:tab/>
        <w:t>Gifts to council members, when permitted etc. (Act s. 5.100A)</w:t>
      </w:r>
      <w:bookmarkEnd w:id="64"/>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65" w:name="_Toc377388815"/>
      <w:r>
        <w:rPr>
          <w:rStyle w:val="CharSectno"/>
        </w:rPr>
        <w:t>34AD</w:t>
      </w:r>
      <w:r>
        <w:t>.</w:t>
      </w:r>
      <w:r>
        <w:tab/>
        <w:t>Method of payment of expenses for which person can be reimbursed (Act s. 5.101A)</w:t>
      </w:r>
      <w:bookmarkEnd w:id="65"/>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66" w:name="_Toc377388816"/>
      <w:r>
        <w:rPr>
          <w:rStyle w:val="CharPartNo"/>
        </w:rPr>
        <w:t>Part 9</w:t>
      </w:r>
      <w:r>
        <w:rPr>
          <w:rStyle w:val="CharDivNo"/>
        </w:rPr>
        <w:t> </w:t>
      </w:r>
      <w:r>
        <w:t>—</w:t>
      </w:r>
      <w:r>
        <w:rPr>
          <w:rStyle w:val="CharDivText"/>
        </w:rPr>
        <w:t> </w:t>
      </w:r>
      <w:r>
        <w:rPr>
          <w:rStyle w:val="CharPartText"/>
        </w:rPr>
        <w:t>Codes of conduct</w:t>
      </w:r>
      <w:bookmarkEnd w:id="66"/>
    </w:p>
    <w:p>
      <w:pPr>
        <w:pStyle w:val="Footnoteheading"/>
      </w:pPr>
      <w:r>
        <w:tab/>
        <w:t>[Heading inserted in Gazette 26 Aug 2011 p. 3487.]</w:t>
      </w:r>
    </w:p>
    <w:p>
      <w:pPr>
        <w:pStyle w:val="Heading5"/>
      </w:pPr>
      <w:bookmarkStart w:id="67" w:name="_Toc377388817"/>
      <w:r>
        <w:rPr>
          <w:rStyle w:val="CharSectno"/>
        </w:rPr>
        <w:t>34B</w:t>
      </w:r>
      <w:r>
        <w:t>.</w:t>
      </w:r>
      <w:r>
        <w:tab/>
        <w:t>Codes of conduct about gifts, content of (Act s. 5.103(3))</w:t>
      </w:r>
      <w:bookmarkEnd w:id="67"/>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68" w:name="_Toc377388818"/>
      <w:r>
        <w:rPr>
          <w:rStyle w:val="CharSectno"/>
        </w:rPr>
        <w:t>34C</w:t>
      </w:r>
      <w:r>
        <w:t>.</w:t>
      </w:r>
      <w:r>
        <w:tab/>
        <w:t>Codes of conduct about disclosing interests affecting impartiality, content of (Act s. 5.103(3))</w:t>
      </w:r>
      <w:bookmarkEnd w:id="68"/>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69" w:name="_Toc377388819"/>
      <w:r>
        <w:rPr>
          <w:rStyle w:val="CharSchNo"/>
        </w:rPr>
        <w:t>Schedule 1</w:t>
      </w:r>
      <w:r>
        <w:t> — </w:t>
      </w:r>
      <w:r>
        <w:rPr>
          <w:rStyle w:val="CharSchText"/>
        </w:rPr>
        <w:t>Forms</w:t>
      </w:r>
      <w:bookmarkEnd w:id="69"/>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gift</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gift</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giver</w:t>
            </w:r>
          </w:p>
        </w:tc>
      </w:tr>
      <w:tr>
        <w:tc>
          <w:tcPr>
            <w:tcW w:w="2991" w:type="dxa"/>
            <w:tcBorders>
              <w:top w:val="single" w:sz="12"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2" w:space="0" w:color="auto"/>
              <w:left w:val="single" w:sz="8" w:space="0" w:color="auto"/>
              <w:right w:val="single" w:sz="8" w:space="0" w:color="auto"/>
            </w:tcBorders>
          </w:tcPr>
          <w:p>
            <w:pPr>
              <w:pStyle w:val="zyTableNAm"/>
            </w:pPr>
          </w:p>
        </w:tc>
        <w:tc>
          <w:tcPr>
            <w:tcW w:w="2693" w:type="dxa"/>
            <w:tcBorders>
              <w:top w:val="single" w:sz="12"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contribution</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contribution</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contributor</w:t>
            </w:r>
          </w:p>
        </w:tc>
      </w:tr>
      <w:tr>
        <w:tc>
          <w:tcPr>
            <w:tcW w:w="2991" w:type="dxa"/>
            <w:tcBorders>
              <w:top w:val="single" w:sz="12" w:space="0" w:color="auto"/>
              <w:left w:val="single" w:sz="8" w:space="0" w:color="auto"/>
              <w:right w:val="single" w:sz="8" w:space="0" w:color="auto"/>
            </w:tcBorders>
          </w:tcPr>
          <w:p>
            <w:pPr>
              <w:pStyle w:val="zyTableNAm"/>
              <w:rPr>
                <w:sz w:val="18"/>
              </w:rPr>
            </w:pPr>
          </w:p>
        </w:tc>
        <w:tc>
          <w:tcPr>
            <w:tcW w:w="1418" w:type="dxa"/>
            <w:tcBorders>
              <w:top w:val="single" w:sz="12" w:space="0" w:color="auto"/>
              <w:left w:val="single" w:sz="8" w:space="0" w:color="auto"/>
              <w:right w:val="single" w:sz="8" w:space="0" w:color="auto"/>
            </w:tcBorders>
          </w:tcPr>
          <w:p>
            <w:pPr>
              <w:pStyle w:val="zyTableNAm"/>
              <w:rPr>
                <w:sz w:val="18"/>
              </w:rPr>
            </w:pPr>
          </w:p>
        </w:tc>
        <w:tc>
          <w:tcPr>
            <w:tcW w:w="2693" w:type="dxa"/>
            <w:tcBorders>
              <w:top w:val="single" w:sz="12"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70" w:name="_Toc377388820"/>
      <w:r>
        <w:t>Notes</w:t>
      </w:r>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377388821"/>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r>
              <w:rPr>
                <w:iCs/>
                <w:sz w:val="19"/>
                <w:vertAlign w:val="superscript"/>
              </w:rPr>
              <w:t> 2</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3</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rPr>
              <w:t>r. 1 and 2: 21 Aug 2007 (see r. 2(a));</w:t>
            </w:r>
            <w:r>
              <w:rPr>
                <w:snapToGrid w:val="0"/>
                <w:sz w:val="19"/>
              </w:rPr>
              <w:br/>
              <w:t xml:space="preserve">Regulations other than r. 1 and 2: 21 Oct 2007 (see r. 2(b) and </w:t>
            </w:r>
            <w:r>
              <w:rPr>
                <w:i/>
                <w:iCs/>
                <w:snapToGrid w:val="0"/>
                <w:sz w:val="19"/>
              </w:rPr>
              <w:t>Gazette</w:t>
            </w:r>
            <w:r>
              <w:rPr>
                <w:snapToGrid w:val="0"/>
                <w:sz w:val="19"/>
              </w:rPr>
              <w:t xml:space="preserve"> 21 Aug 2007 p. 4173)</w:t>
            </w:r>
          </w:p>
        </w:tc>
      </w:tr>
      <w:tr>
        <w:tc>
          <w:tcPr>
            <w:tcW w:w="3118" w:type="dxa"/>
          </w:tcPr>
          <w:p>
            <w:pPr>
              <w:pStyle w:val="nTable"/>
              <w:spacing w:after="40"/>
              <w:rPr>
                <w:i/>
                <w:sz w:val="19"/>
              </w:rPr>
            </w:pPr>
            <w:r>
              <w:rPr>
                <w:i/>
                <w:sz w:val="19"/>
              </w:rPr>
              <w:t>Local Government (Administration) Amendment Regulations 2009</w:t>
            </w:r>
          </w:p>
        </w:tc>
        <w:tc>
          <w:tcPr>
            <w:tcW w:w="1276" w:type="dxa"/>
          </w:tcPr>
          <w:p>
            <w:pPr>
              <w:pStyle w:val="nTable"/>
              <w:keepNext/>
              <w:keepLines/>
              <w:spacing w:after="40"/>
              <w:rPr>
                <w:sz w:val="19"/>
              </w:rPr>
            </w:pPr>
            <w:r>
              <w:rPr>
                <w:sz w:val="19"/>
              </w:rPr>
              <w:t>20 Nov 2009 p. 4660-1</w:t>
            </w:r>
          </w:p>
        </w:tc>
        <w:tc>
          <w:tcPr>
            <w:tcW w:w="2693" w:type="dxa"/>
          </w:tcPr>
          <w:p>
            <w:pPr>
              <w:pStyle w:val="nTable"/>
              <w:keepNext/>
              <w:keepLines/>
              <w:spacing w:after="40"/>
              <w:rPr>
                <w:snapToGrid w:val="0"/>
                <w:sz w:val="19"/>
              </w:rPr>
            </w:pPr>
            <w:r>
              <w:rPr>
                <w:snapToGrid w:val="0"/>
                <w:sz w:val="19"/>
              </w:rPr>
              <w:t>r. 1 and 2: 20 Nov 2009 (see r. 2(a));</w:t>
            </w:r>
            <w:r>
              <w:rPr>
                <w:snapToGrid w:val="0"/>
                <w:sz w:val="19"/>
              </w:rPr>
              <w:br/>
              <w:t xml:space="preserve">Regulations other than r. 1 and 2: 21 Nov 2009 (see r. 2(b) and </w:t>
            </w:r>
            <w:r>
              <w:rPr>
                <w:i/>
                <w:iCs/>
                <w:snapToGrid w:val="0"/>
                <w:sz w:val="19"/>
              </w:rPr>
              <w:t>Gazette</w:t>
            </w:r>
            <w:r>
              <w:rPr>
                <w:snapToGrid w:val="0"/>
                <w:sz w:val="19"/>
              </w:rPr>
              <w:t xml:space="preserve"> 20 Nov 2009 p. 4649)</w:t>
            </w:r>
          </w:p>
        </w:tc>
      </w:tr>
      <w:tr>
        <w:tc>
          <w:tcPr>
            <w:tcW w:w="3118" w:type="dxa"/>
          </w:tcPr>
          <w:p>
            <w:pPr>
              <w:pStyle w:val="nTable"/>
              <w:spacing w:after="40"/>
              <w:rPr>
                <w:i/>
                <w:sz w:val="19"/>
              </w:rPr>
            </w:pPr>
            <w:r>
              <w:rPr>
                <w:i/>
                <w:sz w:val="19"/>
              </w:rPr>
              <w:t>Local Government (Administration) Amendment Regulations 2011</w:t>
            </w:r>
          </w:p>
        </w:tc>
        <w:tc>
          <w:tcPr>
            <w:tcW w:w="1276" w:type="dxa"/>
          </w:tcPr>
          <w:p>
            <w:pPr>
              <w:pStyle w:val="nTable"/>
              <w:keepNext/>
              <w:keepLines/>
              <w:spacing w:after="40"/>
              <w:rPr>
                <w:sz w:val="19"/>
              </w:rPr>
            </w:pPr>
            <w:r>
              <w:rPr>
                <w:sz w:val="19"/>
              </w:rPr>
              <w:t>3 May 2011 p. 1593-7</w:t>
            </w:r>
          </w:p>
        </w:tc>
        <w:tc>
          <w:tcPr>
            <w:tcW w:w="2693" w:type="dxa"/>
          </w:tcPr>
          <w:p>
            <w:pPr>
              <w:pStyle w:val="nTable"/>
              <w:keepNext/>
              <w:keepLines/>
              <w:spacing w:after="40"/>
              <w:rPr>
                <w:snapToGrid w:val="0"/>
                <w:sz w:val="19"/>
              </w:rPr>
            </w:pPr>
            <w:r>
              <w:rPr>
                <w:snapToGrid w:val="0"/>
                <w:sz w:val="19"/>
              </w:rPr>
              <w:t>r. 1 and 2: 3 May 2011 (see r. 2(a));</w:t>
            </w:r>
            <w:r>
              <w:rPr>
                <w:snapToGrid w:val="0"/>
                <w:sz w:val="19"/>
              </w:rPr>
              <w:br/>
              <w:t xml:space="preserve">r. 7: 4 May 2011 (see r. 2(b) and </w:t>
            </w:r>
            <w:r>
              <w:rPr>
                <w:i/>
                <w:snapToGrid w:val="0"/>
                <w:sz w:val="19"/>
              </w:rPr>
              <w:t>Gazette</w:t>
            </w:r>
            <w:r>
              <w:rPr>
                <w:snapToGrid w:val="0"/>
                <w:sz w:val="19"/>
              </w:rPr>
              <w:t xml:space="preserve"> 3 May 2011 p. 1577);</w:t>
            </w:r>
            <w:r>
              <w:rPr>
                <w:snapToGrid w:val="0"/>
                <w:sz w:val="19"/>
              </w:rPr>
              <w:br/>
              <w:t>Regulations other than r. 1, 2 and 7: 4 May 2011 (see r. 2(c))</w:t>
            </w:r>
          </w:p>
        </w:tc>
      </w:tr>
      <w:tr>
        <w:tc>
          <w:tcPr>
            <w:tcW w:w="3118" w:type="dxa"/>
            <w:shd w:val="clear" w:color="auto" w:fill="auto"/>
          </w:tcPr>
          <w:p>
            <w:pPr>
              <w:pStyle w:val="nTable"/>
              <w:spacing w:after="40"/>
              <w:rPr>
                <w:i/>
                <w:sz w:val="19"/>
              </w:rPr>
            </w:pPr>
            <w:r>
              <w:rPr>
                <w:i/>
                <w:sz w:val="19"/>
              </w:rPr>
              <w:t>Local Government (Administration) Amendment Regulations (No. 2) 2011</w:t>
            </w:r>
          </w:p>
        </w:tc>
        <w:tc>
          <w:tcPr>
            <w:tcW w:w="1276" w:type="dxa"/>
            <w:shd w:val="clear" w:color="auto" w:fill="auto"/>
          </w:tcPr>
          <w:p>
            <w:pPr>
              <w:pStyle w:val="nTable"/>
              <w:keepNext/>
              <w:keepLines/>
              <w:spacing w:after="40"/>
              <w:rPr>
                <w:sz w:val="19"/>
              </w:rPr>
            </w:pPr>
            <w:r>
              <w:rPr>
                <w:sz w:val="19"/>
              </w:rPr>
              <w:t>26 Aug 2011 p. 3481-7</w:t>
            </w:r>
          </w:p>
        </w:tc>
        <w:tc>
          <w:tcPr>
            <w:tcW w:w="2693" w:type="dxa"/>
            <w:shd w:val="clear" w:color="auto" w:fill="auto"/>
          </w:tcPr>
          <w:p>
            <w:pPr>
              <w:pStyle w:val="nTable"/>
              <w:keepNext/>
              <w:keepLines/>
              <w:spacing w:after="40"/>
              <w:rPr>
                <w:snapToGrid w:val="0"/>
                <w:sz w:val="19"/>
              </w:rPr>
            </w:pPr>
            <w:r>
              <w:rPr>
                <w:snapToGrid w:val="0"/>
                <w:sz w:val="19"/>
              </w:rPr>
              <w:t>r. 1 and 2: 26 Aug 2011 (see r. 2(a));</w:t>
            </w:r>
            <w:r>
              <w:rPr>
                <w:snapToGrid w:val="0"/>
                <w:sz w:val="19"/>
              </w:rPr>
              <w:br/>
              <w:t>Regulations other than r. 1 and 2: 26 Aug 2011 (see r. 2(b))</w:t>
            </w:r>
          </w:p>
        </w:tc>
      </w:tr>
      <w:tr>
        <w:tc>
          <w:tcPr>
            <w:tcW w:w="7087" w:type="dxa"/>
            <w:gridSpan w:val="3"/>
            <w:shd w:val="clear" w:color="auto" w:fill="auto"/>
          </w:tcPr>
          <w:p>
            <w:pPr>
              <w:pStyle w:val="nTable"/>
              <w:keepNext/>
              <w:keepLines/>
              <w:spacing w:after="40"/>
              <w:rPr>
                <w:snapToGrid w:val="0"/>
                <w:sz w:val="19"/>
              </w:rPr>
            </w:pPr>
            <w:r>
              <w:rPr>
                <w:b/>
                <w:sz w:val="19"/>
              </w:rPr>
              <w:t xml:space="preserve">Reprint 3: The </w:t>
            </w:r>
            <w:r>
              <w:rPr>
                <w:b/>
                <w:i/>
                <w:sz w:val="19"/>
              </w:rPr>
              <w:t>Local Government (Administration) Regulations 1996</w:t>
            </w:r>
            <w:r>
              <w:rPr>
                <w:b/>
                <w:sz w:val="19"/>
              </w:rPr>
              <w:t xml:space="preserve"> as at 3 Feb 2012</w:t>
            </w:r>
            <w:r>
              <w:rPr>
                <w:sz w:val="19"/>
              </w:rPr>
              <w:br/>
              <w:t>(includes amendments listed above)</w:t>
            </w:r>
          </w:p>
        </w:tc>
      </w:tr>
      <w:tr>
        <w:tc>
          <w:tcPr>
            <w:tcW w:w="3118" w:type="dxa"/>
            <w:tcBorders>
              <w:bottom w:val="single" w:sz="8" w:space="0" w:color="auto"/>
            </w:tcBorders>
            <w:shd w:val="clear" w:color="auto" w:fill="auto"/>
          </w:tcPr>
          <w:p>
            <w:pPr>
              <w:pStyle w:val="nTable"/>
              <w:spacing w:after="40"/>
              <w:rPr>
                <w:sz w:val="19"/>
              </w:rPr>
            </w:pPr>
            <w:r>
              <w:rPr>
                <w:i/>
                <w:sz w:val="19"/>
              </w:rPr>
              <w:t>Local Government (Administration) Amendment Regulations 2012</w:t>
            </w:r>
          </w:p>
        </w:tc>
        <w:tc>
          <w:tcPr>
            <w:tcW w:w="1276" w:type="dxa"/>
            <w:tcBorders>
              <w:bottom w:val="single" w:sz="8" w:space="0" w:color="auto"/>
            </w:tcBorders>
            <w:shd w:val="clear" w:color="auto" w:fill="auto"/>
          </w:tcPr>
          <w:p>
            <w:pPr>
              <w:pStyle w:val="nTable"/>
              <w:keepNext/>
              <w:keepLines/>
              <w:spacing w:after="40"/>
              <w:rPr>
                <w:sz w:val="19"/>
              </w:rPr>
            </w:pPr>
            <w:r>
              <w:rPr>
                <w:sz w:val="19"/>
              </w:rPr>
              <w:t>13 Jul 2012 p. 3218</w:t>
            </w:r>
            <w:r>
              <w:rPr>
                <w:sz w:val="19"/>
              </w:rPr>
              <w:noBreakHyphen/>
              <w:t>19</w:t>
            </w:r>
          </w:p>
        </w:tc>
        <w:tc>
          <w:tcPr>
            <w:tcW w:w="2693" w:type="dxa"/>
            <w:tcBorders>
              <w:bottom w:val="single" w:sz="8" w:space="0" w:color="auto"/>
            </w:tcBorders>
            <w:shd w:val="clear" w:color="auto" w:fill="auto"/>
          </w:tcPr>
          <w:p>
            <w:pPr>
              <w:pStyle w:val="nTable"/>
              <w:keepNext/>
              <w:keepLines/>
              <w:spacing w:after="40"/>
              <w:rPr>
                <w:snapToGrid w:val="0"/>
                <w:sz w:val="19"/>
              </w:rPr>
            </w:pPr>
            <w:r>
              <w:rPr>
                <w:snapToGrid w:val="0"/>
                <w:sz w:val="19"/>
              </w:rPr>
              <w:t>r. 1 and 2: 13 Jul 2012 (see r. 2(a));</w:t>
            </w:r>
            <w:r>
              <w:rPr>
                <w:snapToGrid w:val="0"/>
                <w:sz w:val="19"/>
              </w:rPr>
              <w:br/>
              <w:t>r. 3 and 4: 14 Jul 2012 (see r. 2(c));</w:t>
            </w:r>
            <w:r>
              <w:rPr>
                <w:snapToGrid w:val="0"/>
                <w:sz w:val="19"/>
              </w:rPr>
              <w:br/>
              <w:t>r. 5</w:t>
            </w:r>
            <w:r>
              <w:rPr>
                <w:snapToGrid w:val="0"/>
                <w:sz w:val="19"/>
              </w:rPr>
              <w:noBreakHyphen/>
              <w:t xml:space="preserve">8: </w:t>
            </w:r>
            <w:r>
              <w:rPr>
                <w:sz w:val="19"/>
              </w:rPr>
              <w:t xml:space="preserve">1 Jul 2013 (see r. 2(b) and </w:t>
            </w:r>
            <w:r>
              <w:rPr>
                <w:i/>
                <w:sz w:val="19"/>
              </w:rPr>
              <w:t xml:space="preserve">Gazette </w:t>
            </w:r>
            <w:r>
              <w:rPr>
                <w:sz w:val="19"/>
              </w:rPr>
              <w:t>8 Feb 2013 p. 863)</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pStyle w:val="BlankClose"/>
        <w:rPr>
          <w:snapToGrid w:val="0"/>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72" w:name="_Toc377388822"/>
      <w:r>
        <w:rPr>
          <w:sz w:val="28"/>
        </w:rPr>
        <w:t>Defined Terms</w:t>
      </w:r>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12" w:space="1" w:color="auto"/>
        </w:pBdr>
        <w:tabs>
          <w:tab w:val="right" w:pos="7070"/>
        </w:tabs>
        <w:ind w:left="578"/>
        <w:rPr>
          <w:b/>
          <w:sz w:val="20"/>
        </w:rPr>
      </w:pPr>
      <w:r>
        <w:rPr>
          <w:b/>
          <w:sz w:val="20"/>
        </w:rPr>
        <w:t>Defined Term</w:t>
      </w:r>
      <w:r>
        <w:rPr>
          <w:b/>
          <w:sz w:val="20"/>
        </w:rPr>
        <w:tab/>
        <w:t>Provision(s)</w:t>
      </w:r>
    </w:p>
    <w:p>
      <w:pPr>
        <w:pStyle w:val="DefinedTerms"/>
      </w:pPr>
      <w:bookmarkStart w:id="73" w:name="DefinedTerms"/>
      <w:bookmarkEnd w:id="73"/>
      <w:r>
        <w:t>activity involving a local government discretion</w:t>
      </w:r>
      <w:r>
        <w:tab/>
        <w:t>34B(1)</w:t>
      </w:r>
    </w:p>
    <w:p>
      <w:pPr>
        <w:pStyle w:val="DefinedTerms"/>
      </w:pPr>
      <w:r>
        <w:t>client or adviser</w:t>
      </w:r>
      <w:r>
        <w:tab/>
        <w:t>20(1)</w:t>
      </w:r>
    </w:p>
    <w:p>
      <w:pPr>
        <w:pStyle w:val="DefinedTerms"/>
      </w:pPr>
      <w:r>
        <w:t>code of conduct</w:t>
      </w:r>
      <w:r>
        <w:tab/>
        <w:t>3(1)</w:t>
      </w:r>
    </w:p>
    <w:p>
      <w:pPr>
        <w:pStyle w:val="DefinedTerms"/>
      </w:pPr>
      <w:r>
        <w:t>committee</w:t>
      </w:r>
      <w:r>
        <w:tab/>
        <w:t>3(1)</w:t>
      </w:r>
    </w:p>
    <w:p>
      <w:pPr>
        <w:pStyle w:val="DefinedTerms"/>
      </w:pPr>
      <w:r>
        <w:t>corporate business plan</w:t>
      </w:r>
      <w:r>
        <w:tab/>
        <w:t>19BA</w:t>
      </w:r>
    </w:p>
    <w:p>
      <w:pPr>
        <w:pStyle w:val="DefinedTerms"/>
      </w:pPr>
      <w:r>
        <w:t>final annual remuneration</w:t>
      </w:r>
      <w:r>
        <w:tab/>
        <w:t>19A(2)</w:t>
      </w:r>
    </w:p>
    <w:p>
      <w:pPr>
        <w:pStyle w:val="DefinedTerms"/>
      </w:pPr>
      <w:r>
        <w:t>former regulation 19C</w:t>
      </w:r>
      <w:r>
        <w:tab/>
        <w:t>19DB(1)</w:t>
      </w:r>
    </w:p>
    <w:p>
      <w:pPr>
        <w:pStyle w:val="DefinedTerms"/>
      </w:pPr>
      <w:r>
        <w:t>former regulation 19D</w:t>
      </w:r>
      <w:r>
        <w:tab/>
        <w:t>19DB(1)</w:t>
      </w:r>
    </w:p>
    <w:p>
      <w:pPr>
        <w:pStyle w:val="DefinedTerms"/>
      </w:pPr>
      <w:r>
        <w:t>gift</w:t>
      </w:r>
      <w:r>
        <w:tab/>
        <w:t>34B(1)</w:t>
      </w:r>
    </w:p>
    <w:p>
      <w:pPr>
        <w:pStyle w:val="DefinedTerms"/>
      </w:pPr>
      <w:r>
        <w:t>interest</w:t>
      </w:r>
      <w:r>
        <w:tab/>
        <w:t>34C(1)</w:t>
      </w:r>
    </w:p>
    <w:p>
      <w:pPr>
        <w:pStyle w:val="DefinedTerms"/>
      </w:pPr>
      <w:r>
        <w:t>notifiable gift</w:t>
      </w:r>
      <w:r>
        <w:tab/>
        <w:t>34B(1)</w:t>
      </w:r>
    </w:p>
    <w:p>
      <w:pPr>
        <w:pStyle w:val="DefinedTerms"/>
      </w:pPr>
      <w:r>
        <w:t>person referred to in this regulation</w:t>
      </w:r>
      <w:r>
        <w:tab/>
        <w:t>14B(4)</w:t>
      </w:r>
    </w:p>
    <w:p>
      <w:pPr>
        <w:pStyle w:val="DefinedTerms"/>
      </w:pPr>
      <w:r>
        <w:t>plan for the future</w:t>
      </w:r>
      <w:r>
        <w:tab/>
        <w:t>19DB(1)</w:t>
      </w:r>
    </w:p>
    <w:p>
      <w:pPr>
        <w:pStyle w:val="DefinedTerms"/>
      </w:pPr>
      <w:r>
        <w:t>prohibited gift</w:t>
      </w:r>
      <w:r>
        <w:tab/>
        <w:t>34B(1)</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strategic community plan</w:t>
      </w:r>
      <w:r>
        <w:tab/>
        <w:t>19BA</w:t>
      </w:r>
    </w:p>
    <w:p>
      <w:pPr>
        <w:pStyle w:val="DefinedTerms"/>
      </w:pPr>
      <w:r>
        <w:t>suitable place</w:t>
      </w:r>
      <w:r>
        <w:tab/>
        <w:t>14A(4)</w:t>
      </w:r>
    </w:p>
    <w:p>
      <w:pPr>
        <w:pStyle w:val="DefinedTerms"/>
      </w:pPr>
      <w:r>
        <w:t>townsite</w:t>
      </w:r>
      <w:r>
        <w:tab/>
        <w:t>14A(4)</w:t>
      </w:r>
    </w:p>
    <w:p>
      <w:pPr>
        <w:pStyle w:val="DefinedTerms"/>
      </w:pPr>
    </w:p>
    <w:p>
      <w:pPr>
        <w:rPr>
          <w:sz w:val="16"/>
          <w:szCs w:val="16"/>
        </w:rPr>
      </w:pPr>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5"/>
  </w:num>
  <w:num w:numId="4">
    <w:abstractNumId w:val="17"/>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5425"/>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10970</Words>
  <Characters>56061</Characters>
  <Application>Microsoft Office Word</Application>
  <DocSecurity>0</DocSecurity>
  <Lines>1868</Lines>
  <Paragraphs>971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1996 - 03-c0-01</dc:title>
  <dc:subject/>
  <dc:creator/>
  <cp:keywords/>
  <dc:description/>
  <cp:lastModifiedBy>svcMRProcess</cp:lastModifiedBy>
  <cp:revision>4</cp:revision>
  <cp:lastPrinted>2012-02-08T03:09:00Z</cp:lastPrinted>
  <dcterms:created xsi:type="dcterms:W3CDTF">2018-09-12T11:23:00Z</dcterms:created>
  <dcterms:modified xsi:type="dcterms:W3CDTF">2018-09-12T11:23:00Z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4572</vt:i4>
  </property>
  <property fmtid="{D5CDD505-2E9C-101B-9397-08002B2CF9AE}" pid="6" name="AsAtDate">
    <vt:lpwstr>01 Jul 2013</vt:lpwstr>
  </property>
  <property fmtid="{D5CDD505-2E9C-101B-9397-08002B2CF9AE}" pid="7" name="Suffix">
    <vt:lpwstr>03-c0-01</vt:lpwstr>
  </property>
  <property fmtid="{D5CDD505-2E9C-101B-9397-08002B2CF9AE}" pid="8" name="ReprintNo">
    <vt:lpwstr>3</vt:lpwstr>
  </property>
  <property fmtid="{D5CDD505-2E9C-101B-9397-08002B2CF9AE}" pid="9" name="ReprintedAsAt">
    <vt:filetime>2012-02-02T16:00:00Z</vt:filetime>
  </property>
</Properties>
</file>