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Disposal of Uncollected Goods Act 1970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_Toc416445343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_Toc416445344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_Toc416445345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legal rights and powers, effect on of this Act</w:t>
      </w:r>
      <w:r>
        <w:tab/>
      </w:r>
      <w:r>
        <w:fldChar w:fldCharType="begin"/>
      </w:r>
      <w:r>
        <w:instrText xml:space="preserve"> PAGEREF _Toc416445346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to bailment etc. under Sch. 1 Act</w:t>
      </w:r>
      <w:r>
        <w:tab/>
      </w:r>
      <w:r>
        <w:fldChar w:fldCharType="begin"/>
      </w:r>
      <w:r>
        <w:instrText xml:space="preserve"> PAGEREF _Toc416445347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Disposal of uncollected prescribed goods</w:t>
      </w:r>
    </w:p>
    <w:p>
      <w:pPr>
        <w:pStyle w:val="TOC8"/>
        <w:rPr>
          <w:rFonts w:asciiTheme="minorHAnsi" w:eastAsiaTheme="minorEastAsia" w:hAnsiTheme="minorHAnsi" w:cstheme="minorBidi"/>
          <w:szCs w:val="22"/>
        </w:rPr>
      </w:pPr>
      <w:r>
        <w:t>7</w:t>
      </w:r>
      <w:r>
        <w:rPr>
          <w:snapToGrid w:val="0"/>
        </w:rPr>
        <w:t>.</w:t>
      </w:r>
      <w:r>
        <w:rPr>
          <w:snapToGrid w:val="0"/>
        </w:rPr>
        <w:tab/>
        <w:t>Application of this Part</w:t>
      </w:r>
      <w:r>
        <w:tab/>
      </w:r>
      <w:r>
        <w:fldChar w:fldCharType="begin"/>
      </w:r>
      <w:r>
        <w:instrText xml:space="preserve"> PAGEREF _Toc416445349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Bailee’s right to dispose of uncollected prescribed goods</w:t>
      </w:r>
      <w:r>
        <w:tab/>
      </w:r>
      <w:r>
        <w:fldChar w:fldCharType="begin"/>
      </w:r>
      <w:r>
        <w:instrText xml:space="preserve"> PAGEREF _Toc416445350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Preconditions to disposing of goods under s. 8</w:t>
      </w:r>
      <w:r>
        <w:tab/>
      </w:r>
      <w:r>
        <w:fldChar w:fldCharType="begin"/>
      </w:r>
      <w:r>
        <w:instrText xml:space="preserve"> PAGEREF _Toc416445351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Disposal of uncollected goods assessed at a value not exceeding $300</w:t>
      </w:r>
    </w:p>
    <w:p>
      <w:pPr>
        <w:pStyle w:val="TOC8"/>
        <w:rPr>
          <w:rFonts w:asciiTheme="minorHAnsi" w:eastAsiaTheme="minorEastAsia" w:hAnsiTheme="minorHAnsi" w:cstheme="minorBidi"/>
          <w:szCs w:val="22"/>
        </w:rPr>
      </w:pPr>
      <w:r>
        <w:t>10</w:t>
      </w:r>
      <w:r>
        <w:rPr>
          <w:snapToGrid w:val="0"/>
        </w:rPr>
        <w:t>.</w:t>
      </w:r>
      <w:r>
        <w:rPr>
          <w:snapToGrid w:val="0"/>
        </w:rPr>
        <w:tab/>
        <w:t>Application of this Part</w:t>
      </w:r>
      <w:r>
        <w:tab/>
      </w:r>
      <w:r>
        <w:fldChar w:fldCharType="begin"/>
      </w:r>
      <w:r>
        <w:instrText xml:space="preserve"> PAGEREF _Toc416445353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Bailee’s right to dispose of uncollected goods</w:t>
      </w:r>
      <w:r>
        <w:tab/>
      </w:r>
      <w:r>
        <w:fldChar w:fldCharType="begin"/>
      </w:r>
      <w:r>
        <w:instrText xml:space="preserve"> PAGEREF _Toc416445354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Preconditions to disposing of goods under s. 11</w:t>
      </w:r>
      <w:r>
        <w:tab/>
      </w:r>
      <w:r>
        <w:fldChar w:fldCharType="begin"/>
      </w:r>
      <w:r>
        <w:instrText xml:space="preserve"> PAGEREF _Toc416445355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Procedure after goods are sold or otherwise disposed of pursuant to Parts II and III</w:t>
      </w:r>
    </w:p>
    <w:p>
      <w:pPr>
        <w:pStyle w:val="TOC8"/>
        <w:rPr>
          <w:rFonts w:asciiTheme="minorHAnsi" w:eastAsiaTheme="minorEastAsia" w:hAnsiTheme="minorHAnsi" w:cstheme="minorBidi"/>
          <w:szCs w:val="22"/>
        </w:rPr>
      </w:pPr>
      <w:r>
        <w:t>13</w:t>
      </w:r>
      <w:r>
        <w:rPr>
          <w:snapToGrid w:val="0"/>
        </w:rPr>
        <w:t>.</w:t>
      </w:r>
      <w:r>
        <w:rPr>
          <w:snapToGrid w:val="0"/>
        </w:rPr>
        <w:tab/>
        <w:t>Application of this Part</w:t>
      </w:r>
      <w:r>
        <w:tab/>
      </w:r>
      <w:r>
        <w:fldChar w:fldCharType="begin"/>
      </w:r>
      <w:r>
        <w:instrText xml:space="preserve"> PAGEREF _Toc416445357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Rights of bailor and bailee, and bailee’s duties, after goods disposed of under Part II or III</w:t>
      </w:r>
      <w:r>
        <w:tab/>
      </w:r>
      <w:r>
        <w:fldChar w:fldCharType="begin"/>
      </w:r>
      <w:r>
        <w:instrText xml:space="preserve"> PAGEREF _Toc416445358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Provisions relating to disputes</w:t>
      </w:r>
    </w:p>
    <w:p>
      <w:pPr>
        <w:pStyle w:val="TOC8"/>
        <w:rPr>
          <w:rFonts w:asciiTheme="minorHAnsi" w:eastAsiaTheme="minorEastAsia" w:hAnsiTheme="minorHAnsi" w:cstheme="minorBidi"/>
          <w:szCs w:val="22"/>
        </w:rPr>
      </w:pPr>
      <w:r>
        <w:t>15</w:t>
      </w:r>
      <w:r>
        <w:rPr>
          <w:snapToGrid w:val="0"/>
        </w:rPr>
        <w:t>.</w:t>
      </w:r>
      <w:r>
        <w:rPr>
          <w:snapToGrid w:val="0"/>
        </w:rPr>
        <w:tab/>
        <w:t>Dispute as to charges etc., effect of on bailee’s right under Part II or III</w:t>
      </w:r>
      <w:r>
        <w:tab/>
      </w:r>
      <w:r>
        <w:fldChar w:fldCharType="begin"/>
      </w:r>
      <w:r>
        <w:instrText xml:space="preserve"> PAGEREF _Toc416445360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Dispute as to description or value of goods, effect of on bailee’s right under Part II or III</w:t>
      </w:r>
      <w:r>
        <w:tab/>
      </w:r>
      <w:r>
        <w:fldChar w:fldCharType="begin"/>
      </w:r>
      <w:r>
        <w:instrText xml:space="preserve"> PAGEREF _Toc416445361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of disputes</w:t>
      </w:r>
      <w:r>
        <w:tab/>
      </w:r>
      <w:r>
        <w:fldChar w:fldCharType="begin"/>
      </w:r>
      <w:r>
        <w:instrText xml:space="preserve"> PAGEREF _Toc416445362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 — Disposal of goods valued in excess of $300</w:t>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_Toc416445364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Bailee may apply for court order to dispose of uncollected goods</w:t>
      </w:r>
      <w:r>
        <w:tab/>
      </w:r>
      <w:r>
        <w:fldChar w:fldCharType="begin"/>
      </w:r>
      <w:r>
        <w:instrText xml:space="preserve"> PAGEREF _Toc416445365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 — Disposal of goods in possession otherwise than under a bailment in the course of business</w:t>
      </w:r>
    </w:p>
    <w:p>
      <w:pPr>
        <w:pStyle w:val="TOC8"/>
        <w:rPr>
          <w:rFonts w:asciiTheme="minorHAnsi" w:eastAsiaTheme="minorEastAsia" w:hAnsiTheme="minorHAnsi" w:cstheme="minorBidi"/>
          <w:szCs w:val="22"/>
        </w:rPr>
      </w:pPr>
      <w:r>
        <w:t>20</w:t>
      </w:r>
      <w:r>
        <w:rPr>
          <w:snapToGrid w:val="0"/>
        </w:rPr>
        <w:t>.</w:t>
      </w:r>
      <w:r>
        <w:rPr>
          <w:snapToGrid w:val="0"/>
        </w:rPr>
        <w:tab/>
        <w:t>Person possessing another’s goods may apply for court order to dispose of them</w:t>
      </w:r>
      <w:r>
        <w:tab/>
      </w:r>
      <w:r>
        <w:fldChar w:fldCharType="begin"/>
      </w:r>
      <w:r>
        <w:instrText xml:space="preserve"> PAGEREF _Toc416445367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Preconditions to making s. 20 application</w:t>
      </w:r>
      <w:r>
        <w:tab/>
      </w:r>
      <w:r>
        <w:fldChar w:fldCharType="begin"/>
      </w:r>
      <w:r>
        <w:instrText xml:space="preserve"> PAGEREF _Toc416445368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the court</w:t>
      </w:r>
    </w:p>
    <w:p>
      <w:pPr>
        <w:pStyle w:val="TOC8"/>
        <w:rPr>
          <w:rFonts w:asciiTheme="minorHAnsi" w:eastAsiaTheme="minorEastAsia" w:hAnsiTheme="minorHAnsi" w:cstheme="minorBidi"/>
          <w:szCs w:val="22"/>
        </w:rPr>
      </w:pPr>
      <w:r>
        <w:t>22</w:t>
      </w:r>
      <w:r>
        <w:rPr>
          <w:snapToGrid w:val="0"/>
        </w:rPr>
        <w:t>.</w:t>
      </w:r>
      <w:r>
        <w:rPr>
          <w:snapToGrid w:val="0"/>
        </w:rPr>
        <w:tab/>
        <w:t>Court’s powers on s. 17(3), 19(1) or 20 application</w:t>
      </w:r>
      <w:r>
        <w:tab/>
      </w:r>
      <w:r>
        <w:fldChar w:fldCharType="begin"/>
      </w:r>
      <w:r>
        <w:instrText xml:space="preserve"> PAGEREF _Toc416445370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 for disposal of goods, effect of</w:t>
      </w:r>
      <w:r>
        <w:tab/>
      </w:r>
      <w:r>
        <w:fldChar w:fldCharType="begin"/>
      </w:r>
      <w:r>
        <w:instrText xml:space="preserve"> PAGEREF _Toc416445371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Subsidiary charges for goods disposed of under court order</w:t>
      </w:r>
      <w:r>
        <w:tab/>
      </w:r>
      <w:r>
        <w:fldChar w:fldCharType="begin"/>
      </w:r>
      <w:r>
        <w:instrText xml:space="preserve"> PAGEREF _Toc416445372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Rights of bailor etc. and applicant’s duties after goods disposed of under court order</w:t>
      </w:r>
      <w:r>
        <w:tab/>
      </w:r>
      <w:r>
        <w:fldChar w:fldCharType="begin"/>
      </w:r>
      <w:r>
        <w:instrText xml:space="preserve"> PAGEREF _Toc416445373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Provisions as to notices</w:t>
      </w:r>
    </w:p>
    <w:p>
      <w:pPr>
        <w:pStyle w:val="TOC8"/>
        <w:rPr>
          <w:rFonts w:asciiTheme="minorHAnsi" w:eastAsiaTheme="minorEastAsia" w:hAnsiTheme="minorHAnsi" w:cstheme="minorBidi"/>
          <w:szCs w:val="22"/>
        </w:rPr>
      </w:pPr>
      <w:r>
        <w:t>26</w:t>
      </w:r>
      <w:r>
        <w:rPr>
          <w:snapToGrid w:val="0"/>
        </w:rPr>
        <w:t>.</w:t>
      </w:r>
      <w:r>
        <w:rPr>
          <w:snapToGrid w:val="0"/>
        </w:rPr>
        <w:tab/>
        <w:t>Form and content of notices</w:t>
      </w:r>
      <w:r>
        <w:tab/>
      </w:r>
      <w:r>
        <w:fldChar w:fldCharType="begin"/>
      </w:r>
      <w:r>
        <w:instrText xml:space="preserve"> PAGEREF _Toc416445375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27</w:t>
      </w:r>
      <w:r>
        <w:rPr>
          <w:snapToGrid w:val="0"/>
        </w:rPr>
        <w:t>.</w:t>
      </w:r>
      <w:r>
        <w:rPr>
          <w:snapToGrid w:val="0"/>
        </w:rPr>
        <w:tab/>
        <w:t>Court order, evidence of by certificate</w:t>
      </w:r>
      <w:r>
        <w:tab/>
      </w:r>
      <w:r>
        <w:fldChar w:fldCharType="begin"/>
      </w:r>
      <w:r>
        <w:instrText xml:space="preserve"> PAGEREF _Toc416445377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Surplus proceeds of sale, application of</w:t>
      </w:r>
      <w:r>
        <w:tab/>
      </w:r>
      <w:r>
        <w:fldChar w:fldCharType="begin"/>
      </w:r>
      <w:r>
        <w:instrText xml:space="preserve"> PAGEREF _Toc416445378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Bailee’s expenses before sale, recovery of if goods collected</w:t>
      </w:r>
      <w:r>
        <w:tab/>
      </w:r>
      <w:r>
        <w:fldChar w:fldCharType="begin"/>
      </w:r>
      <w:r>
        <w:instrText xml:space="preserve"> PAGEREF _Toc416445379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Title to goods acquired</w:t>
      </w:r>
      <w:r>
        <w:tab/>
      </w:r>
      <w:r>
        <w:fldChar w:fldCharType="begin"/>
      </w:r>
      <w:r>
        <w:instrText xml:space="preserve"> PAGEREF _Toc416445380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to court, making and service of</w:t>
      </w:r>
      <w:r>
        <w:tab/>
      </w:r>
      <w:r>
        <w:fldChar w:fldCharType="begin"/>
      </w:r>
      <w:r>
        <w:instrText xml:space="preserve"> PAGEREF _Toc416445381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Court procedure</w:t>
      </w:r>
      <w:r>
        <w:tab/>
      </w:r>
      <w:r>
        <w:fldChar w:fldCharType="begin"/>
      </w:r>
      <w:r>
        <w:instrText xml:space="preserve"> PAGEREF _Toc416445382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_Toc416445383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_Toc416445384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 Acts custody of goods under which is not subject to this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_Toc416445387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authorise the disposal in specified circumstances of certain uncollected goods. </w:t>
      </w:r>
    </w:p>
    <w:p>
      <w:pPr>
        <w:pStyle w:val="Heading2"/>
      </w:pPr>
      <w:bookmarkStart w:id="3" w:name="_Toc381873041"/>
      <w:bookmarkStart w:id="4" w:name="_Toc381873537"/>
      <w:bookmarkStart w:id="5" w:name="_Toc416445296"/>
      <w:bookmarkStart w:id="6" w:name="_Toc41644534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81873538"/>
      <w:bookmarkStart w:id="8" w:name="_Toc41644534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9" w:name="_Toc381873539"/>
      <w:bookmarkStart w:id="10" w:name="_Toc41644534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1" w:name="_Toc381873540"/>
      <w:bookmarkStart w:id="12" w:name="_Toc416445345"/>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3" w:name="_Toc381873541"/>
      <w:bookmarkStart w:id="14" w:name="_Toc416445346"/>
      <w:r>
        <w:rPr>
          <w:rStyle w:val="CharSectno"/>
        </w:rPr>
        <w:t>5</w:t>
      </w:r>
      <w:r>
        <w:rPr>
          <w:snapToGrid w:val="0"/>
        </w:rPr>
        <w:t>.</w:t>
      </w:r>
      <w:r>
        <w:rPr>
          <w:snapToGrid w:val="0"/>
        </w:rPr>
        <w:tab/>
        <w:t>Other legal rights and powers, effect on of this Act</w:t>
      </w:r>
      <w:bookmarkEnd w:id="13"/>
      <w:bookmarkEnd w:id="14"/>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15" w:name="_Toc381873542"/>
      <w:bookmarkStart w:id="16" w:name="_Toc416445347"/>
      <w:r>
        <w:rPr>
          <w:rStyle w:val="CharSectno"/>
        </w:rPr>
        <w:t>6</w:t>
      </w:r>
      <w:r>
        <w:rPr>
          <w:snapToGrid w:val="0"/>
        </w:rPr>
        <w:t>.</w:t>
      </w:r>
      <w:r>
        <w:rPr>
          <w:snapToGrid w:val="0"/>
        </w:rPr>
        <w:tab/>
        <w:t>Act not to apply to bailment etc. under Sch. 1 Act</w:t>
      </w:r>
      <w:bookmarkEnd w:id="15"/>
      <w:bookmarkEnd w:id="16"/>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 89.] </w:t>
      </w:r>
    </w:p>
    <w:p>
      <w:pPr>
        <w:pStyle w:val="Heading2"/>
      </w:pPr>
      <w:bookmarkStart w:id="17" w:name="_Toc381873047"/>
      <w:bookmarkStart w:id="18" w:name="_Toc381873543"/>
      <w:bookmarkStart w:id="19" w:name="_Toc416445302"/>
      <w:bookmarkStart w:id="20" w:name="_Toc416445348"/>
      <w:r>
        <w:rPr>
          <w:rStyle w:val="CharPartNo"/>
        </w:rPr>
        <w:t>Part II</w:t>
      </w:r>
      <w:r>
        <w:rPr>
          <w:rStyle w:val="CharDivNo"/>
        </w:rPr>
        <w:t> </w:t>
      </w:r>
      <w:r>
        <w:t>—</w:t>
      </w:r>
      <w:r>
        <w:rPr>
          <w:rStyle w:val="CharDivText"/>
        </w:rPr>
        <w:t> </w:t>
      </w:r>
      <w:r>
        <w:rPr>
          <w:rStyle w:val="CharPartText"/>
        </w:rPr>
        <w:t>Disposal of uncollected prescribed goods</w:t>
      </w:r>
      <w:bookmarkEnd w:id="17"/>
      <w:bookmarkEnd w:id="18"/>
      <w:bookmarkEnd w:id="19"/>
      <w:bookmarkEnd w:id="20"/>
      <w:r>
        <w:rPr>
          <w:rStyle w:val="CharPartText"/>
        </w:rPr>
        <w:t xml:space="preserve"> </w:t>
      </w:r>
    </w:p>
    <w:p>
      <w:pPr>
        <w:pStyle w:val="Heading5"/>
        <w:rPr>
          <w:snapToGrid w:val="0"/>
        </w:rPr>
      </w:pPr>
      <w:bookmarkStart w:id="21" w:name="_Toc381873544"/>
      <w:bookmarkStart w:id="22" w:name="_Toc416445349"/>
      <w:r>
        <w:rPr>
          <w:rStyle w:val="CharSectno"/>
        </w:rPr>
        <w:t>7</w:t>
      </w:r>
      <w:r>
        <w:rPr>
          <w:snapToGrid w:val="0"/>
        </w:rPr>
        <w:t>.</w:t>
      </w:r>
      <w:r>
        <w:rPr>
          <w:snapToGrid w:val="0"/>
        </w:rPr>
        <w:tab/>
        <w:t>Application of this Part</w:t>
      </w:r>
      <w:bookmarkEnd w:id="21"/>
      <w:bookmarkEnd w:id="22"/>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23" w:name="_Toc381873545"/>
      <w:bookmarkStart w:id="24" w:name="_Toc416445350"/>
      <w:r>
        <w:rPr>
          <w:rStyle w:val="CharSectno"/>
        </w:rPr>
        <w:t>8</w:t>
      </w:r>
      <w:r>
        <w:rPr>
          <w:snapToGrid w:val="0"/>
        </w:rPr>
        <w:t>.</w:t>
      </w:r>
      <w:r>
        <w:rPr>
          <w:snapToGrid w:val="0"/>
        </w:rPr>
        <w:tab/>
        <w:t>Bailee’s right to dispose of uncollected prescribed goods</w:t>
      </w:r>
      <w:bookmarkEnd w:id="23"/>
      <w:bookmarkEnd w:id="24"/>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25" w:name="_Toc381873546"/>
      <w:bookmarkStart w:id="26" w:name="_Toc416445351"/>
      <w:r>
        <w:rPr>
          <w:rStyle w:val="CharSectno"/>
        </w:rPr>
        <w:t>9</w:t>
      </w:r>
      <w:r>
        <w:rPr>
          <w:snapToGrid w:val="0"/>
        </w:rPr>
        <w:t>.</w:t>
      </w:r>
      <w:r>
        <w:rPr>
          <w:snapToGrid w:val="0"/>
        </w:rPr>
        <w:tab/>
        <w:t>Preconditions to disposing of goods under s. 8</w:t>
      </w:r>
      <w:bookmarkEnd w:id="25"/>
      <w:bookmarkEnd w:id="26"/>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27" w:name="_Toc381873051"/>
      <w:bookmarkStart w:id="28" w:name="_Toc381873547"/>
      <w:bookmarkStart w:id="29" w:name="_Toc416445306"/>
      <w:bookmarkStart w:id="30" w:name="_Toc416445352"/>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27"/>
      <w:bookmarkEnd w:id="28"/>
      <w:bookmarkEnd w:id="29"/>
      <w:bookmarkEnd w:id="30"/>
    </w:p>
    <w:p>
      <w:pPr>
        <w:pStyle w:val="Heading5"/>
        <w:rPr>
          <w:snapToGrid w:val="0"/>
        </w:rPr>
      </w:pPr>
      <w:bookmarkStart w:id="31" w:name="_Toc381873548"/>
      <w:bookmarkStart w:id="32" w:name="_Toc416445353"/>
      <w:r>
        <w:rPr>
          <w:rStyle w:val="CharSectno"/>
        </w:rPr>
        <w:t>10</w:t>
      </w:r>
      <w:r>
        <w:rPr>
          <w:snapToGrid w:val="0"/>
        </w:rPr>
        <w:t>.</w:t>
      </w:r>
      <w:r>
        <w:rPr>
          <w:snapToGrid w:val="0"/>
        </w:rPr>
        <w:tab/>
        <w:t>Application of this Part</w:t>
      </w:r>
      <w:bookmarkEnd w:id="31"/>
      <w:bookmarkEnd w:id="32"/>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33" w:name="_Toc381873549"/>
      <w:bookmarkStart w:id="34" w:name="_Toc416445354"/>
      <w:r>
        <w:rPr>
          <w:rStyle w:val="CharSectno"/>
        </w:rPr>
        <w:t>11</w:t>
      </w:r>
      <w:r>
        <w:rPr>
          <w:snapToGrid w:val="0"/>
        </w:rPr>
        <w:t>.</w:t>
      </w:r>
      <w:r>
        <w:rPr>
          <w:snapToGrid w:val="0"/>
        </w:rPr>
        <w:tab/>
        <w:t>Bailee’s right to dispose of uncollected goods</w:t>
      </w:r>
      <w:bookmarkEnd w:id="33"/>
      <w:bookmarkEnd w:id="34"/>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35" w:name="_Toc381873550"/>
      <w:bookmarkStart w:id="36" w:name="_Toc416445355"/>
      <w:r>
        <w:rPr>
          <w:rStyle w:val="CharSectno"/>
        </w:rPr>
        <w:t>12</w:t>
      </w:r>
      <w:r>
        <w:rPr>
          <w:snapToGrid w:val="0"/>
        </w:rPr>
        <w:t>.</w:t>
      </w:r>
      <w:r>
        <w:rPr>
          <w:snapToGrid w:val="0"/>
        </w:rPr>
        <w:tab/>
        <w:t>Preconditions to disposing of goods under s. 11</w:t>
      </w:r>
      <w:bookmarkEnd w:id="35"/>
      <w:bookmarkEnd w:id="36"/>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7" w:name="_Toc381873055"/>
      <w:bookmarkStart w:id="38" w:name="_Toc381873551"/>
      <w:bookmarkStart w:id="39" w:name="_Toc416445310"/>
      <w:bookmarkStart w:id="40" w:name="_Toc416445356"/>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37"/>
      <w:bookmarkEnd w:id="38"/>
      <w:bookmarkEnd w:id="39"/>
      <w:bookmarkEnd w:id="40"/>
    </w:p>
    <w:p>
      <w:pPr>
        <w:pStyle w:val="Heading5"/>
        <w:rPr>
          <w:snapToGrid w:val="0"/>
        </w:rPr>
      </w:pPr>
      <w:bookmarkStart w:id="41" w:name="_Toc381873552"/>
      <w:bookmarkStart w:id="42" w:name="_Toc416445357"/>
      <w:r>
        <w:rPr>
          <w:rStyle w:val="CharSectno"/>
        </w:rPr>
        <w:t>13</w:t>
      </w:r>
      <w:r>
        <w:rPr>
          <w:snapToGrid w:val="0"/>
        </w:rPr>
        <w:t>.</w:t>
      </w:r>
      <w:r>
        <w:rPr>
          <w:snapToGrid w:val="0"/>
        </w:rPr>
        <w:tab/>
        <w:t>Application of this Part</w:t>
      </w:r>
      <w:bookmarkEnd w:id="41"/>
      <w:bookmarkEnd w:id="42"/>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43" w:name="_Toc381873553"/>
      <w:bookmarkStart w:id="44" w:name="_Toc416445358"/>
      <w:r>
        <w:rPr>
          <w:rStyle w:val="CharSectno"/>
        </w:rPr>
        <w:t>14</w:t>
      </w:r>
      <w:r>
        <w:rPr>
          <w:snapToGrid w:val="0"/>
        </w:rPr>
        <w:t>.</w:t>
      </w:r>
      <w:r>
        <w:rPr>
          <w:snapToGrid w:val="0"/>
        </w:rPr>
        <w:tab/>
        <w:t>Rights of bailor and bailee, and bailee’s duties, after goods disposed of under Part II or III</w:t>
      </w:r>
      <w:bookmarkEnd w:id="43"/>
      <w:bookmarkEnd w:id="44"/>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45" w:name="_Toc381873058"/>
      <w:bookmarkStart w:id="46" w:name="_Toc381873554"/>
      <w:bookmarkStart w:id="47" w:name="_Toc416445313"/>
      <w:bookmarkStart w:id="48" w:name="_Toc416445359"/>
      <w:r>
        <w:rPr>
          <w:rStyle w:val="CharPartNo"/>
        </w:rPr>
        <w:t>Part V</w:t>
      </w:r>
      <w:r>
        <w:rPr>
          <w:rStyle w:val="CharDivNo"/>
        </w:rPr>
        <w:t> </w:t>
      </w:r>
      <w:r>
        <w:t>—</w:t>
      </w:r>
      <w:r>
        <w:rPr>
          <w:rStyle w:val="CharDivText"/>
        </w:rPr>
        <w:t> </w:t>
      </w:r>
      <w:r>
        <w:rPr>
          <w:rStyle w:val="CharPartText"/>
        </w:rPr>
        <w:t>Provisions relating to disputes</w:t>
      </w:r>
      <w:bookmarkEnd w:id="45"/>
      <w:bookmarkEnd w:id="46"/>
      <w:bookmarkEnd w:id="47"/>
      <w:bookmarkEnd w:id="48"/>
      <w:r>
        <w:rPr>
          <w:rStyle w:val="CharPartText"/>
        </w:rPr>
        <w:t xml:space="preserve"> </w:t>
      </w:r>
    </w:p>
    <w:p>
      <w:pPr>
        <w:pStyle w:val="Heading5"/>
        <w:rPr>
          <w:snapToGrid w:val="0"/>
        </w:rPr>
      </w:pPr>
      <w:bookmarkStart w:id="49" w:name="_Toc381873555"/>
      <w:bookmarkStart w:id="50" w:name="_Toc416445360"/>
      <w:r>
        <w:rPr>
          <w:rStyle w:val="CharSectno"/>
        </w:rPr>
        <w:t>15</w:t>
      </w:r>
      <w:r>
        <w:rPr>
          <w:snapToGrid w:val="0"/>
        </w:rPr>
        <w:t>.</w:t>
      </w:r>
      <w:r>
        <w:rPr>
          <w:snapToGrid w:val="0"/>
        </w:rPr>
        <w:tab/>
        <w:t>Dispute as to charges etc., effect of on bailee’s right under Part II or III</w:t>
      </w:r>
      <w:bookmarkEnd w:id="49"/>
      <w:bookmarkEnd w:id="50"/>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51" w:name="_Toc381873556"/>
      <w:bookmarkStart w:id="52" w:name="_Toc416445361"/>
      <w:r>
        <w:rPr>
          <w:rStyle w:val="CharSectno"/>
        </w:rPr>
        <w:t>16</w:t>
      </w:r>
      <w:r>
        <w:rPr>
          <w:snapToGrid w:val="0"/>
        </w:rPr>
        <w:t>.</w:t>
      </w:r>
      <w:r>
        <w:rPr>
          <w:snapToGrid w:val="0"/>
        </w:rPr>
        <w:tab/>
        <w:t>Dispute as to description or value of goods, effect of on bailee’s right under Part II or III</w:t>
      </w:r>
      <w:bookmarkEnd w:id="51"/>
      <w:bookmarkEnd w:id="52"/>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53" w:name="_Toc381873557"/>
      <w:bookmarkStart w:id="54" w:name="_Toc416445362"/>
      <w:r>
        <w:rPr>
          <w:rStyle w:val="CharSectno"/>
        </w:rPr>
        <w:t>17</w:t>
      </w:r>
      <w:r>
        <w:rPr>
          <w:snapToGrid w:val="0"/>
        </w:rPr>
        <w:t>.</w:t>
      </w:r>
      <w:r>
        <w:rPr>
          <w:snapToGrid w:val="0"/>
        </w:rPr>
        <w:tab/>
        <w:t>Determination of disputes</w:t>
      </w:r>
      <w:bookmarkEnd w:id="53"/>
      <w:bookmarkEnd w:id="54"/>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55" w:name="_Toc381873062"/>
      <w:bookmarkStart w:id="56" w:name="_Toc381873558"/>
      <w:bookmarkStart w:id="57" w:name="_Toc416445317"/>
      <w:bookmarkStart w:id="58" w:name="_Toc416445363"/>
      <w:r>
        <w:rPr>
          <w:rStyle w:val="CharPartNo"/>
        </w:rPr>
        <w:t>Part VI</w:t>
      </w:r>
      <w:r>
        <w:rPr>
          <w:rStyle w:val="CharDivNo"/>
        </w:rPr>
        <w:t> </w:t>
      </w:r>
      <w:r>
        <w:t>—</w:t>
      </w:r>
      <w:r>
        <w:rPr>
          <w:rStyle w:val="CharDivText"/>
        </w:rPr>
        <w:t> </w:t>
      </w:r>
      <w:r>
        <w:rPr>
          <w:rStyle w:val="CharPartText"/>
        </w:rPr>
        <w:t>Disposal of goods valued in excess of $300</w:t>
      </w:r>
      <w:bookmarkEnd w:id="55"/>
      <w:bookmarkEnd w:id="56"/>
      <w:bookmarkEnd w:id="57"/>
      <w:bookmarkEnd w:id="58"/>
      <w:r>
        <w:rPr>
          <w:rStyle w:val="CharPartText"/>
        </w:rPr>
        <w:t xml:space="preserve"> </w:t>
      </w:r>
    </w:p>
    <w:p>
      <w:pPr>
        <w:pStyle w:val="Heading5"/>
        <w:rPr>
          <w:snapToGrid w:val="0"/>
        </w:rPr>
      </w:pPr>
      <w:bookmarkStart w:id="59" w:name="_Toc381873559"/>
      <w:bookmarkStart w:id="60" w:name="_Toc416445364"/>
      <w:r>
        <w:rPr>
          <w:rStyle w:val="CharSectno"/>
        </w:rPr>
        <w:t>18</w:t>
      </w:r>
      <w:r>
        <w:rPr>
          <w:snapToGrid w:val="0"/>
        </w:rPr>
        <w:t>.</w:t>
      </w:r>
      <w:r>
        <w:rPr>
          <w:snapToGrid w:val="0"/>
        </w:rPr>
        <w:tab/>
        <w:t>Application of this Part</w:t>
      </w:r>
      <w:bookmarkEnd w:id="59"/>
      <w:bookmarkEnd w:id="60"/>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61" w:name="_Toc381873560"/>
      <w:bookmarkStart w:id="62" w:name="_Toc416445365"/>
      <w:r>
        <w:rPr>
          <w:rStyle w:val="CharSectno"/>
        </w:rPr>
        <w:t>19</w:t>
      </w:r>
      <w:r>
        <w:rPr>
          <w:snapToGrid w:val="0"/>
        </w:rPr>
        <w:t>.</w:t>
      </w:r>
      <w:r>
        <w:rPr>
          <w:snapToGrid w:val="0"/>
        </w:rPr>
        <w:tab/>
        <w:t>Bailee may apply for court order to dispose of uncollected goods</w:t>
      </w:r>
      <w:bookmarkEnd w:id="61"/>
      <w:bookmarkEnd w:id="62"/>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63" w:name="_Toc381873065"/>
      <w:bookmarkStart w:id="64" w:name="_Toc381873561"/>
      <w:bookmarkStart w:id="65" w:name="_Toc416445320"/>
      <w:bookmarkStart w:id="66" w:name="_Toc416445366"/>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63"/>
      <w:bookmarkEnd w:id="64"/>
      <w:bookmarkEnd w:id="65"/>
      <w:bookmarkEnd w:id="66"/>
      <w:r>
        <w:rPr>
          <w:rStyle w:val="CharPartText"/>
        </w:rPr>
        <w:t xml:space="preserve"> </w:t>
      </w:r>
    </w:p>
    <w:p>
      <w:pPr>
        <w:pStyle w:val="Heading5"/>
        <w:rPr>
          <w:snapToGrid w:val="0"/>
        </w:rPr>
      </w:pPr>
      <w:bookmarkStart w:id="67" w:name="_Toc381873562"/>
      <w:bookmarkStart w:id="68" w:name="_Toc416445367"/>
      <w:r>
        <w:rPr>
          <w:rStyle w:val="CharSectno"/>
        </w:rPr>
        <w:t>20</w:t>
      </w:r>
      <w:r>
        <w:rPr>
          <w:snapToGrid w:val="0"/>
        </w:rPr>
        <w:t>.</w:t>
      </w:r>
      <w:r>
        <w:rPr>
          <w:snapToGrid w:val="0"/>
        </w:rPr>
        <w:tab/>
        <w:t>Person possessing another’s goods may apply for court order to dispose of them</w:t>
      </w:r>
      <w:bookmarkEnd w:id="67"/>
      <w:bookmarkEnd w:id="68"/>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69" w:name="_Toc381873563"/>
      <w:bookmarkStart w:id="70" w:name="_Toc416445368"/>
      <w:r>
        <w:rPr>
          <w:rStyle w:val="CharSectno"/>
        </w:rPr>
        <w:t>21</w:t>
      </w:r>
      <w:r>
        <w:rPr>
          <w:snapToGrid w:val="0"/>
        </w:rPr>
        <w:t>.</w:t>
      </w:r>
      <w:r>
        <w:rPr>
          <w:snapToGrid w:val="0"/>
        </w:rPr>
        <w:tab/>
        <w:t>Preconditions to making s. 20 application</w:t>
      </w:r>
      <w:bookmarkEnd w:id="69"/>
      <w:bookmarkEnd w:id="70"/>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71" w:name="_Toc381873068"/>
      <w:bookmarkStart w:id="72" w:name="_Toc381873564"/>
      <w:bookmarkStart w:id="73" w:name="_Toc416445323"/>
      <w:bookmarkStart w:id="74" w:name="_Toc416445369"/>
      <w:r>
        <w:rPr>
          <w:rStyle w:val="CharPartNo"/>
        </w:rPr>
        <w:t>Part VIII</w:t>
      </w:r>
      <w:r>
        <w:rPr>
          <w:rStyle w:val="CharDivNo"/>
        </w:rPr>
        <w:t> </w:t>
      </w:r>
      <w:r>
        <w:t>—</w:t>
      </w:r>
      <w:r>
        <w:rPr>
          <w:rStyle w:val="CharDivText"/>
        </w:rPr>
        <w:t> </w:t>
      </w:r>
      <w:r>
        <w:rPr>
          <w:rStyle w:val="CharPartText"/>
        </w:rPr>
        <w:t>Powers of the court</w:t>
      </w:r>
      <w:bookmarkEnd w:id="71"/>
      <w:bookmarkEnd w:id="72"/>
      <w:bookmarkEnd w:id="73"/>
      <w:bookmarkEnd w:id="74"/>
      <w:r>
        <w:rPr>
          <w:rStyle w:val="CharPartText"/>
        </w:rPr>
        <w:t xml:space="preserve"> </w:t>
      </w:r>
    </w:p>
    <w:p>
      <w:pPr>
        <w:pStyle w:val="Heading5"/>
        <w:rPr>
          <w:snapToGrid w:val="0"/>
        </w:rPr>
      </w:pPr>
      <w:bookmarkStart w:id="75" w:name="_Toc381873565"/>
      <w:bookmarkStart w:id="76" w:name="_Toc416445370"/>
      <w:r>
        <w:rPr>
          <w:rStyle w:val="CharSectno"/>
        </w:rPr>
        <w:t>22</w:t>
      </w:r>
      <w:r>
        <w:rPr>
          <w:snapToGrid w:val="0"/>
        </w:rPr>
        <w:t>.</w:t>
      </w:r>
      <w:r>
        <w:rPr>
          <w:snapToGrid w:val="0"/>
        </w:rPr>
        <w:tab/>
        <w:t>Court’s powers on s. 17(3), 19(1) or 20 application</w:t>
      </w:r>
      <w:bookmarkEnd w:id="75"/>
      <w:bookmarkEnd w:id="76"/>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77" w:name="_Toc381873566"/>
      <w:bookmarkStart w:id="78" w:name="_Toc416445371"/>
      <w:r>
        <w:rPr>
          <w:rStyle w:val="CharSectno"/>
        </w:rPr>
        <w:t>23</w:t>
      </w:r>
      <w:r>
        <w:rPr>
          <w:snapToGrid w:val="0"/>
        </w:rPr>
        <w:t>.</w:t>
      </w:r>
      <w:r>
        <w:rPr>
          <w:snapToGrid w:val="0"/>
        </w:rPr>
        <w:tab/>
        <w:t>Order for disposal of goods, effect of</w:t>
      </w:r>
      <w:bookmarkEnd w:id="77"/>
      <w:bookmarkEnd w:id="78"/>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79" w:name="_Toc381873567"/>
      <w:bookmarkStart w:id="80" w:name="_Toc416445372"/>
      <w:r>
        <w:rPr>
          <w:rStyle w:val="CharSectno"/>
        </w:rPr>
        <w:t>24</w:t>
      </w:r>
      <w:r>
        <w:rPr>
          <w:snapToGrid w:val="0"/>
        </w:rPr>
        <w:t>.</w:t>
      </w:r>
      <w:r>
        <w:rPr>
          <w:snapToGrid w:val="0"/>
        </w:rPr>
        <w:tab/>
        <w:t>Subsidiary charges for goods disposed of under court order</w:t>
      </w:r>
      <w:bookmarkEnd w:id="79"/>
      <w:bookmarkEnd w:id="80"/>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81" w:name="_Toc381873568"/>
      <w:bookmarkStart w:id="82" w:name="_Toc416445373"/>
      <w:r>
        <w:rPr>
          <w:rStyle w:val="CharSectno"/>
        </w:rPr>
        <w:t>25</w:t>
      </w:r>
      <w:r>
        <w:rPr>
          <w:snapToGrid w:val="0"/>
        </w:rPr>
        <w:t>.</w:t>
      </w:r>
      <w:r>
        <w:rPr>
          <w:snapToGrid w:val="0"/>
        </w:rPr>
        <w:tab/>
        <w:t>Rights of bailor etc. and applicant’s duties after goods disposed of under court order</w:t>
      </w:r>
      <w:bookmarkEnd w:id="81"/>
      <w:bookmarkEnd w:id="82"/>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83" w:name="_Toc381873073"/>
      <w:bookmarkStart w:id="84" w:name="_Toc381873569"/>
      <w:bookmarkStart w:id="85" w:name="_Toc416445328"/>
      <w:bookmarkStart w:id="86" w:name="_Toc416445374"/>
      <w:r>
        <w:rPr>
          <w:rStyle w:val="CharPartNo"/>
        </w:rPr>
        <w:t>Part IX</w:t>
      </w:r>
      <w:r>
        <w:rPr>
          <w:rStyle w:val="CharDivNo"/>
        </w:rPr>
        <w:t> </w:t>
      </w:r>
      <w:r>
        <w:t>—</w:t>
      </w:r>
      <w:r>
        <w:rPr>
          <w:rStyle w:val="CharDivText"/>
        </w:rPr>
        <w:t> </w:t>
      </w:r>
      <w:r>
        <w:rPr>
          <w:rStyle w:val="CharPartText"/>
        </w:rPr>
        <w:t>Provisions as to notices</w:t>
      </w:r>
      <w:bookmarkEnd w:id="83"/>
      <w:bookmarkEnd w:id="84"/>
      <w:bookmarkEnd w:id="85"/>
      <w:bookmarkEnd w:id="86"/>
      <w:r>
        <w:rPr>
          <w:rStyle w:val="CharPartText"/>
        </w:rPr>
        <w:t xml:space="preserve"> </w:t>
      </w:r>
    </w:p>
    <w:p>
      <w:pPr>
        <w:pStyle w:val="Heading5"/>
        <w:rPr>
          <w:snapToGrid w:val="0"/>
        </w:rPr>
      </w:pPr>
      <w:bookmarkStart w:id="87" w:name="_Toc381873570"/>
      <w:bookmarkStart w:id="88" w:name="_Toc416445375"/>
      <w:r>
        <w:rPr>
          <w:rStyle w:val="CharSectno"/>
        </w:rPr>
        <w:t>26</w:t>
      </w:r>
      <w:r>
        <w:rPr>
          <w:snapToGrid w:val="0"/>
        </w:rPr>
        <w:t>.</w:t>
      </w:r>
      <w:r>
        <w:rPr>
          <w:snapToGrid w:val="0"/>
        </w:rPr>
        <w:tab/>
        <w:t>Form and content of notices</w:t>
      </w:r>
      <w:bookmarkEnd w:id="87"/>
      <w:bookmarkEnd w:id="88"/>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89" w:name="_Toc381873075"/>
      <w:bookmarkStart w:id="90" w:name="_Toc381873571"/>
      <w:bookmarkStart w:id="91" w:name="_Toc416445330"/>
      <w:bookmarkStart w:id="92" w:name="_Toc416445376"/>
      <w:r>
        <w:rPr>
          <w:rStyle w:val="CharPartNo"/>
        </w:rPr>
        <w:t>Part X</w:t>
      </w:r>
      <w:r>
        <w:rPr>
          <w:rStyle w:val="CharDivNo"/>
        </w:rPr>
        <w:t> </w:t>
      </w:r>
      <w:r>
        <w:t>—</w:t>
      </w:r>
      <w:r>
        <w:rPr>
          <w:rStyle w:val="CharDivText"/>
        </w:rPr>
        <w:t> </w:t>
      </w:r>
      <w:r>
        <w:rPr>
          <w:rStyle w:val="CharPartText"/>
        </w:rPr>
        <w:t>General</w:t>
      </w:r>
      <w:bookmarkEnd w:id="89"/>
      <w:bookmarkEnd w:id="90"/>
      <w:bookmarkEnd w:id="91"/>
      <w:bookmarkEnd w:id="92"/>
      <w:r>
        <w:rPr>
          <w:rStyle w:val="CharPartText"/>
        </w:rPr>
        <w:t xml:space="preserve"> </w:t>
      </w:r>
    </w:p>
    <w:p>
      <w:pPr>
        <w:pStyle w:val="Heading5"/>
        <w:rPr>
          <w:snapToGrid w:val="0"/>
        </w:rPr>
      </w:pPr>
      <w:bookmarkStart w:id="93" w:name="_Toc381873572"/>
      <w:bookmarkStart w:id="94" w:name="_Toc416445377"/>
      <w:r>
        <w:rPr>
          <w:rStyle w:val="CharSectno"/>
        </w:rPr>
        <w:t>27</w:t>
      </w:r>
      <w:r>
        <w:rPr>
          <w:snapToGrid w:val="0"/>
        </w:rPr>
        <w:t>.</w:t>
      </w:r>
      <w:r>
        <w:rPr>
          <w:snapToGrid w:val="0"/>
        </w:rPr>
        <w:tab/>
        <w:t>Court order, evidence of by certificate</w:t>
      </w:r>
      <w:bookmarkEnd w:id="93"/>
      <w:bookmarkEnd w:id="9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95" w:name="_Toc381873573"/>
      <w:bookmarkStart w:id="96" w:name="_Toc416445378"/>
      <w:r>
        <w:rPr>
          <w:rStyle w:val="CharSectno"/>
        </w:rPr>
        <w:t>28</w:t>
      </w:r>
      <w:r>
        <w:rPr>
          <w:snapToGrid w:val="0"/>
        </w:rPr>
        <w:t>.</w:t>
      </w:r>
      <w:r>
        <w:rPr>
          <w:snapToGrid w:val="0"/>
        </w:rPr>
        <w:tab/>
        <w:t>Surplus proceeds of sale, application of</w:t>
      </w:r>
      <w:bookmarkEnd w:id="95"/>
      <w:bookmarkEnd w:id="96"/>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rStyle w:val="CharDefText"/>
        </w:rPr>
        <w:t>Treasurer</w:t>
      </w:r>
      <w:r>
        <w:rPr>
          <w:snapToGrid w:val="0"/>
        </w:rPr>
        <w:t xml:space="preserve"> means Treasurer of the State for the time being.</w:t>
      </w:r>
    </w:p>
    <w:p>
      <w:pPr>
        <w:pStyle w:val="Heading5"/>
        <w:rPr>
          <w:snapToGrid w:val="0"/>
        </w:rPr>
      </w:pPr>
      <w:bookmarkStart w:id="97" w:name="_Toc381873574"/>
      <w:bookmarkStart w:id="98" w:name="_Toc416445379"/>
      <w:r>
        <w:rPr>
          <w:rStyle w:val="CharSectno"/>
        </w:rPr>
        <w:t>29</w:t>
      </w:r>
      <w:r>
        <w:rPr>
          <w:snapToGrid w:val="0"/>
        </w:rPr>
        <w:t>.</w:t>
      </w:r>
      <w:r>
        <w:rPr>
          <w:snapToGrid w:val="0"/>
        </w:rPr>
        <w:tab/>
        <w:t>Bailee’s expenses before sale, recovery of if goods collected</w:t>
      </w:r>
      <w:bookmarkEnd w:id="97"/>
      <w:bookmarkEnd w:id="98"/>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99" w:name="_Toc381873575"/>
      <w:bookmarkStart w:id="100" w:name="_Toc416445380"/>
      <w:r>
        <w:rPr>
          <w:rStyle w:val="CharSectno"/>
        </w:rPr>
        <w:t>30</w:t>
      </w:r>
      <w:r>
        <w:rPr>
          <w:snapToGrid w:val="0"/>
        </w:rPr>
        <w:t>.</w:t>
      </w:r>
      <w:r>
        <w:rPr>
          <w:snapToGrid w:val="0"/>
        </w:rPr>
        <w:tab/>
        <w:t>Title to goods acquired</w:t>
      </w:r>
      <w:bookmarkEnd w:id="99"/>
      <w:bookmarkEnd w:id="100"/>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01" w:name="_Toc381873576"/>
      <w:bookmarkStart w:id="102" w:name="_Toc416445381"/>
      <w:r>
        <w:rPr>
          <w:rStyle w:val="CharSectno"/>
        </w:rPr>
        <w:t>31</w:t>
      </w:r>
      <w:r>
        <w:rPr>
          <w:snapToGrid w:val="0"/>
        </w:rPr>
        <w:t>.</w:t>
      </w:r>
      <w:r>
        <w:rPr>
          <w:snapToGrid w:val="0"/>
        </w:rPr>
        <w:tab/>
        <w:t>Application to court, making and service of</w:t>
      </w:r>
      <w:bookmarkEnd w:id="101"/>
      <w:bookmarkEnd w:id="10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03" w:name="_Toc381873577"/>
      <w:bookmarkStart w:id="104" w:name="_Toc416445382"/>
      <w:r>
        <w:rPr>
          <w:rStyle w:val="CharSectno"/>
        </w:rPr>
        <w:t>32</w:t>
      </w:r>
      <w:r>
        <w:rPr>
          <w:snapToGrid w:val="0"/>
        </w:rPr>
        <w:t>.</w:t>
      </w:r>
      <w:r>
        <w:rPr>
          <w:snapToGrid w:val="0"/>
        </w:rPr>
        <w:tab/>
        <w:t>Court procedure</w:t>
      </w:r>
      <w:bookmarkEnd w:id="103"/>
      <w:bookmarkEnd w:id="104"/>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p>
      <w:pPr>
        <w:pStyle w:val="Ednotesection"/>
      </w:pPr>
      <w:r>
        <w:t>[</w:t>
      </w:r>
      <w:r>
        <w:rPr>
          <w:b/>
        </w:rPr>
        <w:t>33.</w:t>
      </w:r>
      <w:r>
        <w:tab/>
        <w:t>Deleted by No. 59 of 2004 s. 141.]</w:t>
      </w:r>
    </w:p>
    <w:p>
      <w:pPr>
        <w:pStyle w:val="Heading5"/>
        <w:rPr>
          <w:snapToGrid w:val="0"/>
        </w:rPr>
      </w:pPr>
      <w:bookmarkStart w:id="105" w:name="_Toc381873578"/>
      <w:bookmarkStart w:id="106" w:name="_Toc416445383"/>
      <w:r>
        <w:rPr>
          <w:rStyle w:val="CharSectno"/>
        </w:rPr>
        <w:t>34</w:t>
      </w:r>
      <w:r>
        <w:rPr>
          <w:snapToGrid w:val="0"/>
        </w:rPr>
        <w:t>.</w:t>
      </w:r>
      <w:r>
        <w:rPr>
          <w:snapToGrid w:val="0"/>
        </w:rPr>
        <w:tab/>
        <w:t>Penalties</w:t>
      </w:r>
      <w:bookmarkEnd w:id="105"/>
      <w:bookmarkEnd w:id="106"/>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 147.] </w:t>
      </w:r>
    </w:p>
    <w:p>
      <w:pPr>
        <w:pStyle w:val="Heading5"/>
        <w:rPr>
          <w:snapToGrid w:val="0"/>
        </w:rPr>
      </w:pPr>
      <w:bookmarkStart w:id="107" w:name="_Toc381873579"/>
      <w:bookmarkStart w:id="108" w:name="_Toc416445384"/>
      <w:r>
        <w:rPr>
          <w:rStyle w:val="CharSectno"/>
        </w:rPr>
        <w:t>35</w:t>
      </w:r>
      <w:r>
        <w:rPr>
          <w:snapToGrid w:val="0"/>
        </w:rPr>
        <w:t>.</w:t>
      </w:r>
      <w:r>
        <w:rPr>
          <w:snapToGrid w:val="0"/>
        </w:rPr>
        <w:tab/>
        <w:t>Regulations</w:t>
      </w:r>
      <w:bookmarkEnd w:id="107"/>
      <w:bookmarkEnd w:id="108"/>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22"/>
          <w:headerReference w:type="default" r:id="rId23"/>
          <w:footerReference w:type="even" r:id="rId24"/>
          <w:headerReference w:type="first" r:id="rId25"/>
          <w:pgSz w:w="11907" w:h="16840" w:code="9"/>
          <w:pgMar w:top="2376" w:right="2404" w:bottom="3544" w:left="2404" w:header="709" w:footer="3380" w:gutter="0"/>
          <w:pgNumType w:start="1"/>
          <w:cols w:space="720"/>
          <w:noEndnote/>
          <w:titlePg/>
          <w:docGrid w:linePitch="326"/>
        </w:sectPr>
      </w:pPr>
    </w:p>
    <w:p>
      <w:pPr>
        <w:pStyle w:val="yScheduleHeading"/>
      </w:pPr>
      <w:bookmarkStart w:id="109" w:name="_Toc381873084"/>
      <w:bookmarkStart w:id="110" w:name="_Toc381873580"/>
      <w:bookmarkStart w:id="111" w:name="_Toc416445339"/>
      <w:bookmarkStart w:id="112" w:name="_Toc416445385"/>
      <w:r>
        <w:rPr>
          <w:rStyle w:val="CharSchNo"/>
        </w:rPr>
        <w:t>Schedule</w:t>
      </w:r>
      <w:r>
        <w:t> — </w:t>
      </w:r>
      <w:r>
        <w:rPr>
          <w:rStyle w:val="CharSchText"/>
        </w:rPr>
        <w:t>Acts custody of goods under which is not subject to this Act</w:t>
      </w:r>
      <w:bookmarkEnd w:id="109"/>
      <w:bookmarkEnd w:id="110"/>
      <w:bookmarkEnd w:id="111"/>
      <w:bookmarkEnd w:id="112"/>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i/>
              </w:rPr>
              <w:t>Residential Tenancies Act 1987</w:t>
            </w:r>
            <w:r>
              <w:t xml:space="preserve"> sections 79 and 80A.</w:t>
            </w:r>
          </w:p>
        </w:tc>
      </w:tr>
    </w:tbl>
    <w:p>
      <w:pPr>
        <w:pStyle w:val="yFootnotesection"/>
      </w:pPr>
      <w:r>
        <w:tab/>
        <w:t xml:space="preserve">[Schedule amended by No. 128 of 1987 s. 89; No. 88 of 1994 s. 100; No. 5 of 1999 s. 21; No. 16 of 1999 s. 7(1); No. 31 of 2003 s. 157 and 203; No. 59 of 2006 s. 73; No. 60 of 2011 s. 98.]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2977" w:left="2410" w:header="720" w:footer="3380" w:gutter="0"/>
          <w:cols w:space="720"/>
          <w:noEndnote/>
          <w:docGrid w:linePitch="326"/>
        </w:sectPr>
      </w:pPr>
    </w:p>
    <w:p>
      <w:pPr>
        <w:pStyle w:val="nHeading2"/>
      </w:pPr>
      <w:bookmarkStart w:id="114" w:name="_Toc381873085"/>
      <w:bookmarkStart w:id="115" w:name="_Toc381873581"/>
      <w:bookmarkStart w:id="116" w:name="_Toc416445340"/>
      <w:bookmarkStart w:id="117" w:name="_Toc416445386"/>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81873582"/>
      <w:bookmarkStart w:id="119" w:name="_Toc416445387"/>
      <w:r>
        <w:rPr>
          <w:snapToGrid w:val="0"/>
        </w:rPr>
        <w:t>Compilation table</w:t>
      </w:r>
      <w:bookmarkEnd w:id="118"/>
      <w:bookmarkEnd w:id="119"/>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Residential Tenancies Amendment Act 2011</w:t>
            </w:r>
            <w:r>
              <w:rPr>
                <w:snapToGrid w:val="0"/>
              </w:rPr>
              <w:t xml:space="preserve"> Pt. 5 Div. 1</w:t>
            </w:r>
          </w:p>
        </w:tc>
        <w:tc>
          <w:tcPr>
            <w:tcW w:w="1134" w:type="dxa"/>
            <w:gridSpan w:val="2"/>
            <w:shd w:val="clear" w:color="auto" w:fill="auto"/>
          </w:tcPr>
          <w:p>
            <w:pPr>
              <w:pStyle w:val="nTable"/>
              <w:spacing w:after="40"/>
              <w:rPr>
                <w:snapToGrid w:val="0"/>
              </w:rPr>
            </w:pPr>
            <w:r>
              <w:rPr>
                <w:snapToGrid w:val="0"/>
              </w:rPr>
              <w:t>60 of 2011</w:t>
            </w:r>
          </w:p>
        </w:tc>
        <w:tc>
          <w:tcPr>
            <w:tcW w:w="1135" w:type="dxa"/>
            <w:gridSpan w:val="2"/>
            <w:shd w:val="clear" w:color="auto" w:fill="auto"/>
          </w:tcPr>
          <w:p>
            <w:pPr>
              <w:pStyle w:val="nTable"/>
              <w:spacing w:after="40"/>
              <w:rPr>
                <w:snapToGrid w:val="0"/>
              </w:rPr>
            </w:pPr>
            <w:r>
              <w:rPr>
                <w:snapToGrid w:val="0"/>
              </w:rPr>
              <w:t>14 Dec 2011</w:t>
            </w:r>
          </w:p>
        </w:tc>
        <w:tc>
          <w:tcPr>
            <w:tcW w:w="2552" w:type="dxa"/>
            <w:gridSpan w:val="2"/>
            <w:shd w:val="clear" w:color="auto" w:fill="auto"/>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gridBefore w:val="1"/>
          <w:wBefore w:w="14" w:type="dxa"/>
          <w:cantSplit/>
        </w:trPr>
        <w:tc>
          <w:tcPr>
            <w:tcW w:w="7089" w:type="dxa"/>
            <w:gridSpan w:val="8"/>
            <w:tcBorders>
              <w:bottom w:val="single" w:sz="4" w:space="0" w:color="auto"/>
            </w:tcBorders>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 except those in the </w:t>
            </w:r>
            <w:r>
              <w:rPr>
                <w:i/>
                <w:snapToGrid w:val="0"/>
              </w:rPr>
              <w:t>Residential Tenancies Amendment Act 2011</w:t>
            </w:r>
            <w:r>
              <w:rPr>
                <w:snapToGrid w:val="0"/>
              </w:rPr>
              <w:t>)</w:t>
            </w:r>
          </w:p>
        </w:tc>
      </w:tr>
    </w:tbl>
    <w:p/>
    <w:p>
      <w:pPr>
        <w:sectPr>
          <w:headerReference w:type="even" r:id="rId29"/>
          <w:headerReference w:type="default" r:id="rId30"/>
          <w:pgSz w:w="11907" w:h="16840" w:code="9"/>
          <w:pgMar w:top="2381" w:right="2410" w:bottom="2977" w:left="2410" w:header="720" w:footer="3380" w:gutter="0"/>
          <w:cols w:space="720"/>
          <w:noEndnote/>
          <w:docGrid w:linePitch="326"/>
        </w:sectPr>
      </w:pPr>
    </w:p>
    <w:p>
      <w:pPr>
        <w:pStyle w:val="nHeading2"/>
        <w:rPr>
          <w:sz w:val="28"/>
        </w:rPr>
      </w:pPr>
      <w:bookmarkStart w:id="121" w:name="_Toc416445388"/>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4(1)</w:t>
      </w:r>
    </w:p>
    <w:p>
      <w:pPr>
        <w:pStyle w:val="DefinedTerms"/>
      </w:pPr>
      <w:r>
        <w:t>Commissioner</w:t>
      </w:r>
      <w:r>
        <w:tab/>
        <w:t>4(1)</w:t>
      </w:r>
    </w:p>
    <w:p>
      <w:pPr>
        <w:pStyle w:val="DefinedTerms"/>
      </w:pPr>
      <w:r>
        <w:t>court</w:t>
      </w:r>
      <w:r>
        <w:tab/>
        <w:t>4(1)</w:t>
      </w:r>
    </w:p>
    <w:p>
      <w:pPr>
        <w:pStyle w:val="DefinedTerms"/>
      </w:pPr>
      <w:r>
        <w:t>inspection</w:t>
      </w:r>
      <w:r>
        <w:tab/>
        <w:t>4(1)</w:t>
      </w:r>
    </w:p>
    <w:p>
      <w:pPr>
        <w:pStyle w:val="DefinedTerms"/>
      </w:pPr>
      <w:r>
        <w:t>order</w:t>
      </w:r>
      <w:r>
        <w:tab/>
        <w:t>4(1)</w:t>
      </w:r>
    </w:p>
    <w:p>
      <w:pPr>
        <w:pStyle w:val="DefinedTerms"/>
      </w:pPr>
      <w:r>
        <w:t>Part</w:t>
      </w:r>
      <w:r>
        <w:tab/>
        <w:t>4(1)</w:t>
      </w:r>
    </w:p>
    <w:p>
      <w:pPr>
        <w:pStyle w:val="DefinedTerms"/>
      </w:pPr>
      <w:r>
        <w:t>prescribed goods</w:t>
      </w:r>
      <w:r>
        <w:tab/>
        <w:t>4(1)</w:t>
      </w:r>
    </w:p>
    <w:p>
      <w:pPr>
        <w:pStyle w:val="DefinedTerms"/>
      </w:pPr>
      <w:r>
        <w:t>section</w:t>
      </w:r>
      <w:r>
        <w:tab/>
        <w:t>4(1)</w:t>
      </w:r>
    </w:p>
    <w:p>
      <w:pPr>
        <w:pStyle w:val="DefinedTerms"/>
      </w:pPr>
      <w:r>
        <w:t>Treasurer</w:t>
      </w:r>
      <w:r>
        <w:tab/>
        <w:t>28(5)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30</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120" w:name="Compilation"/>
    <w:bookmarkEnd w:id="1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30DD-0D00-461A-BD28-C4FFE31D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7592</Words>
  <Characters>34015</Characters>
  <Application>Microsoft Office Word</Application>
  <DocSecurity>0</DocSecurity>
  <Lines>944</Lines>
  <Paragraphs>495</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1970 - 02-b0-04</dc:title>
  <dc:subject/>
  <dc:creator/>
  <cp:keywords/>
  <dc:description/>
  <cp:lastModifiedBy>svcMRProcess</cp:lastModifiedBy>
  <cp:revision>4</cp:revision>
  <cp:lastPrinted>2013-02-08T00:58:00Z</cp:lastPrinted>
  <dcterms:created xsi:type="dcterms:W3CDTF">2015-11-02T09:43:00Z</dcterms:created>
  <dcterms:modified xsi:type="dcterms:W3CDTF">2015-11-02T09:43:00Z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226</vt:i4>
  </property>
  <property fmtid="{D5CDD505-2E9C-101B-9397-08002B2CF9AE}" pid="6" name="ReprintNo">
    <vt:lpwstr>2</vt:lpwstr>
  </property>
  <property fmtid="{D5CDD505-2E9C-101B-9397-08002B2CF9AE}" pid="7" name="ReprintedAsAt">
    <vt:filetime>2013-01-31T16:00:00Z</vt:filetime>
  </property>
  <property fmtid="{D5CDD505-2E9C-101B-9397-08002B2CF9AE}" pid="8" name="AsAtDate">
    <vt:lpwstr>01 Jul 2013</vt:lpwstr>
  </property>
  <property fmtid="{D5CDD505-2E9C-101B-9397-08002B2CF9AE}" pid="9" name="Suffix">
    <vt:lpwstr>02-b0-04</vt:lpwstr>
  </property>
</Properties>
</file>