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Dangerous Goods Safety Act 2004</w:t>
      </w:r>
    </w:p>
    <w:p>
      <w:pPr>
        <w:pStyle w:val="NameofActRegPage1"/>
        <w:spacing w:before="1980" w:after="4200"/>
        <w:ind w:left="284" w:right="24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Dangerous Goods Safety (Major Hazard Facilities) Regulations 2007</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_Toc377048032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_Toc377048033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 of regulations</w:t>
      </w:r>
      <w:r>
        <w:tab/>
      </w:r>
      <w:r>
        <w:fldChar w:fldCharType="begin"/>
      </w:r>
      <w:r>
        <w:instrText xml:space="preserve"> PAGEREF _Toc377048034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_Toc377048035 \h </w:instrText>
      </w:r>
      <w:r>
        <w:fldChar w:fldCharType="separate"/>
      </w:r>
      <w:r>
        <w:t>2</w:t>
      </w:r>
      <w:r>
        <w:fldChar w:fldCharType="end"/>
      </w:r>
    </w:p>
    <w:p>
      <w:pPr>
        <w:pStyle w:val="TOC8"/>
        <w:rPr>
          <w:rFonts w:asciiTheme="minorHAnsi" w:eastAsiaTheme="minorEastAsia" w:hAnsiTheme="minorHAnsi" w:cstheme="minorBidi"/>
          <w:szCs w:val="22"/>
        </w:rPr>
      </w:pPr>
      <w:r>
        <w:t>5.</w:t>
      </w:r>
      <w:r>
        <w:tab/>
        <w:t>Major hazard facility, meaning of</w:t>
      </w:r>
      <w:r>
        <w:tab/>
      </w:r>
      <w:r>
        <w:fldChar w:fldCharType="begin"/>
      </w:r>
      <w:r>
        <w:instrText xml:space="preserve"> PAGEREF _Toc377048036 \h </w:instrText>
      </w:r>
      <w:r>
        <w:fldChar w:fldCharType="separate"/>
      </w:r>
      <w:r>
        <w:t>6</w:t>
      </w:r>
      <w:r>
        <w:fldChar w:fldCharType="end"/>
      </w:r>
    </w:p>
    <w:p>
      <w:pPr>
        <w:pStyle w:val="TOC8"/>
        <w:rPr>
          <w:rFonts w:asciiTheme="minorHAnsi" w:eastAsiaTheme="minorEastAsia" w:hAnsiTheme="minorHAnsi" w:cstheme="minorBidi"/>
          <w:szCs w:val="22"/>
        </w:rPr>
      </w:pPr>
      <w:r>
        <w:t>6.</w:t>
      </w:r>
      <w:r>
        <w:tab/>
        <w:t>Place, meaning of</w:t>
      </w:r>
      <w:r>
        <w:tab/>
      </w:r>
      <w:r>
        <w:fldChar w:fldCharType="begin"/>
      </w:r>
      <w:r>
        <w:instrText xml:space="preserve"> PAGEREF _Toc377048037 \h </w:instrText>
      </w:r>
      <w:r>
        <w:fldChar w:fldCharType="separate"/>
      </w:r>
      <w:r>
        <w:t>6</w:t>
      </w:r>
      <w:r>
        <w:fldChar w:fldCharType="end"/>
      </w:r>
    </w:p>
    <w:p>
      <w:pPr>
        <w:pStyle w:val="TOC8"/>
        <w:rPr>
          <w:rFonts w:asciiTheme="minorHAnsi" w:eastAsiaTheme="minorEastAsia" w:hAnsiTheme="minorHAnsi" w:cstheme="minorBidi"/>
          <w:szCs w:val="22"/>
        </w:rPr>
      </w:pPr>
      <w:r>
        <w:t>7.</w:t>
      </w:r>
      <w:r>
        <w:tab/>
        <w:t>When Sch. 1 substances are likely to be at a place</w:t>
      </w:r>
      <w:r>
        <w:tab/>
      </w:r>
      <w:r>
        <w:fldChar w:fldCharType="begin"/>
      </w:r>
      <w:r>
        <w:instrText xml:space="preserve"> PAGEREF _Toc377048038 \h </w:instrText>
      </w:r>
      <w:r>
        <w:fldChar w:fldCharType="separate"/>
      </w:r>
      <w:r>
        <w:t>7</w:t>
      </w:r>
      <w:r>
        <w:fldChar w:fldCharType="end"/>
      </w:r>
    </w:p>
    <w:p>
      <w:pPr>
        <w:pStyle w:val="TOC8"/>
        <w:rPr>
          <w:rFonts w:asciiTheme="minorHAnsi" w:eastAsiaTheme="minorEastAsia" w:hAnsiTheme="minorHAnsi" w:cstheme="minorBidi"/>
          <w:szCs w:val="22"/>
        </w:rPr>
      </w:pPr>
      <w:r>
        <w:t>8.</w:t>
      </w:r>
      <w:r>
        <w:tab/>
        <w:t>Quantity of substances at or likely to be at a place, determining</w:t>
      </w:r>
      <w:r>
        <w:tab/>
      </w:r>
      <w:r>
        <w:fldChar w:fldCharType="begin"/>
      </w:r>
      <w:r>
        <w:instrText xml:space="preserve"> PAGEREF _Toc377048039 \h </w:instrText>
      </w:r>
      <w:r>
        <w:fldChar w:fldCharType="separate"/>
      </w:r>
      <w:r>
        <w:t>7</w:t>
      </w:r>
      <w:r>
        <w:fldChar w:fldCharType="end"/>
      </w:r>
    </w:p>
    <w:p>
      <w:pPr>
        <w:pStyle w:val="TOC8"/>
        <w:rPr>
          <w:rFonts w:asciiTheme="minorHAnsi" w:eastAsiaTheme="minorEastAsia" w:hAnsiTheme="minorHAnsi" w:cstheme="minorBidi"/>
          <w:szCs w:val="22"/>
        </w:rPr>
      </w:pPr>
      <w:r>
        <w:t>9.</w:t>
      </w:r>
      <w:r>
        <w:tab/>
        <w:t>Critical quantity of Sch. 1 substances at or likely to be at a place, determining</w:t>
      </w:r>
      <w:r>
        <w:tab/>
      </w:r>
      <w:r>
        <w:fldChar w:fldCharType="begin"/>
      </w:r>
      <w:r>
        <w:instrText xml:space="preserve"> PAGEREF _Toc377048040 \h </w:instrText>
      </w:r>
      <w:r>
        <w:fldChar w:fldCharType="separate"/>
      </w:r>
      <w:r>
        <w:t>8</w:t>
      </w:r>
      <w:r>
        <w:fldChar w:fldCharType="end"/>
      </w:r>
    </w:p>
    <w:p>
      <w:pPr>
        <w:pStyle w:val="TOC8"/>
        <w:rPr>
          <w:rFonts w:asciiTheme="minorHAnsi" w:eastAsiaTheme="minorEastAsia" w:hAnsiTheme="minorHAnsi" w:cstheme="minorBidi"/>
          <w:szCs w:val="22"/>
        </w:rPr>
      </w:pPr>
      <w:r>
        <w:t>10.</w:t>
      </w:r>
      <w:r>
        <w:tab/>
        <w:t>Threshold quantity for a Sch. 1 substance, determining</w:t>
      </w:r>
      <w:r>
        <w:tab/>
      </w:r>
      <w:r>
        <w:fldChar w:fldCharType="begin"/>
      </w:r>
      <w:r>
        <w:instrText xml:space="preserve"> PAGEREF _Toc377048041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Part 2 — Main offences</w:t>
      </w:r>
    </w:p>
    <w:p>
      <w:pPr>
        <w:pStyle w:val="TOC8"/>
        <w:rPr>
          <w:rFonts w:asciiTheme="minorHAnsi" w:eastAsiaTheme="minorEastAsia" w:hAnsiTheme="minorHAnsi" w:cstheme="minorBidi"/>
          <w:szCs w:val="22"/>
        </w:rPr>
      </w:pPr>
      <w:r>
        <w:t>11.</w:t>
      </w:r>
      <w:r>
        <w:tab/>
        <w:t>Sch. 1 substances at a place not to exceed critical quantity without prior notification to Chief Officer</w:t>
      </w:r>
      <w:r>
        <w:tab/>
      </w:r>
      <w:r>
        <w:fldChar w:fldCharType="begin"/>
      </w:r>
      <w:r>
        <w:instrText xml:space="preserve"> PAGEREF _Toc377048043 \h </w:instrText>
      </w:r>
      <w:r>
        <w:fldChar w:fldCharType="separate"/>
      </w:r>
      <w:r>
        <w:t>11</w:t>
      </w:r>
      <w:r>
        <w:fldChar w:fldCharType="end"/>
      </w:r>
    </w:p>
    <w:p>
      <w:pPr>
        <w:pStyle w:val="TOC8"/>
        <w:rPr>
          <w:rFonts w:asciiTheme="minorHAnsi" w:eastAsiaTheme="minorEastAsia" w:hAnsiTheme="minorHAnsi" w:cstheme="minorBidi"/>
          <w:szCs w:val="22"/>
        </w:rPr>
      </w:pPr>
      <w:r>
        <w:t>12.</w:t>
      </w:r>
      <w:r>
        <w:tab/>
        <w:t>No significant change to certain places without prior notification to Chief Officer</w:t>
      </w:r>
      <w:r>
        <w:tab/>
      </w:r>
      <w:r>
        <w:fldChar w:fldCharType="begin"/>
      </w:r>
      <w:r>
        <w:instrText xml:space="preserve"> PAGEREF _Toc377048044 \h </w:instrText>
      </w:r>
      <w:r>
        <w:fldChar w:fldCharType="separate"/>
      </w:r>
      <w:r>
        <w:t>11</w:t>
      </w:r>
      <w:r>
        <w:fldChar w:fldCharType="end"/>
      </w:r>
    </w:p>
    <w:p>
      <w:pPr>
        <w:pStyle w:val="TOC8"/>
        <w:rPr>
          <w:rFonts w:asciiTheme="minorHAnsi" w:eastAsiaTheme="minorEastAsia" w:hAnsiTheme="minorHAnsi" w:cstheme="minorBidi"/>
          <w:szCs w:val="22"/>
        </w:rPr>
      </w:pPr>
      <w:r>
        <w:t>13.</w:t>
      </w:r>
      <w:r>
        <w:tab/>
        <w:t xml:space="preserve">Major hazard facility to operate in accordance with safety management system in approved </w:t>
      </w:r>
      <w:r>
        <w:rPr>
          <w:color w:val="000000"/>
        </w:rPr>
        <w:t>safety report</w:t>
      </w:r>
      <w:r>
        <w:tab/>
      </w:r>
      <w:r>
        <w:fldChar w:fldCharType="begin"/>
      </w:r>
      <w:r>
        <w:instrText xml:space="preserve"> PAGEREF _Toc377048045 \h </w:instrText>
      </w:r>
      <w:r>
        <w:fldChar w:fldCharType="separate"/>
      </w:r>
      <w:r>
        <w:t>12</w:t>
      </w:r>
      <w:r>
        <w:fldChar w:fldCharType="end"/>
      </w:r>
    </w:p>
    <w:p>
      <w:pPr>
        <w:pStyle w:val="TOC2"/>
        <w:tabs>
          <w:tab w:val="right" w:leader="dot" w:pos="7086"/>
        </w:tabs>
        <w:rPr>
          <w:rFonts w:asciiTheme="minorHAnsi" w:eastAsiaTheme="minorEastAsia" w:hAnsiTheme="minorHAnsi" w:cstheme="minorBidi"/>
          <w:b w:val="0"/>
          <w:sz w:val="22"/>
          <w:szCs w:val="22"/>
        </w:rPr>
      </w:pPr>
      <w:r>
        <w:t>Part 3 — Notification requirements</w:t>
      </w:r>
    </w:p>
    <w:p>
      <w:pPr>
        <w:pStyle w:val="TOC8"/>
        <w:rPr>
          <w:rFonts w:asciiTheme="minorHAnsi" w:eastAsiaTheme="minorEastAsia" w:hAnsiTheme="minorHAnsi" w:cstheme="minorBidi"/>
          <w:szCs w:val="22"/>
        </w:rPr>
      </w:pPr>
      <w:r>
        <w:t>14.</w:t>
      </w:r>
      <w:r>
        <w:tab/>
        <w:t>Operator to notify Chief Officer if more than critical quantity of Sch. 1 substances likely to be at place</w:t>
      </w:r>
      <w:r>
        <w:tab/>
      </w:r>
      <w:r>
        <w:fldChar w:fldCharType="begin"/>
      </w:r>
      <w:r>
        <w:instrText xml:space="preserve"> PAGEREF _Toc377048047 \h </w:instrText>
      </w:r>
      <w:r>
        <w:fldChar w:fldCharType="separate"/>
      </w:r>
      <w:r>
        <w:t>13</w:t>
      </w:r>
      <w:r>
        <w:fldChar w:fldCharType="end"/>
      </w:r>
    </w:p>
    <w:p>
      <w:pPr>
        <w:pStyle w:val="TOC8"/>
        <w:rPr>
          <w:rFonts w:asciiTheme="minorHAnsi" w:eastAsiaTheme="minorEastAsia" w:hAnsiTheme="minorHAnsi" w:cstheme="minorBidi"/>
          <w:szCs w:val="22"/>
        </w:rPr>
      </w:pPr>
      <w:r>
        <w:t>15.</w:t>
      </w:r>
      <w:r>
        <w:tab/>
        <w:t>Operator of certain places to notify Chief Officer of certain changes</w:t>
      </w:r>
      <w:r>
        <w:tab/>
      </w:r>
      <w:r>
        <w:fldChar w:fldCharType="begin"/>
      </w:r>
      <w:r>
        <w:instrText xml:space="preserve"> PAGEREF _Toc377048048 \h </w:instrText>
      </w:r>
      <w:r>
        <w:fldChar w:fldCharType="separate"/>
      </w:r>
      <w:r>
        <w:t>13</w:t>
      </w:r>
      <w:r>
        <w:fldChar w:fldCharType="end"/>
      </w:r>
    </w:p>
    <w:p>
      <w:pPr>
        <w:pStyle w:val="TOC8"/>
        <w:rPr>
          <w:rFonts w:asciiTheme="minorHAnsi" w:eastAsiaTheme="minorEastAsia" w:hAnsiTheme="minorHAnsi" w:cstheme="minorBidi"/>
          <w:szCs w:val="22"/>
        </w:rPr>
      </w:pPr>
      <w:r>
        <w:t>16.</w:t>
      </w:r>
      <w:r>
        <w:tab/>
        <w:t>Chief Officer may direct operator to give notification in some cases</w:t>
      </w:r>
      <w:r>
        <w:tab/>
      </w:r>
      <w:r>
        <w:fldChar w:fldCharType="begin"/>
      </w:r>
      <w:r>
        <w:instrText xml:space="preserve"> PAGEREF _Toc377048049 \h </w:instrText>
      </w:r>
      <w:r>
        <w:fldChar w:fldCharType="separate"/>
      </w:r>
      <w:r>
        <w:t>14</w:t>
      </w:r>
      <w:r>
        <w:fldChar w:fldCharType="end"/>
      </w:r>
    </w:p>
    <w:p>
      <w:pPr>
        <w:pStyle w:val="TOC8"/>
        <w:rPr>
          <w:rFonts w:asciiTheme="minorHAnsi" w:eastAsiaTheme="minorEastAsia" w:hAnsiTheme="minorHAnsi" w:cstheme="minorBidi"/>
          <w:szCs w:val="22"/>
        </w:rPr>
      </w:pPr>
      <w:r>
        <w:t>17.</w:t>
      </w:r>
      <w:r>
        <w:tab/>
        <w:t>Notification required under r. 14, 15 and 16, form and content of</w:t>
      </w:r>
      <w:r>
        <w:tab/>
      </w:r>
      <w:r>
        <w:fldChar w:fldCharType="begin"/>
      </w:r>
      <w:r>
        <w:instrText xml:space="preserve"> PAGEREF _Toc377048050 \h </w:instrText>
      </w:r>
      <w:r>
        <w:fldChar w:fldCharType="separate"/>
      </w:r>
      <w:r>
        <w:t>15</w:t>
      </w:r>
      <w:r>
        <w:fldChar w:fldCharType="end"/>
      </w:r>
    </w:p>
    <w:p>
      <w:pPr>
        <w:pStyle w:val="TOC8"/>
        <w:rPr>
          <w:rFonts w:asciiTheme="minorHAnsi" w:eastAsiaTheme="minorEastAsia" w:hAnsiTheme="minorHAnsi" w:cstheme="minorBidi"/>
          <w:szCs w:val="22"/>
        </w:rPr>
      </w:pPr>
      <w:r>
        <w:t>18.</w:t>
      </w:r>
      <w:r>
        <w:tab/>
        <w:t>Chief Officer may direct operator to give further information</w:t>
      </w:r>
      <w:r>
        <w:tab/>
      </w:r>
      <w:r>
        <w:fldChar w:fldCharType="begin"/>
      </w:r>
      <w:r>
        <w:instrText xml:space="preserve"> PAGEREF _Toc377048051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Part 4 — Certain places to be major hazard facilities</w:t>
      </w:r>
    </w:p>
    <w:p>
      <w:pPr>
        <w:pStyle w:val="TOC8"/>
        <w:rPr>
          <w:rFonts w:asciiTheme="minorHAnsi" w:eastAsiaTheme="minorEastAsia" w:hAnsiTheme="minorHAnsi" w:cstheme="minorBidi"/>
          <w:szCs w:val="22"/>
        </w:rPr>
      </w:pPr>
      <w:r>
        <w:t>19.</w:t>
      </w:r>
      <w:r>
        <w:tab/>
        <w:t>Classifying places as major hazard facilities, Chief Officer’s functions as to</w:t>
      </w:r>
      <w:r>
        <w:tab/>
      </w:r>
      <w:r>
        <w:fldChar w:fldCharType="begin"/>
      </w:r>
      <w:r>
        <w:instrText xml:space="preserve"> PAGEREF _Toc377048053 \h </w:instrText>
      </w:r>
      <w:r>
        <w:fldChar w:fldCharType="separate"/>
      </w:r>
      <w:r>
        <w:t>17</w:t>
      </w:r>
      <w:r>
        <w:fldChar w:fldCharType="end"/>
      </w:r>
    </w:p>
    <w:p>
      <w:pPr>
        <w:pStyle w:val="TOC8"/>
        <w:rPr>
          <w:rFonts w:asciiTheme="minorHAnsi" w:eastAsiaTheme="minorEastAsia" w:hAnsiTheme="minorHAnsi" w:cstheme="minorBidi"/>
          <w:szCs w:val="22"/>
        </w:rPr>
      </w:pPr>
      <w:r>
        <w:t>20.</w:t>
      </w:r>
      <w:r>
        <w:tab/>
        <w:t>Chief Officer to consult before classifying place as major hazard facility</w:t>
      </w:r>
      <w:r>
        <w:tab/>
      </w:r>
      <w:r>
        <w:fldChar w:fldCharType="begin"/>
      </w:r>
      <w:r>
        <w:instrText xml:space="preserve"> PAGEREF _Toc377048054 \h </w:instrText>
      </w:r>
      <w:r>
        <w:fldChar w:fldCharType="separate"/>
      </w:r>
      <w:r>
        <w:t>18</w:t>
      </w:r>
      <w:r>
        <w:fldChar w:fldCharType="end"/>
      </w:r>
    </w:p>
    <w:p>
      <w:pPr>
        <w:pStyle w:val="TOC8"/>
        <w:rPr>
          <w:rFonts w:asciiTheme="minorHAnsi" w:eastAsiaTheme="minorEastAsia" w:hAnsiTheme="minorHAnsi" w:cstheme="minorBidi"/>
          <w:szCs w:val="22"/>
        </w:rPr>
      </w:pPr>
      <w:r>
        <w:t>21.</w:t>
      </w:r>
      <w:r>
        <w:tab/>
        <w:t>Chief Officer to notify decision whether or not to classify a place as a major hazard facility</w:t>
      </w:r>
      <w:r>
        <w:tab/>
      </w:r>
      <w:r>
        <w:fldChar w:fldCharType="begin"/>
      </w:r>
      <w:r>
        <w:instrText xml:space="preserve"> PAGEREF _Toc377048055 \h </w:instrText>
      </w:r>
      <w:r>
        <w:fldChar w:fldCharType="separate"/>
      </w:r>
      <w:r>
        <w:t>18</w:t>
      </w:r>
      <w:r>
        <w:fldChar w:fldCharType="end"/>
      </w:r>
    </w:p>
    <w:p>
      <w:pPr>
        <w:pStyle w:val="TOC8"/>
        <w:rPr>
          <w:rFonts w:asciiTheme="minorHAnsi" w:eastAsiaTheme="minorEastAsia" w:hAnsiTheme="minorHAnsi" w:cstheme="minorBidi"/>
          <w:szCs w:val="22"/>
        </w:rPr>
      </w:pPr>
      <w:r>
        <w:t>22.</w:t>
      </w:r>
      <w:r>
        <w:tab/>
        <w:t>Chief Officer may revoke decision to classify place as major hazard facility</w:t>
      </w:r>
      <w:r>
        <w:tab/>
      </w:r>
      <w:r>
        <w:fldChar w:fldCharType="begin"/>
      </w:r>
      <w:r>
        <w:instrText xml:space="preserve"> PAGEREF _Toc377048056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5 — </w:t>
      </w:r>
      <w:r>
        <w:rPr>
          <w:color w:val="000000"/>
        </w:rPr>
        <w:t>Safety reports</w:t>
      </w:r>
    </w:p>
    <w:p>
      <w:pPr>
        <w:pStyle w:val="TOC8"/>
        <w:rPr>
          <w:rFonts w:asciiTheme="minorHAnsi" w:eastAsiaTheme="minorEastAsia" w:hAnsiTheme="minorHAnsi" w:cstheme="minorBidi"/>
          <w:szCs w:val="22"/>
        </w:rPr>
      </w:pPr>
      <w:r>
        <w:t>23.</w:t>
      </w:r>
      <w:r>
        <w:tab/>
        <w:t>R</w:t>
      </w:r>
      <w:r>
        <w:rPr>
          <w:color w:val="000000"/>
        </w:rPr>
        <w:t>isk assessment, operator of major hazard facility to prepare</w:t>
      </w:r>
      <w:r>
        <w:tab/>
      </w:r>
      <w:r>
        <w:fldChar w:fldCharType="begin"/>
      </w:r>
      <w:r>
        <w:instrText xml:space="preserve"> PAGEREF _Toc377048058 \h </w:instrText>
      </w:r>
      <w:r>
        <w:fldChar w:fldCharType="separate"/>
      </w:r>
      <w:r>
        <w:t>20</w:t>
      </w:r>
      <w:r>
        <w:fldChar w:fldCharType="end"/>
      </w:r>
    </w:p>
    <w:p>
      <w:pPr>
        <w:pStyle w:val="TOC8"/>
        <w:rPr>
          <w:rFonts w:asciiTheme="minorHAnsi" w:eastAsiaTheme="minorEastAsia" w:hAnsiTheme="minorHAnsi" w:cstheme="minorBidi"/>
          <w:szCs w:val="22"/>
        </w:rPr>
      </w:pPr>
      <w:r>
        <w:t>24.</w:t>
      </w:r>
      <w:r>
        <w:tab/>
        <w:t>S</w:t>
      </w:r>
      <w:r>
        <w:rPr>
          <w:color w:val="000000"/>
        </w:rPr>
        <w:t>afety management system, operator of major hazard facility to prepare</w:t>
      </w:r>
      <w:r>
        <w:tab/>
      </w:r>
      <w:r>
        <w:fldChar w:fldCharType="begin"/>
      </w:r>
      <w:r>
        <w:instrText xml:space="preserve"> PAGEREF _Toc377048059 \h </w:instrText>
      </w:r>
      <w:r>
        <w:fldChar w:fldCharType="separate"/>
      </w:r>
      <w:r>
        <w:t>21</w:t>
      </w:r>
      <w:r>
        <w:fldChar w:fldCharType="end"/>
      </w:r>
    </w:p>
    <w:p>
      <w:pPr>
        <w:pStyle w:val="TOC8"/>
        <w:rPr>
          <w:rFonts w:asciiTheme="minorHAnsi" w:eastAsiaTheme="minorEastAsia" w:hAnsiTheme="minorHAnsi" w:cstheme="minorBidi"/>
          <w:szCs w:val="22"/>
        </w:rPr>
      </w:pPr>
      <w:r>
        <w:t>25.</w:t>
      </w:r>
      <w:r>
        <w:tab/>
        <w:t>S</w:t>
      </w:r>
      <w:r>
        <w:rPr>
          <w:color w:val="000000"/>
        </w:rPr>
        <w:t>afety report, operator of major hazard facility to prepare</w:t>
      </w:r>
      <w:r>
        <w:tab/>
      </w:r>
      <w:r>
        <w:fldChar w:fldCharType="begin"/>
      </w:r>
      <w:r>
        <w:instrText xml:space="preserve"> PAGEREF _Toc377048060 \h </w:instrText>
      </w:r>
      <w:r>
        <w:fldChar w:fldCharType="separate"/>
      </w:r>
      <w:r>
        <w:t>21</w:t>
      </w:r>
      <w:r>
        <w:fldChar w:fldCharType="end"/>
      </w:r>
    </w:p>
    <w:p>
      <w:pPr>
        <w:pStyle w:val="TOC8"/>
        <w:rPr>
          <w:rFonts w:asciiTheme="minorHAnsi" w:eastAsiaTheme="minorEastAsia" w:hAnsiTheme="minorHAnsi" w:cstheme="minorBidi"/>
          <w:szCs w:val="22"/>
        </w:rPr>
      </w:pPr>
      <w:r>
        <w:t>26.</w:t>
      </w:r>
      <w:r>
        <w:tab/>
        <w:t>S</w:t>
      </w:r>
      <w:r>
        <w:rPr>
          <w:color w:val="000000"/>
        </w:rPr>
        <w:t>afety report, application for approval of</w:t>
      </w:r>
      <w:r>
        <w:tab/>
      </w:r>
      <w:r>
        <w:fldChar w:fldCharType="begin"/>
      </w:r>
      <w:r>
        <w:instrText xml:space="preserve"> PAGEREF _Toc377048061 \h </w:instrText>
      </w:r>
      <w:r>
        <w:fldChar w:fldCharType="separate"/>
      </w:r>
      <w:r>
        <w:t>22</w:t>
      </w:r>
      <w:r>
        <w:fldChar w:fldCharType="end"/>
      </w:r>
    </w:p>
    <w:p>
      <w:pPr>
        <w:pStyle w:val="TOC8"/>
        <w:rPr>
          <w:rFonts w:asciiTheme="minorHAnsi" w:eastAsiaTheme="minorEastAsia" w:hAnsiTheme="minorHAnsi" w:cstheme="minorBidi"/>
          <w:szCs w:val="22"/>
        </w:rPr>
      </w:pPr>
      <w:r>
        <w:t>27.</w:t>
      </w:r>
      <w:r>
        <w:tab/>
        <w:t>S</w:t>
      </w:r>
      <w:r>
        <w:rPr>
          <w:color w:val="000000"/>
        </w:rPr>
        <w:t xml:space="preserve">afety report, approval of </w:t>
      </w:r>
      <w:r>
        <w:t>by Chief Officer</w:t>
      </w:r>
      <w:r>
        <w:tab/>
      </w:r>
      <w:r>
        <w:fldChar w:fldCharType="begin"/>
      </w:r>
      <w:r>
        <w:instrText xml:space="preserve"> PAGEREF _Toc377048062 \h </w:instrText>
      </w:r>
      <w:r>
        <w:fldChar w:fldCharType="separate"/>
      </w:r>
      <w:r>
        <w:t>22</w:t>
      </w:r>
      <w:r>
        <w:fldChar w:fldCharType="end"/>
      </w:r>
    </w:p>
    <w:p>
      <w:pPr>
        <w:pStyle w:val="TOC8"/>
        <w:rPr>
          <w:rFonts w:asciiTheme="minorHAnsi" w:eastAsiaTheme="minorEastAsia" w:hAnsiTheme="minorHAnsi" w:cstheme="minorBidi"/>
          <w:szCs w:val="22"/>
        </w:rPr>
      </w:pPr>
      <w:r>
        <w:t>28.</w:t>
      </w:r>
      <w:r>
        <w:tab/>
        <w:t xml:space="preserve">Withdrawal of approval of </w:t>
      </w:r>
      <w:r>
        <w:rPr>
          <w:color w:val="000000"/>
        </w:rPr>
        <w:t>safety report</w:t>
      </w:r>
      <w:r>
        <w:tab/>
      </w:r>
      <w:r>
        <w:fldChar w:fldCharType="begin"/>
      </w:r>
      <w:r>
        <w:instrText xml:space="preserve"> PAGEREF _Toc377048063 \h </w:instrText>
      </w:r>
      <w:r>
        <w:fldChar w:fldCharType="separate"/>
      </w:r>
      <w:r>
        <w:t>23</w:t>
      </w:r>
      <w:r>
        <w:fldChar w:fldCharType="end"/>
      </w:r>
    </w:p>
    <w:p>
      <w:pPr>
        <w:pStyle w:val="TOC8"/>
        <w:rPr>
          <w:rFonts w:asciiTheme="minorHAnsi" w:eastAsiaTheme="minorEastAsia" w:hAnsiTheme="minorHAnsi" w:cstheme="minorBidi"/>
          <w:szCs w:val="22"/>
        </w:rPr>
      </w:pPr>
      <w:r>
        <w:t>29.</w:t>
      </w:r>
      <w:r>
        <w:tab/>
        <w:t xml:space="preserve">Chief Officer to consult etc. before refusing to approve or withdrawing approval of </w:t>
      </w:r>
      <w:r>
        <w:rPr>
          <w:color w:val="000000"/>
        </w:rPr>
        <w:t>safety report</w:t>
      </w:r>
      <w:r>
        <w:tab/>
      </w:r>
      <w:r>
        <w:fldChar w:fldCharType="begin"/>
      </w:r>
      <w:r>
        <w:instrText xml:space="preserve"> PAGEREF _Toc377048064 \h </w:instrText>
      </w:r>
      <w:r>
        <w:fldChar w:fldCharType="separate"/>
      </w:r>
      <w:r>
        <w:t>23</w:t>
      </w:r>
      <w:r>
        <w:fldChar w:fldCharType="end"/>
      </w:r>
    </w:p>
    <w:p>
      <w:pPr>
        <w:pStyle w:val="TOC8"/>
        <w:rPr>
          <w:rFonts w:asciiTheme="minorHAnsi" w:eastAsiaTheme="minorEastAsia" w:hAnsiTheme="minorHAnsi" w:cstheme="minorBidi"/>
          <w:szCs w:val="22"/>
        </w:rPr>
      </w:pPr>
      <w:r>
        <w:t>30.</w:t>
      </w:r>
      <w:r>
        <w:tab/>
        <w:t>Safety report, review of by operator of major hazard facility</w:t>
      </w:r>
      <w:r>
        <w:tab/>
      </w:r>
      <w:r>
        <w:fldChar w:fldCharType="begin"/>
      </w:r>
      <w:r>
        <w:instrText xml:space="preserve"> PAGEREF _Toc377048065 \h </w:instrText>
      </w:r>
      <w:r>
        <w:fldChar w:fldCharType="separate"/>
      </w:r>
      <w:r>
        <w:t>24</w:t>
      </w:r>
      <w:r>
        <w:fldChar w:fldCharType="end"/>
      </w:r>
    </w:p>
    <w:p>
      <w:pPr>
        <w:pStyle w:val="TOC2"/>
        <w:tabs>
          <w:tab w:val="right" w:leader="dot" w:pos="7086"/>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31.</w:t>
      </w:r>
      <w:r>
        <w:tab/>
        <w:t>Major hazard facilities near to one another, Chief Officer may direct one to give information to the other</w:t>
      </w:r>
      <w:r>
        <w:tab/>
      </w:r>
      <w:r>
        <w:fldChar w:fldCharType="begin"/>
      </w:r>
      <w:r>
        <w:instrText xml:space="preserve"> PAGEREF _Toc377048067 \h </w:instrText>
      </w:r>
      <w:r>
        <w:fldChar w:fldCharType="separate"/>
      </w:r>
      <w:r>
        <w:t>27</w:t>
      </w:r>
      <w:r>
        <w:fldChar w:fldCharType="end"/>
      </w:r>
    </w:p>
    <w:p>
      <w:pPr>
        <w:pStyle w:val="TOC8"/>
        <w:rPr>
          <w:rFonts w:asciiTheme="minorHAnsi" w:eastAsiaTheme="minorEastAsia" w:hAnsiTheme="minorHAnsi" w:cstheme="minorBidi"/>
          <w:szCs w:val="22"/>
        </w:rPr>
      </w:pPr>
      <w:r>
        <w:t>32.</w:t>
      </w:r>
      <w:r>
        <w:tab/>
        <w:t>Closure of major hazard facility, operator to notify Chief Officer of</w:t>
      </w:r>
      <w:r>
        <w:tab/>
      </w:r>
      <w:r>
        <w:fldChar w:fldCharType="begin"/>
      </w:r>
      <w:r>
        <w:instrText xml:space="preserve"> PAGEREF _Toc377048068 \h </w:instrText>
      </w:r>
      <w:r>
        <w:fldChar w:fldCharType="separate"/>
      </w:r>
      <w:r>
        <w:t>27</w:t>
      </w:r>
      <w:r>
        <w:fldChar w:fldCharType="end"/>
      </w:r>
    </w:p>
    <w:p>
      <w:pPr>
        <w:pStyle w:val="TOC8"/>
        <w:rPr>
          <w:rFonts w:asciiTheme="minorHAnsi" w:eastAsiaTheme="minorEastAsia" w:hAnsiTheme="minorHAnsi" w:cstheme="minorBidi"/>
          <w:szCs w:val="22"/>
        </w:rPr>
      </w:pPr>
      <w:r>
        <w:t>33.</w:t>
      </w:r>
      <w:r>
        <w:tab/>
        <w:t>Classes of major hazard facility for purposes of fees</w:t>
      </w:r>
      <w:r>
        <w:tab/>
      </w:r>
      <w:r>
        <w:fldChar w:fldCharType="begin"/>
      </w:r>
      <w:r>
        <w:instrText xml:space="preserve"> PAGEREF _Toc377048069 \h </w:instrText>
      </w:r>
      <w:r>
        <w:fldChar w:fldCharType="separate"/>
      </w:r>
      <w:r>
        <w:t>27</w:t>
      </w:r>
      <w:r>
        <w:fldChar w:fldCharType="end"/>
      </w:r>
    </w:p>
    <w:p>
      <w:pPr>
        <w:pStyle w:val="TOC8"/>
        <w:rPr>
          <w:rFonts w:asciiTheme="minorHAnsi" w:eastAsiaTheme="minorEastAsia" w:hAnsiTheme="minorHAnsi" w:cstheme="minorBidi"/>
          <w:szCs w:val="22"/>
        </w:rPr>
      </w:pPr>
      <w:r>
        <w:t>34.</w:t>
      </w:r>
      <w:r>
        <w:tab/>
        <w:t>Annual fee for major hazard facilities</w:t>
      </w:r>
      <w:r>
        <w:tab/>
      </w:r>
      <w:r>
        <w:fldChar w:fldCharType="begin"/>
      </w:r>
      <w:r>
        <w:instrText xml:space="preserve"> PAGEREF _Toc377048070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Schedule 1 — Threshold quantity for Schedule 1 substances</w:t>
      </w:r>
    </w:p>
    <w:p>
      <w:pPr>
        <w:pStyle w:val="TOC8"/>
        <w:rPr>
          <w:rFonts w:asciiTheme="minorHAnsi" w:eastAsiaTheme="minorEastAsia" w:hAnsiTheme="minorHAnsi" w:cstheme="minorBidi"/>
          <w:szCs w:val="22"/>
        </w:rPr>
      </w:pPr>
      <w:r>
        <w:t>1.</w:t>
      </w:r>
      <w:r>
        <w:tab/>
        <w:t>Threshold quantity for substances</w:t>
      </w:r>
      <w:r>
        <w:tab/>
      </w:r>
      <w:r>
        <w:fldChar w:fldCharType="begin"/>
      </w:r>
      <w:r>
        <w:instrText xml:space="preserve"> PAGEREF _Toc377048072 \h </w:instrText>
      </w:r>
      <w:r>
        <w:fldChar w:fldCharType="separate"/>
      </w:r>
      <w:r>
        <w:t>31</w:t>
      </w:r>
      <w:r>
        <w:fldChar w:fldCharType="end"/>
      </w:r>
    </w:p>
    <w:p>
      <w:pPr>
        <w:pStyle w:val="TOC8"/>
        <w:rPr>
          <w:rFonts w:asciiTheme="minorHAnsi" w:eastAsiaTheme="minorEastAsia" w:hAnsiTheme="minorHAnsi" w:cstheme="minorBidi"/>
          <w:szCs w:val="22"/>
        </w:rPr>
      </w:pPr>
      <w:r>
        <w:t>2.</w:t>
      </w:r>
      <w:r>
        <w:tab/>
        <w:t>Threshold quantity for categories of substances</w:t>
      </w:r>
      <w:r>
        <w:tab/>
      </w:r>
      <w:r>
        <w:fldChar w:fldCharType="begin"/>
      </w:r>
      <w:r>
        <w:instrText xml:space="preserve"> PAGEREF _Toc377048073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Schedule 2 — Notifiable information</w:t>
      </w:r>
    </w:p>
    <w:p>
      <w:pPr>
        <w:pStyle w:val="TOC8"/>
        <w:rPr>
          <w:rFonts w:asciiTheme="minorHAnsi" w:eastAsiaTheme="minorEastAsia" w:hAnsiTheme="minorHAnsi" w:cstheme="minorBidi"/>
          <w:szCs w:val="22"/>
        </w:rPr>
      </w:pPr>
      <w:r>
        <w:t>1.</w:t>
      </w:r>
      <w:r>
        <w:tab/>
        <w:t>Term used: material safety data sheet</w:t>
      </w:r>
      <w:r>
        <w:tab/>
      </w:r>
      <w:r>
        <w:fldChar w:fldCharType="begin"/>
      </w:r>
      <w:r>
        <w:instrText xml:space="preserve"> PAGEREF _Toc377048075 \h </w:instrText>
      </w:r>
      <w:r>
        <w:fldChar w:fldCharType="separate"/>
      </w:r>
      <w:r>
        <w:t>38</w:t>
      </w:r>
      <w:r>
        <w:fldChar w:fldCharType="end"/>
      </w:r>
    </w:p>
    <w:p>
      <w:pPr>
        <w:pStyle w:val="TOC8"/>
        <w:rPr>
          <w:rFonts w:asciiTheme="minorHAnsi" w:eastAsiaTheme="minorEastAsia" w:hAnsiTheme="minorHAnsi" w:cstheme="minorBidi"/>
          <w:szCs w:val="22"/>
        </w:rPr>
      </w:pPr>
      <w:r>
        <w:t>2.</w:t>
      </w:r>
      <w:r>
        <w:tab/>
        <w:t>Notifiable information</w:t>
      </w:r>
      <w:r>
        <w:tab/>
      </w:r>
      <w:r>
        <w:fldChar w:fldCharType="begin"/>
      </w:r>
      <w:r>
        <w:instrText xml:space="preserve"> PAGEREF _Toc377048076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Schedule 3 — Fees</w:t>
      </w:r>
    </w:p>
    <w:p>
      <w:pPr>
        <w:pStyle w:val="TOC8"/>
        <w:rPr>
          <w:rFonts w:asciiTheme="minorHAnsi" w:eastAsiaTheme="minorEastAsia" w:hAnsiTheme="minorHAnsi" w:cstheme="minorBidi"/>
          <w:szCs w:val="22"/>
        </w:rPr>
      </w:pPr>
      <w:r>
        <w:t>1.</w:t>
      </w:r>
      <w:r>
        <w:tab/>
        <w:t>Safety reports, fees for approval of (r. 26)</w:t>
      </w:r>
      <w:r>
        <w:tab/>
      </w:r>
      <w:r>
        <w:fldChar w:fldCharType="begin"/>
      </w:r>
      <w:r>
        <w:instrText xml:space="preserve"> PAGEREF _Toc377048078 \h </w:instrText>
      </w:r>
      <w:r>
        <w:fldChar w:fldCharType="separate"/>
      </w:r>
      <w:r>
        <w:t>39</w:t>
      </w:r>
      <w:r>
        <w:fldChar w:fldCharType="end"/>
      </w:r>
    </w:p>
    <w:p>
      <w:pPr>
        <w:pStyle w:val="TOC8"/>
        <w:rPr>
          <w:rFonts w:asciiTheme="minorHAnsi" w:eastAsiaTheme="minorEastAsia" w:hAnsiTheme="minorHAnsi" w:cstheme="minorBidi"/>
          <w:szCs w:val="22"/>
        </w:rPr>
      </w:pPr>
      <w:r>
        <w:t>2.</w:t>
      </w:r>
      <w:r>
        <w:tab/>
        <w:t>Major hazard facilities, annual fees for (r. 34)</w:t>
      </w:r>
      <w:r>
        <w:tab/>
      </w:r>
      <w:r>
        <w:fldChar w:fldCharType="begin"/>
      </w:r>
      <w:r>
        <w:instrText xml:space="preserve"> PAGEREF _Toc377048079 \h </w:instrText>
      </w:r>
      <w:r>
        <w:fldChar w:fldCharType="separate"/>
      </w:r>
      <w:r>
        <w:t>39</w:t>
      </w:r>
      <w:r>
        <w:fldChar w:fldCharType="end"/>
      </w:r>
    </w:p>
    <w:p>
      <w:pPr>
        <w:pStyle w:val="TOC2"/>
        <w:tabs>
          <w:tab w:val="right" w:leader="dot" w:pos="7086"/>
        </w:tabs>
        <w:rPr>
          <w:rFonts w:asciiTheme="minorHAnsi" w:eastAsiaTheme="minorEastAsia" w:hAnsiTheme="minorHAnsi" w:cstheme="minorBidi"/>
          <w:b w:val="0"/>
          <w:sz w:val="22"/>
          <w:szCs w:val="22"/>
        </w:rPr>
      </w:pPr>
      <w:r>
        <w:t xml:space="preserve">Schedule 4 — Procedures to be included in </w:t>
      </w:r>
      <w:r>
        <w:rPr>
          <w:color w:val="000000"/>
        </w:rPr>
        <w:t>safety management system</w:t>
      </w:r>
    </w:p>
    <w:p>
      <w:pPr>
        <w:pStyle w:val="TOC8"/>
        <w:rPr>
          <w:rFonts w:asciiTheme="minorHAnsi" w:eastAsiaTheme="minorEastAsia" w:hAnsiTheme="minorHAnsi" w:cstheme="minorBidi"/>
          <w:szCs w:val="22"/>
        </w:rPr>
      </w:pPr>
      <w:r>
        <w:t>1.</w:t>
      </w:r>
      <w:r>
        <w:tab/>
        <w:t>Skills etc. of employees, procedures to ensure</w:t>
      </w:r>
      <w:r>
        <w:tab/>
      </w:r>
      <w:r>
        <w:fldChar w:fldCharType="begin"/>
      </w:r>
      <w:r>
        <w:instrText xml:space="preserve"> PAGEREF _Toc377048081 \h </w:instrText>
      </w:r>
      <w:r>
        <w:fldChar w:fldCharType="separate"/>
      </w:r>
      <w:r>
        <w:t>41</w:t>
      </w:r>
      <w:r>
        <w:fldChar w:fldCharType="end"/>
      </w:r>
    </w:p>
    <w:p>
      <w:pPr>
        <w:pStyle w:val="TOC8"/>
        <w:rPr>
          <w:rFonts w:asciiTheme="minorHAnsi" w:eastAsiaTheme="minorEastAsia" w:hAnsiTheme="minorHAnsi" w:cstheme="minorBidi"/>
          <w:szCs w:val="22"/>
        </w:rPr>
      </w:pPr>
      <w:r>
        <w:t>2.</w:t>
      </w:r>
      <w:r>
        <w:tab/>
        <w:t>Operation etc. of plant etc., procedures for</w:t>
      </w:r>
      <w:r>
        <w:tab/>
      </w:r>
      <w:r>
        <w:fldChar w:fldCharType="begin"/>
      </w:r>
      <w:r>
        <w:instrText xml:space="preserve"> PAGEREF _Toc377048082 \h </w:instrText>
      </w:r>
      <w:r>
        <w:fldChar w:fldCharType="separate"/>
      </w:r>
      <w:r>
        <w:t>41</w:t>
      </w:r>
      <w:r>
        <w:fldChar w:fldCharType="end"/>
      </w:r>
    </w:p>
    <w:p>
      <w:pPr>
        <w:pStyle w:val="TOC8"/>
        <w:rPr>
          <w:rFonts w:asciiTheme="minorHAnsi" w:eastAsiaTheme="minorEastAsia" w:hAnsiTheme="minorHAnsi" w:cstheme="minorBidi"/>
          <w:szCs w:val="22"/>
        </w:rPr>
      </w:pPr>
      <w:r>
        <w:t>3.</w:t>
      </w:r>
      <w:r>
        <w:tab/>
        <w:t>Security, procedures to ensure</w:t>
      </w:r>
      <w:r>
        <w:tab/>
      </w:r>
      <w:r>
        <w:fldChar w:fldCharType="begin"/>
      </w:r>
      <w:r>
        <w:instrText xml:space="preserve"> PAGEREF _Toc377048083 \h </w:instrText>
      </w:r>
      <w:r>
        <w:fldChar w:fldCharType="separate"/>
      </w:r>
      <w:r>
        <w:t>41</w:t>
      </w:r>
      <w:r>
        <w:fldChar w:fldCharType="end"/>
      </w:r>
    </w:p>
    <w:p>
      <w:pPr>
        <w:pStyle w:val="TOC8"/>
        <w:rPr>
          <w:rFonts w:asciiTheme="minorHAnsi" w:eastAsiaTheme="minorEastAsia" w:hAnsiTheme="minorHAnsi" w:cstheme="minorBidi"/>
          <w:szCs w:val="22"/>
        </w:rPr>
      </w:pPr>
      <w:r>
        <w:t>4.</w:t>
      </w:r>
      <w:r>
        <w:tab/>
        <w:t>Safety information, procedures to ensure employees are given</w:t>
      </w:r>
      <w:r>
        <w:tab/>
      </w:r>
      <w:r>
        <w:fldChar w:fldCharType="begin"/>
      </w:r>
      <w:r>
        <w:instrText xml:space="preserve"> PAGEREF _Toc377048084 \h </w:instrText>
      </w:r>
      <w:r>
        <w:fldChar w:fldCharType="separate"/>
      </w:r>
      <w:r>
        <w:t>41</w:t>
      </w:r>
      <w:r>
        <w:fldChar w:fldCharType="end"/>
      </w:r>
    </w:p>
    <w:p>
      <w:pPr>
        <w:pStyle w:val="TOC8"/>
        <w:rPr>
          <w:rFonts w:asciiTheme="minorHAnsi" w:eastAsiaTheme="minorEastAsia" w:hAnsiTheme="minorHAnsi" w:cstheme="minorBidi"/>
          <w:szCs w:val="22"/>
        </w:rPr>
      </w:pPr>
      <w:r>
        <w:t>5.</w:t>
      </w:r>
      <w:r>
        <w:tab/>
        <w:t>Risk control measures, procedures to ensure monitoring of etc.</w:t>
      </w:r>
      <w:r>
        <w:tab/>
      </w:r>
      <w:r>
        <w:fldChar w:fldCharType="begin"/>
      </w:r>
      <w:r>
        <w:instrText xml:space="preserve"> PAGEREF _Toc377048085 \h </w:instrText>
      </w:r>
      <w:r>
        <w:fldChar w:fldCharType="separate"/>
      </w:r>
      <w:r>
        <w:t>42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_Toc377048087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rPr>
          <w:sz w:val="16"/>
          <w:szCs w:val="16"/>
        </w:rPr>
      </w:pPr>
      <w:r>
        <w:fldChar w:fldCharType="end"/>
      </w:r>
    </w:p>
    <w:p>
      <w:pPr>
        <w:pStyle w:val="NoteHeading"/>
        <w:rPr>
          <w:sz w:val="20"/>
        </w:rPr>
      </w:pPr>
      <w:r>
        <w:rPr>
          <w:rStyle w:val="CharPartNo"/>
          <w:sz w:val="20"/>
        </w:rPr>
        <w:t xml:space="preserve"> </w:t>
      </w:r>
      <w:r>
        <w:rPr>
          <w:rStyle w:val="CharPartText"/>
          <w:sz w:val="20"/>
        </w:rPr>
        <w:t xml:space="preserve"> </w:t>
      </w:r>
      <w:r>
        <w:rPr>
          <w:rStyle w:val="CharDivNo"/>
          <w:sz w:val="20"/>
        </w:rPr>
        <w:t xml:space="preserve"> </w:t>
      </w:r>
      <w:r>
        <w:rPr>
          <w:rStyle w:val="CharDivText"/>
          <w:sz w:val="20"/>
        </w:rPr>
        <w:t xml:space="preserve"> </w:t>
      </w:r>
      <w:r>
        <w:rPr>
          <w:rStyle w:val="CharSchNo"/>
          <w:sz w:val="20"/>
        </w:rPr>
        <w:t xml:space="preserve"> </w:t>
      </w:r>
      <w:r>
        <w:rPr>
          <w:rStyle w:val="CharSchText"/>
          <w:sz w:val="20"/>
        </w:rPr>
        <w:t xml:space="preserve"> </w:t>
      </w:r>
    </w:p>
    <w:p>
      <w:pPr>
        <w:pStyle w:val="NoteHeading"/>
        <w:sectPr>
          <w:headerReference w:type="even" r:id="rId16"/>
          <w:headerReference w:type="default" r:id="rId17"/>
          <w:footerReference w:type="even" r:id="rId18"/>
          <w:footerReference w:type="default" r:id="rId19"/>
          <w:footerReference w:type="first" r:id="rId20"/>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1" w:name="_Toc377048031"/>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77048032"/>
      <w:r>
        <w:rPr>
          <w:rStyle w:val="CharSectno"/>
        </w:rPr>
        <w:t>1</w:t>
      </w:r>
      <w:r>
        <w:t>.</w:t>
      </w:r>
      <w:r>
        <w:tab/>
        <w:t>Citation</w:t>
      </w:r>
      <w:bookmarkEnd w:id="2"/>
    </w:p>
    <w:p>
      <w:pPr>
        <w:pStyle w:val="Subsection"/>
      </w:pPr>
      <w:r>
        <w:tab/>
      </w:r>
      <w:r>
        <w:tab/>
      </w:r>
      <w:bookmarkStart w:id="3" w:name="Start_Cursor"/>
      <w:bookmarkEnd w:id="3"/>
      <w:r>
        <w:rPr>
          <w:spacing w:val="-2"/>
        </w:rPr>
        <w:t>These</w:t>
      </w:r>
      <w:r>
        <w:t xml:space="preserve"> </w:t>
      </w:r>
      <w:r>
        <w:rPr>
          <w:spacing w:val="-2"/>
        </w:rPr>
        <w:t>regulations</w:t>
      </w:r>
      <w:r>
        <w:t xml:space="preserve"> are the </w:t>
      </w:r>
      <w:r>
        <w:rPr>
          <w:i/>
        </w:rPr>
        <w:t>Dangerous Goods Safety (Major Hazard Facilities) Regulations 2007</w:t>
      </w:r>
      <w:r>
        <w:rPr>
          <w:vertAlign w:val="superscript"/>
        </w:rPr>
        <w:t> 1</w:t>
      </w:r>
      <w:r>
        <w:t>.</w:t>
      </w:r>
    </w:p>
    <w:p>
      <w:pPr>
        <w:pStyle w:val="Heading5"/>
      </w:pPr>
      <w:bookmarkStart w:id="4" w:name="_Toc377048033"/>
      <w:r>
        <w:rPr>
          <w:rStyle w:val="CharSectno"/>
        </w:rPr>
        <w:t>2</w:t>
      </w:r>
      <w:r>
        <w:t>.</w:t>
      </w:r>
      <w:r>
        <w:tab/>
        <w:t>Commencement</w:t>
      </w:r>
      <w:bookmarkEnd w:id="4"/>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r>
        <w:rPr>
          <w:vertAlign w:val="superscript"/>
        </w:rPr>
        <w:t> 1</w:t>
      </w:r>
      <w:r>
        <w:t>.</w:t>
      </w:r>
    </w:p>
    <w:p>
      <w:pPr>
        <w:pStyle w:val="Heading5"/>
      </w:pPr>
      <w:bookmarkStart w:id="5" w:name="_Toc377048034"/>
      <w:r>
        <w:rPr>
          <w:rStyle w:val="CharSectno"/>
        </w:rPr>
        <w:t>3</w:t>
      </w:r>
      <w:r>
        <w:t>.</w:t>
      </w:r>
      <w:r>
        <w:tab/>
        <w:t>Application of regulations</w:t>
      </w:r>
      <w:bookmarkEnd w:id="5"/>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6" w:name="_Toc377048035"/>
      <w:r>
        <w:rPr>
          <w:rStyle w:val="CharSectno"/>
        </w:rPr>
        <w:t>4</w:t>
      </w:r>
      <w:r>
        <w:t>.</w:t>
      </w:r>
      <w:r>
        <w:tab/>
        <w:t>Terms used</w:t>
      </w:r>
      <w:bookmarkEnd w:id="6"/>
    </w:p>
    <w:p>
      <w:pPr>
        <w:pStyle w:val="Subsection"/>
      </w:pPr>
      <w:r>
        <w:tab/>
      </w:r>
      <w:r>
        <w:tab/>
        <w:t xml:space="preserve">In these regulations, unless the contrary intention appears — </w:t>
      </w:r>
    </w:p>
    <w:p>
      <w:pPr>
        <w:pStyle w:val="Defstart"/>
        <w:spacing w:before="100"/>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xml:space="preserve">, Seventh Edition, 2007, published by the Commonwealth of Australia (ISBN 1 921168 579) </w:t>
      </w:r>
      <w:r>
        <w:t xml:space="preserve">(also called the Australian Dangerous Goods Code) </w:t>
      </w:r>
      <w:r>
        <w:rPr>
          <w:color w:val="000000"/>
        </w:rPr>
        <w:t>including (for the avoidance of doubt) its appendices</w:t>
      </w:r>
      <w:r>
        <w:t xml:space="preserve">; </w:t>
      </w:r>
    </w:p>
    <w:p>
      <w:pPr>
        <w:pStyle w:val="Defstart"/>
        <w:spacing w:before="100"/>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spacing w:before="100"/>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spacing w:before="100"/>
      </w:pPr>
      <w:r>
        <w:rPr>
          <w:b/>
        </w:rPr>
        <w:tab/>
      </w:r>
      <w:r>
        <w:rPr>
          <w:rStyle w:val="CharDefText"/>
        </w:rPr>
        <w:t>commencement day</w:t>
      </w:r>
      <w:r>
        <w:t xml:space="preserve"> means the day on which the Act Part 3 comes into operation;</w:t>
      </w:r>
    </w:p>
    <w:p>
      <w:pPr>
        <w:pStyle w:val="Defstart"/>
        <w:spacing w:before="100"/>
      </w:pPr>
      <w:r>
        <w:rPr>
          <w:b/>
        </w:rPr>
        <w:tab/>
      </w:r>
      <w:r>
        <w:rPr>
          <w:rStyle w:val="CharDefText"/>
        </w:rPr>
        <w:t>compliance day</w:t>
      </w:r>
      <w:r>
        <w:rPr>
          <w:bCs/>
        </w:rPr>
        <w:t>, in relation to a major hazard facility,</w:t>
      </w:r>
      <w:r>
        <w:t xml:space="preserve"> means — </w:t>
      </w:r>
    </w:p>
    <w:p>
      <w:pPr>
        <w:pStyle w:val="Defpara"/>
        <w:spacing w:before="100"/>
      </w:pPr>
      <w:r>
        <w:tab/>
        <w:t>(a)</w:t>
      </w:r>
      <w:r>
        <w:tab/>
        <w:t xml:space="preserve">in the case of a facility other than a modified place — </w:t>
      </w:r>
    </w:p>
    <w:p>
      <w:pPr>
        <w:pStyle w:val="Defsubpara"/>
        <w:spacing w:before="100"/>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spacing w:before="100"/>
      </w:pPr>
      <w:r>
        <w:tab/>
        <w:t>(I)</w:t>
      </w:r>
      <w:r>
        <w:tab/>
        <w:t>the day specified in the notice under regulation 21(2)(a)(i); or</w:t>
      </w:r>
    </w:p>
    <w:p>
      <w:pPr>
        <w:pStyle w:val="Defitem"/>
        <w:spacing w:before="100"/>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spacing w:before="100"/>
      </w:pPr>
      <w:r>
        <w:tab/>
      </w:r>
      <w:r>
        <w:tab/>
        <w:t>or</w:t>
      </w:r>
    </w:p>
    <w:p>
      <w:pPr>
        <w:pStyle w:val="Defsubpara"/>
        <w:spacing w:before="100"/>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spacing w:before="100"/>
      </w:pPr>
      <w:r>
        <w:tab/>
      </w:r>
      <w:r>
        <w:tab/>
        <w:t>or</w:t>
      </w:r>
    </w:p>
    <w:p>
      <w:pPr>
        <w:pStyle w:val="Defpara"/>
        <w:spacing w:before="100"/>
      </w:pPr>
      <w:r>
        <w:tab/>
        <w:t>(b)</w:t>
      </w:r>
      <w:r>
        <w:tab/>
        <w:t>in the case of a modified place — the day when the notifiable change occurs;</w:t>
      </w:r>
    </w:p>
    <w:p>
      <w:pPr>
        <w:pStyle w:val="Defstart"/>
        <w:spacing w:before="100"/>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spacing w:before="100"/>
      </w:pPr>
      <w:r>
        <w:rPr>
          <w:b/>
        </w:rPr>
        <w:tab/>
      </w:r>
      <w:r>
        <w:rPr>
          <w:rStyle w:val="CharDefText"/>
        </w:rPr>
        <w:t>Dangerous Goods List</w:t>
      </w:r>
      <w:r>
        <w:t xml:space="preserve"> means the list set out in the ADG Code section 3.2.3;</w:t>
      </w:r>
    </w:p>
    <w:p>
      <w:pPr>
        <w:pStyle w:val="Defstart"/>
        <w:spacing w:before="100"/>
      </w:pPr>
      <w:r>
        <w:rPr>
          <w:b/>
        </w:rPr>
        <w:tab/>
      </w:r>
      <w:r>
        <w:rPr>
          <w:rStyle w:val="CharDefText"/>
        </w:rPr>
        <w:t>employee</w:t>
      </w:r>
      <w:r>
        <w:t xml:space="preserve">, at a place, means any person who works at the place under — </w:t>
      </w:r>
    </w:p>
    <w:p>
      <w:pPr>
        <w:pStyle w:val="Defpara"/>
        <w:spacing w:before="100"/>
      </w:pPr>
      <w:r>
        <w:tab/>
        <w:t>(a)</w:t>
      </w:r>
      <w:r>
        <w:tab/>
        <w:t>a contract of service; or</w:t>
      </w:r>
    </w:p>
    <w:p>
      <w:pPr>
        <w:pStyle w:val="Defpara"/>
        <w:spacing w:before="100"/>
      </w:pPr>
      <w:r>
        <w:tab/>
        <w:t>(b)</w:t>
      </w:r>
      <w:r>
        <w:tab/>
        <w:t>a contract for services; or</w:t>
      </w:r>
    </w:p>
    <w:p>
      <w:pPr>
        <w:pStyle w:val="Defpara"/>
        <w:spacing w:before="100"/>
      </w:pPr>
      <w:r>
        <w:tab/>
        <w:t>(c)</w:t>
      </w:r>
      <w:r>
        <w:tab/>
        <w:t xml:space="preserve">a training contract registered under the </w:t>
      </w:r>
      <w:r>
        <w:rPr>
          <w:i/>
        </w:rPr>
        <w:t>Vocational Education and Training Act 1996</w:t>
      </w:r>
      <w:r>
        <w:t xml:space="preserve"> Part 7 Division 2;</w:t>
      </w:r>
    </w:p>
    <w:p>
      <w:pPr>
        <w:pStyle w:val="Defstart"/>
        <w:spacing w:before="100"/>
      </w:pPr>
      <w:r>
        <w:rPr>
          <w:b/>
        </w:rPr>
        <w:tab/>
      </w:r>
      <w:r>
        <w:rPr>
          <w:rStyle w:val="CharDefText"/>
        </w:rPr>
        <w:t>existing facility</w:t>
      </w:r>
      <w:r>
        <w:t xml:space="preserve"> means a place — </w:t>
      </w:r>
    </w:p>
    <w:p>
      <w:pPr>
        <w:pStyle w:val="Defpara"/>
        <w:spacing w:before="100"/>
      </w:pPr>
      <w:r>
        <w:tab/>
        <w:t>(a)</w:t>
      </w:r>
      <w:r>
        <w:tab/>
        <w:t>at which more than the critical quantity of Schedule 1 substances is present; and</w:t>
      </w:r>
    </w:p>
    <w:p>
      <w:pPr>
        <w:pStyle w:val="Defpara"/>
        <w:spacing w:before="100"/>
      </w:pPr>
      <w:r>
        <w:tab/>
        <w:t>(b)</w:t>
      </w:r>
      <w:r>
        <w:tab/>
        <w:t xml:space="preserve">that immediately before the commencement day — </w:t>
      </w:r>
    </w:p>
    <w:p>
      <w:pPr>
        <w:pStyle w:val="Defsubpara"/>
        <w:spacing w:before="100"/>
      </w:pPr>
      <w:r>
        <w:tab/>
        <w:t>(i)</w:t>
      </w:r>
      <w:r>
        <w:tab/>
        <w:t xml:space="preserve">was a dangerous goods site licensed under the </w:t>
      </w:r>
      <w:r>
        <w:rPr>
          <w:i/>
          <w:iCs/>
        </w:rPr>
        <w:t>Explosives and Dangerous Goods (Dangerous Goods Handling and Storage) Regulations 1992</w:t>
      </w:r>
      <w:r>
        <w:rPr>
          <w:vertAlign w:val="superscript"/>
        </w:rPr>
        <w:t> 2</w:t>
      </w:r>
      <w:r>
        <w:rPr>
          <w:iCs/>
        </w:rPr>
        <w:t>;</w:t>
      </w:r>
      <w:r>
        <w:t xml:space="preserve"> and</w:t>
      </w:r>
    </w:p>
    <w:p>
      <w:pPr>
        <w:pStyle w:val="Defsubpara"/>
        <w:spacing w:before="100"/>
      </w:pPr>
      <w:r>
        <w:tab/>
        <w:t>(ii)</w:t>
      </w:r>
      <w:r>
        <w:tab/>
        <w:t>at which more than the critical quantity of Schedule 1 substances was permitted, under the licence, to be present;</w:t>
      </w:r>
    </w:p>
    <w:p>
      <w:pPr>
        <w:pStyle w:val="Defstart"/>
        <w:spacing w:before="100"/>
      </w:pPr>
      <w:r>
        <w:rPr>
          <w:b/>
        </w:rPr>
        <w:tab/>
      </w:r>
      <w:r>
        <w:rPr>
          <w:rStyle w:val="CharDefText"/>
        </w:rPr>
        <w:t>harm</w:t>
      </w:r>
      <w:r>
        <w:t xml:space="preserve"> means — </w:t>
      </w:r>
    </w:p>
    <w:p>
      <w:pPr>
        <w:pStyle w:val="Defpara"/>
        <w:spacing w:before="100"/>
      </w:pPr>
      <w:r>
        <w:tab/>
        <w:t>(a)</w:t>
      </w:r>
      <w:r>
        <w:tab/>
        <w:t>injury to, or harm to the health of, an individual; or</w:t>
      </w:r>
    </w:p>
    <w:p>
      <w:pPr>
        <w:pStyle w:val="Defpara"/>
        <w:spacing w:before="100"/>
      </w:pPr>
      <w:r>
        <w:tab/>
        <w:t>(b)</w:t>
      </w:r>
      <w:r>
        <w:tab/>
        <w:t>damage or harm to property or the environment;</w:t>
      </w:r>
    </w:p>
    <w:p>
      <w:pPr>
        <w:pStyle w:val="Defstart"/>
        <w:spacing w:before="100"/>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spacing w:before="100"/>
      </w:pPr>
      <w:r>
        <w:rPr>
          <w:b/>
        </w:rPr>
        <w:tab/>
      </w:r>
      <w:r>
        <w:rPr>
          <w:rStyle w:val="CharDefText"/>
        </w:rPr>
        <w:t>major hazard facility</w:t>
      </w:r>
      <w:r>
        <w:t xml:space="preserve"> has the meaning given in regulation 5;</w:t>
      </w:r>
    </w:p>
    <w:p>
      <w:pPr>
        <w:pStyle w:val="Defstart"/>
        <w:spacing w:before="100"/>
      </w:pPr>
      <w:r>
        <w:rPr>
          <w:b/>
        </w:rPr>
        <w:tab/>
      </w:r>
      <w:r>
        <w:rPr>
          <w:rStyle w:val="CharDefText"/>
        </w:rPr>
        <w:t>major incident</w:t>
      </w:r>
      <w:r>
        <w:t xml:space="preserve"> means an incident involving or affecting a Schedule 1 substance, including — </w:t>
      </w:r>
    </w:p>
    <w:p>
      <w:pPr>
        <w:pStyle w:val="Defpara"/>
        <w:spacing w:before="100"/>
      </w:pPr>
      <w:r>
        <w:tab/>
        <w:t>(a)</w:t>
      </w:r>
      <w:r>
        <w:tab/>
        <w:t>an emission of a Schedule 1 substance; or</w:t>
      </w:r>
    </w:p>
    <w:p>
      <w:pPr>
        <w:pStyle w:val="Defpara"/>
        <w:spacing w:before="100"/>
      </w:pPr>
      <w:r>
        <w:tab/>
        <w:t>(b)</w:t>
      </w:r>
      <w:r>
        <w:tab/>
        <w:t>a loss of containment of a Schedule 1 substance; or</w:t>
      </w:r>
    </w:p>
    <w:p>
      <w:pPr>
        <w:pStyle w:val="Defpara"/>
        <w:spacing w:before="100"/>
      </w:pPr>
      <w:r>
        <w:tab/>
        <w:t>(c)</w:t>
      </w:r>
      <w:r>
        <w:tab/>
        <w:t>a fire; or</w:t>
      </w:r>
    </w:p>
    <w:p>
      <w:pPr>
        <w:pStyle w:val="Defpara"/>
        <w:spacing w:before="100"/>
      </w:pPr>
      <w:r>
        <w:tab/>
        <w:t>(d)</w:t>
      </w:r>
      <w:r>
        <w:tab/>
        <w:t>an explosion; or</w:t>
      </w:r>
    </w:p>
    <w:p>
      <w:pPr>
        <w:pStyle w:val="Defpara"/>
        <w:spacing w:before="100"/>
      </w:pPr>
      <w:r>
        <w:tab/>
        <w:t>(e)</w:t>
      </w:r>
      <w:r>
        <w:tab/>
        <w:t xml:space="preserve">a release of energy, </w:t>
      </w:r>
    </w:p>
    <w:p>
      <w:pPr>
        <w:pStyle w:val="Defstart"/>
        <w:spacing w:before="100"/>
      </w:pPr>
      <w:r>
        <w:tab/>
        <w:t>that causes serious harm to people, property or the environment;</w:t>
      </w:r>
    </w:p>
    <w:p>
      <w:pPr>
        <w:pStyle w:val="Defstart"/>
        <w:spacing w:before="100"/>
      </w:pPr>
      <w:r>
        <w:rPr>
          <w:b/>
        </w:rPr>
        <w:tab/>
      </w:r>
      <w:r>
        <w:rPr>
          <w:rStyle w:val="CharDefText"/>
        </w:rPr>
        <w:t>modified place</w:t>
      </w:r>
      <w:r>
        <w:t xml:space="preserve"> means a place — </w:t>
      </w:r>
    </w:p>
    <w:p>
      <w:pPr>
        <w:pStyle w:val="Defpara"/>
        <w:spacing w:before="100"/>
      </w:pPr>
      <w:r>
        <w:tab/>
        <w:t>(a)</w:t>
      </w:r>
      <w:r>
        <w:tab/>
        <w:t>in respect of which an operator is required to give the Chief Officer notification under regulation 15(3); and</w:t>
      </w:r>
    </w:p>
    <w:p>
      <w:pPr>
        <w:pStyle w:val="Defpara"/>
        <w:spacing w:before="100"/>
      </w:pPr>
      <w:r>
        <w:tab/>
        <w:t>(b)</w:t>
      </w:r>
      <w:r>
        <w:tab/>
        <w:t>that becomes, subsequent to the operator giving notification under regulation 15(3), a major hazard facility;</w:t>
      </w:r>
    </w:p>
    <w:p>
      <w:pPr>
        <w:pStyle w:val="Defstart"/>
        <w:spacing w:before="100"/>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spacing w:before="100"/>
      </w:pPr>
      <w:r>
        <w:rPr>
          <w:b/>
        </w:rPr>
        <w:tab/>
      </w:r>
      <w:r>
        <w:rPr>
          <w:rStyle w:val="CharDefText"/>
        </w:rPr>
        <w:t>notifiable information</w:t>
      </w:r>
      <w:r>
        <w:t xml:space="preserve"> means the information listed in Schedule 2;</w:t>
      </w:r>
    </w:p>
    <w:p>
      <w:pPr>
        <w:pStyle w:val="Defstart"/>
        <w:spacing w:before="100"/>
      </w:pPr>
      <w:r>
        <w:rPr>
          <w:b/>
        </w:rPr>
        <w:tab/>
      </w:r>
      <w:r>
        <w:rPr>
          <w:rStyle w:val="CharDefText"/>
        </w:rPr>
        <w:t>operator</w:t>
      </w:r>
      <w:r>
        <w:rPr>
          <w:bCs/>
        </w:rPr>
        <w:t>,</w:t>
      </w:r>
      <w:r>
        <w:t xml:space="preserve"> of a place, including a major hazard facility, means the person who has the control or management of the place;</w:t>
      </w:r>
    </w:p>
    <w:p>
      <w:pPr>
        <w:pStyle w:val="Defstart"/>
        <w:spacing w:before="100"/>
      </w:pPr>
      <w:r>
        <w:rPr>
          <w:b/>
        </w:rPr>
        <w:tab/>
      </w:r>
      <w:r>
        <w:rPr>
          <w:rStyle w:val="CharDefText"/>
        </w:rPr>
        <w:t>place</w:t>
      </w:r>
      <w:r>
        <w:t xml:space="preserve"> has the meaning given in regulation 6;</w:t>
      </w:r>
    </w:p>
    <w:p>
      <w:pPr>
        <w:pStyle w:val="Defstart"/>
        <w:spacing w:before="100"/>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spacing w:before="100"/>
      </w:pPr>
      <w:r>
        <w:tab/>
        <w:t>(a)</w:t>
      </w:r>
      <w:r>
        <w:tab/>
        <w:t xml:space="preserve">in the case of a facility other than a modified place — </w:t>
      </w:r>
    </w:p>
    <w:p>
      <w:pPr>
        <w:pStyle w:val="Defsubpara"/>
        <w:spacing w:before="100"/>
      </w:pPr>
      <w:r>
        <w:tab/>
        <w:t>(i)</w:t>
      </w:r>
      <w:r>
        <w:tab/>
        <w:t>if more than the critical quantity of Schedule 1 substances is at the facility — the present; or</w:t>
      </w:r>
    </w:p>
    <w:p>
      <w:pPr>
        <w:pStyle w:val="Defsubpara"/>
        <w:spacing w:before="100"/>
      </w:pPr>
      <w:r>
        <w:tab/>
        <w:t>(ii)</w:t>
      </w:r>
      <w:r>
        <w:tab/>
        <w:t>if more than the critical quantity of Schedule 1 substances is likely to be at the place — the time when more than the critical quantity of Schedule 1 substances is at the facility for the first time;</w:t>
      </w:r>
    </w:p>
    <w:p>
      <w:pPr>
        <w:pStyle w:val="Defpara"/>
        <w:spacing w:before="100"/>
      </w:pPr>
      <w:r>
        <w:tab/>
      </w:r>
      <w:r>
        <w:tab/>
        <w:t>or</w:t>
      </w:r>
    </w:p>
    <w:p>
      <w:pPr>
        <w:pStyle w:val="Defpara"/>
        <w:keepNext/>
        <w:spacing w:before="120"/>
      </w:pPr>
      <w:r>
        <w:tab/>
        <w:t>(b)</w:t>
      </w:r>
      <w:r>
        <w:tab/>
        <w:t xml:space="preserve">in the case of a modified place — </w:t>
      </w:r>
    </w:p>
    <w:p>
      <w:pPr>
        <w:pStyle w:val="Defsubpara"/>
        <w:keepNext/>
        <w:spacing w:before="120"/>
      </w:pPr>
      <w:r>
        <w:tab/>
        <w:t>(i)</w:t>
      </w:r>
      <w:r>
        <w:tab/>
        <w:t>if the notifiable change has occurred — the present; or</w:t>
      </w:r>
    </w:p>
    <w:p>
      <w:pPr>
        <w:pStyle w:val="Defsubpara"/>
        <w:spacing w:before="120"/>
      </w:pPr>
      <w:r>
        <w:tab/>
        <w:t>(ii)</w:t>
      </w:r>
      <w:r>
        <w:tab/>
        <w:t>if the notifiable change has not occurred — the time when the notifiable change occurs;</w:t>
      </w:r>
    </w:p>
    <w:p>
      <w:pPr>
        <w:pStyle w:val="Defstart"/>
        <w:spacing w:before="120"/>
      </w:pPr>
      <w:r>
        <w:rPr>
          <w:b/>
        </w:rPr>
        <w:tab/>
      </w:r>
      <w:r>
        <w:rPr>
          <w:rStyle w:val="CharDefText"/>
          <w:color w:val="000000"/>
        </w:rPr>
        <w:t>risk assessment</w:t>
      </w:r>
      <w:r>
        <w:t xml:space="preserve"> means a document that complies with regulation 23(2);</w:t>
      </w:r>
    </w:p>
    <w:p>
      <w:pPr>
        <w:pStyle w:val="Defstart"/>
        <w:spacing w:before="120"/>
      </w:pPr>
      <w:r>
        <w:rPr>
          <w:b/>
        </w:rPr>
        <w:tab/>
      </w:r>
      <w:r>
        <w:rPr>
          <w:rStyle w:val="CharDefText"/>
          <w:color w:val="000000"/>
        </w:rPr>
        <w:t>safety management system</w:t>
      </w:r>
      <w:r>
        <w:t xml:space="preserve"> means a document that complies with regulation 24(2);</w:t>
      </w:r>
    </w:p>
    <w:p>
      <w:pPr>
        <w:pStyle w:val="Defstart"/>
        <w:spacing w:before="120"/>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spacing w:before="120"/>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spacing w:before="120"/>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t>.</w:t>
      </w:r>
    </w:p>
    <w:p>
      <w:pPr>
        <w:pStyle w:val="Footnotesection"/>
      </w:pPr>
      <w:r>
        <w:tab/>
        <w:t>[Regulation 4 amended in Gazette 22 Jun 2010 p. 2783.]</w:t>
      </w:r>
    </w:p>
    <w:p>
      <w:pPr>
        <w:pStyle w:val="Heading5"/>
        <w:spacing w:before="260"/>
      </w:pPr>
      <w:bookmarkStart w:id="7" w:name="_Toc377048036"/>
      <w:r>
        <w:rPr>
          <w:rStyle w:val="CharSectno"/>
        </w:rPr>
        <w:t>5</w:t>
      </w:r>
      <w:r>
        <w:t>.</w:t>
      </w:r>
      <w:r>
        <w:tab/>
        <w:t>Major hazard facility, meaning of</w:t>
      </w:r>
      <w:bookmarkEnd w:id="7"/>
    </w:p>
    <w:p>
      <w:pPr>
        <w:pStyle w:val="Subsection"/>
        <w:spacing w:before="180"/>
      </w:pPr>
      <w:r>
        <w:tab/>
      </w:r>
      <w:r>
        <w:tab/>
        <w:t xml:space="preserve">A place is a major hazard facility for the purposes of these regulations if — </w:t>
      </w:r>
    </w:p>
    <w:p>
      <w:pPr>
        <w:pStyle w:val="Indenta"/>
        <w:spacing w:before="100"/>
      </w:pPr>
      <w:r>
        <w:tab/>
        <w:t>(a)</w:t>
      </w:r>
      <w:r>
        <w:tab/>
        <w:t>the operator of the place has been given a notice under regulation 21(1) of the Chief Officer’s decision to classify the place as a major hazard facility; and</w:t>
      </w:r>
    </w:p>
    <w:p>
      <w:pPr>
        <w:pStyle w:val="Indenta"/>
        <w:spacing w:before="100"/>
      </w:pPr>
      <w:r>
        <w:tab/>
        <w:t>(b)</w:t>
      </w:r>
      <w:r>
        <w:tab/>
        <w:t>the Chief Officer has not subsequently revoked that decision under regulation 22.</w:t>
      </w:r>
    </w:p>
    <w:p>
      <w:pPr>
        <w:pStyle w:val="Heading5"/>
      </w:pPr>
      <w:bookmarkStart w:id="8" w:name="_Toc377048037"/>
      <w:r>
        <w:rPr>
          <w:rStyle w:val="CharSectno"/>
        </w:rPr>
        <w:t>6</w:t>
      </w:r>
      <w:r>
        <w:t>.</w:t>
      </w:r>
      <w:r>
        <w:tab/>
        <w:t>Place, meaning of</w:t>
      </w:r>
      <w:bookmarkEnd w:id="8"/>
    </w:p>
    <w:p>
      <w:pPr>
        <w:pStyle w:val="Subsection"/>
      </w:pPr>
      <w:r>
        <w:tab/>
        <w:t>(1)</w:t>
      </w:r>
      <w:r>
        <w:tab/>
        <w:t>An area of land, or of water, or of land and water is a place for the purposes of these regulations if it is controlled or managed by one person.</w:t>
      </w:r>
    </w:p>
    <w:p>
      <w:pPr>
        <w:pStyle w:val="Subsection"/>
        <w:keepNext/>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9" w:name="_Toc377048038"/>
      <w:r>
        <w:rPr>
          <w:rStyle w:val="CharSectno"/>
        </w:rPr>
        <w:t>7</w:t>
      </w:r>
      <w:r>
        <w:t>.</w:t>
      </w:r>
      <w:r>
        <w:tab/>
        <w:t>When Sch. 1 substances are likely to be at a place</w:t>
      </w:r>
      <w:bookmarkEnd w:id="9"/>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10" w:name="_Toc377048039"/>
      <w:r>
        <w:rPr>
          <w:rStyle w:val="CharSectno"/>
        </w:rPr>
        <w:t>8</w:t>
      </w:r>
      <w:r>
        <w:t>.</w:t>
      </w:r>
      <w:r>
        <w:tab/>
        <w:t>Quantity of substances at or likely to be at a place, determining</w:t>
      </w:r>
      <w:bookmarkEnd w:id="10"/>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rPr>
          <w:position w:val="-10"/>
        </w:rPr>
      </w:pPr>
      <w:r>
        <w:rPr>
          <w:position w:val="-10"/>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15.75pt" o:ole="">
            <v:imagedata r:id="rId21" o:title=""/>
          </v:shape>
          <o:OLEObject Type="Embed" ProgID="Equation.3" ShapeID="_x0000_i1025" DrawAspect="Content" ObjectID="_1643924921" r:id="rId22"/>
        </w:object>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11" w:name="_Toc377048040"/>
      <w:r>
        <w:rPr>
          <w:rStyle w:val="CharSectno"/>
        </w:rPr>
        <w:t>9</w:t>
      </w:r>
      <w:r>
        <w:t>.</w:t>
      </w:r>
      <w:r>
        <w:tab/>
        <w:t>Critical quantity of Sch. 1 substances at or likely to be at a place, determining</w:t>
      </w:r>
      <w:bookmarkEnd w:id="11"/>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12" w:name="_Toc377048041"/>
      <w:r>
        <w:rPr>
          <w:rStyle w:val="CharSectno"/>
        </w:rPr>
        <w:t>10</w:t>
      </w:r>
      <w:r>
        <w:t>.</w:t>
      </w:r>
      <w:r>
        <w:tab/>
        <w:t>Threshold quantity for a Sch. 1 substance, determining</w:t>
      </w:r>
      <w:bookmarkEnd w:id="12"/>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 xml:space="preserve">If in the course of determining whether a substance belongs to a particular category listed in column 1 of Table 2 a question arises as to what procedure is the relevant procedure referred to in the definitions of </w:t>
      </w:r>
      <w:r>
        <w:rPr>
          <w:b/>
          <w:i/>
        </w:rPr>
        <w:t>class</w:t>
      </w:r>
      <w:r>
        <w:t xml:space="preserve">, </w:t>
      </w:r>
      <w:r>
        <w:rPr>
          <w:b/>
          <w:i/>
        </w:rPr>
        <w:t>classification code</w:t>
      </w:r>
      <w:r>
        <w:t xml:space="preserve">, </w:t>
      </w:r>
      <w:r>
        <w:rPr>
          <w:b/>
          <w:i/>
        </w:rPr>
        <w:t>division</w:t>
      </w:r>
      <w:r>
        <w:t xml:space="preserve">, </w:t>
      </w:r>
      <w:r>
        <w:rPr>
          <w:b/>
          <w:i/>
        </w:rPr>
        <w:t>hazchem code</w:t>
      </w:r>
      <w:r>
        <w:t xml:space="preserve">, </w:t>
      </w:r>
      <w:r>
        <w:rPr>
          <w:b/>
          <w:i/>
        </w:rPr>
        <w:t>packing group</w:t>
      </w:r>
      <w:r>
        <w:t xml:space="preserve"> and </w:t>
      </w:r>
      <w:r>
        <w:rPr>
          <w:b/>
          <w:i/>
        </w:rPr>
        <w:t>subsidiary risk</w:t>
      </w:r>
      <w:r>
        <w:t xml:space="preserve">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13" w:name="_Toc377048042"/>
      <w:r>
        <w:rPr>
          <w:rStyle w:val="CharPartNo"/>
        </w:rPr>
        <w:t>Part 2</w:t>
      </w:r>
      <w:r>
        <w:rPr>
          <w:rStyle w:val="CharDivNo"/>
        </w:rPr>
        <w:t> </w:t>
      </w:r>
      <w:r>
        <w:t>—</w:t>
      </w:r>
      <w:r>
        <w:rPr>
          <w:rStyle w:val="CharDivText"/>
        </w:rPr>
        <w:t> </w:t>
      </w:r>
      <w:r>
        <w:rPr>
          <w:rStyle w:val="CharPartText"/>
        </w:rPr>
        <w:t>Main offences</w:t>
      </w:r>
      <w:bookmarkEnd w:id="13"/>
    </w:p>
    <w:p>
      <w:pPr>
        <w:pStyle w:val="Heading5"/>
      </w:pPr>
      <w:bookmarkStart w:id="14" w:name="_Toc377048043"/>
      <w:r>
        <w:rPr>
          <w:rStyle w:val="CharSectno"/>
        </w:rPr>
        <w:t>11</w:t>
      </w:r>
      <w:r>
        <w:t>.</w:t>
      </w:r>
      <w:r>
        <w:tab/>
        <w:t>Sch. 1 substances at a place not to exceed critical quantity without prior notification to Chief Officer</w:t>
      </w:r>
      <w:bookmarkEnd w:id="14"/>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15" w:name="_Toc377048044"/>
      <w:r>
        <w:rPr>
          <w:rStyle w:val="CharSectno"/>
        </w:rPr>
        <w:t>12</w:t>
      </w:r>
      <w:r>
        <w:t>.</w:t>
      </w:r>
      <w:r>
        <w:tab/>
        <w:t>No significant change to certain places without prior notification to Chief Officer</w:t>
      </w:r>
      <w:bookmarkEnd w:id="15"/>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6" w:name="_Toc377048045"/>
      <w:r>
        <w:rPr>
          <w:rStyle w:val="CharSectno"/>
        </w:rPr>
        <w:t>13</w:t>
      </w:r>
      <w:r>
        <w:t>.</w:t>
      </w:r>
      <w:r>
        <w:tab/>
        <w:t xml:space="preserve">Major hazard facility to operate in accordance with safety management system in approved </w:t>
      </w:r>
      <w:r>
        <w:rPr>
          <w:color w:val="000000"/>
        </w:rPr>
        <w:t>safety report</w:t>
      </w:r>
      <w:bookmarkEnd w:id="16"/>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17" w:name="_Toc377048046"/>
      <w:r>
        <w:rPr>
          <w:rStyle w:val="CharPartNo"/>
        </w:rPr>
        <w:t>Part 3</w:t>
      </w:r>
      <w:r>
        <w:rPr>
          <w:rStyle w:val="CharDivNo"/>
        </w:rPr>
        <w:t> </w:t>
      </w:r>
      <w:r>
        <w:t>—</w:t>
      </w:r>
      <w:r>
        <w:rPr>
          <w:rStyle w:val="CharDivText"/>
        </w:rPr>
        <w:t> </w:t>
      </w:r>
      <w:r>
        <w:rPr>
          <w:rStyle w:val="CharPartText"/>
        </w:rPr>
        <w:t>Notification requirements</w:t>
      </w:r>
      <w:bookmarkEnd w:id="17"/>
    </w:p>
    <w:p>
      <w:pPr>
        <w:pStyle w:val="Heading5"/>
      </w:pPr>
      <w:bookmarkStart w:id="18" w:name="_Toc377048047"/>
      <w:r>
        <w:rPr>
          <w:rStyle w:val="CharSectno"/>
        </w:rPr>
        <w:t>14</w:t>
      </w:r>
      <w:r>
        <w:t>.</w:t>
      </w:r>
      <w:r>
        <w:tab/>
        <w:t>Operator to notify Chief Officer if more than critical quantity of Sch. 1 substances likely to be at place</w:t>
      </w:r>
      <w:bookmarkEnd w:id="18"/>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spacing w:before="60"/>
      </w:pPr>
      <w:r>
        <w:tab/>
        <w:t>(a)</w:t>
      </w:r>
      <w:r>
        <w:tab/>
        <w:t>for an individual, a fine of $10 000 or imprisonment for 10 months or both;</w:t>
      </w:r>
    </w:p>
    <w:p>
      <w:pPr>
        <w:pStyle w:val="Penpara"/>
        <w:spacing w:before="60"/>
      </w:pPr>
      <w:r>
        <w:tab/>
        <w:t>(b)</w:t>
      </w:r>
      <w:r>
        <w:tab/>
        <w:t>for a body corporate, a fine of $50 000.</w:t>
      </w:r>
    </w:p>
    <w:p>
      <w:pPr>
        <w:pStyle w:val="Heading5"/>
      </w:pPr>
      <w:bookmarkStart w:id="19" w:name="_Toc377048048"/>
      <w:r>
        <w:rPr>
          <w:rStyle w:val="CharSectno"/>
        </w:rPr>
        <w:t>15</w:t>
      </w:r>
      <w:r>
        <w:t>.</w:t>
      </w:r>
      <w:r>
        <w:tab/>
        <w:t>Operator of certain places to notify Chief Officer of certain changes</w:t>
      </w:r>
      <w:bookmarkEnd w:id="19"/>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pPr>
      <w:r>
        <w:tab/>
        <w:t>[Regulation 15 amended in Gazette 22 Jun 2010 p. 2783.]</w:t>
      </w:r>
    </w:p>
    <w:p>
      <w:pPr>
        <w:pStyle w:val="Heading5"/>
      </w:pPr>
      <w:bookmarkStart w:id="20" w:name="_Toc377048049"/>
      <w:r>
        <w:rPr>
          <w:rStyle w:val="CharSectno"/>
        </w:rPr>
        <w:t>16</w:t>
      </w:r>
      <w:r>
        <w:t>.</w:t>
      </w:r>
      <w:r>
        <w:tab/>
        <w:t>Chief Officer may direct operator to give notification in some cases</w:t>
      </w:r>
      <w:bookmarkEnd w:id="20"/>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keepNext/>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21" w:name="_Toc377048050"/>
      <w:r>
        <w:rPr>
          <w:rStyle w:val="CharSectno"/>
        </w:rPr>
        <w:t>17</w:t>
      </w:r>
      <w:r>
        <w:t>.</w:t>
      </w:r>
      <w:r>
        <w:tab/>
        <w:t>Notification required under r. 14, 15 and 16, form and content of</w:t>
      </w:r>
      <w:bookmarkEnd w:id="21"/>
      <w:r>
        <w:t xml:space="preserve"> </w:t>
      </w:r>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keepNext/>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Indenta"/>
      </w:pPr>
      <w:r>
        <w:tab/>
        <w:t>(c)</w:t>
      </w:r>
      <w:r>
        <w:tab/>
        <w:t>contain the notifiable information for the place as it exists, or as the operator expects it will exist, on the relevant date.</w:t>
      </w:r>
    </w:p>
    <w:p>
      <w:pPr>
        <w:pStyle w:val="Heading5"/>
      </w:pPr>
      <w:bookmarkStart w:id="22" w:name="_Toc377048051"/>
      <w:r>
        <w:rPr>
          <w:rStyle w:val="CharSectno"/>
        </w:rPr>
        <w:t>18</w:t>
      </w:r>
      <w:r>
        <w:t>.</w:t>
      </w:r>
      <w:r>
        <w:tab/>
        <w:t>Chief Officer may direct operator to give further information</w:t>
      </w:r>
      <w:bookmarkEnd w:id="22"/>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23" w:name="_Toc377048052"/>
      <w:r>
        <w:rPr>
          <w:rStyle w:val="CharPartNo"/>
        </w:rPr>
        <w:t>Part 4</w:t>
      </w:r>
      <w:r>
        <w:rPr>
          <w:rStyle w:val="CharDivNo"/>
        </w:rPr>
        <w:t> </w:t>
      </w:r>
      <w:r>
        <w:t>—</w:t>
      </w:r>
      <w:r>
        <w:rPr>
          <w:rStyle w:val="CharDivText"/>
        </w:rPr>
        <w:t> </w:t>
      </w:r>
      <w:r>
        <w:rPr>
          <w:rStyle w:val="CharPartText"/>
        </w:rPr>
        <w:t>Certain places to be major hazard facilities</w:t>
      </w:r>
      <w:bookmarkEnd w:id="23"/>
    </w:p>
    <w:p>
      <w:pPr>
        <w:pStyle w:val="Heading5"/>
      </w:pPr>
      <w:bookmarkStart w:id="24" w:name="_Toc377048053"/>
      <w:r>
        <w:rPr>
          <w:rStyle w:val="CharSectno"/>
        </w:rPr>
        <w:t>19</w:t>
      </w:r>
      <w:r>
        <w:t>.</w:t>
      </w:r>
      <w:r>
        <w:tab/>
        <w:t>Classifying places as major hazard facilities, Chief Officer’s functions as to</w:t>
      </w:r>
      <w:bookmarkEnd w:id="24"/>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25" w:name="_Toc377048054"/>
      <w:r>
        <w:rPr>
          <w:rStyle w:val="CharSectno"/>
        </w:rPr>
        <w:t>20</w:t>
      </w:r>
      <w:r>
        <w:t>.</w:t>
      </w:r>
      <w:r>
        <w:tab/>
        <w:t>Chief Officer to consult before classifying place as major hazard facility</w:t>
      </w:r>
      <w:bookmarkEnd w:id="25"/>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26" w:name="_Toc377048055"/>
      <w:r>
        <w:rPr>
          <w:rStyle w:val="CharSectno"/>
        </w:rPr>
        <w:t>21</w:t>
      </w:r>
      <w:r>
        <w:t>.</w:t>
      </w:r>
      <w:r>
        <w:tab/>
        <w:t>Chief Officer to notify decision whether or not to classify a place as a major hazard facility</w:t>
      </w:r>
      <w:bookmarkEnd w:id="26"/>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27" w:name="_Toc377048056"/>
      <w:r>
        <w:rPr>
          <w:rStyle w:val="CharSectno"/>
        </w:rPr>
        <w:t>22</w:t>
      </w:r>
      <w:r>
        <w:t>.</w:t>
      </w:r>
      <w:r>
        <w:tab/>
        <w:t>Chief Officer may revoke decision to classify place as major hazard facility</w:t>
      </w:r>
      <w:bookmarkEnd w:id="27"/>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28" w:name="_Toc377048057"/>
      <w:r>
        <w:rPr>
          <w:rStyle w:val="CharPartNo"/>
        </w:rPr>
        <w:t>Part 5</w:t>
      </w:r>
      <w:r>
        <w:rPr>
          <w:rStyle w:val="CharDivNo"/>
        </w:rPr>
        <w:t> </w:t>
      </w:r>
      <w:r>
        <w:t>—</w:t>
      </w:r>
      <w:r>
        <w:rPr>
          <w:rStyle w:val="CharDivText"/>
        </w:rPr>
        <w:t> </w:t>
      </w:r>
      <w:r>
        <w:rPr>
          <w:rStyle w:val="CharPartText"/>
          <w:color w:val="000000"/>
        </w:rPr>
        <w:t>Safety reports</w:t>
      </w:r>
      <w:bookmarkEnd w:id="28"/>
    </w:p>
    <w:p>
      <w:pPr>
        <w:pStyle w:val="Heading5"/>
      </w:pPr>
      <w:bookmarkStart w:id="29" w:name="_Toc377048058"/>
      <w:r>
        <w:rPr>
          <w:rStyle w:val="CharSectno"/>
        </w:rPr>
        <w:t>23</w:t>
      </w:r>
      <w:r>
        <w:t>.</w:t>
      </w:r>
      <w:r>
        <w:tab/>
        <w:t>R</w:t>
      </w:r>
      <w:r>
        <w:rPr>
          <w:color w:val="000000"/>
        </w:rPr>
        <w:t>isk assessment, operator of major hazard facility to prepare</w:t>
      </w:r>
      <w:bookmarkEnd w:id="29"/>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30" w:name="_Toc377048059"/>
      <w:r>
        <w:rPr>
          <w:rStyle w:val="CharSectno"/>
        </w:rPr>
        <w:t>24</w:t>
      </w:r>
      <w:r>
        <w:t>.</w:t>
      </w:r>
      <w:r>
        <w:tab/>
        <w:t>S</w:t>
      </w:r>
      <w:r>
        <w:rPr>
          <w:color w:val="000000"/>
        </w:rPr>
        <w:t>afety management system, operator of major hazard facility to prepare</w:t>
      </w:r>
      <w:bookmarkEnd w:id="30"/>
    </w:p>
    <w:p>
      <w:pPr>
        <w:pStyle w:val="Subsection"/>
        <w:spacing w:before="180"/>
        <w:rPr>
          <w:color w:val="000000"/>
        </w:rPr>
      </w:pPr>
      <w:r>
        <w:tab/>
        <w:t>(1)</w:t>
      </w:r>
      <w:r>
        <w:tab/>
        <w:t xml:space="preserve">The operator of a major hazard facility must prepare a </w:t>
      </w:r>
      <w:r>
        <w:rPr>
          <w:color w:val="000000"/>
        </w:rPr>
        <w:t>safety management system for the facility.</w:t>
      </w:r>
    </w:p>
    <w:p>
      <w:pPr>
        <w:pStyle w:val="Subsection"/>
        <w:spacing w:before="180"/>
      </w:pPr>
      <w:r>
        <w:tab/>
        <w:t>(2)</w:t>
      </w:r>
      <w:r>
        <w:tab/>
      </w:r>
      <w:r>
        <w:rPr>
          <w:color w:val="000000"/>
        </w:rPr>
        <w:t>A safety management system for</w:t>
      </w:r>
      <w:r>
        <w:t xml:space="preserve"> a facility is a document that — </w:t>
      </w:r>
    </w:p>
    <w:p>
      <w:pPr>
        <w:pStyle w:val="Indenta"/>
        <w:spacing w:before="100"/>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spacing w:before="100"/>
      </w:pPr>
      <w:r>
        <w:tab/>
        <w:t>(b)</w:t>
      </w:r>
      <w:r>
        <w:tab/>
        <w:t>has been prepared in consultation with employees and records the details of the consultation; and</w:t>
      </w:r>
    </w:p>
    <w:p>
      <w:pPr>
        <w:pStyle w:val="Indenta"/>
        <w:spacing w:before="100"/>
      </w:pPr>
      <w:r>
        <w:tab/>
        <w:t>(c)</w:t>
      </w:r>
      <w:r>
        <w:tab/>
        <w:t>is in a form acceptable to the Chief Officer.</w:t>
      </w:r>
    </w:p>
    <w:p>
      <w:pPr>
        <w:pStyle w:val="Subsection"/>
        <w:spacing w:before="180"/>
      </w:pPr>
      <w:r>
        <w:tab/>
        <w:t>(3)</w:t>
      </w:r>
      <w:r>
        <w:tab/>
        <w:t xml:space="preserve">A </w:t>
      </w:r>
      <w:r>
        <w:rPr>
          <w:color w:val="000000"/>
        </w:rPr>
        <w:t>safety management system is</w:t>
      </w:r>
      <w:r>
        <w:t xml:space="preserve"> prescribed to be a safety management document for the purposes of the definition of </w:t>
      </w:r>
      <w:r>
        <w:rPr>
          <w:b/>
          <w:i/>
        </w:rPr>
        <w:t>safety management document</w:t>
      </w:r>
      <w:r>
        <w:t xml:space="preserve"> in the Act section 3(1).</w:t>
      </w:r>
    </w:p>
    <w:p>
      <w:pPr>
        <w:pStyle w:val="Heading5"/>
        <w:spacing w:before="260"/>
      </w:pPr>
      <w:bookmarkStart w:id="31" w:name="_Toc377048060"/>
      <w:r>
        <w:rPr>
          <w:rStyle w:val="CharSectno"/>
        </w:rPr>
        <w:t>25</w:t>
      </w:r>
      <w:r>
        <w:t>.</w:t>
      </w:r>
      <w:r>
        <w:tab/>
        <w:t>S</w:t>
      </w:r>
      <w:r>
        <w:rPr>
          <w:color w:val="000000"/>
        </w:rPr>
        <w:t>afety report, operator of major hazard facility to prepare</w:t>
      </w:r>
      <w:bookmarkEnd w:id="31"/>
    </w:p>
    <w:p>
      <w:pPr>
        <w:pStyle w:val="Subsection"/>
        <w:spacing w:before="180"/>
        <w:rPr>
          <w:color w:val="000000"/>
        </w:rPr>
      </w:pPr>
      <w:r>
        <w:tab/>
        <w:t>(1)</w:t>
      </w:r>
      <w:r>
        <w:tab/>
        <w:t xml:space="preserve">The operator of a major hazard facility must prepare a </w:t>
      </w:r>
      <w:r>
        <w:rPr>
          <w:color w:val="000000"/>
        </w:rPr>
        <w:t>safety report for the facility.</w:t>
      </w:r>
    </w:p>
    <w:p>
      <w:pPr>
        <w:pStyle w:val="Subsection"/>
        <w:spacing w:before="180"/>
      </w:pPr>
      <w:r>
        <w:tab/>
        <w:t>(2)</w:t>
      </w:r>
      <w:r>
        <w:tab/>
      </w:r>
      <w:r>
        <w:rPr>
          <w:color w:val="000000"/>
        </w:rPr>
        <w:t>A safety report for</w:t>
      </w:r>
      <w:r>
        <w:t xml:space="preserve"> a facility is a document that — </w:t>
      </w:r>
    </w:p>
    <w:p>
      <w:pPr>
        <w:pStyle w:val="Indenta"/>
        <w:spacing w:before="100"/>
      </w:pPr>
      <w:r>
        <w:tab/>
        <w:t>(a)</w:t>
      </w:r>
      <w:r>
        <w:tab/>
        <w:t>contains the notifiable information for the facility as it exists, or as the operator expects it will exist, at the relevant time; and</w:t>
      </w:r>
    </w:p>
    <w:p>
      <w:pPr>
        <w:pStyle w:val="Indenta"/>
        <w:spacing w:before="100"/>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keepLines/>
        <w:spacing w:before="100"/>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 xml:space="preserve">is prescribed to be a safety management document for the purposes of the definition of </w:t>
      </w:r>
      <w:r>
        <w:rPr>
          <w:b/>
          <w:i/>
          <w:color w:val="000000"/>
        </w:rPr>
        <w:t>safety management document</w:t>
      </w:r>
      <w:r>
        <w:rPr>
          <w:color w:val="000000"/>
        </w:rPr>
        <w:t xml:space="preserve"> in the Act section 3(1).</w:t>
      </w:r>
    </w:p>
    <w:p>
      <w:pPr>
        <w:pStyle w:val="Heading5"/>
        <w:rPr>
          <w:color w:val="000000"/>
        </w:rPr>
      </w:pPr>
      <w:bookmarkStart w:id="32" w:name="_Toc377048061"/>
      <w:r>
        <w:rPr>
          <w:rStyle w:val="CharSectno"/>
        </w:rPr>
        <w:t>26</w:t>
      </w:r>
      <w:r>
        <w:t>.</w:t>
      </w:r>
      <w:r>
        <w:tab/>
        <w:t>S</w:t>
      </w:r>
      <w:r>
        <w:rPr>
          <w:color w:val="000000"/>
        </w:rPr>
        <w:t>afety report, application for approval of</w:t>
      </w:r>
      <w:bookmarkEnd w:id="32"/>
    </w:p>
    <w:p>
      <w:pPr>
        <w:pStyle w:val="Subsection"/>
      </w:pPr>
      <w:r>
        <w:tab/>
        <w:t>(1)</w:t>
      </w:r>
      <w:r>
        <w:tab/>
        <w:t xml:space="preserve">An application for approval of a </w:t>
      </w:r>
      <w:r>
        <w:rPr>
          <w:color w:val="000000"/>
        </w:rPr>
        <w:t>safety report</w:t>
      </w:r>
      <w:r>
        <w:t xml:space="preserve"> for a facility must —</w:t>
      </w:r>
    </w:p>
    <w:p>
      <w:pPr>
        <w:pStyle w:val="Indenta"/>
        <w:spacing w:before="100"/>
      </w:pPr>
      <w:r>
        <w:tab/>
        <w:t>(a)</w:t>
      </w:r>
      <w:r>
        <w:tab/>
        <w:t>be made to the Chief Officer in an approved form; and</w:t>
      </w:r>
    </w:p>
    <w:p>
      <w:pPr>
        <w:pStyle w:val="Indenta"/>
        <w:spacing w:before="100"/>
      </w:pPr>
      <w:r>
        <w:tab/>
        <w:t>(b)</w:t>
      </w:r>
      <w:r>
        <w:tab/>
        <w:t>if it is the first application for approval of a safety report for the facility — be accompanied by the relevant fee specified in Schedule 3 clause 1.</w:t>
      </w:r>
    </w:p>
    <w:p>
      <w:pPr>
        <w:pStyle w:val="Ednotesubsection"/>
      </w:pPr>
      <w:r>
        <w:tab/>
        <w:t>[(2)</w:t>
      </w:r>
      <w:r>
        <w:tab/>
        <w:t>deleted]</w:t>
      </w:r>
    </w:p>
    <w:p>
      <w:pPr>
        <w:pStyle w:val="Footnotesection"/>
      </w:pPr>
      <w:r>
        <w:tab/>
        <w:t>[Regulation 26 amended in Gazette 16 Mar 2012 p. 1270.]</w:t>
      </w:r>
    </w:p>
    <w:p>
      <w:pPr>
        <w:pStyle w:val="Heading5"/>
      </w:pPr>
      <w:bookmarkStart w:id="33" w:name="_Toc377048062"/>
      <w:r>
        <w:rPr>
          <w:rStyle w:val="CharSectno"/>
        </w:rPr>
        <w:t>27</w:t>
      </w:r>
      <w:r>
        <w:t>.</w:t>
      </w:r>
      <w:r>
        <w:tab/>
        <w:t>S</w:t>
      </w:r>
      <w:r>
        <w:rPr>
          <w:color w:val="000000"/>
        </w:rPr>
        <w:t xml:space="preserve">afety report, approval of </w:t>
      </w:r>
      <w:r>
        <w:t>by Chief Officer</w:t>
      </w:r>
      <w:bookmarkEnd w:id="33"/>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spacing w:before="100"/>
      </w:pPr>
      <w:r>
        <w:tab/>
        <w:t>(a)</w:t>
      </w:r>
      <w:r>
        <w:tab/>
        <w:t xml:space="preserve">the </w:t>
      </w:r>
      <w:r>
        <w:rPr>
          <w:color w:val="000000"/>
        </w:rPr>
        <w:t>safety report</w:t>
      </w:r>
      <w:r>
        <w:t xml:space="preserve"> complies with regulation 25(2); and</w:t>
      </w:r>
    </w:p>
    <w:p>
      <w:pPr>
        <w:pStyle w:val="Indenta"/>
        <w:spacing w:before="100"/>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spacing w:before="60"/>
      </w:pPr>
      <w:r>
        <w:tab/>
        <w:t>(a)</w:t>
      </w:r>
      <w:r>
        <w:tab/>
        <w:t>the severity of the risk to people, property or the environment from the dangerous goods; and</w:t>
      </w:r>
    </w:p>
    <w:p>
      <w:pPr>
        <w:pStyle w:val="Indenta"/>
        <w:spacing w:before="60"/>
      </w:pPr>
      <w:r>
        <w:tab/>
        <w:t>(b)</w:t>
      </w:r>
      <w:r>
        <w:tab/>
        <w:t>the severity of any harm that might be caused by the dangerous goods to people, property or the environment; and</w:t>
      </w:r>
    </w:p>
    <w:p>
      <w:pPr>
        <w:pStyle w:val="Indenta"/>
        <w:spacing w:before="60"/>
      </w:pPr>
      <w:r>
        <w:tab/>
        <w:t>(c)</w:t>
      </w:r>
      <w:r>
        <w:tab/>
        <w:t>public knowledge about the matters in paragraphs (a) and (b); and</w:t>
      </w:r>
    </w:p>
    <w:p>
      <w:pPr>
        <w:pStyle w:val="Indenta"/>
        <w:spacing w:before="60"/>
      </w:pPr>
      <w:r>
        <w:tab/>
        <w:t>(d)</w:t>
      </w:r>
      <w:r>
        <w:tab/>
        <w:t>public knowledge about means to reduce or eliminate the risk referred to in paragraph (a) or to reduce the severity referred to in paragraph (b); and</w:t>
      </w:r>
    </w:p>
    <w:p>
      <w:pPr>
        <w:pStyle w:val="Indenta"/>
        <w:spacing w:before="60"/>
      </w:pPr>
      <w:r>
        <w:tab/>
        <w:t>(e)</w:t>
      </w:r>
      <w:r>
        <w:tab/>
        <w:t>the availability, suitability and cost of those means.</w:t>
      </w:r>
    </w:p>
    <w:p>
      <w:pPr>
        <w:pStyle w:val="Heading5"/>
      </w:pPr>
      <w:bookmarkStart w:id="34" w:name="_Toc377048063"/>
      <w:r>
        <w:rPr>
          <w:rStyle w:val="CharSectno"/>
        </w:rPr>
        <w:t>28</w:t>
      </w:r>
      <w:r>
        <w:t>.</w:t>
      </w:r>
      <w:r>
        <w:tab/>
        <w:t xml:space="preserve">Withdrawal of approval of </w:t>
      </w:r>
      <w:r>
        <w:rPr>
          <w:color w:val="000000"/>
        </w:rPr>
        <w:t>safety report</w:t>
      </w:r>
      <w:bookmarkEnd w:id="34"/>
    </w:p>
    <w:p>
      <w:pPr>
        <w:pStyle w:val="Subsection"/>
        <w:spacing w:before="140"/>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spacing w:before="140"/>
      </w:pPr>
      <w:r>
        <w:tab/>
        <w:t>(2)</w:t>
      </w:r>
      <w:r>
        <w:tab/>
        <w:t xml:space="preserve">The Chief Officer cannot withdraw approval of </w:t>
      </w:r>
      <w:r>
        <w:rPr>
          <w:color w:val="000000"/>
        </w:rPr>
        <w:t>a safety report</w:t>
      </w:r>
      <w:r>
        <w:t xml:space="preserve"> if — </w:t>
      </w:r>
    </w:p>
    <w:p>
      <w:pPr>
        <w:pStyle w:val="Indenta"/>
        <w:spacing w:before="60"/>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spacing w:before="60"/>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35" w:name="_Toc377048064"/>
      <w:r>
        <w:rPr>
          <w:rStyle w:val="CharSectno"/>
        </w:rPr>
        <w:t>29</w:t>
      </w:r>
      <w:r>
        <w:t>.</w:t>
      </w:r>
      <w:r>
        <w:tab/>
        <w:t xml:space="preserve">Chief Officer to consult etc. before refusing to approve or withdrawing approval of </w:t>
      </w:r>
      <w:r>
        <w:rPr>
          <w:color w:val="000000"/>
        </w:rPr>
        <w:t>safety report</w:t>
      </w:r>
      <w:bookmarkEnd w:id="35"/>
    </w:p>
    <w:p>
      <w:pPr>
        <w:pStyle w:val="Subsection"/>
      </w:pPr>
      <w:r>
        <w:tab/>
        <w:t>(1)</w:t>
      </w:r>
      <w:r>
        <w:tab/>
        <w:t xml:space="preserve">Before the Chief Officer — </w:t>
      </w:r>
    </w:p>
    <w:p>
      <w:pPr>
        <w:pStyle w:val="Indenta"/>
        <w:spacing w:before="60"/>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w:t>
      </w:r>
      <w:r>
        <w:t xml:space="preserve">, the Chief Officer must — </w:t>
      </w:r>
    </w:p>
    <w:p>
      <w:pPr>
        <w:pStyle w:val="Indenta"/>
        <w:spacing w:before="70"/>
      </w:pPr>
      <w:r>
        <w:tab/>
        <w:t>(c)</w:t>
      </w:r>
      <w:r>
        <w:tab/>
        <w:t xml:space="preserve">give the operator of the major hazard facility to which the </w:t>
      </w:r>
      <w:r>
        <w:rPr>
          <w:color w:val="000000"/>
        </w:rPr>
        <w:t>safety report</w:t>
      </w:r>
      <w:r>
        <w:t xml:space="preserve"> relates written notice of — </w:t>
      </w:r>
    </w:p>
    <w:p>
      <w:pPr>
        <w:pStyle w:val="Indenti"/>
        <w:spacing w:before="70"/>
      </w:pPr>
      <w:r>
        <w:tab/>
        <w:t>(i)</w:t>
      </w:r>
      <w:r>
        <w:tab/>
        <w:t>the Chief Officer’s intention to make the decision referred to in paragraph (a) or (b); and</w:t>
      </w:r>
    </w:p>
    <w:p>
      <w:pPr>
        <w:pStyle w:val="Indenti"/>
        <w:spacing w:before="70"/>
      </w:pPr>
      <w:r>
        <w:tab/>
        <w:t>(ii)</w:t>
      </w:r>
      <w:r>
        <w:tab/>
        <w:t>the reasons for the intended decision;</w:t>
      </w:r>
    </w:p>
    <w:p>
      <w:pPr>
        <w:pStyle w:val="Indenta"/>
        <w:spacing w:before="70"/>
      </w:pPr>
      <w:r>
        <w:tab/>
      </w:r>
      <w:r>
        <w:tab/>
        <w:t>and</w:t>
      </w:r>
    </w:p>
    <w:p>
      <w:pPr>
        <w:pStyle w:val="Indenta"/>
        <w:spacing w:before="70"/>
      </w:pPr>
      <w:r>
        <w:tab/>
        <w:t>(d)</w:t>
      </w:r>
      <w:r>
        <w:tab/>
        <w:t>invite the operator to make submissions to the Chief Officer in relation to the intended decision before a date specified in the notice; and</w:t>
      </w:r>
    </w:p>
    <w:p>
      <w:pPr>
        <w:pStyle w:val="Indenta"/>
        <w:spacing w:before="70"/>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spacing w:before="120"/>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36" w:name="_Toc377048065"/>
      <w:r>
        <w:rPr>
          <w:rStyle w:val="CharSectno"/>
        </w:rPr>
        <w:t>30</w:t>
      </w:r>
      <w:r>
        <w:t>.</w:t>
      </w:r>
      <w:r>
        <w:tab/>
        <w:t>Safety report, review of by operator of major hazard facility</w:t>
      </w:r>
      <w:bookmarkEnd w:id="36"/>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spacing w:before="70"/>
      </w:pPr>
      <w:r>
        <w:tab/>
        <w:t>(a)</w:t>
      </w:r>
      <w:r>
        <w:tab/>
        <w:t xml:space="preserve">before implementing a significant change to — </w:t>
      </w:r>
    </w:p>
    <w:p>
      <w:pPr>
        <w:pStyle w:val="Indenti"/>
        <w:spacing w:before="70"/>
      </w:pPr>
      <w:r>
        <w:tab/>
        <w:t>(i)</w:t>
      </w:r>
      <w:r>
        <w:tab/>
        <w:t>any plant, process or substance used at the facility including the introduction of any new plant, process or substance; or</w:t>
      </w:r>
    </w:p>
    <w:p>
      <w:pPr>
        <w:pStyle w:val="Indenti"/>
        <w:spacing w:before="70"/>
      </w:pPr>
      <w:r>
        <w:tab/>
        <w:t>(ii)</w:t>
      </w:r>
      <w:r>
        <w:tab/>
        <w:t>the layout of the facility or where dangerous goods are to be stored, handled or transported within the facility;</w:t>
      </w:r>
    </w:p>
    <w:p>
      <w:pPr>
        <w:pStyle w:val="Indenta"/>
        <w:spacing w:before="70"/>
      </w:pPr>
      <w:r>
        <w:tab/>
      </w:r>
      <w:r>
        <w:tab/>
        <w:t>or</w:t>
      </w:r>
    </w:p>
    <w:p>
      <w:pPr>
        <w:pStyle w:val="Indenta"/>
        <w:spacing w:before="100"/>
      </w:pPr>
      <w:r>
        <w:tab/>
        <w:t>(b)</w:t>
      </w:r>
      <w:r>
        <w:tab/>
        <w:t>as soon as practicable after a dangerous goods incident or major incident occurs at the facility; or</w:t>
      </w:r>
    </w:p>
    <w:p>
      <w:pPr>
        <w:pStyle w:val="Indenta"/>
        <w:spacing w:before="100"/>
      </w:pPr>
      <w:r>
        <w:tab/>
        <w:t>(c)</w:t>
      </w:r>
      <w:r>
        <w:tab/>
        <w:t>as soon as practicable after becoming aware of a change in land use or zoning for the area surrounding the facility; or</w:t>
      </w:r>
    </w:p>
    <w:p>
      <w:pPr>
        <w:pStyle w:val="Indenta"/>
        <w:spacing w:before="100"/>
      </w:pPr>
      <w:r>
        <w:tab/>
        <w:t>(d)</w:t>
      </w:r>
      <w:r>
        <w:tab/>
        <w:t>as soon as practicable after receiving information provided under a direction given under regulation 31(1); or</w:t>
      </w:r>
    </w:p>
    <w:p>
      <w:pPr>
        <w:pStyle w:val="Indenta"/>
        <w:spacing w:before="100"/>
      </w:pPr>
      <w:r>
        <w:tab/>
        <w:t>(e)</w:t>
      </w:r>
      <w:r>
        <w:tab/>
        <w:t xml:space="preserve">as soon as practicable after the expiry of — </w:t>
      </w:r>
    </w:p>
    <w:p>
      <w:pPr>
        <w:pStyle w:val="Indenti"/>
        <w:spacing w:before="100"/>
      </w:pPr>
      <w:r>
        <w:tab/>
        <w:t>(i)</w:t>
      </w:r>
      <w:r>
        <w:tab/>
        <w:t>5 years since the last review under this regulation; or</w:t>
      </w:r>
    </w:p>
    <w:p>
      <w:pPr>
        <w:pStyle w:val="Indenti"/>
        <w:spacing w:before="100"/>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spacing w:before="100"/>
      </w:pPr>
      <w:r>
        <w:tab/>
      </w:r>
      <w:r>
        <w:tab/>
        <w:t>or</w:t>
      </w:r>
    </w:p>
    <w:p>
      <w:pPr>
        <w:pStyle w:val="Indenta"/>
        <w:spacing w:before="100"/>
      </w:pPr>
      <w:r>
        <w:tab/>
        <w:t>(f)</w:t>
      </w:r>
      <w:r>
        <w:tab/>
        <w:t>as soon as practicable after a request by the Chief Officer.</w:t>
      </w:r>
    </w:p>
    <w:p>
      <w:pPr>
        <w:pStyle w:val="Penstart"/>
        <w:spacing w:before="100"/>
      </w:pPr>
      <w:r>
        <w:tab/>
        <w:t xml:space="preserve">Penalty: </w:t>
      </w:r>
    </w:p>
    <w:p>
      <w:pPr>
        <w:pStyle w:val="Penpara"/>
        <w:spacing w:before="100"/>
      </w:pPr>
      <w:r>
        <w:tab/>
        <w:t>(a)</w:t>
      </w:r>
      <w:r>
        <w:tab/>
        <w:t>for an individual, a fine of $10 000 or imprisonment for 10 months or both;</w:t>
      </w:r>
    </w:p>
    <w:p>
      <w:pPr>
        <w:pStyle w:val="Penpara"/>
        <w:spacing w:before="100"/>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spacing w:before="100"/>
        <w:rPr>
          <w:color w:val="000000"/>
        </w:rPr>
      </w:pPr>
      <w:r>
        <w:rPr>
          <w:color w:val="000000"/>
        </w:rPr>
        <w:tab/>
        <w:t>(a)</w:t>
      </w:r>
      <w:r>
        <w:rPr>
          <w:color w:val="000000"/>
        </w:rPr>
        <w:tab/>
        <w:t>that the safety report no longer complies with regulation 25(2);</w:t>
      </w:r>
    </w:p>
    <w:p>
      <w:pPr>
        <w:pStyle w:val="Indenta"/>
        <w:spacing w:before="100"/>
        <w:rPr>
          <w:color w:val="000000"/>
        </w:rPr>
      </w:pPr>
      <w:r>
        <w:rPr>
          <w:color w:val="000000"/>
        </w:rPr>
        <w:tab/>
        <w:t>(b)</w:t>
      </w:r>
      <w:r>
        <w:rPr>
          <w:color w:val="000000"/>
        </w:rPr>
        <w:tab/>
        <w:t>that the risk assessment no longer complies with regulation 23(2);</w:t>
      </w:r>
    </w:p>
    <w:p>
      <w:pPr>
        <w:pStyle w:val="Indenta"/>
        <w:keepNext/>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37" w:name="_Toc377048066"/>
      <w:r>
        <w:rPr>
          <w:rStyle w:val="CharPartNo"/>
        </w:rPr>
        <w:t>Part 6</w:t>
      </w:r>
      <w:r>
        <w:rPr>
          <w:rStyle w:val="CharDivNo"/>
        </w:rPr>
        <w:t> </w:t>
      </w:r>
      <w:r>
        <w:t>—</w:t>
      </w:r>
      <w:r>
        <w:rPr>
          <w:rStyle w:val="CharDivText"/>
        </w:rPr>
        <w:t> </w:t>
      </w:r>
      <w:r>
        <w:rPr>
          <w:rStyle w:val="CharPartText"/>
        </w:rPr>
        <w:t>Miscellaneous</w:t>
      </w:r>
      <w:bookmarkEnd w:id="37"/>
    </w:p>
    <w:p>
      <w:pPr>
        <w:pStyle w:val="Heading5"/>
      </w:pPr>
      <w:bookmarkStart w:id="38" w:name="_Toc377048067"/>
      <w:r>
        <w:rPr>
          <w:rStyle w:val="CharSectno"/>
        </w:rPr>
        <w:t>31</w:t>
      </w:r>
      <w:r>
        <w:t>.</w:t>
      </w:r>
      <w:r>
        <w:tab/>
        <w:t>Major hazard facilities near to one another, Chief Officer may direct one to give information to the other</w:t>
      </w:r>
      <w:bookmarkEnd w:id="38"/>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39" w:name="_Toc377048068"/>
      <w:r>
        <w:rPr>
          <w:rStyle w:val="CharSectno"/>
        </w:rPr>
        <w:t>32</w:t>
      </w:r>
      <w:r>
        <w:t>.</w:t>
      </w:r>
      <w:r>
        <w:tab/>
        <w:t>Closure of major hazard facility, operator to notify Chief Officer of</w:t>
      </w:r>
      <w:bookmarkEnd w:id="39"/>
      <w:r>
        <w:t xml:space="preserve"> </w:t>
      </w:r>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pStyle w:val="Heading5"/>
      </w:pPr>
      <w:bookmarkStart w:id="40" w:name="_Toc377048069"/>
      <w:r>
        <w:rPr>
          <w:rStyle w:val="CharSectno"/>
        </w:rPr>
        <w:t>33</w:t>
      </w:r>
      <w:r>
        <w:t>.</w:t>
      </w:r>
      <w:r>
        <w:tab/>
        <w:t>Classes of major hazard facility for purposes of fees</w:t>
      </w:r>
      <w:bookmarkEnd w:id="40"/>
    </w:p>
    <w:p>
      <w:pPr>
        <w:pStyle w:val="Subsection"/>
      </w:pPr>
      <w:r>
        <w:tab/>
        <w:t>(1)</w:t>
      </w:r>
      <w:r>
        <w:tab/>
        <w:t>For the purposes of Schedule 3, major hazard facilities are to be classified under this regulation.</w:t>
      </w:r>
    </w:p>
    <w:p>
      <w:pPr>
        <w:pStyle w:val="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Subsection"/>
      </w:pPr>
      <w:r>
        <w:tab/>
        <w:t>(4)</w:t>
      </w:r>
      <w:r>
        <w:tab/>
        <w:t>A Class C facility is —</w:t>
      </w:r>
    </w:p>
    <w:p>
      <w:pPr>
        <w:pStyle w:val="Indenta"/>
      </w:pPr>
      <w:r>
        <w:tab/>
        <w:t>(a)</w:t>
      </w:r>
      <w:r>
        <w:tab/>
        <w:t>any major hazard facility at which Schedule 1 substances are used in, or produced by means of, an industrial production process that the Chief Officer determines is a process of low complexity; or</w:t>
      </w:r>
    </w:p>
    <w:p>
      <w:pPr>
        <w:pStyle w:val="Indenta"/>
      </w:pPr>
      <w:r>
        <w:tab/>
        <w:t>(b)</w:t>
      </w:r>
      <w:r>
        <w:tab/>
        <w:t>any major hazard facility at which Schedule 1 substances —</w:t>
      </w:r>
    </w:p>
    <w:p>
      <w:pPr>
        <w:pStyle w:val="Indenti"/>
      </w:pPr>
      <w:r>
        <w:tab/>
        <w:t>(i)</w:t>
      </w:r>
      <w:r>
        <w:tab/>
        <w:t>are stored but not used in, or produced by means of, an industrial production process; and</w:t>
      </w:r>
    </w:p>
    <w:p>
      <w:pPr>
        <w:pStyle w:val="Indenti"/>
      </w:pPr>
      <w:r>
        <w:tab/>
        <w:t>(ii)</w:t>
      </w:r>
      <w:r>
        <w:tab/>
        <w:t>in the view of the Chief Officer, are frequently handled.</w:t>
      </w:r>
    </w:p>
    <w:p>
      <w:pPr>
        <w:pStyle w:val="Subsection"/>
      </w:pPr>
      <w:r>
        <w:tab/>
        <w:t>(5)</w:t>
      </w:r>
      <w:r>
        <w:tab/>
        <w:t>A Class D facility is any major hazard facility at which Schedule 1 substances —</w:t>
      </w:r>
    </w:p>
    <w:p>
      <w:pPr>
        <w:pStyle w:val="Indenta"/>
      </w:pPr>
      <w:r>
        <w:tab/>
        <w:t>(a)</w:t>
      </w:r>
      <w:r>
        <w:tab/>
        <w:t>are stored but not used in, or produced by means of, an industrial production process; and</w:t>
      </w:r>
    </w:p>
    <w:p>
      <w:pPr>
        <w:pStyle w:val="Indenta"/>
      </w:pPr>
      <w:r>
        <w:tab/>
        <w:t>(b)</w:t>
      </w:r>
      <w:r>
        <w:tab/>
        <w:t>in the view of the Chief Officer, are infrequently handled.</w:t>
      </w:r>
    </w:p>
    <w:p>
      <w:pPr>
        <w:pStyle w:val="Footnotesection"/>
      </w:pPr>
      <w:r>
        <w:tab/>
        <w:t>[Regulation 33 inserted in Gazette 16 Mar 2012 p. 1270</w:t>
      </w:r>
      <w:r>
        <w:noBreakHyphen/>
        <w:t>1.]</w:t>
      </w:r>
    </w:p>
    <w:p>
      <w:pPr>
        <w:pStyle w:val="Heading5"/>
      </w:pPr>
      <w:bookmarkStart w:id="41" w:name="_Toc377048070"/>
      <w:r>
        <w:rPr>
          <w:rStyle w:val="CharSectno"/>
        </w:rPr>
        <w:t>34</w:t>
      </w:r>
      <w:r>
        <w:t>.</w:t>
      </w:r>
      <w:r>
        <w:tab/>
        <w:t>Annual fee for major hazard facilities</w:t>
      </w:r>
      <w:bookmarkEnd w:id="41"/>
    </w:p>
    <w:p>
      <w:pPr>
        <w:pStyle w:val="Subsection"/>
      </w:pPr>
      <w:r>
        <w:tab/>
        <w:t>(1)</w:t>
      </w:r>
      <w:r>
        <w:tab/>
        <w:t>In this regulation —</w:t>
      </w:r>
    </w:p>
    <w:p>
      <w:pPr>
        <w:pStyle w:val="Defstart"/>
      </w:pPr>
      <w:r>
        <w:tab/>
      </w:r>
      <w:r>
        <w:rPr>
          <w:rStyle w:val="CharDefText"/>
        </w:rPr>
        <w:t>grace period</w:t>
      </w:r>
      <w:r>
        <w:t xml:space="preserve"> means, as the case requires —</w:t>
      </w:r>
    </w:p>
    <w:p>
      <w:pPr>
        <w:pStyle w:val="Defpara"/>
      </w:pPr>
      <w:r>
        <w:tab/>
        <w:t>(a)</w:t>
      </w:r>
      <w:r>
        <w:tab/>
        <w:t>the one month period referred to in subregulation (4); or</w:t>
      </w:r>
    </w:p>
    <w:p>
      <w:pPr>
        <w:pStyle w:val="Defpara"/>
      </w:pPr>
      <w:r>
        <w:tab/>
        <w:t>(b)</w:t>
      </w:r>
      <w:r>
        <w:tab/>
        <w:t>the 3 month period referred to in subregulation (6);</w:t>
      </w:r>
    </w:p>
    <w:p>
      <w:pPr>
        <w:pStyle w:val="Defstart"/>
      </w:pPr>
      <w:r>
        <w:tab/>
      </w:r>
      <w:r>
        <w:rPr>
          <w:rStyle w:val="CharDefText"/>
        </w:rPr>
        <w:t>site licence</w:t>
      </w:r>
      <w:r>
        <w:t xml:space="preserve"> means —</w:t>
      </w:r>
    </w:p>
    <w:p>
      <w:pPr>
        <w:pStyle w:val="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Defpara"/>
      </w:pPr>
      <w:r>
        <w:tab/>
        <w:t>(b)</w:t>
      </w:r>
      <w:r>
        <w:tab/>
        <w:t xml:space="preserve">an SRS manufacture licence, or an SRS storage licence, granted under the </w:t>
      </w:r>
      <w:r>
        <w:rPr>
          <w:i/>
        </w:rPr>
        <w:t>Dangerous Goods Safety (Security Risk Substances) Regulations 2007</w:t>
      </w:r>
      <w:r>
        <w:t xml:space="preserve"> in respect of a dangerous goods site; or</w:t>
      </w:r>
    </w:p>
    <w:p>
      <w:pPr>
        <w:pStyle w:val="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Subsection"/>
      </w:pPr>
      <w:r>
        <w:tab/>
        <w:t>(2)</w:t>
      </w:r>
      <w:r>
        <w:tab/>
        <w:t>The holder of a site licence granted in respect of a dangerous goods site that is a major hazard facility must pay for each year the relevant annual fee specified in Schedule 3 clause 2.</w:t>
      </w:r>
    </w:p>
    <w:p>
      <w:pPr>
        <w:pStyle w:val="Subsection"/>
      </w:pPr>
      <w:r>
        <w:tab/>
        <w:t>(3)</w:t>
      </w:r>
      <w:r>
        <w:tab/>
        <w:t>An annual fee payable under subregulation (2) must be paid annually.</w:t>
      </w:r>
    </w:p>
    <w:p>
      <w:pPr>
        <w:pStyle w:val="Subsection"/>
      </w:pPr>
      <w:r>
        <w:tab/>
        <w:t>(4)</w:t>
      </w:r>
      <w:r>
        <w:tab/>
        <w:t>The first annual payment must be made before, on or within one month after the date on which a safety report for the site is approved under Part 5.</w:t>
      </w:r>
    </w:p>
    <w:p>
      <w:pPr>
        <w:pStyle w:val="Subsection"/>
      </w:pPr>
      <w:r>
        <w:tab/>
        <w:t>(5)</w:t>
      </w:r>
      <w:r>
        <w:tab/>
        <w:t>If the date referred to in subregulation (4)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Subsection"/>
      </w:pPr>
      <w:r>
        <w:tab/>
        <w:t>(6)</w:t>
      </w:r>
      <w:r>
        <w:tab/>
        <w:t>Each subsequent annual payment must be made before, on or within 3 months after —</w:t>
      </w:r>
    </w:p>
    <w:p>
      <w:pPr>
        <w:pStyle w:val="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Indenta"/>
      </w:pPr>
      <w:r>
        <w:tab/>
        <w:t>(b)</w:t>
      </w:r>
      <w:r>
        <w:tab/>
        <w:t>in any other case — the anniversary of the date on which the first annual payment has to be made under subregulation (4).</w:t>
      </w:r>
    </w:p>
    <w:p>
      <w:pPr>
        <w:pStyle w:val="Subsection"/>
      </w:pPr>
      <w:r>
        <w:tab/>
        <w:t>(7)</w:t>
      </w:r>
      <w:r>
        <w:tab/>
        <w:t>If under subregulation (4) or (6) a fee (including a fee reduced under subregulation (5)) is paid in the grace period, the holder must pay, with the fee, a late payment fee of $35.</w:t>
      </w:r>
    </w:p>
    <w:p>
      <w:pPr>
        <w:pStyle w:val="Footnotesection"/>
      </w:pPr>
      <w:r>
        <w:tab/>
        <w:t>[Regulation 34 inserted in Gazette 16 Mar 2012 p. 1271</w:t>
      </w:r>
      <w:r>
        <w:noBreakHyphen/>
        <w:t>3; amended in Gazette 11 Jan 2013 p. 55-6.]</w:t>
      </w:r>
    </w:p>
    <w:p>
      <w:pPr>
        <w:sectPr>
          <w:headerReference w:type="even" r:id="rId24"/>
          <w:headerReference w:type="default" r:id="rId25"/>
          <w:footerReference w:type="even" r:id="rId26"/>
          <w:footerReference w:type="default" r:id="rId27"/>
          <w:headerReference w:type="first" r:id="rId28"/>
          <w:footerReference w:type="first" r:id="rId29"/>
          <w:endnotePr>
            <w:numFmt w:val="decimal"/>
          </w:endnotePr>
          <w:pgSz w:w="11906" w:h="16838" w:code="9"/>
          <w:pgMar w:top="2376" w:right="2405" w:bottom="3542" w:left="2405" w:header="706" w:footer="3380" w:gutter="0"/>
          <w:pgNumType w:start="1"/>
          <w:cols w:space="720"/>
          <w:noEndnote/>
          <w:titlePg/>
          <w:docGrid w:linePitch="78"/>
        </w:sectPr>
      </w:pPr>
    </w:p>
    <w:p>
      <w:pPr>
        <w:pStyle w:val="yScheduleHeading"/>
        <w:outlineLvl w:val="0"/>
      </w:pPr>
      <w:bookmarkStart w:id="42" w:name="_Toc377048071"/>
      <w:r>
        <w:rPr>
          <w:rStyle w:val="CharSchNo"/>
        </w:rPr>
        <w:t>Schedule 1</w:t>
      </w:r>
      <w:r>
        <w:rPr>
          <w:rStyle w:val="CharSDivNo"/>
        </w:rPr>
        <w:t> </w:t>
      </w:r>
      <w:r>
        <w:t>—</w:t>
      </w:r>
      <w:r>
        <w:rPr>
          <w:rStyle w:val="CharSDivText"/>
        </w:rPr>
        <w:t> </w:t>
      </w:r>
      <w:r>
        <w:rPr>
          <w:rStyle w:val="CharSchText"/>
        </w:rPr>
        <w:t>Threshold quantity for Schedule 1 substances</w:t>
      </w:r>
      <w:bookmarkEnd w:id="42"/>
    </w:p>
    <w:p>
      <w:pPr>
        <w:pStyle w:val="yShoulderClause"/>
      </w:pPr>
      <w:r>
        <w:t>[r. 4 and 10]</w:t>
      </w:r>
    </w:p>
    <w:p>
      <w:pPr>
        <w:pStyle w:val="yHeading5"/>
      </w:pPr>
      <w:bookmarkStart w:id="43" w:name="_Toc377048072"/>
      <w:r>
        <w:rPr>
          <w:rStyle w:val="CharSClsNo"/>
        </w:rPr>
        <w:t>1</w:t>
      </w:r>
      <w:r>
        <w:t>.</w:t>
      </w:r>
      <w:r>
        <w:tab/>
        <w:t>Threshold quantity for substances</w:t>
      </w:r>
      <w:bookmarkEnd w:id="43"/>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spacing w:after="80"/>
        <w:rPr>
          <w:b/>
          <w:bCs/>
        </w:rPr>
      </w:pPr>
      <w:r>
        <w:rPr>
          <w:b/>
          <w:bCs/>
        </w:rPr>
        <w:t>Table 1</w:t>
      </w:r>
    </w:p>
    <w:tbl>
      <w:tblPr>
        <w:tblW w:w="0" w:type="auto"/>
        <w:tblInd w:w="675" w:type="dxa"/>
        <w:tblLayout w:type="fixed"/>
        <w:tblLook w:val="0000" w:firstRow="0" w:lastRow="0" w:firstColumn="0" w:lastColumn="0" w:noHBand="0" w:noVBand="0"/>
      </w:tblPr>
      <w:tblGrid>
        <w:gridCol w:w="2977"/>
        <w:gridCol w:w="1928"/>
        <w:gridCol w:w="1596"/>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928" w:type="dxa"/>
            <w:tcBorders>
              <w:top w:val="single" w:sz="4" w:space="0" w:color="auto"/>
              <w:bottom w:val="single" w:sz="4" w:space="0" w:color="auto"/>
            </w:tcBorders>
          </w:tcPr>
          <w:p>
            <w:pPr>
              <w:pStyle w:val="yTableNAm"/>
              <w:ind w:left="113"/>
              <w:rPr>
                <w:b/>
                <w:bCs/>
              </w:rPr>
            </w:pPr>
            <w:r>
              <w:rPr>
                <w:b/>
                <w:bCs/>
              </w:rPr>
              <w:t>UN number</w:t>
            </w:r>
          </w:p>
        </w:tc>
        <w:tc>
          <w:tcPr>
            <w:tcW w:w="1596" w:type="dxa"/>
            <w:tcBorders>
              <w:top w:val="single" w:sz="4" w:space="0" w:color="auto"/>
              <w:bottom w:val="single" w:sz="4" w:space="0" w:color="auto"/>
            </w:tcBorders>
          </w:tcPr>
          <w:p>
            <w:pPr>
              <w:pStyle w:val="yTableNAm"/>
              <w:ind w:left="170"/>
              <w:rPr>
                <w:b/>
                <w:bCs/>
              </w:rPr>
            </w:pPr>
            <w:r>
              <w:rPr>
                <w:b/>
                <w:bCs/>
              </w:rPr>
              <w:t>Threshold quantity (in tonnes)</w:t>
            </w:r>
          </w:p>
        </w:tc>
      </w:tr>
      <w:tr>
        <w:trPr>
          <w:cantSplit/>
        </w:trPr>
        <w:tc>
          <w:tcPr>
            <w:tcW w:w="2977" w:type="dxa"/>
          </w:tcPr>
          <w:p>
            <w:pPr>
              <w:pStyle w:val="yTableNAm"/>
            </w:pPr>
            <w:r>
              <w:t>ACETONE CYANOHYDRIN</w:t>
            </w:r>
          </w:p>
        </w:tc>
        <w:tc>
          <w:tcPr>
            <w:tcW w:w="1928" w:type="dxa"/>
          </w:tcPr>
          <w:p>
            <w:pPr>
              <w:pStyle w:val="yTableNAm"/>
              <w:ind w:left="113"/>
            </w:pPr>
            <w:r>
              <w:t>1541</w:t>
            </w:r>
          </w:p>
        </w:tc>
        <w:tc>
          <w:tcPr>
            <w:tcW w:w="1596" w:type="dxa"/>
          </w:tcPr>
          <w:p>
            <w:pPr>
              <w:pStyle w:val="yTableNAm"/>
              <w:ind w:left="170"/>
            </w:pPr>
            <w:r>
              <w:t>20</w:t>
            </w:r>
          </w:p>
        </w:tc>
      </w:tr>
      <w:tr>
        <w:trPr>
          <w:cantSplit/>
        </w:trPr>
        <w:tc>
          <w:tcPr>
            <w:tcW w:w="2977" w:type="dxa"/>
          </w:tcPr>
          <w:p>
            <w:pPr>
              <w:pStyle w:val="yTableNAm"/>
            </w:pPr>
            <w:r>
              <w:t>ACETYLENE</w:t>
            </w:r>
          </w:p>
        </w:tc>
        <w:tc>
          <w:tcPr>
            <w:tcW w:w="1928" w:type="dxa"/>
          </w:tcPr>
          <w:p>
            <w:pPr>
              <w:pStyle w:val="yTableNAm"/>
              <w:ind w:left="113"/>
            </w:pPr>
            <w:r>
              <w:t>1001</w:t>
            </w:r>
          </w:p>
        </w:tc>
        <w:tc>
          <w:tcPr>
            <w:tcW w:w="1596" w:type="dxa"/>
          </w:tcPr>
          <w:p>
            <w:pPr>
              <w:pStyle w:val="yTableNAm"/>
              <w:ind w:left="170"/>
            </w:pPr>
            <w:r>
              <w:t>50</w:t>
            </w:r>
          </w:p>
        </w:tc>
      </w:tr>
      <w:tr>
        <w:trPr>
          <w:cantSplit/>
        </w:trPr>
        <w:tc>
          <w:tcPr>
            <w:tcW w:w="2977" w:type="dxa"/>
          </w:tcPr>
          <w:p>
            <w:pPr>
              <w:pStyle w:val="yTableNAm"/>
            </w:pPr>
            <w:r>
              <w:t>ACROLEIN</w:t>
            </w:r>
          </w:p>
        </w:tc>
        <w:tc>
          <w:tcPr>
            <w:tcW w:w="1928" w:type="dxa"/>
          </w:tcPr>
          <w:p>
            <w:pPr>
              <w:pStyle w:val="yTableNAm"/>
              <w:ind w:left="113"/>
            </w:pPr>
            <w:r>
              <w:t>1092</w:t>
            </w:r>
          </w:p>
        </w:tc>
        <w:tc>
          <w:tcPr>
            <w:tcW w:w="1596" w:type="dxa"/>
          </w:tcPr>
          <w:p>
            <w:pPr>
              <w:pStyle w:val="yTableNAm"/>
              <w:ind w:left="170"/>
            </w:pPr>
            <w:r>
              <w:t>200</w:t>
            </w:r>
          </w:p>
        </w:tc>
      </w:tr>
      <w:tr>
        <w:trPr>
          <w:cantSplit/>
        </w:trPr>
        <w:tc>
          <w:tcPr>
            <w:tcW w:w="2977" w:type="dxa"/>
          </w:tcPr>
          <w:p>
            <w:pPr>
              <w:pStyle w:val="yTableNAm"/>
            </w:pPr>
            <w:r>
              <w:t>ACRYLONITRILE</w:t>
            </w:r>
          </w:p>
        </w:tc>
        <w:tc>
          <w:tcPr>
            <w:tcW w:w="1928" w:type="dxa"/>
          </w:tcPr>
          <w:p>
            <w:pPr>
              <w:pStyle w:val="yTableNAm"/>
              <w:ind w:left="113"/>
            </w:pPr>
            <w:r>
              <w:t>1093</w:t>
            </w:r>
          </w:p>
        </w:tc>
        <w:tc>
          <w:tcPr>
            <w:tcW w:w="1596" w:type="dxa"/>
          </w:tcPr>
          <w:p>
            <w:pPr>
              <w:pStyle w:val="yTableNAm"/>
              <w:ind w:left="170"/>
            </w:pPr>
            <w:r>
              <w:t>200</w:t>
            </w:r>
          </w:p>
        </w:tc>
      </w:tr>
      <w:tr>
        <w:trPr>
          <w:cantSplit/>
        </w:trPr>
        <w:tc>
          <w:tcPr>
            <w:tcW w:w="2977" w:type="dxa"/>
          </w:tcPr>
          <w:p>
            <w:pPr>
              <w:pStyle w:val="yTableNAm"/>
            </w:pPr>
            <w:r>
              <w:t>ALLYL ALCOHOL</w:t>
            </w:r>
          </w:p>
        </w:tc>
        <w:tc>
          <w:tcPr>
            <w:tcW w:w="1928" w:type="dxa"/>
          </w:tcPr>
          <w:p>
            <w:pPr>
              <w:pStyle w:val="yTableNAm"/>
              <w:ind w:left="113"/>
            </w:pPr>
            <w:r>
              <w:t>1098</w:t>
            </w:r>
          </w:p>
        </w:tc>
        <w:tc>
          <w:tcPr>
            <w:tcW w:w="1596" w:type="dxa"/>
          </w:tcPr>
          <w:p>
            <w:pPr>
              <w:pStyle w:val="yTableNAm"/>
              <w:ind w:left="170"/>
            </w:pPr>
            <w:r>
              <w:t>20</w:t>
            </w:r>
          </w:p>
        </w:tc>
      </w:tr>
      <w:tr>
        <w:trPr>
          <w:cantSplit/>
        </w:trPr>
        <w:tc>
          <w:tcPr>
            <w:tcW w:w="2977" w:type="dxa"/>
          </w:tcPr>
          <w:p>
            <w:pPr>
              <w:pStyle w:val="yTableNAm"/>
            </w:pPr>
            <w:r>
              <w:t>ALLYLAMINE</w:t>
            </w:r>
          </w:p>
        </w:tc>
        <w:tc>
          <w:tcPr>
            <w:tcW w:w="1928" w:type="dxa"/>
          </w:tcPr>
          <w:p>
            <w:pPr>
              <w:pStyle w:val="yTableNAm"/>
              <w:ind w:left="113"/>
            </w:pPr>
            <w:r>
              <w:t>2334</w:t>
            </w:r>
          </w:p>
        </w:tc>
        <w:tc>
          <w:tcPr>
            <w:tcW w:w="1596" w:type="dxa"/>
          </w:tcPr>
          <w:p>
            <w:pPr>
              <w:pStyle w:val="yTableNAm"/>
              <w:ind w:left="170"/>
            </w:pPr>
            <w:r>
              <w:t>200</w:t>
            </w:r>
          </w:p>
        </w:tc>
      </w:tr>
      <w:tr>
        <w:trPr>
          <w:cantSplit/>
        </w:trPr>
        <w:tc>
          <w:tcPr>
            <w:tcW w:w="2977" w:type="dxa"/>
          </w:tcPr>
          <w:p>
            <w:pPr>
              <w:pStyle w:val="yTableNAm"/>
            </w:pPr>
            <w:r>
              <w:t>AMMONIA, ANHYDROUS</w:t>
            </w:r>
          </w:p>
        </w:tc>
        <w:tc>
          <w:tcPr>
            <w:tcW w:w="1928" w:type="dxa"/>
          </w:tcPr>
          <w:p>
            <w:pPr>
              <w:pStyle w:val="yTableNAm"/>
              <w:ind w:left="113"/>
            </w:pPr>
            <w:r>
              <w:t>1005</w:t>
            </w:r>
          </w:p>
        </w:tc>
        <w:tc>
          <w:tcPr>
            <w:tcW w:w="1596" w:type="dxa"/>
          </w:tcPr>
          <w:p>
            <w:pPr>
              <w:pStyle w:val="yTableNAm"/>
              <w:ind w:left="170"/>
            </w:pPr>
            <w:r>
              <w:t>200</w:t>
            </w:r>
          </w:p>
        </w:tc>
      </w:tr>
      <w:tr>
        <w:trPr>
          <w:cantSplit/>
        </w:trPr>
        <w:tc>
          <w:tcPr>
            <w:tcW w:w="2977" w:type="dxa"/>
          </w:tcPr>
          <w:p>
            <w:pPr>
              <w:pStyle w:val="yTableNAm"/>
            </w:pPr>
            <w:r>
              <w:t>AMMONIUM NITRATE FERTILIZERS</w:t>
            </w:r>
          </w:p>
        </w:tc>
        <w:tc>
          <w:tcPr>
            <w:tcW w:w="1928" w:type="dxa"/>
          </w:tcPr>
          <w:p>
            <w:pPr>
              <w:pStyle w:val="yTableNAm"/>
              <w:ind w:left="113"/>
            </w:pPr>
            <w:r>
              <w:t>2067</w:t>
            </w:r>
          </w:p>
        </w:tc>
        <w:tc>
          <w:tcPr>
            <w:tcW w:w="1596" w:type="dxa"/>
          </w:tcPr>
          <w:p>
            <w:pPr>
              <w:pStyle w:val="yTableNAm"/>
              <w:ind w:left="170"/>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928" w:type="dxa"/>
          </w:tcPr>
          <w:p>
            <w:pPr>
              <w:pStyle w:val="yTableNAm"/>
              <w:ind w:left="113"/>
            </w:pPr>
            <w:r>
              <w:t>1942</w:t>
            </w:r>
          </w:p>
        </w:tc>
        <w:tc>
          <w:tcPr>
            <w:tcW w:w="1596" w:type="dxa"/>
          </w:tcPr>
          <w:p>
            <w:pPr>
              <w:pStyle w:val="yTableNAm"/>
              <w:ind w:left="170"/>
            </w:pPr>
            <w:r>
              <w:t>2 500</w:t>
            </w:r>
          </w:p>
        </w:tc>
      </w:tr>
      <w:tr>
        <w:trPr>
          <w:cantSplit/>
        </w:trPr>
        <w:tc>
          <w:tcPr>
            <w:tcW w:w="2977" w:type="dxa"/>
          </w:tcPr>
          <w:p>
            <w:pPr>
              <w:pStyle w:val="yTableNAm"/>
            </w:pPr>
            <w:r>
              <w:t>ARSENIC PENTOXIDE, Arsenic (V) acid and other salts</w:t>
            </w:r>
          </w:p>
        </w:tc>
        <w:tc>
          <w:tcPr>
            <w:tcW w:w="1928" w:type="dxa"/>
          </w:tcPr>
          <w:p>
            <w:pPr>
              <w:pStyle w:val="yTableNAm"/>
              <w:ind w:left="113"/>
            </w:pPr>
            <w:r>
              <w:t>1559</w:t>
            </w:r>
          </w:p>
        </w:tc>
        <w:tc>
          <w:tcPr>
            <w:tcW w:w="1596" w:type="dxa"/>
          </w:tcPr>
          <w:p>
            <w:pPr>
              <w:pStyle w:val="yTableNAm"/>
              <w:ind w:left="170"/>
            </w:pPr>
            <w:r>
              <w:t>10</w:t>
            </w:r>
          </w:p>
        </w:tc>
      </w:tr>
      <w:tr>
        <w:trPr>
          <w:cantSplit/>
        </w:trPr>
        <w:tc>
          <w:tcPr>
            <w:tcW w:w="2977" w:type="dxa"/>
          </w:tcPr>
          <w:p>
            <w:pPr>
              <w:pStyle w:val="yTableNAm"/>
            </w:pPr>
            <w:r>
              <w:t>ARSENIC TRIOXIDE, Arsenious (III) acid and other salts</w:t>
            </w:r>
          </w:p>
        </w:tc>
        <w:tc>
          <w:tcPr>
            <w:tcW w:w="1928" w:type="dxa"/>
          </w:tcPr>
          <w:p>
            <w:pPr>
              <w:pStyle w:val="yTableNAm"/>
              <w:ind w:left="113"/>
            </w:pPr>
            <w:r>
              <w:t>1561</w:t>
            </w:r>
          </w:p>
        </w:tc>
        <w:tc>
          <w:tcPr>
            <w:tcW w:w="1596" w:type="dxa"/>
          </w:tcPr>
          <w:p>
            <w:pPr>
              <w:pStyle w:val="yTableNAm"/>
              <w:ind w:left="170"/>
            </w:pPr>
            <w:r>
              <w:t>0.10</w:t>
            </w:r>
          </w:p>
        </w:tc>
      </w:tr>
      <w:tr>
        <w:trPr>
          <w:cantSplit/>
        </w:trPr>
        <w:tc>
          <w:tcPr>
            <w:tcW w:w="2977" w:type="dxa"/>
          </w:tcPr>
          <w:p>
            <w:pPr>
              <w:pStyle w:val="yTableNAm"/>
            </w:pPr>
            <w:r>
              <w:t>ARSINE</w:t>
            </w:r>
          </w:p>
        </w:tc>
        <w:tc>
          <w:tcPr>
            <w:tcW w:w="1928" w:type="dxa"/>
          </w:tcPr>
          <w:p>
            <w:pPr>
              <w:pStyle w:val="yTableNAm"/>
              <w:ind w:left="113"/>
            </w:pPr>
            <w:r>
              <w:t>2188</w:t>
            </w:r>
          </w:p>
        </w:tc>
        <w:tc>
          <w:tcPr>
            <w:tcW w:w="1596" w:type="dxa"/>
          </w:tcPr>
          <w:p>
            <w:pPr>
              <w:pStyle w:val="yTableNAm"/>
              <w:ind w:left="170"/>
            </w:pPr>
            <w:r>
              <w:t>0.01</w:t>
            </w:r>
          </w:p>
        </w:tc>
      </w:tr>
      <w:tr>
        <w:trPr>
          <w:cantSplit/>
        </w:trPr>
        <w:tc>
          <w:tcPr>
            <w:tcW w:w="2977" w:type="dxa"/>
          </w:tcPr>
          <w:p>
            <w:pPr>
              <w:pStyle w:val="yTableNAm"/>
            </w:pPr>
            <w:r>
              <w:t>BROMINE or BROMINE SOLUTIONS</w:t>
            </w:r>
          </w:p>
        </w:tc>
        <w:tc>
          <w:tcPr>
            <w:tcW w:w="1928" w:type="dxa"/>
          </w:tcPr>
          <w:p>
            <w:pPr>
              <w:pStyle w:val="yTableNAm"/>
              <w:ind w:left="113"/>
            </w:pPr>
            <w:r>
              <w:t>1744</w:t>
            </w:r>
          </w:p>
        </w:tc>
        <w:tc>
          <w:tcPr>
            <w:tcW w:w="1596" w:type="dxa"/>
          </w:tcPr>
          <w:p>
            <w:pPr>
              <w:pStyle w:val="yTableNAm"/>
              <w:ind w:left="170"/>
            </w:pPr>
            <w:r>
              <w:t>100</w:t>
            </w:r>
          </w:p>
        </w:tc>
      </w:tr>
      <w:tr>
        <w:trPr>
          <w:cantSplit/>
        </w:trPr>
        <w:tc>
          <w:tcPr>
            <w:tcW w:w="2977" w:type="dxa"/>
          </w:tcPr>
          <w:p>
            <w:pPr>
              <w:pStyle w:val="yTableNAm"/>
            </w:pPr>
            <w:r>
              <w:t>CARBON DISULFIDE</w:t>
            </w:r>
          </w:p>
        </w:tc>
        <w:tc>
          <w:tcPr>
            <w:tcW w:w="1928" w:type="dxa"/>
          </w:tcPr>
          <w:p>
            <w:pPr>
              <w:pStyle w:val="yTableNAm"/>
              <w:ind w:left="113"/>
            </w:pPr>
            <w:r>
              <w:t>1131</w:t>
            </w:r>
          </w:p>
        </w:tc>
        <w:tc>
          <w:tcPr>
            <w:tcW w:w="1596" w:type="dxa"/>
          </w:tcPr>
          <w:p>
            <w:pPr>
              <w:pStyle w:val="yTableNAm"/>
              <w:ind w:left="170"/>
            </w:pPr>
            <w:r>
              <w:t>200</w:t>
            </w:r>
          </w:p>
        </w:tc>
      </w:tr>
      <w:tr>
        <w:trPr>
          <w:cantSplit/>
        </w:trPr>
        <w:tc>
          <w:tcPr>
            <w:tcW w:w="2977" w:type="dxa"/>
          </w:tcPr>
          <w:p>
            <w:pPr>
              <w:pStyle w:val="yTableNAm"/>
            </w:pPr>
            <w:r>
              <w:t>CHLORINE</w:t>
            </w:r>
          </w:p>
        </w:tc>
        <w:tc>
          <w:tcPr>
            <w:tcW w:w="1928" w:type="dxa"/>
          </w:tcPr>
          <w:p>
            <w:pPr>
              <w:pStyle w:val="yTableNAm"/>
              <w:ind w:left="113"/>
            </w:pPr>
            <w:r>
              <w:t>1017</w:t>
            </w:r>
          </w:p>
        </w:tc>
        <w:tc>
          <w:tcPr>
            <w:tcW w:w="1596" w:type="dxa"/>
          </w:tcPr>
          <w:p>
            <w:pPr>
              <w:pStyle w:val="yTableNAm"/>
              <w:ind w:left="170"/>
            </w:pPr>
            <w:r>
              <w:t>25</w:t>
            </w:r>
          </w:p>
        </w:tc>
      </w:tr>
      <w:tr>
        <w:trPr>
          <w:cantSplit/>
        </w:trPr>
        <w:tc>
          <w:tcPr>
            <w:tcW w:w="2977" w:type="dxa"/>
          </w:tcPr>
          <w:p>
            <w:pPr>
              <w:pStyle w:val="yTableNAm"/>
            </w:pPr>
            <w:r>
              <w:t>DIOXINS</w:t>
            </w:r>
          </w:p>
        </w:tc>
        <w:tc>
          <w:tcPr>
            <w:tcW w:w="1928" w:type="dxa"/>
          </w:tcPr>
          <w:p>
            <w:pPr>
              <w:pStyle w:val="yTableNAm"/>
              <w:ind w:left="113"/>
            </w:pPr>
            <w:r>
              <w:noBreakHyphen/>
            </w:r>
            <w:r>
              <w:noBreakHyphen/>
            </w:r>
            <w:r>
              <w:noBreakHyphen/>
            </w:r>
          </w:p>
        </w:tc>
        <w:tc>
          <w:tcPr>
            <w:tcW w:w="1596" w:type="dxa"/>
          </w:tcPr>
          <w:p>
            <w:pPr>
              <w:pStyle w:val="yTableNAm"/>
              <w:ind w:left="170"/>
            </w:pPr>
            <w:r>
              <w:t>0.10</w:t>
            </w:r>
          </w:p>
        </w:tc>
      </w:tr>
      <w:tr>
        <w:trPr>
          <w:cantSplit/>
        </w:trPr>
        <w:tc>
          <w:tcPr>
            <w:tcW w:w="2977" w:type="dxa"/>
          </w:tcPr>
          <w:p>
            <w:pPr>
              <w:pStyle w:val="yTableNAm"/>
            </w:pPr>
            <w:r>
              <w:t>ETHYL NITRATE</w:t>
            </w:r>
          </w:p>
        </w:tc>
        <w:tc>
          <w:tcPr>
            <w:tcW w:w="1928" w:type="dxa"/>
          </w:tcPr>
          <w:p>
            <w:pPr>
              <w:pStyle w:val="yTableNAm"/>
              <w:ind w:left="113"/>
            </w:pPr>
            <w:r>
              <w:noBreakHyphen/>
            </w:r>
            <w:r>
              <w:noBreakHyphen/>
            </w:r>
            <w:r>
              <w:noBreakHyphen/>
            </w:r>
          </w:p>
        </w:tc>
        <w:tc>
          <w:tcPr>
            <w:tcW w:w="1596" w:type="dxa"/>
          </w:tcPr>
          <w:p>
            <w:pPr>
              <w:pStyle w:val="yTableNAm"/>
              <w:ind w:left="170"/>
            </w:pPr>
            <w:r>
              <w:t>50</w:t>
            </w:r>
          </w:p>
        </w:tc>
      </w:tr>
      <w:tr>
        <w:trPr>
          <w:cantSplit/>
        </w:trPr>
        <w:tc>
          <w:tcPr>
            <w:tcW w:w="2977" w:type="dxa"/>
          </w:tcPr>
          <w:p>
            <w:pPr>
              <w:pStyle w:val="yTableNAm"/>
            </w:pPr>
            <w:r>
              <w:t>ETHYLENE DIBROMIDE</w:t>
            </w:r>
          </w:p>
        </w:tc>
        <w:tc>
          <w:tcPr>
            <w:tcW w:w="1928" w:type="dxa"/>
          </w:tcPr>
          <w:p>
            <w:pPr>
              <w:pStyle w:val="yTableNAm"/>
              <w:ind w:left="113"/>
            </w:pPr>
            <w:r>
              <w:t>1605</w:t>
            </w:r>
          </w:p>
        </w:tc>
        <w:tc>
          <w:tcPr>
            <w:tcW w:w="1596" w:type="dxa"/>
          </w:tcPr>
          <w:p>
            <w:pPr>
              <w:pStyle w:val="yTableNAm"/>
              <w:ind w:left="170"/>
            </w:pPr>
            <w:r>
              <w:t>50</w:t>
            </w:r>
          </w:p>
        </w:tc>
      </w:tr>
      <w:tr>
        <w:trPr>
          <w:cantSplit/>
        </w:trPr>
        <w:tc>
          <w:tcPr>
            <w:tcW w:w="2977" w:type="dxa"/>
          </w:tcPr>
          <w:p>
            <w:pPr>
              <w:pStyle w:val="yTableNAm"/>
            </w:pPr>
            <w:r>
              <w:t>ETHYLENE OXIDE</w:t>
            </w:r>
          </w:p>
        </w:tc>
        <w:tc>
          <w:tcPr>
            <w:tcW w:w="1928" w:type="dxa"/>
          </w:tcPr>
          <w:p>
            <w:pPr>
              <w:pStyle w:val="yTableNAm"/>
              <w:ind w:left="113"/>
            </w:pPr>
            <w:r>
              <w:t>1040</w:t>
            </w:r>
          </w:p>
        </w:tc>
        <w:tc>
          <w:tcPr>
            <w:tcW w:w="1596" w:type="dxa"/>
          </w:tcPr>
          <w:p>
            <w:pPr>
              <w:pStyle w:val="yTableNAm"/>
              <w:ind w:left="170"/>
            </w:pPr>
            <w:r>
              <w:t>50</w:t>
            </w:r>
          </w:p>
        </w:tc>
      </w:tr>
      <w:tr>
        <w:trPr>
          <w:cantSplit/>
        </w:trPr>
        <w:tc>
          <w:tcPr>
            <w:tcW w:w="2977" w:type="dxa"/>
          </w:tcPr>
          <w:p>
            <w:pPr>
              <w:pStyle w:val="yTableNAm"/>
            </w:pPr>
            <w:r>
              <w:t>ETYLENEIMINE</w:t>
            </w:r>
          </w:p>
        </w:tc>
        <w:tc>
          <w:tcPr>
            <w:tcW w:w="1928" w:type="dxa"/>
          </w:tcPr>
          <w:p>
            <w:pPr>
              <w:pStyle w:val="yTableNAm"/>
              <w:ind w:left="113"/>
            </w:pPr>
            <w:r>
              <w:t>1185</w:t>
            </w:r>
          </w:p>
        </w:tc>
        <w:tc>
          <w:tcPr>
            <w:tcW w:w="1596" w:type="dxa"/>
          </w:tcPr>
          <w:p>
            <w:pPr>
              <w:pStyle w:val="yTableNAm"/>
              <w:ind w:left="170"/>
            </w:pPr>
            <w:r>
              <w:t>50</w:t>
            </w:r>
          </w:p>
        </w:tc>
      </w:tr>
      <w:tr>
        <w:trPr>
          <w:cantSplit/>
        </w:trPr>
        <w:tc>
          <w:tcPr>
            <w:tcW w:w="2977" w:type="dxa"/>
          </w:tcPr>
          <w:p>
            <w:pPr>
              <w:pStyle w:val="yTableNAm"/>
            </w:pPr>
            <w:r>
              <w:t>FLUORINE</w:t>
            </w:r>
          </w:p>
        </w:tc>
        <w:tc>
          <w:tcPr>
            <w:tcW w:w="1928" w:type="dxa"/>
          </w:tcPr>
          <w:p>
            <w:pPr>
              <w:pStyle w:val="yTableNAm"/>
              <w:ind w:left="113"/>
            </w:pPr>
            <w:r>
              <w:t>1045</w:t>
            </w:r>
          </w:p>
        </w:tc>
        <w:tc>
          <w:tcPr>
            <w:tcW w:w="1596" w:type="dxa"/>
          </w:tcPr>
          <w:p>
            <w:pPr>
              <w:pStyle w:val="yTableNAm"/>
              <w:ind w:left="170"/>
            </w:pPr>
            <w:r>
              <w:t>25</w:t>
            </w:r>
          </w:p>
        </w:tc>
      </w:tr>
      <w:tr>
        <w:trPr>
          <w:cantSplit/>
        </w:trPr>
        <w:tc>
          <w:tcPr>
            <w:tcW w:w="2977" w:type="dxa"/>
          </w:tcPr>
          <w:p>
            <w:pPr>
              <w:pStyle w:val="yTableNAm"/>
            </w:pPr>
            <w:r>
              <w:t>FORMALDEHYDE</w:t>
            </w:r>
          </w:p>
        </w:tc>
        <w:tc>
          <w:tcPr>
            <w:tcW w:w="1928" w:type="dxa"/>
          </w:tcPr>
          <w:p>
            <w:pPr>
              <w:pStyle w:val="yTableNAm"/>
              <w:ind w:left="113"/>
            </w:pPr>
            <w:r>
              <w:t>1198 or 2209</w:t>
            </w:r>
          </w:p>
        </w:tc>
        <w:tc>
          <w:tcPr>
            <w:tcW w:w="1596" w:type="dxa"/>
          </w:tcPr>
          <w:p>
            <w:pPr>
              <w:pStyle w:val="yTableNAm"/>
              <w:ind w:left="170"/>
            </w:pPr>
            <w:r>
              <w:t>50</w:t>
            </w:r>
          </w:p>
        </w:tc>
      </w:tr>
      <w:tr>
        <w:trPr>
          <w:cantSplit/>
        </w:trPr>
        <w:tc>
          <w:tcPr>
            <w:tcW w:w="2977" w:type="dxa"/>
          </w:tcPr>
          <w:p>
            <w:pPr>
              <w:pStyle w:val="yTableNAm"/>
            </w:pPr>
            <w:r>
              <w:t>HYDROFLUORIC ACID SOLUTION, greater than 50%</w:t>
            </w:r>
          </w:p>
        </w:tc>
        <w:tc>
          <w:tcPr>
            <w:tcW w:w="1928" w:type="dxa"/>
          </w:tcPr>
          <w:p>
            <w:pPr>
              <w:pStyle w:val="yTableNAm"/>
              <w:ind w:left="113"/>
            </w:pPr>
            <w:r>
              <w:t>1790</w:t>
            </w:r>
          </w:p>
        </w:tc>
        <w:tc>
          <w:tcPr>
            <w:tcW w:w="1596" w:type="dxa"/>
          </w:tcPr>
          <w:p>
            <w:pPr>
              <w:pStyle w:val="yTableNAm"/>
              <w:ind w:left="170"/>
            </w:pPr>
            <w:r>
              <w:t>50</w:t>
            </w:r>
          </w:p>
        </w:tc>
      </w:tr>
      <w:tr>
        <w:trPr>
          <w:cantSplit/>
        </w:trPr>
        <w:tc>
          <w:tcPr>
            <w:tcW w:w="2977" w:type="dxa"/>
          </w:tcPr>
          <w:p>
            <w:pPr>
              <w:pStyle w:val="yTableNAm"/>
            </w:pPr>
            <w:r>
              <w:t>HYDROGEN</w:t>
            </w:r>
          </w:p>
        </w:tc>
        <w:tc>
          <w:tcPr>
            <w:tcW w:w="1928" w:type="dxa"/>
          </w:tcPr>
          <w:p>
            <w:pPr>
              <w:pStyle w:val="yTableNAm"/>
              <w:ind w:left="113"/>
            </w:pPr>
            <w:r>
              <w:t>1049</w:t>
            </w:r>
          </w:p>
        </w:tc>
        <w:tc>
          <w:tcPr>
            <w:tcW w:w="1596" w:type="dxa"/>
          </w:tcPr>
          <w:p>
            <w:pPr>
              <w:pStyle w:val="yTableNAm"/>
              <w:ind w:left="170"/>
            </w:pPr>
            <w:r>
              <w:t>50</w:t>
            </w:r>
          </w:p>
        </w:tc>
      </w:tr>
      <w:tr>
        <w:trPr>
          <w:cantSplit/>
        </w:trPr>
        <w:tc>
          <w:tcPr>
            <w:tcW w:w="2977" w:type="dxa"/>
          </w:tcPr>
          <w:p>
            <w:pPr>
              <w:pStyle w:val="yTableNAm"/>
            </w:pPr>
            <w:r>
              <w:t>HYDROGEN CHLORIDE, anhydrous</w:t>
            </w:r>
          </w:p>
        </w:tc>
        <w:tc>
          <w:tcPr>
            <w:tcW w:w="1928" w:type="dxa"/>
          </w:tcPr>
          <w:p>
            <w:pPr>
              <w:pStyle w:val="yTableNAm"/>
              <w:ind w:left="113"/>
            </w:pPr>
            <w:r>
              <w:t>1050</w:t>
            </w:r>
          </w:p>
        </w:tc>
        <w:tc>
          <w:tcPr>
            <w:tcW w:w="1596" w:type="dxa"/>
          </w:tcPr>
          <w:p>
            <w:pPr>
              <w:pStyle w:val="yTableNAm"/>
              <w:ind w:left="170"/>
            </w:pPr>
            <w:r>
              <w:t>250</w:t>
            </w:r>
          </w:p>
        </w:tc>
      </w:tr>
      <w:tr>
        <w:trPr>
          <w:cantSplit/>
        </w:trPr>
        <w:tc>
          <w:tcPr>
            <w:tcW w:w="2977" w:type="dxa"/>
          </w:tcPr>
          <w:p>
            <w:pPr>
              <w:pStyle w:val="yTableNAm"/>
            </w:pPr>
            <w:r>
              <w:t>HYDROGEN CHLORIDE, refrigerated liquid</w:t>
            </w:r>
          </w:p>
        </w:tc>
        <w:tc>
          <w:tcPr>
            <w:tcW w:w="1928" w:type="dxa"/>
          </w:tcPr>
          <w:p>
            <w:pPr>
              <w:pStyle w:val="yTableNAm"/>
              <w:ind w:left="113"/>
            </w:pPr>
            <w:r>
              <w:t>2186</w:t>
            </w:r>
          </w:p>
        </w:tc>
        <w:tc>
          <w:tcPr>
            <w:tcW w:w="1596" w:type="dxa"/>
          </w:tcPr>
          <w:p>
            <w:pPr>
              <w:pStyle w:val="yTableNAm"/>
              <w:ind w:left="170"/>
            </w:pPr>
            <w:r>
              <w:t>250</w:t>
            </w:r>
          </w:p>
        </w:tc>
      </w:tr>
      <w:tr>
        <w:trPr>
          <w:cantSplit/>
        </w:trPr>
        <w:tc>
          <w:tcPr>
            <w:tcW w:w="2977" w:type="dxa"/>
          </w:tcPr>
          <w:p>
            <w:pPr>
              <w:pStyle w:val="yTableNAm"/>
            </w:pPr>
            <w:r>
              <w:t>HYDROGEN CYANIDE</w:t>
            </w:r>
          </w:p>
        </w:tc>
        <w:tc>
          <w:tcPr>
            <w:tcW w:w="1928" w:type="dxa"/>
          </w:tcPr>
          <w:p>
            <w:pPr>
              <w:pStyle w:val="yTableNAm"/>
              <w:ind w:left="113"/>
            </w:pPr>
            <w:r>
              <w:t>1051 or 1614</w:t>
            </w:r>
          </w:p>
        </w:tc>
        <w:tc>
          <w:tcPr>
            <w:tcW w:w="1596" w:type="dxa"/>
          </w:tcPr>
          <w:p>
            <w:pPr>
              <w:pStyle w:val="yTableNAm"/>
              <w:ind w:left="170"/>
            </w:pPr>
            <w:r>
              <w:t>20</w:t>
            </w:r>
          </w:p>
        </w:tc>
      </w:tr>
      <w:tr>
        <w:trPr>
          <w:cantSplit/>
        </w:trPr>
        <w:tc>
          <w:tcPr>
            <w:tcW w:w="2977" w:type="dxa"/>
          </w:tcPr>
          <w:p>
            <w:pPr>
              <w:pStyle w:val="yTableNAm"/>
            </w:pPr>
            <w:r>
              <w:t>HYDROGEN FLUORIDE</w:t>
            </w:r>
          </w:p>
        </w:tc>
        <w:tc>
          <w:tcPr>
            <w:tcW w:w="1928" w:type="dxa"/>
          </w:tcPr>
          <w:p>
            <w:pPr>
              <w:pStyle w:val="yTableNAm"/>
              <w:ind w:left="113"/>
            </w:pPr>
            <w:r>
              <w:t>1052</w:t>
            </w:r>
          </w:p>
        </w:tc>
        <w:tc>
          <w:tcPr>
            <w:tcW w:w="1596" w:type="dxa"/>
          </w:tcPr>
          <w:p>
            <w:pPr>
              <w:pStyle w:val="yTableNAm"/>
              <w:ind w:left="170"/>
            </w:pPr>
            <w:r>
              <w:t>50</w:t>
            </w:r>
          </w:p>
        </w:tc>
      </w:tr>
      <w:tr>
        <w:trPr>
          <w:cantSplit/>
        </w:trPr>
        <w:tc>
          <w:tcPr>
            <w:tcW w:w="2977" w:type="dxa"/>
          </w:tcPr>
          <w:p>
            <w:pPr>
              <w:pStyle w:val="yTableNAm"/>
            </w:pPr>
            <w:r>
              <w:t>HYDROGEN SULFIDE</w:t>
            </w:r>
          </w:p>
        </w:tc>
        <w:tc>
          <w:tcPr>
            <w:tcW w:w="1928" w:type="dxa"/>
          </w:tcPr>
          <w:p>
            <w:pPr>
              <w:pStyle w:val="yTableNAm"/>
              <w:ind w:left="113"/>
            </w:pPr>
            <w:r>
              <w:t>1053</w:t>
            </w:r>
          </w:p>
        </w:tc>
        <w:tc>
          <w:tcPr>
            <w:tcW w:w="1596" w:type="dxa"/>
          </w:tcPr>
          <w:p>
            <w:pPr>
              <w:pStyle w:val="yTableNAm"/>
              <w:ind w:left="170"/>
            </w:pPr>
            <w:r>
              <w:t>50</w:t>
            </w:r>
          </w:p>
        </w:tc>
      </w:tr>
      <w:tr>
        <w:trPr>
          <w:cantSplit/>
        </w:trPr>
        <w:tc>
          <w:tcPr>
            <w:tcW w:w="2977" w:type="dxa"/>
          </w:tcPr>
          <w:p>
            <w:pPr>
              <w:pStyle w:val="yTableNAm"/>
            </w:pPr>
            <w:r>
              <w:t>LP GASES</w:t>
            </w:r>
          </w:p>
        </w:tc>
        <w:tc>
          <w:tcPr>
            <w:tcW w:w="1928" w:type="dxa"/>
          </w:tcPr>
          <w:p>
            <w:pPr>
              <w:pStyle w:val="yTableNAm"/>
              <w:ind w:left="113"/>
            </w:pPr>
            <w:r>
              <w:t>1011, 1012, 1075, 1978 or 1077</w:t>
            </w:r>
          </w:p>
        </w:tc>
        <w:tc>
          <w:tcPr>
            <w:tcW w:w="1596" w:type="dxa"/>
          </w:tcPr>
          <w:p>
            <w:pPr>
              <w:pStyle w:val="yTableNAm"/>
              <w:ind w:left="170"/>
            </w:pPr>
            <w:r>
              <w:t>200</w:t>
            </w:r>
          </w:p>
        </w:tc>
      </w:tr>
      <w:tr>
        <w:trPr>
          <w:cantSplit/>
        </w:trPr>
        <w:tc>
          <w:tcPr>
            <w:tcW w:w="2977" w:type="dxa"/>
          </w:tcPr>
          <w:p>
            <w:pPr>
              <w:pStyle w:val="yTableNAm"/>
            </w:pPr>
            <w:r>
              <w:t>METHYL BROMIDE</w:t>
            </w:r>
          </w:p>
        </w:tc>
        <w:tc>
          <w:tcPr>
            <w:tcW w:w="1928" w:type="dxa"/>
          </w:tcPr>
          <w:p>
            <w:pPr>
              <w:pStyle w:val="yTableNAm"/>
              <w:ind w:left="113"/>
            </w:pPr>
            <w:r>
              <w:t>1062</w:t>
            </w:r>
          </w:p>
        </w:tc>
        <w:tc>
          <w:tcPr>
            <w:tcW w:w="1596" w:type="dxa"/>
          </w:tcPr>
          <w:p>
            <w:pPr>
              <w:pStyle w:val="yTableNAm"/>
              <w:ind w:left="170"/>
            </w:pPr>
            <w:r>
              <w:t>200</w:t>
            </w:r>
          </w:p>
        </w:tc>
      </w:tr>
      <w:tr>
        <w:trPr>
          <w:cantSplit/>
        </w:trPr>
        <w:tc>
          <w:tcPr>
            <w:tcW w:w="2977" w:type="dxa"/>
          </w:tcPr>
          <w:p>
            <w:pPr>
              <w:pStyle w:val="yTableNAm"/>
            </w:pPr>
            <w:r>
              <w:t>METHANE or NATURAL GAS</w:t>
            </w:r>
          </w:p>
        </w:tc>
        <w:tc>
          <w:tcPr>
            <w:tcW w:w="1928" w:type="dxa"/>
          </w:tcPr>
          <w:p>
            <w:pPr>
              <w:pStyle w:val="yTableNAm"/>
              <w:ind w:left="113"/>
            </w:pPr>
            <w:r>
              <w:t>1971 or 1972</w:t>
            </w:r>
          </w:p>
        </w:tc>
        <w:tc>
          <w:tcPr>
            <w:tcW w:w="1596" w:type="dxa"/>
          </w:tcPr>
          <w:p>
            <w:pPr>
              <w:pStyle w:val="yTableNAm"/>
              <w:ind w:left="170"/>
            </w:pPr>
            <w:r>
              <w:t>200</w:t>
            </w:r>
          </w:p>
        </w:tc>
      </w:tr>
      <w:tr>
        <w:trPr>
          <w:cantSplit/>
        </w:trPr>
        <w:tc>
          <w:tcPr>
            <w:tcW w:w="2977" w:type="dxa"/>
          </w:tcPr>
          <w:p>
            <w:pPr>
              <w:pStyle w:val="yTableNAm"/>
            </w:pPr>
            <w:r>
              <w:t>METHYL ISOCYANATE</w:t>
            </w:r>
          </w:p>
        </w:tc>
        <w:tc>
          <w:tcPr>
            <w:tcW w:w="1928" w:type="dxa"/>
          </w:tcPr>
          <w:p>
            <w:pPr>
              <w:pStyle w:val="yTableNAm"/>
              <w:ind w:left="113"/>
            </w:pPr>
            <w:r>
              <w:t>2480</w:t>
            </w:r>
          </w:p>
        </w:tc>
        <w:tc>
          <w:tcPr>
            <w:tcW w:w="1596" w:type="dxa"/>
          </w:tcPr>
          <w:p>
            <w:pPr>
              <w:pStyle w:val="yTableNAm"/>
              <w:ind w:left="170"/>
            </w:pPr>
            <w:r>
              <w:t>0.15</w:t>
            </w:r>
          </w:p>
        </w:tc>
      </w:tr>
      <w:tr>
        <w:trPr>
          <w:cantSplit/>
        </w:trPr>
        <w:tc>
          <w:tcPr>
            <w:tcW w:w="2977" w:type="dxa"/>
          </w:tcPr>
          <w:p>
            <w:pPr>
              <w:pStyle w:val="yTableNAm"/>
            </w:pPr>
            <w:r>
              <w:t>OXIDES OF NITROGEN, including nitrous oxide, nitrogen dioxide and nitrogen trioxide</w:t>
            </w:r>
          </w:p>
        </w:tc>
        <w:tc>
          <w:tcPr>
            <w:tcW w:w="1928" w:type="dxa"/>
          </w:tcPr>
          <w:p>
            <w:pPr>
              <w:pStyle w:val="yTableNAm"/>
              <w:ind w:left="113"/>
            </w:pPr>
            <w:r>
              <w:t>1067, 1070, 1660, 1975, 2201 or 2421</w:t>
            </w:r>
          </w:p>
        </w:tc>
        <w:tc>
          <w:tcPr>
            <w:tcW w:w="1596" w:type="dxa"/>
          </w:tcPr>
          <w:p>
            <w:pPr>
              <w:pStyle w:val="yTableNAm"/>
              <w:ind w:left="170"/>
            </w:pPr>
            <w:r>
              <w:t>50</w:t>
            </w:r>
          </w:p>
        </w:tc>
      </w:tr>
      <w:tr>
        <w:trPr>
          <w:cantSplit/>
        </w:trPr>
        <w:tc>
          <w:tcPr>
            <w:tcW w:w="2977" w:type="dxa"/>
          </w:tcPr>
          <w:p>
            <w:pPr>
              <w:pStyle w:val="yTableNAm"/>
            </w:pPr>
            <w:r>
              <w:t>OXYGEN</w:t>
            </w:r>
          </w:p>
        </w:tc>
        <w:tc>
          <w:tcPr>
            <w:tcW w:w="1928" w:type="dxa"/>
          </w:tcPr>
          <w:p>
            <w:pPr>
              <w:pStyle w:val="yTableNAm"/>
              <w:ind w:left="113"/>
            </w:pPr>
            <w:r>
              <w:t>1072 or 1073</w:t>
            </w:r>
          </w:p>
        </w:tc>
        <w:tc>
          <w:tcPr>
            <w:tcW w:w="1596" w:type="dxa"/>
          </w:tcPr>
          <w:p>
            <w:pPr>
              <w:pStyle w:val="yTableNAm"/>
              <w:ind w:left="170"/>
            </w:pPr>
            <w:r>
              <w:t>2 000</w:t>
            </w:r>
          </w:p>
        </w:tc>
      </w:tr>
      <w:tr>
        <w:trPr>
          <w:cantSplit/>
        </w:trPr>
        <w:tc>
          <w:tcPr>
            <w:tcW w:w="2977" w:type="dxa"/>
          </w:tcPr>
          <w:p>
            <w:pPr>
              <w:pStyle w:val="yTableNAm"/>
            </w:pPr>
            <w:r>
              <w:t>PHOSGENE</w:t>
            </w:r>
          </w:p>
        </w:tc>
        <w:tc>
          <w:tcPr>
            <w:tcW w:w="1928" w:type="dxa"/>
          </w:tcPr>
          <w:p>
            <w:pPr>
              <w:pStyle w:val="yTableNAm"/>
              <w:ind w:left="113"/>
            </w:pPr>
            <w:r>
              <w:t>1076</w:t>
            </w:r>
          </w:p>
        </w:tc>
        <w:tc>
          <w:tcPr>
            <w:tcW w:w="1596" w:type="dxa"/>
          </w:tcPr>
          <w:p>
            <w:pPr>
              <w:pStyle w:val="yTableNAm"/>
              <w:ind w:left="170"/>
            </w:pPr>
            <w:r>
              <w:t>0.75</w:t>
            </w:r>
          </w:p>
        </w:tc>
      </w:tr>
      <w:tr>
        <w:trPr>
          <w:cantSplit/>
        </w:trPr>
        <w:tc>
          <w:tcPr>
            <w:tcW w:w="2977" w:type="dxa"/>
          </w:tcPr>
          <w:p>
            <w:pPr>
              <w:pStyle w:val="yTableNAm"/>
            </w:pPr>
            <w:r>
              <w:t>PROPYLENEIMINE</w:t>
            </w:r>
          </w:p>
        </w:tc>
        <w:tc>
          <w:tcPr>
            <w:tcW w:w="1928" w:type="dxa"/>
          </w:tcPr>
          <w:p>
            <w:pPr>
              <w:pStyle w:val="yTableNAm"/>
              <w:ind w:left="113"/>
            </w:pPr>
            <w:r>
              <w:t>1921</w:t>
            </w:r>
          </w:p>
        </w:tc>
        <w:tc>
          <w:tcPr>
            <w:tcW w:w="1596" w:type="dxa"/>
          </w:tcPr>
          <w:p>
            <w:pPr>
              <w:pStyle w:val="yTableNAm"/>
              <w:ind w:left="170"/>
            </w:pPr>
            <w:r>
              <w:t>200</w:t>
            </w:r>
          </w:p>
        </w:tc>
      </w:tr>
      <w:tr>
        <w:trPr>
          <w:cantSplit/>
        </w:trPr>
        <w:tc>
          <w:tcPr>
            <w:tcW w:w="2977" w:type="dxa"/>
          </w:tcPr>
          <w:p>
            <w:pPr>
              <w:pStyle w:val="yTableNAm"/>
            </w:pPr>
            <w:r>
              <w:t>PROPYLENE OXIDE</w:t>
            </w:r>
          </w:p>
        </w:tc>
        <w:tc>
          <w:tcPr>
            <w:tcW w:w="1928" w:type="dxa"/>
          </w:tcPr>
          <w:p>
            <w:pPr>
              <w:pStyle w:val="yTableNAm"/>
              <w:ind w:left="113"/>
            </w:pPr>
            <w:r>
              <w:t>1280</w:t>
            </w:r>
          </w:p>
        </w:tc>
        <w:tc>
          <w:tcPr>
            <w:tcW w:w="1596" w:type="dxa"/>
          </w:tcPr>
          <w:p>
            <w:pPr>
              <w:pStyle w:val="yTableNAm"/>
              <w:ind w:left="170"/>
            </w:pPr>
            <w:r>
              <w:t>50</w:t>
            </w:r>
          </w:p>
        </w:tc>
      </w:tr>
      <w:tr>
        <w:trPr>
          <w:cantSplit/>
        </w:trPr>
        <w:tc>
          <w:tcPr>
            <w:tcW w:w="2977" w:type="dxa"/>
          </w:tcPr>
          <w:p>
            <w:pPr>
              <w:pStyle w:val="yTableNAm"/>
            </w:pPr>
            <w:r>
              <w:t>SODIUM CHLORATE, solid</w:t>
            </w:r>
          </w:p>
        </w:tc>
        <w:tc>
          <w:tcPr>
            <w:tcW w:w="1928" w:type="dxa"/>
          </w:tcPr>
          <w:p>
            <w:pPr>
              <w:pStyle w:val="yTableNAm"/>
              <w:ind w:left="113"/>
            </w:pPr>
            <w:r>
              <w:t>1495</w:t>
            </w:r>
          </w:p>
        </w:tc>
        <w:tc>
          <w:tcPr>
            <w:tcW w:w="1596" w:type="dxa"/>
          </w:tcPr>
          <w:p>
            <w:pPr>
              <w:pStyle w:val="yTableNAm"/>
              <w:ind w:left="170"/>
            </w:pPr>
            <w:r>
              <w:t>200</w:t>
            </w:r>
          </w:p>
        </w:tc>
      </w:tr>
      <w:tr>
        <w:trPr>
          <w:cantSplit/>
        </w:trPr>
        <w:tc>
          <w:tcPr>
            <w:tcW w:w="2977" w:type="dxa"/>
          </w:tcPr>
          <w:p>
            <w:pPr>
              <w:pStyle w:val="yTableNAm"/>
            </w:pPr>
            <w:r>
              <w:t>SULFURIC ANHYDRIDE (or SULFUR TRIOXIDE)</w:t>
            </w:r>
          </w:p>
        </w:tc>
        <w:tc>
          <w:tcPr>
            <w:tcW w:w="1928" w:type="dxa"/>
          </w:tcPr>
          <w:p>
            <w:pPr>
              <w:pStyle w:val="yTableNAm"/>
              <w:ind w:left="113"/>
            </w:pPr>
            <w:r>
              <w:t>1829</w:t>
            </w:r>
          </w:p>
        </w:tc>
        <w:tc>
          <w:tcPr>
            <w:tcW w:w="1596" w:type="dxa"/>
          </w:tcPr>
          <w:p>
            <w:pPr>
              <w:pStyle w:val="yTableNAm"/>
              <w:ind w:left="170"/>
            </w:pPr>
            <w:r>
              <w:t>75</w:t>
            </w:r>
          </w:p>
        </w:tc>
      </w:tr>
      <w:tr>
        <w:trPr>
          <w:cantSplit/>
        </w:trPr>
        <w:tc>
          <w:tcPr>
            <w:tcW w:w="2977" w:type="dxa"/>
          </w:tcPr>
          <w:p>
            <w:pPr>
              <w:pStyle w:val="yTableNAm"/>
            </w:pPr>
            <w:r>
              <w:t>SULFUR DICHLORIDE</w:t>
            </w:r>
          </w:p>
        </w:tc>
        <w:tc>
          <w:tcPr>
            <w:tcW w:w="1928" w:type="dxa"/>
          </w:tcPr>
          <w:p>
            <w:pPr>
              <w:pStyle w:val="yTableNAm"/>
              <w:ind w:left="113"/>
            </w:pPr>
            <w:r>
              <w:t>1828</w:t>
            </w:r>
          </w:p>
        </w:tc>
        <w:tc>
          <w:tcPr>
            <w:tcW w:w="1596" w:type="dxa"/>
          </w:tcPr>
          <w:p>
            <w:pPr>
              <w:pStyle w:val="yTableNAm"/>
              <w:ind w:left="170"/>
            </w:pPr>
            <w:r>
              <w:t>1</w:t>
            </w:r>
          </w:p>
        </w:tc>
      </w:tr>
      <w:tr>
        <w:trPr>
          <w:cantSplit/>
        </w:trPr>
        <w:tc>
          <w:tcPr>
            <w:tcW w:w="2977" w:type="dxa"/>
          </w:tcPr>
          <w:p>
            <w:pPr>
              <w:pStyle w:val="yTableNAm"/>
            </w:pPr>
            <w:r>
              <w:t>SULFUR DIOXIDE, liquefied</w:t>
            </w:r>
          </w:p>
        </w:tc>
        <w:tc>
          <w:tcPr>
            <w:tcW w:w="1928" w:type="dxa"/>
          </w:tcPr>
          <w:p>
            <w:pPr>
              <w:pStyle w:val="yTableNAm"/>
              <w:ind w:left="113"/>
            </w:pPr>
            <w:r>
              <w:t>1079</w:t>
            </w:r>
          </w:p>
        </w:tc>
        <w:tc>
          <w:tcPr>
            <w:tcW w:w="1596" w:type="dxa"/>
          </w:tcPr>
          <w:p>
            <w:pPr>
              <w:pStyle w:val="yTableNAm"/>
              <w:ind w:left="170"/>
            </w:pPr>
            <w:r>
              <w:t>200</w:t>
            </w:r>
          </w:p>
        </w:tc>
      </w:tr>
      <w:tr>
        <w:trPr>
          <w:cantSplit/>
        </w:trPr>
        <w:tc>
          <w:tcPr>
            <w:tcW w:w="2977" w:type="dxa"/>
          </w:tcPr>
          <w:p>
            <w:pPr>
              <w:pStyle w:val="yTableNAm"/>
            </w:pPr>
            <w:r>
              <w:t xml:space="preserve">TITANIUM TETRACHLORIDE </w:t>
            </w:r>
          </w:p>
        </w:tc>
        <w:tc>
          <w:tcPr>
            <w:tcW w:w="1928" w:type="dxa"/>
          </w:tcPr>
          <w:p>
            <w:pPr>
              <w:pStyle w:val="yTableNAm"/>
              <w:ind w:left="113"/>
            </w:pPr>
            <w:r>
              <w:t>1838</w:t>
            </w:r>
          </w:p>
        </w:tc>
        <w:tc>
          <w:tcPr>
            <w:tcW w:w="1596" w:type="dxa"/>
          </w:tcPr>
          <w:p>
            <w:pPr>
              <w:pStyle w:val="yTableNAm"/>
              <w:ind w:left="170"/>
            </w:pPr>
            <w:r>
              <w:t>500</w:t>
            </w:r>
          </w:p>
        </w:tc>
      </w:tr>
      <w:tr>
        <w:trPr>
          <w:cantSplit/>
        </w:trPr>
        <w:tc>
          <w:tcPr>
            <w:tcW w:w="2977" w:type="dxa"/>
            <w:tcBorders>
              <w:bottom w:val="single" w:sz="4" w:space="0" w:color="auto"/>
            </w:tcBorders>
          </w:tcPr>
          <w:p>
            <w:pPr>
              <w:pStyle w:val="yTableNAm"/>
            </w:pPr>
            <w:r>
              <w:t>TOLUENE DIISOCYANATE</w:t>
            </w:r>
          </w:p>
        </w:tc>
        <w:tc>
          <w:tcPr>
            <w:tcW w:w="1928" w:type="dxa"/>
            <w:tcBorders>
              <w:bottom w:val="single" w:sz="4" w:space="0" w:color="auto"/>
            </w:tcBorders>
          </w:tcPr>
          <w:p>
            <w:pPr>
              <w:pStyle w:val="yTableNAm"/>
              <w:ind w:left="113"/>
            </w:pPr>
            <w:r>
              <w:t>2078</w:t>
            </w:r>
          </w:p>
        </w:tc>
        <w:tc>
          <w:tcPr>
            <w:tcW w:w="1596" w:type="dxa"/>
            <w:tcBorders>
              <w:bottom w:val="single" w:sz="4" w:space="0" w:color="auto"/>
            </w:tcBorders>
          </w:tcPr>
          <w:p>
            <w:pPr>
              <w:pStyle w:val="yTableNAm"/>
              <w:ind w:left="170"/>
            </w:pPr>
            <w:r>
              <w:t>200</w:t>
            </w:r>
          </w:p>
        </w:tc>
      </w:tr>
    </w:tbl>
    <w:p>
      <w:pPr>
        <w:pStyle w:val="yFootnotesection"/>
      </w:pPr>
      <w:r>
        <w:tab/>
        <w:t>[Clause 1 amended in Gazette 22 Jun 2010 p. 2783.]</w:t>
      </w:r>
    </w:p>
    <w:p>
      <w:pPr>
        <w:pStyle w:val="yHeading5"/>
      </w:pPr>
      <w:bookmarkStart w:id="44" w:name="_Toc377048073"/>
      <w:r>
        <w:rPr>
          <w:rStyle w:val="CharSClsNo"/>
        </w:rPr>
        <w:t>2</w:t>
      </w:r>
      <w:r>
        <w:t>.</w:t>
      </w:r>
      <w:r>
        <w:tab/>
        <w:t>Threshold quantity for categories of substances</w:t>
      </w:r>
      <w:bookmarkEnd w:id="44"/>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keepNex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spacing w:after="80"/>
        <w:rPr>
          <w:b/>
          <w:bCs/>
        </w:rPr>
      </w:pPr>
      <w:r>
        <w:rPr>
          <w:b/>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rPr>
                <w:b/>
              </w:rPr>
            </w:pPr>
            <w:r>
              <w:rPr>
                <w:b/>
              </w:rPr>
              <w:t>Category of substances</w:t>
            </w:r>
          </w:p>
        </w:tc>
        <w:tc>
          <w:tcPr>
            <w:tcW w:w="1950" w:type="dxa"/>
            <w:tcBorders>
              <w:top w:val="single" w:sz="4" w:space="0" w:color="auto"/>
              <w:bottom w:val="single" w:sz="4" w:space="0" w:color="auto"/>
            </w:tcBorders>
          </w:tcPr>
          <w:p>
            <w:pPr>
              <w:pStyle w:val="yTableNAm"/>
              <w:rPr>
                <w:b/>
              </w:rPr>
            </w:pPr>
            <w:r>
              <w:rPr>
                <w:b/>
              </w:rP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26"/>
              </w:numPr>
              <w:tabs>
                <w:tab w:val="clear" w:pos="567"/>
                <w:tab w:val="clear" w:pos="720"/>
                <w:tab w:val="left" w:pos="355"/>
              </w:tabs>
              <w:ind w:left="355" w:hanging="355"/>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26"/>
              </w:numPr>
              <w:tabs>
                <w:tab w:val="clear" w:pos="567"/>
                <w:tab w:val="clear" w:pos="720"/>
                <w:tab w:val="left" w:pos="355"/>
              </w:tabs>
              <w:ind w:left="355" w:hanging="355"/>
            </w:pPr>
            <w:r>
              <w:t>of division 2.1 or subsidiary risk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subsidiary risk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26"/>
              </w:numPr>
              <w:tabs>
                <w:tab w:val="clear" w:pos="567"/>
                <w:tab w:val="clear" w:pos="720"/>
                <w:tab w:val="left" w:pos="355"/>
              </w:tabs>
              <w:ind w:left="355" w:hanging="355"/>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 w:val="left" w:pos="355"/>
              </w:tabs>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26"/>
              </w:numPr>
              <w:tabs>
                <w:tab w:val="clear" w:pos="567"/>
                <w:tab w:val="clear" w:pos="720"/>
                <w:tab w:val="left" w:pos="355"/>
              </w:tabs>
              <w:ind w:left="355" w:hanging="355"/>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in Gazette 22 Jun 2010 p. 2783.]</w:t>
      </w:r>
    </w:p>
    <w:p>
      <w:pPr>
        <w:numPr>
          <w:ilvl w:val="0"/>
          <w:numId w:val="26"/>
        </w:numPr>
        <w:tabs>
          <w:tab w:val="clear" w:pos="720"/>
          <w:tab w:val="left" w:pos="355"/>
        </w:tabs>
        <w:ind w:left="355" w:hanging="355"/>
        <w:sectPr>
          <w:headerReference w:type="even" r:id="rId30"/>
          <w:headerReference w:type="default" r:id="rId31"/>
          <w:endnotePr>
            <w:numFmt w:val="decimal"/>
          </w:endnotePr>
          <w:pgSz w:w="11906" w:h="16838" w:code="9"/>
          <w:pgMar w:top="2381" w:right="2410" w:bottom="3544" w:left="2410" w:header="720" w:footer="3380" w:gutter="0"/>
          <w:cols w:space="720"/>
          <w:docGrid w:linePitch="78"/>
        </w:sectPr>
      </w:pPr>
    </w:p>
    <w:p>
      <w:pPr>
        <w:pStyle w:val="yScheduleHeading"/>
      </w:pPr>
      <w:bookmarkStart w:id="45" w:name="_Toc377048074"/>
      <w:r>
        <w:rPr>
          <w:rStyle w:val="CharSchNo"/>
        </w:rPr>
        <w:t>Schedule 2</w:t>
      </w:r>
      <w:r>
        <w:rPr>
          <w:rStyle w:val="CharSDivNo"/>
        </w:rPr>
        <w:t> </w:t>
      </w:r>
      <w:r>
        <w:t>—</w:t>
      </w:r>
      <w:r>
        <w:rPr>
          <w:rStyle w:val="CharSDivText"/>
        </w:rPr>
        <w:t> </w:t>
      </w:r>
      <w:r>
        <w:rPr>
          <w:rStyle w:val="CharSchText"/>
        </w:rPr>
        <w:t>Notifiable information</w:t>
      </w:r>
      <w:bookmarkEnd w:id="45"/>
    </w:p>
    <w:p>
      <w:pPr>
        <w:pStyle w:val="yShoulderClause"/>
      </w:pPr>
      <w:r>
        <w:t>[r. 4]</w:t>
      </w:r>
    </w:p>
    <w:p>
      <w:pPr>
        <w:pStyle w:val="yHeading5"/>
      </w:pPr>
      <w:bookmarkStart w:id="46" w:name="_Toc377048075"/>
      <w:r>
        <w:rPr>
          <w:rStyle w:val="CharSClsNo"/>
        </w:rPr>
        <w:t>1</w:t>
      </w:r>
      <w:r>
        <w:t>.</w:t>
      </w:r>
      <w:r>
        <w:tab/>
        <w:t>Term used: material safety data sheet</w:t>
      </w:r>
      <w:bookmarkEnd w:id="46"/>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47" w:name="_Toc377048076"/>
      <w:r>
        <w:rPr>
          <w:rStyle w:val="CharSClsNo"/>
        </w:rPr>
        <w:t>2</w:t>
      </w:r>
      <w:r>
        <w:t>.</w:t>
      </w:r>
      <w:r>
        <w:tab/>
        <w:t>Notifiable information</w:t>
      </w:r>
      <w:bookmarkEnd w:id="47"/>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48" w:name="_Toc377048077"/>
      <w:r>
        <w:rPr>
          <w:rStyle w:val="CharSchNo"/>
        </w:rPr>
        <w:t>Schedule 3</w:t>
      </w:r>
      <w:r>
        <w:rPr>
          <w:rStyle w:val="CharSDivNo"/>
        </w:rPr>
        <w:t> </w:t>
      </w:r>
      <w:r>
        <w:t>—</w:t>
      </w:r>
      <w:r>
        <w:rPr>
          <w:rStyle w:val="CharSDivText"/>
        </w:rPr>
        <w:t> </w:t>
      </w:r>
      <w:r>
        <w:rPr>
          <w:rStyle w:val="CharSchText"/>
        </w:rPr>
        <w:t>Fees</w:t>
      </w:r>
      <w:bookmarkEnd w:id="48"/>
    </w:p>
    <w:p>
      <w:pPr>
        <w:pStyle w:val="yShoulderClause"/>
      </w:pPr>
      <w:r>
        <w:t>[r. 26 and 34]</w:t>
      </w:r>
    </w:p>
    <w:p>
      <w:pPr>
        <w:pStyle w:val="yFootnoteheading"/>
      </w:pPr>
      <w:r>
        <w:tab/>
        <w:t>[Heading inserted in Gazette 16 Mar 2012 p. 1273.]</w:t>
      </w:r>
    </w:p>
    <w:p>
      <w:pPr>
        <w:pStyle w:val="yHeading5"/>
      </w:pPr>
      <w:bookmarkStart w:id="49" w:name="_Toc377048078"/>
      <w:r>
        <w:rPr>
          <w:rStyle w:val="CharSClsNo"/>
        </w:rPr>
        <w:t>1</w:t>
      </w:r>
      <w:r>
        <w:t>.</w:t>
      </w:r>
      <w:r>
        <w:tab/>
        <w:t>Safety reports, fees for approval of (r. 26)</w:t>
      </w:r>
      <w:bookmarkEnd w:id="49"/>
    </w:p>
    <w:p>
      <w:pPr>
        <w:pStyle w:val="ySubsection"/>
      </w:pPr>
      <w:r>
        <w:tab/>
      </w:r>
      <w:r>
        <w:tab/>
        <w:t>The relevant fee to be paid under regulation 26 for an application for approval of a safety report for a major hazard facility is the fee in the Table relevant to the class of the facility.</w:t>
      </w:r>
    </w:p>
    <w:p>
      <w:pPr>
        <w:pStyle w:val="yTHeadingNAm"/>
      </w:pPr>
      <w:r>
        <w:t>Table</w:t>
      </w:r>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394"/>
        <w:gridCol w:w="1185"/>
      </w:tblGrid>
      <w:tr>
        <w:trPr>
          <w:tblHeader/>
        </w:trPr>
        <w:tc>
          <w:tcPr>
            <w:tcW w:w="4394" w:type="dxa"/>
          </w:tcPr>
          <w:p>
            <w:pPr>
              <w:pStyle w:val="yTableNAm"/>
            </w:pPr>
            <w:r>
              <w:rPr>
                <w:b/>
              </w:rPr>
              <w:t>Class of facility under r. 33</w:t>
            </w:r>
          </w:p>
        </w:tc>
        <w:tc>
          <w:tcPr>
            <w:tcW w:w="1185" w:type="dxa"/>
          </w:tcPr>
          <w:p>
            <w:pPr>
              <w:pStyle w:val="yTableNAm"/>
            </w:pPr>
            <w:r>
              <w:rPr>
                <w:b/>
              </w:rPr>
              <w:t>Fee ($)</w:t>
            </w:r>
          </w:p>
        </w:tc>
      </w:tr>
      <w:tr>
        <w:tc>
          <w:tcPr>
            <w:tcW w:w="4394" w:type="dxa"/>
          </w:tcPr>
          <w:p>
            <w:pPr>
              <w:pStyle w:val="yTableNAm"/>
            </w:pPr>
            <w:r>
              <w:t>Class A</w:t>
            </w:r>
          </w:p>
        </w:tc>
        <w:tc>
          <w:tcPr>
            <w:tcW w:w="1185" w:type="dxa"/>
          </w:tcPr>
          <w:p>
            <w:pPr>
              <w:pStyle w:val="yTableNAm"/>
            </w:pPr>
            <w:r>
              <w:t>124 000</w:t>
            </w:r>
          </w:p>
        </w:tc>
      </w:tr>
      <w:tr>
        <w:tc>
          <w:tcPr>
            <w:tcW w:w="4394" w:type="dxa"/>
          </w:tcPr>
          <w:p>
            <w:pPr>
              <w:pStyle w:val="yTableNAm"/>
            </w:pPr>
            <w:r>
              <w:t>Class B</w:t>
            </w:r>
          </w:p>
        </w:tc>
        <w:tc>
          <w:tcPr>
            <w:tcW w:w="1185" w:type="dxa"/>
          </w:tcPr>
          <w:p>
            <w:pPr>
              <w:pStyle w:val="yTableNAm"/>
            </w:pPr>
            <w:r>
              <w:t>102 000</w:t>
            </w:r>
          </w:p>
        </w:tc>
      </w:tr>
      <w:tr>
        <w:tc>
          <w:tcPr>
            <w:tcW w:w="4394" w:type="dxa"/>
          </w:tcPr>
          <w:p>
            <w:pPr>
              <w:pStyle w:val="yTableNAm"/>
            </w:pPr>
            <w:r>
              <w:t>Class C</w:t>
            </w:r>
          </w:p>
        </w:tc>
        <w:tc>
          <w:tcPr>
            <w:tcW w:w="1185" w:type="dxa"/>
          </w:tcPr>
          <w:p>
            <w:pPr>
              <w:pStyle w:val="yTableNAm"/>
            </w:pPr>
            <w:r>
              <w:t>96 000</w:t>
            </w:r>
          </w:p>
        </w:tc>
      </w:tr>
      <w:tr>
        <w:tc>
          <w:tcPr>
            <w:tcW w:w="4394" w:type="dxa"/>
          </w:tcPr>
          <w:p>
            <w:pPr>
              <w:pStyle w:val="yTableNAm"/>
            </w:pPr>
            <w:r>
              <w:t>Class D</w:t>
            </w:r>
          </w:p>
        </w:tc>
        <w:tc>
          <w:tcPr>
            <w:tcW w:w="1185" w:type="dxa"/>
          </w:tcPr>
          <w:p>
            <w:pPr>
              <w:pStyle w:val="yTableNAm"/>
            </w:pPr>
            <w:r>
              <w:t>20 000</w:t>
            </w:r>
          </w:p>
        </w:tc>
      </w:tr>
    </w:tbl>
    <w:p>
      <w:pPr>
        <w:pStyle w:val="yFootnotesection"/>
      </w:pPr>
      <w:r>
        <w:tab/>
        <w:t>[Clause 1 inserted in Gazette 16 Mar 2012 p. 1273; amended in Gazette 11 Jan 2013 p. 56.]</w:t>
      </w:r>
    </w:p>
    <w:p>
      <w:pPr>
        <w:pStyle w:val="yHeading5"/>
      </w:pPr>
      <w:bookmarkStart w:id="50" w:name="_Toc377048079"/>
      <w:r>
        <w:rPr>
          <w:rStyle w:val="CharSClsNo"/>
        </w:rPr>
        <w:t>2</w:t>
      </w:r>
      <w:r>
        <w:t>.</w:t>
      </w:r>
      <w:r>
        <w:tab/>
        <w:t>Major hazard facilities, annual fees for (r. 34)</w:t>
      </w:r>
      <w:bookmarkEnd w:id="50"/>
    </w:p>
    <w:p>
      <w:pPr>
        <w:pStyle w:val="ySubsection"/>
      </w:pPr>
      <w:r>
        <w:tab/>
      </w:r>
      <w:r>
        <w:tab/>
        <w:t>The relevant annual fee to be paid under regulation 34 in respect of a major hazard facility is the fee in the Table relevant to the class of the facility.</w:t>
      </w:r>
    </w:p>
    <w:p>
      <w:pPr>
        <w:pStyle w:val="y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1276"/>
      </w:tblGrid>
      <w:tr>
        <w:trPr>
          <w:tblHeader/>
        </w:trPr>
        <w:tc>
          <w:tcPr>
            <w:tcW w:w="4536" w:type="dxa"/>
            <w:vAlign w:val="bottom"/>
          </w:tcPr>
          <w:p>
            <w:pPr>
              <w:pStyle w:val="yTableNAm"/>
            </w:pPr>
            <w:r>
              <w:rPr>
                <w:b/>
                <w:bCs/>
              </w:rPr>
              <w:t>Class of facility under r. 33</w:t>
            </w:r>
          </w:p>
        </w:tc>
        <w:tc>
          <w:tcPr>
            <w:tcW w:w="1276" w:type="dxa"/>
            <w:vAlign w:val="bottom"/>
          </w:tcPr>
          <w:p>
            <w:pPr>
              <w:pStyle w:val="yTableNAm"/>
            </w:pPr>
            <w:r>
              <w:rPr>
                <w:b/>
                <w:bCs/>
              </w:rPr>
              <w:t>Fee ($)</w:t>
            </w:r>
          </w:p>
        </w:tc>
      </w:tr>
      <w:tr>
        <w:tc>
          <w:tcPr>
            <w:tcW w:w="4536" w:type="dxa"/>
          </w:tcPr>
          <w:p>
            <w:pPr>
              <w:pStyle w:val="yTableNAm"/>
            </w:pPr>
            <w:r>
              <w:t>Class A</w:t>
            </w:r>
          </w:p>
        </w:tc>
        <w:tc>
          <w:tcPr>
            <w:tcW w:w="1276" w:type="dxa"/>
          </w:tcPr>
          <w:p>
            <w:pPr>
              <w:pStyle w:val="yTableNAm"/>
            </w:pPr>
            <w:r>
              <w:t>132 000</w:t>
            </w:r>
          </w:p>
        </w:tc>
      </w:tr>
      <w:tr>
        <w:tc>
          <w:tcPr>
            <w:tcW w:w="4536" w:type="dxa"/>
          </w:tcPr>
          <w:p>
            <w:pPr>
              <w:pStyle w:val="yTableNAm"/>
            </w:pPr>
            <w:r>
              <w:t>Class B</w:t>
            </w:r>
          </w:p>
        </w:tc>
        <w:tc>
          <w:tcPr>
            <w:tcW w:w="1276" w:type="dxa"/>
          </w:tcPr>
          <w:p>
            <w:pPr>
              <w:pStyle w:val="yTableNAm"/>
            </w:pPr>
            <w:r>
              <w:t>109 000</w:t>
            </w:r>
          </w:p>
        </w:tc>
      </w:tr>
      <w:tr>
        <w:tc>
          <w:tcPr>
            <w:tcW w:w="4536" w:type="dxa"/>
          </w:tcPr>
          <w:p>
            <w:pPr>
              <w:pStyle w:val="yTableNAm"/>
            </w:pPr>
            <w:r>
              <w:t>Class C</w:t>
            </w:r>
          </w:p>
        </w:tc>
        <w:tc>
          <w:tcPr>
            <w:tcW w:w="1276" w:type="dxa"/>
          </w:tcPr>
          <w:p>
            <w:pPr>
              <w:pStyle w:val="yTableNAm"/>
            </w:pPr>
            <w:r>
              <w:t>102 000</w:t>
            </w:r>
          </w:p>
        </w:tc>
      </w:tr>
      <w:tr>
        <w:tc>
          <w:tcPr>
            <w:tcW w:w="4536" w:type="dxa"/>
          </w:tcPr>
          <w:p>
            <w:pPr>
              <w:pStyle w:val="yTableNAm"/>
            </w:pPr>
            <w:r>
              <w:t>Class D</w:t>
            </w:r>
          </w:p>
        </w:tc>
        <w:tc>
          <w:tcPr>
            <w:tcW w:w="1276" w:type="dxa"/>
          </w:tcPr>
          <w:p>
            <w:pPr>
              <w:pStyle w:val="yTableNAm"/>
            </w:pPr>
            <w:r>
              <w:t>20 000</w:t>
            </w:r>
          </w:p>
        </w:tc>
      </w:tr>
    </w:tbl>
    <w:p>
      <w:pPr>
        <w:pStyle w:val="yFootnotesection"/>
      </w:pPr>
      <w:r>
        <w:tab/>
        <w:t>[Clause 2 inserted in Gazette 16 Mar 2012 p. 1273; amended in Gazette 11 Jan 2013 p. 56; 28 Jun 2013 p. 2825-6.]</w:t>
      </w:r>
    </w:p>
    <w:p>
      <w:pPr>
        <w:pStyle w:val="yScheduleHeading"/>
      </w:pPr>
      <w:bookmarkStart w:id="51" w:name="_Toc377048080"/>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51"/>
      <w:r>
        <w:rPr>
          <w:rStyle w:val="CharSchText"/>
        </w:rPr>
        <w:t xml:space="preserve"> </w:t>
      </w:r>
    </w:p>
    <w:p>
      <w:pPr>
        <w:pStyle w:val="yShoulderClause"/>
      </w:pPr>
      <w:r>
        <w:t>[r. 24]</w:t>
      </w:r>
    </w:p>
    <w:p>
      <w:pPr>
        <w:pStyle w:val="yHeading5"/>
      </w:pPr>
      <w:bookmarkStart w:id="52" w:name="_Toc377048081"/>
      <w:r>
        <w:rPr>
          <w:rStyle w:val="CharSClsNo"/>
        </w:rPr>
        <w:t>1</w:t>
      </w:r>
      <w:r>
        <w:t>.</w:t>
      </w:r>
      <w:r>
        <w:tab/>
        <w:t>Skills etc. of employees, procedures to ensure</w:t>
      </w:r>
      <w:bookmarkEnd w:id="52"/>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53" w:name="_Toc377048082"/>
      <w:r>
        <w:rPr>
          <w:rStyle w:val="CharSClsNo"/>
        </w:rPr>
        <w:t>2</w:t>
      </w:r>
      <w:r>
        <w:t>.</w:t>
      </w:r>
      <w:r>
        <w:tab/>
        <w:t>Operation etc. of plant etc., procedures for</w:t>
      </w:r>
      <w:bookmarkEnd w:id="53"/>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54" w:name="_Toc377048083"/>
      <w:r>
        <w:rPr>
          <w:rStyle w:val="CharSClsNo"/>
        </w:rPr>
        <w:t>3</w:t>
      </w:r>
      <w:r>
        <w:t>.</w:t>
      </w:r>
      <w:r>
        <w:tab/>
        <w:t>Security, procedures to ensure</w:t>
      </w:r>
      <w:bookmarkEnd w:id="54"/>
    </w:p>
    <w:p>
      <w:pPr>
        <w:pStyle w:val="ySubsection"/>
      </w:pPr>
      <w:r>
        <w:tab/>
      </w:r>
      <w:r>
        <w:tab/>
        <w:t>The procedures for preventing unauthorised acts that could cause a major incident and for preventing acts intended to cause a major incident.</w:t>
      </w:r>
    </w:p>
    <w:p>
      <w:pPr>
        <w:pStyle w:val="yHeading5"/>
      </w:pPr>
      <w:bookmarkStart w:id="55" w:name="_Toc377048084"/>
      <w:r>
        <w:rPr>
          <w:rStyle w:val="CharSClsNo"/>
        </w:rPr>
        <w:t>4</w:t>
      </w:r>
      <w:r>
        <w:t>.</w:t>
      </w:r>
      <w:r>
        <w:tab/>
        <w:t>Safety information, procedures to ensure employees are given</w:t>
      </w:r>
      <w:bookmarkEnd w:id="55"/>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w:t>
      </w:r>
      <w:r>
        <w:rPr>
          <w:szCs w:val="22"/>
        </w:rPr>
        <w:t xml:space="preserve"> FES Commissioner, as defined in the </w:t>
      </w:r>
      <w:r>
        <w:rPr>
          <w:i/>
          <w:szCs w:val="22"/>
        </w:rPr>
        <w:t>Fire and Emergency Services Act 1998</w:t>
      </w:r>
      <w:r>
        <w:rPr>
          <w:szCs w:val="22"/>
        </w:rPr>
        <w:t xml:space="preserve"> section 3.</w:t>
      </w:r>
    </w:p>
    <w:p>
      <w:pPr>
        <w:pStyle w:val="yFootnotesection"/>
      </w:pPr>
      <w:r>
        <w:tab/>
        <w:t>[Clause 4 amended in Gazette 19 Feb 2013 p. 988.]</w:t>
      </w:r>
    </w:p>
    <w:p>
      <w:pPr>
        <w:pStyle w:val="yHeading5"/>
      </w:pPr>
      <w:bookmarkStart w:id="56" w:name="_Toc377048085"/>
      <w:r>
        <w:rPr>
          <w:rStyle w:val="CharSClsNo"/>
        </w:rPr>
        <w:t>5</w:t>
      </w:r>
      <w:r>
        <w:t>.</w:t>
      </w:r>
      <w:r>
        <w:tab/>
        <w:t>Risk control measures, procedures to ensure monitoring of etc.</w:t>
      </w:r>
      <w:bookmarkEnd w:id="56"/>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78"/>
        </w:sectPr>
      </w:pPr>
    </w:p>
    <w:p>
      <w:pPr>
        <w:pStyle w:val="nHeading2"/>
      </w:pPr>
      <w:bookmarkStart w:id="57" w:name="_Toc377048086"/>
      <w:r>
        <w:t>Notes</w:t>
      </w:r>
      <w:bookmarkEnd w:id="57"/>
    </w:p>
    <w:p>
      <w:pPr>
        <w:pStyle w:val="nSubsection"/>
        <w:rPr>
          <w:snapToGrid w:val="0"/>
        </w:rPr>
      </w:pPr>
      <w:r>
        <w:rPr>
          <w:snapToGrid w:val="0"/>
          <w:vertAlign w:val="superscript"/>
        </w:rPr>
        <w:t>1</w:t>
      </w:r>
      <w:r>
        <w:rPr>
          <w:snapToGrid w:val="0"/>
        </w:rPr>
        <w:tab/>
        <w:t xml:space="preserve">This is a compilation of the </w:t>
      </w:r>
      <w:r>
        <w:rPr>
          <w:i/>
          <w:noProof/>
          <w:snapToGrid w:val="0"/>
        </w:rPr>
        <w:t>Dangerous Goods Safety (Major Hazard Facilities)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58" w:name="_Toc377048087"/>
      <w:r>
        <w:t>Compilation table</w:t>
      </w:r>
      <w:bookmarkEnd w:id="5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Dangerous Goods Safety (Major Hazard Facilities) Regulations 2007</w:t>
            </w:r>
            <w:r>
              <w:rPr>
                <w:sz w:val="19"/>
              </w:rPr>
              <w:t xml:space="preserve"> </w:t>
            </w:r>
          </w:p>
        </w:tc>
        <w:tc>
          <w:tcPr>
            <w:tcW w:w="1276" w:type="dxa"/>
            <w:tcBorders>
              <w:top w:val="single" w:sz="8" w:space="0" w:color="auto"/>
              <w:bottom w:val="nil"/>
            </w:tcBorders>
          </w:tcPr>
          <w:p>
            <w:pPr>
              <w:pStyle w:val="nTable"/>
              <w:spacing w:after="40"/>
              <w:rPr>
                <w:sz w:val="19"/>
              </w:rPr>
            </w:pPr>
            <w:r>
              <w:rPr>
                <w:sz w:val="19"/>
              </w:rPr>
              <w:t>31 Dec 2007 p. 7057-100</w:t>
            </w:r>
          </w:p>
        </w:tc>
        <w:tc>
          <w:tcPr>
            <w:tcW w:w="2693" w:type="dxa"/>
            <w:tcBorders>
              <w:top w:val="single" w:sz="8" w:space="0" w:color="auto"/>
              <w:bottom w:val="nil"/>
            </w:tcBorders>
          </w:tcPr>
          <w:p>
            <w:pPr>
              <w:pStyle w:val="nTable"/>
              <w:spacing w:after="40"/>
              <w:rPr>
                <w:sz w:val="19"/>
              </w:rPr>
            </w:pPr>
            <w:r>
              <w:rPr>
                <w:snapToGrid w:val="0"/>
                <w:sz w:val="19"/>
              </w:rPr>
              <w:t>r. 1 and 2: 31 Dec 2007 (see r. 2(a));</w:t>
            </w:r>
            <w:r>
              <w:rPr>
                <w:snapToGrid w:val="0"/>
                <w:sz w:val="19"/>
              </w:rPr>
              <w:br/>
              <w:t xml:space="preserve">Regulations other than r. 1 and 2: 1 Mar 2008 (see r. 2(b) and </w:t>
            </w:r>
            <w:r>
              <w:rPr>
                <w:i/>
                <w:iCs/>
                <w:snapToGrid w:val="0"/>
                <w:sz w:val="19"/>
              </w:rPr>
              <w:t xml:space="preserve">Gazette </w:t>
            </w:r>
            <w:r>
              <w:rPr>
                <w:snapToGrid w:val="0"/>
                <w:sz w:val="19"/>
              </w:rPr>
              <w:t>29 Feb 2008 p. 669)</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2194</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r. 1 and 2: 16 Jun 2009 (see r. 2(a));</w:t>
            </w:r>
            <w:r>
              <w:rPr>
                <w:snapToGrid w:val="0"/>
                <w:sz w:val="19"/>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2010</w:t>
            </w:r>
          </w:p>
        </w:tc>
        <w:tc>
          <w:tcPr>
            <w:tcW w:w="1276" w:type="dxa"/>
            <w:tcBorders>
              <w:top w:val="nil"/>
              <w:bottom w:val="nil"/>
            </w:tcBorders>
          </w:tcPr>
          <w:p>
            <w:pPr>
              <w:pStyle w:val="nTable"/>
              <w:spacing w:after="40"/>
              <w:rPr>
                <w:sz w:val="19"/>
              </w:rPr>
            </w:pPr>
            <w:r>
              <w:rPr>
                <w:sz w:val="19"/>
              </w:rPr>
              <w:t>22 Jun 2010 p. 2782-3</w:t>
            </w:r>
          </w:p>
        </w:tc>
        <w:tc>
          <w:tcPr>
            <w:tcW w:w="2693" w:type="dxa"/>
            <w:tcBorders>
              <w:top w:val="nil"/>
              <w:bottom w:val="nil"/>
            </w:tcBorders>
          </w:tcPr>
          <w:p>
            <w:pPr>
              <w:pStyle w:val="nTable"/>
              <w:spacing w:after="40"/>
              <w:rPr>
                <w:snapToGrid w:val="0"/>
                <w:sz w:val="19"/>
              </w:rPr>
            </w:pPr>
            <w:r>
              <w:rPr>
                <w:snapToGrid w:val="0"/>
                <w:sz w:val="19"/>
              </w:rPr>
              <w:t>r. 1 and 2: 22 Jun 2010 (see r. 2(a));</w:t>
            </w:r>
            <w:r>
              <w:rPr>
                <w:snapToGrid w:val="0"/>
                <w:sz w:val="19"/>
              </w:rPr>
              <w:br/>
              <w:t>Regulations other than r. 1 and 2: 23 Jun 2010 (see r. 2(b))</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(No. 2) 2010</w:t>
            </w:r>
          </w:p>
        </w:tc>
        <w:tc>
          <w:tcPr>
            <w:tcW w:w="1276" w:type="dxa"/>
            <w:tcBorders>
              <w:top w:val="nil"/>
              <w:bottom w:val="nil"/>
            </w:tcBorders>
          </w:tcPr>
          <w:p>
            <w:pPr>
              <w:pStyle w:val="nTable"/>
              <w:spacing w:after="40"/>
              <w:rPr>
                <w:sz w:val="19"/>
              </w:rPr>
            </w:pPr>
            <w:r>
              <w:rPr>
                <w:sz w:val="19"/>
              </w:rPr>
              <w:t>25 Jun 2010 p. 2874</w:t>
            </w:r>
            <w:r>
              <w:rPr>
                <w:sz w:val="19"/>
              </w:rPr>
              <w:noBreakHyphen/>
              <w:t>5</w:t>
            </w:r>
          </w:p>
        </w:tc>
        <w:tc>
          <w:tcPr>
            <w:tcW w:w="2693" w:type="dxa"/>
            <w:tcBorders>
              <w:top w:val="nil"/>
              <w:bottom w:val="nil"/>
            </w:tcBorders>
          </w:tcPr>
          <w:p>
            <w:pPr>
              <w:pStyle w:val="nTable"/>
              <w:spacing w:after="40"/>
              <w:rPr>
                <w:snapToGrid w:val="0"/>
                <w:sz w:val="19"/>
              </w:rPr>
            </w:pPr>
            <w:r>
              <w:rPr>
                <w:snapToGrid w:val="0"/>
                <w:sz w:val="19"/>
              </w:rPr>
              <w:t>r. 1 and 2: 25 Jun 2010 (see r. 2(a));</w:t>
            </w:r>
            <w:r>
              <w:rPr>
                <w:snapToGrid w:val="0"/>
                <w:sz w:val="19"/>
              </w:rPr>
              <w:br/>
              <w:t>Regulations other than r. 1 and 2: 1 Jul 2010 (see r. 2(b))</w:t>
            </w:r>
          </w:p>
        </w:tc>
      </w:tr>
      <w:tr>
        <w:tc>
          <w:tcPr>
            <w:tcW w:w="3118" w:type="dxa"/>
            <w:tcBorders>
              <w:top w:val="nil"/>
              <w:bottom w:val="nil"/>
            </w:tcBorders>
            <w:shd w:val="clear" w:color="auto" w:fill="auto"/>
          </w:tcPr>
          <w:p>
            <w:pPr>
              <w:pStyle w:val="nTable"/>
              <w:spacing w:after="40"/>
              <w:rPr>
                <w:i/>
                <w:sz w:val="19"/>
              </w:rPr>
            </w:pPr>
            <w:r>
              <w:rPr>
                <w:i/>
                <w:sz w:val="19"/>
              </w:rPr>
              <w:t>Dangerous Goods Safety (Major Hazard Facilities) Amendment Regulations 2012</w:t>
            </w:r>
          </w:p>
        </w:tc>
        <w:tc>
          <w:tcPr>
            <w:tcW w:w="1276" w:type="dxa"/>
            <w:tcBorders>
              <w:top w:val="nil"/>
              <w:bottom w:val="nil"/>
            </w:tcBorders>
            <w:shd w:val="clear" w:color="auto" w:fill="auto"/>
          </w:tcPr>
          <w:p>
            <w:pPr>
              <w:pStyle w:val="nTable"/>
              <w:spacing w:after="40"/>
              <w:rPr>
                <w:sz w:val="19"/>
              </w:rPr>
            </w:pPr>
            <w:r>
              <w:rPr>
                <w:sz w:val="19"/>
              </w:rPr>
              <w:t>16 Mar 2012 p. 1270</w:t>
            </w:r>
            <w:r>
              <w:rPr>
                <w:sz w:val="19"/>
              </w:rPr>
              <w:noBreakHyphen/>
              <w:t>3</w:t>
            </w:r>
          </w:p>
        </w:tc>
        <w:tc>
          <w:tcPr>
            <w:tcW w:w="2693" w:type="dxa"/>
            <w:tcBorders>
              <w:top w:val="nil"/>
              <w:bottom w:val="nil"/>
            </w:tcBorders>
            <w:shd w:val="clear" w:color="auto" w:fill="auto"/>
          </w:tcPr>
          <w:p>
            <w:pPr>
              <w:pStyle w:val="nTable"/>
              <w:spacing w:after="40"/>
              <w:rPr>
                <w:snapToGrid w:val="0"/>
                <w:sz w:val="19"/>
              </w:rPr>
            </w:pPr>
            <w:r>
              <w:rPr>
                <w:snapToGrid w:val="0"/>
                <w:sz w:val="19"/>
              </w:rPr>
              <w:t>r. 1 and 2: 16 Mar 2012 (see r. 2(a));</w:t>
            </w:r>
            <w:r>
              <w:rPr>
                <w:snapToGrid w:val="0"/>
                <w:sz w:val="19"/>
              </w:rPr>
              <w:br/>
              <w:t>Regulations other than r. 1 and 2: 1 Apr 2012 (see r. 2(b))</w:t>
            </w:r>
          </w:p>
        </w:tc>
      </w:tr>
      <w:tr>
        <w:tc>
          <w:tcPr>
            <w:tcW w:w="7087" w:type="dxa"/>
            <w:gridSpan w:val="3"/>
            <w:tcBorders>
              <w:top w:val="nil"/>
              <w:bottom w:val="nil"/>
            </w:tcBorders>
            <w:shd w:val="clear" w:color="auto" w:fill="auto"/>
          </w:tcPr>
          <w:p>
            <w:pPr>
              <w:pStyle w:val="nTable"/>
              <w:spacing w:after="40"/>
              <w:rPr>
                <w:snapToGrid w:val="0"/>
                <w:sz w:val="19"/>
              </w:rPr>
            </w:pPr>
            <w:r>
              <w:rPr>
                <w:b/>
                <w:snapToGrid w:val="0"/>
                <w:sz w:val="19"/>
              </w:rPr>
              <w:t xml:space="preserve">Reprint 1: The </w:t>
            </w:r>
            <w:r>
              <w:rPr>
                <w:b/>
                <w:i/>
                <w:sz w:val="19"/>
              </w:rPr>
              <w:t>Dangerous Goods Safety (Major Hazard Facilities) Regulations 2007</w:t>
            </w:r>
            <w:r>
              <w:rPr>
                <w:b/>
                <w:snapToGrid w:val="0"/>
                <w:sz w:val="19"/>
              </w:rPr>
              <w:t xml:space="preserve"> as at 19 Oct 2012</w:t>
            </w:r>
            <w:r>
              <w:rPr>
                <w:snapToGrid w:val="0"/>
                <w:sz w:val="19"/>
              </w:rPr>
              <w:t xml:space="preserve"> (includes amendments listed above)</w:t>
            </w:r>
          </w:p>
        </w:tc>
      </w:tr>
      <w:tr>
        <w:tc>
          <w:tcPr>
            <w:tcW w:w="3118" w:type="dxa"/>
            <w:tcBorders>
              <w:top w:val="nil"/>
              <w:bottom w:val="nil"/>
            </w:tcBorders>
            <w:shd w:val="clear" w:color="auto" w:fill="auto"/>
          </w:tcPr>
          <w:p>
            <w:pPr>
              <w:pStyle w:val="nTable"/>
              <w:spacing w:after="40"/>
              <w:rPr>
                <w:i/>
                <w:sz w:val="19"/>
              </w:rPr>
            </w:pPr>
            <w:r>
              <w:rPr>
                <w:i/>
                <w:sz w:val="19"/>
              </w:rPr>
              <w:t>Dangerous Goods Safety (Major Hazard Facilities) Amendment Regulations (No. 3) 2012</w:t>
            </w:r>
          </w:p>
        </w:tc>
        <w:tc>
          <w:tcPr>
            <w:tcW w:w="1276" w:type="dxa"/>
            <w:tcBorders>
              <w:top w:val="nil"/>
              <w:bottom w:val="nil"/>
            </w:tcBorders>
            <w:shd w:val="clear" w:color="auto" w:fill="auto"/>
          </w:tcPr>
          <w:p>
            <w:pPr>
              <w:pStyle w:val="nTable"/>
              <w:spacing w:after="40"/>
              <w:rPr>
                <w:sz w:val="19"/>
              </w:rPr>
            </w:pPr>
            <w:r>
              <w:rPr>
                <w:sz w:val="19"/>
              </w:rPr>
              <w:t>11 Jan 2013 p. 55</w:t>
            </w:r>
            <w:r>
              <w:rPr>
                <w:sz w:val="19"/>
              </w:rPr>
              <w:noBreakHyphen/>
              <w:t>6</w:t>
            </w:r>
          </w:p>
        </w:tc>
        <w:tc>
          <w:tcPr>
            <w:tcW w:w="2693" w:type="dxa"/>
            <w:tcBorders>
              <w:top w:val="nil"/>
              <w:bottom w:val="nil"/>
            </w:tcBorders>
            <w:shd w:val="clear" w:color="auto" w:fill="auto"/>
          </w:tcPr>
          <w:p>
            <w:pPr>
              <w:pStyle w:val="nTable"/>
              <w:spacing w:after="40"/>
              <w:rPr>
                <w:snapToGrid w:val="0"/>
                <w:sz w:val="19"/>
              </w:rPr>
            </w:pPr>
            <w:r>
              <w:rPr>
                <w:snapToGrid w:val="0"/>
                <w:sz w:val="19"/>
              </w:rPr>
              <w:t>r. 1 and 2: 11 Jan 2013 (see r. 2(a));</w:t>
            </w:r>
            <w:r>
              <w:rPr>
                <w:snapToGrid w:val="0"/>
                <w:sz w:val="19"/>
              </w:rPr>
              <w:br/>
              <w:t>Regulations other than r. 1 and 2: 1 Apr 2013 (see r. 2(b))</w:t>
            </w:r>
          </w:p>
        </w:tc>
      </w:tr>
      <w:tr>
        <w:tc>
          <w:tcPr>
            <w:tcW w:w="3118" w:type="dxa"/>
            <w:tcBorders>
              <w:top w:val="nil"/>
              <w:bottom w:val="nil"/>
            </w:tcBorders>
            <w:shd w:val="clear" w:color="auto" w:fill="auto"/>
          </w:tcPr>
          <w:p>
            <w:pPr>
              <w:pStyle w:val="nTable"/>
              <w:spacing w:after="40"/>
              <w:rPr>
                <w:i/>
                <w:sz w:val="19"/>
              </w:rPr>
            </w:pPr>
            <w:bookmarkStart w:id="59" w:name="AutoSch"/>
            <w:bookmarkEnd w:id="59"/>
            <w:r>
              <w:rPr>
                <w:i/>
                <w:sz w:val="19"/>
              </w:rPr>
              <w:t>Dangerous Goods Safety (Major Hazard Facilities) Amendment Regulations (No. 2) 2012</w:t>
            </w:r>
          </w:p>
        </w:tc>
        <w:tc>
          <w:tcPr>
            <w:tcW w:w="1276" w:type="dxa"/>
            <w:tcBorders>
              <w:top w:val="nil"/>
              <w:bottom w:val="nil"/>
            </w:tcBorders>
            <w:shd w:val="clear" w:color="auto" w:fill="auto"/>
          </w:tcPr>
          <w:p>
            <w:pPr>
              <w:pStyle w:val="nTable"/>
              <w:spacing w:after="40"/>
              <w:rPr>
                <w:sz w:val="19"/>
              </w:rPr>
            </w:pPr>
            <w:r>
              <w:rPr>
                <w:sz w:val="19"/>
              </w:rPr>
              <w:t>19 Feb 2013 p. 987-8</w:t>
            </w:r>
          </w:p>
        </w:tc>
        <w:tc>
          <w:tcPr>
            <w:tcW w:w="2693" w:type="dxa"/>
            <w:tcBorders>
              <w:top w:val="nil"/>
              <w:bottom w:val="nil"/>
            </w:tcBorders>
            <w:shd w:val="clear" w:color="auto" w:fill="auto"/>
          </w:tcPr>
          <w:p>
            <w:pPr>
              <w:pStyle w:val="nTable"/>
              <w:spacing w:after="40"/>
              <w:rPr>
                <w:snapToGrid w:val="0"/>
                <w:sz w:val="19"/>
              </w:rPr>
            </w:pPr>
            <w:r>
              <w:rPr>
                <w:snapToGrid w:val="0"/>
                <w:sz w:val="19"/>
              </w:rPr>
              <w:t>r. 1 and 2: 19 Feb 2013 (see r. 2(a));</w:t>
            </w:r>
            <w:r>
              <w:rPr>
                <w:snapToGrid w:val="0"/>
                <w:sz w:val="19"/>
              </w:rPr>
              <w:br/>
              <w:t>Regulations other than r. 1 and 2: 20 Feb 2013 (see r. 2(b))</w:t>
            </w:r>
          </w:p>
        </w:tc>
      </w:tr>
      <w:tr>
        <w:tc>
          <w:tcPr>
            <w:tcW w:w="3118" w:type="dxa"/>
            <w:tcBorders>
              <w:top w:val="nil"/>
              <w:bottom w:val="single" w:sz="4" w:space="0" w:color="auto"/>
            </w:tcBorders>
            <w:shd w:val="clear" w:color="auto" w:fill="auto"/>
          </w:tcPr>
          <w:p>
            <w:pPr>
              <w:pStyle w:val="nTable"/>
              <w:keepNext/>
              <w:keepLines/>
              <w:spacing w:after="40"/>
              <w:rPr>
                <w:i/>
                <w:sz w:val="19"/>
              </w:rPr>
            </w:pPr>
            <w:r>
              <w:rPr>
                <w:i/>
                <w:sz w:val="19"/>
              </w:rPr>
              <w:t>Dangerous Goods Safety (Major Hazard Facilities) Amendment Regulations 2013</w:t>
            </w:r>
          </w:p>
        </w:tc>
        <w:tc>
          <w:tcPr>
            <w:tcW w:w="1276" w:type="dxa"/>
            <w:tcBorders>
              <w:top w:val="nil"/>
              <w:bottom w:val="single" w:sz="4" w:space="0" w:color="auto"/>
            </w:tcBorders>
            <w:shd w:val="clear" w:color="auto" w:fill="auto"/>
          </w:tcPr>
          <w:p>
            <w:pPr>
              <w:pStyle w:val="nTable"/>
              <w:keepNext/>
              <w:keepLines/>
              <w:spacing w:after="40"/>
              <w:rPr>
                <w:sz w:val="19"/>
              </w:rPr>
            </w:pPr>
            <w:r>
              <w:rPr>
                <w:sz w:val="19"/>
              </w:rPr>
              <w:t>28 Jun 2013 p. 2825-6</w:t>
            </w:r>
          </w:p>
        </w:tc>
        <w:tc>
          <w:tcPr>
            <w:tcW w:w="2693" w:type="dxa"/>
            <w:tcBorders>
              <w:top w:val="nil"/>
              <w:bottom w:val="single" w:sz="4" w:space="0" w:color="auto"/>
            </w:tcBorders>
            <w:shd w:val="clear" w:color="auto" w:fill="auto"/>
          </w:tcPr>
          <w:p>
            <w:pPr>
              <w:pStyle w:val="nTable"/>
              <w:keepNext/>
              <w:keepLines/>
              <w:spacing w:after="40"/>
              <w:rPr>
                <w:snapToGrid w:val="0"/>
                <w:sz w:val="19"/>
              </w:rPr>
            </w:pPr>
            <w:r>
              <w:rPr>
                <w:snapToGrid w:val="0"/>
                <w:sz w:val="19"/>
              </w:rPr>
              <w:t>r. 1 and 2: 28 Jun 2013 (see r. 2(a));</w:t>
            </w:r>
            <w:r>
              <w:rPr>
                <w:snapToGrid w:val="0"/>
                <w:sz w:val="19"/>
              </w:rPr>
              <w:br/>
              <w:t>Regulations other than r. 1 and 2: 1 Jul 2013 (see r. 2(b))</w:t>
            </w:r>
          </w:p>
        </w:tc>
      </w:tr>
    </w:tbl>
    <w:p>
      <w:pPr>
        <w:pStyle w:val="nSubsection"/>
        <w:rPr>
          <w:vertAlign w:val="superscript"/>
        </w:rPr>
      </w:pPr>
    </w:p>
    <w:p>
      <w:pPr>
        <w:pStyle w:val="nSubsection"/>
      </w:pPr>
      <w:r>
        <w:rPr>
          <w:vertAlign w:val="superscript"/>
        </w:rPr>
        <w:t>2</w:t>
      </w:r>
      <w:r>
        <w:tab/>
        <w:t xml:space="preserve">Repealed by the </w:t>
      </w:r>
      <w:r>
        <w:rPr>
          <w:i/>
        </w:rPr>
        <w:t>Dangerous Goods Safety Act 2004</w:t>
      </w:r>
      <w:r>
        <w:t xml:space="preserve"> s. 70.</w:t>
      </w:r>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60" w:name="_Toc377048088"/>
      <w:r>
        <w:rPr>
          <w:sz w:val="28"/>
        </w:rPr>
        <w:t>Defined Terms</w:t>
      </w:r>
      <w:bookmarkEnd w:id="6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1" w:name="DefinedTerms"/>
      <w:bookmarkEnd w:id="61"/>
      <w:r>
        <w:t>ADG Code</w:t>
      </w:r>
      <w:r>
        <w:tab/>
        <w:t>4</w:t>
      </w:r>
    </w:p>
    <w:p>
      <w:pPr>
        <w:pStyle w:val="DefinedTerms"/>
      </w:pPr>
      <w:r>
        <w:t>AE Code</w:t>
      </w:r>
      <w:r>
        <w:tab/>
        <w:t>4</w:t>
      </w:r>
    </w:p>
    <w:p>
      <w:pPr>
        <w:pStyle w:val="DefinedTerms"/>
      </w:pPr>
      <w:r>
        <w:t>approved safety report</w:t>
      </w:r>
      <w:r>
        <w:tab/>
        <w:t>4</w:t>
      </w:r>
    </w:p>
    <w:p>
      <w:pPr>
        <w:pStyle w:val="DefinedTerms"/>
      </w:pPr>
      <w:r>
        <w:t>class</w:t>
      </w:r>
      <w:r>
        <w:tab/>
        <w:t>Sch. 1 cl. 2</w:t>
      </w:r>
    </w:p>
    <w:p>
      <w:pPr>
        <w:pStyle w:val="DefinedTerms"/>
      </w:pPr>
      <w:r>
        <w:t>classification code</w:t>
      </w:r>
      <w:r>
        <w:tab/>
        <w:t>Sch. 1 cl. 2</w:t>
      </w:r>
    </w:p>
    <w:p>
      <w:pPr>
        <w:pStyle w:val="DefinedTerms"/>
      </w:pPr>
      <w:r>
        <w:t>commencement day</w:t>
      </w:r>
      <w:r>
        <w:tab/>
        <w:t>4</w:t>
      </w:r>
    </w:p>
    <w:p>
      <w:pPr>
        <w:pStyle w:val="DefinedTerms"/>
      </w:pPr>
      <w:r>
        <w:t>community</w:t>
      </w:r>
      <w:r>
        <w:tab/>
        <w:t>Sch. 4 cl. 4(4)</w:t>
      </w:r>
    </w:p>
    <w:p>
      <w:pPr>
        <w:pStyle w:val="DefinedTerms"/>
      </w:pPr>
      <w:r>
        <w:t>compliance day</w:t>
      </w:r>
      <w:r>
        <w:tab/>
        <w:t>4</w:t>
      </w:r>
    </w:p>
    <w:p>
      <w:pPr>
        <w:pStyle w:val="DefinedTerms"/>
      </w:pPr>
      <w:r>
        <w:t>critical quantity</w:t>
      </w:r>
      <w:r>
        <w:tab/>
        <w:t>4</w:t>
      </w:r>
    </w:p>
    <w:p>
      <w:pPr>
        <w:pStyle w:val="DefinedTerms"/>
      </w:pPr>
      <w:r>
        <w:t>Dangerous Goods List</w:t>
      </w:r>
      <w:r>
        <w:tab/>
        <w:t>4</w:t>
      </w:r>
    </w:p>
    <w:p>
      <w:pPr>
        <w:pStyle w:val="DefinedTerms"/>
      </w:pPr>
      <w:r>
        <w:t>date A</w:t>
      </w:r>
      <w:r>
        <w:tab/>
        <w:t>34(5)</w:t>
      </w:r>
    </w:p>
    <w:p>
      <w:pPr>
        <w:pStyle w:val="DefinedTerms"/>
      </w:pPr>
      <w:r>
        <w:t>date B</w:t>
      </w:r>
      <w:r>
        <w:tab/>
        <w:t>34(5)</w:t>
      </w:r>
    </w:p>
    <w:p>
      <w:pPr>
        <w:pStyle w:val="DefinedTerms"/>
      </w:pPr>
      <w:r>
        <w:t>division</w:t>
      </w:r>
      <w:r>
        <w:tab/>
        <w:t>Sch. 1 cl. 2</w:t>
      </w:r>
    </w:p>
    <w:p>
      <w:pPr>
        <w:pStyle w:val="DefinedTerms"/>
      </w:pPr>
      <w:r>
        <w:t>emergency services</w:t>
      </w:r>
      <w:r>
        <w:tab/>
        <w:t>Sch. 4 cl. 4(4)</w:t>
      </w:r>
    </w:p>
    <w:p>
      <w:pPr>
        <w:pStyle w:val="DefinedTerms"/>
      </w:pPr>
      <w:r>
        <w:t>employee</w:t>
      </w:r>
      <w:r>
        <w:tab/>
        <w:t>4</w:t>
      </w:r>
    </w:p>
    <w:p>
      <w:pPr>
        <w:pStyle w:val="DefinedTerms"/>
      </w:pPr>
      <w:r>
        <w:t>existing facility</w:t>
      </w:r>
      <w:r>
        <w:tab/>
        <w:t>4</w:t>
      </w:r>
    </w:p>
    <w:p>
      <w:pPr>
        <w:pStyle w:val="DefinedTerms"/>
      </w:pPr>
      <w:r>
        <w:t>goods too dangerous to transport</w:t>
      </w:r>
      <w:r>
        <w:tab/>
        <w:t>Sch. 1 cl. 2</w:t>
      </w:r>
    </w:p>
    <w:p>
      <w:pPr>
        <w:pStyle w:val="DefinedTerms"/>
      </w:pPr>
      <w:r>
        <w:t>grace period</w:t>
      </w:r>
      <w:r>
        <w:tab/>
        <w:t>34(1)</w:t>
      </w:r>
    </w:p>
    <w:p>
      <w:pPr>
        <w:pStyle w:val="DefinedTerms"/>
      </w:pPr>
      <w:r>
        <w:t>harm</w:t>
      </w:r>
      <w:r>
        <w:tab/>
        <w:t>4</w:t>
      </w:r>
    </w:p>
    <w:p>
      <w:pPr>
        <w:pStyle w:val="DefinedTerms"/>
      </w:pPr>
      <w:r>
        <w:t>hazard</w:t>
      </w:r>
      <w:r>
        <w:tab/>
        <w:t>4</w:t>
      </w:r>
    </w:p>
    <w:p>
      <w:pPr>
        <w:pStyle w:val="DefinedTerms"/>
      </w:pPr>
      <w:r>
        <w:t>hazchem code</w:t>
      </w:r>
      <w:r>
        <w:tab/>
        <w:t>Sch. 1 cl. 2</w:t>
      </w:r>
    </w:p>
    <w:p>
      <w:pPr>
        <w:pStyle w:val="DefinedTerms"/>
      </w:pPr>
      <w:r>
        <w:t>major hazard facility</w:t>
      </w:r>
      <w:r>
        <w:tab/>
        <w:t>4</w:t>
      </w:r>
    </w:p>
    <w:p>
      <w:pPr>
        <w:pStyle w:val="DefinedTerms"/>
      </w:pPr>
      <w:r>
        <w:t>major incident</w:t>
      </w:r>
      <w:r>
        <w:tab/>
        <w:t>4</w:t>
      </w:r>
    </w:p>
    <w:p>
      <w:pPr>
        <w:pStyle w:val="DefinedTerms"/>
      </w:pPr>
      <w:r>
        <w:t>material safety data sheet</w:t>
      </w:r>
      <w:r>
        <w:tab/>
        <w:t>Sch. 2 cl. 1</w:t>
      </w:r>
    </w:p>
    <w:p>
      <w:pPr>
        <w:pStyle w:val="DefinedTerms"/>
      </w:pPr>
      <w:r>
        <w:t>modified place</w:t>
      </w:r>
      <w:r>
        <w:tab/>
        <w:t>4</w:t>
      </w:r>
    </w:p>
    <w:p>
      <w:pPr>
        <w:pStyle w:val="DefinedTerms"/>
      </w:pPr>
      <w:r>
        <w:t>notifiable change</w:t>
      </w:r>
      <w:r>
        <w:tab/>
        <w:t>4, 15(1)</w:t>
      </w:r>
    </w:p>
    <w:p>
      <w:pPr>
        <w:pStyle w:val="DefinedTerms"/>
      </w:pPr>
      <w:r>
        <w:t>notifiable information</w:t>
      </w:r>
      <w:r>
        <w:tab/>
        <w:t>4</w:t>
      </w:r>
    </w:p>
    <w:p>
      <w:pPr>
        <w:pStyle w:val="DefinedTerms"/>
      </w:pPr>
      <w:r>
        <w:t>operator</w:t>
      </w:r>
      <w:r>
        <w:tab/>
        <w:t>4</w:t>
      </w:r>
    </w:p>
    <w:p>
      <w:pPr>
        <w:pStyle w:val="DefinedTerms"/>
      </w:pPr>
      <w:r>
        <w:t>packing group</w:t>
      </w:r>
      <w:r>
        <w:tab/>
        <w:t>Sch. 1 cl. 2</w:t>
      </w:r>
    </w:p>
    <w:p>
      <w:pPr>
        <w:pStyle w:val="DefinedTerms"/>
      </w:pPr>
      <w:r>
        <w:t>place</w:t>
      </w:r>
      <w:r>
        <w:tab/>
        <w:t>4</w:t>
      </w:r>
    </w:p>
    <w:p>
      <w:pPr>
        <w:pStyle w:val="DefinedTerms"/>
      </w:pPr>
      <w:r>
        <w:t>relevant date</w:t>
      </w:r>
      <w:r>
        <w:tab/>
        <w:t>17(1)</w:t>
      </w:r>
    </w:p>
    <w:p>
      <w:pPr>
        <w:pStyle w:val="DefinedTerms"/>
      </w:pPr>
      <w:r>
        <w:t>relevant time</w:t>
      </w:r>
      <w:r>
        <w:tab/>
        <w:t>4</w:t>
      </w:r>
    </w:p>
    <w:p>
      <w:pPr>
        <w:pStyle w:val="DefinedTerms"/>
      </w:pPr>
      <w:r>
        <w:t>risk assessment</w:t>
      </w:r>
      <w:r>
        <w:tab/>
        <w:t>4</w:t>
      </w:r>
    </w:p>
    <w:p>
      <w:pPr>
        <w:pStyle w:val="DefinedTerms"/>
      </w:pPr>
      <w:r>
        <w:t>risk control measures</w:t>
      </w:r>
      <w:r>
        <w:tab/>
        <w:t>23(2)(c), Sch. 4 cl. 5(1)</w:t>
      </w:r>
    </w:p>
    <w:p>
      <w:pPr>
        <w:pStyle w:val="DefinedTerms"/>
      </w:pPr>
      <w:r>
        <w:t>safety management system</w:t>
      </w:r>
      <w:r>
        <w:tab/>
        <w:t>4</w:t>
      </w:r>
    </w:p>
    <w:p>
      <w:pPr>
        <w:pStyle w:val="DefinedTerms"/>
      </w:pPr>
      <w:r>
        <w:t>safety report</w:t>
      </w:r>
      <w:r>
        <w:tab/>
        <w:t>4</w:t>
      </w:r>
    </w:p>
    <w:p>
      <w:pPr>
        <w:pStyle w:val="DefinedTerms"/>
      </w:pPr>
      <w:r>
        <w:t>Schedule 1 substance</w:t>
      </w:r>
      <w:r>
        <w:tab/>
        <w:t>4</w:t>
      </w:r>
    </w:p>
    <w:p>
      <w:pPr>
        <w:pStyle w:val="DefinedTerms"/>
      </w:pPr>
      <w:r>
        <w:t>site licence</w:t>
      </w:r>
      <w:r>
        <w:tab/>
        <w:t>34(1)</w:t>
      </w:r>
    </w:p>
    <w:p>
      <w:pPr>
        <w:pStyle w:val="DefinedTerms"/>
      </w:pPr>
      <w:r>
        <w:t>subsidiary risk</w:t>
      </w:r>
      <w:r>
        <w:tab/>
        <w:t>Sch. 1 cl. 2</w:t>
      </w:r>
    </w:p>
    <w:p>
      <w:pPr>
        <w:pStyle w:val="DefinedTerms"/>
      </w:pPr>
      <w:r>
        <w:t>Table 1</w:t>
      </w:r>
      <w:r>
        <w:tab/>
        <w:t>10(1)</w:t>
      </w:r>
    </w:p>
    <w:p>
      <w:pPr>
        <w:pStyle w:val="DefinedTerms"/>
      </w:pPr>
      <w:r>
        <w:t>Table 2</w:t>
      </w:r>
      <w:r>
        <w:tab/>
        <w:t>10(1)</w:t>
      </w:r>
    </w:p>
    <w:p>
      <w:pPr>
        <w:pStyle w:val="DefinedTerms"/>
      </w:pPr>
      <w:r>
        <w:t>threshold quantity</w:t>
      </w:r>
      <w:r>
        <w:tab/>
        <w:t>9(1)</w:t>
      </w:r>
    </w:p>
    <w:p>
      <w:pPr>
        <w:pStyle w:val="DefinedTerms"/>
      </w:pPr>
      <w:r>
        <w:t>UN number</w:t>
      </w:r>
      <w:r>
        <w:tab/>
        <w:t>Sch. 1 cl. 1</w:t>
      </w:r>
    </w:p>
    <w:p>
      <w:pPr>
        <w:pStyle w:val="DefinedTerms"/>
      </w:pPr>
      <w:r>
        <w:t>zoning</w:t>
      </w:r>
      <w:r>
        <w:tab/>
        <w:t>4</w:t>
      </w:r>
    </w:p>
    <w:p/>
    <w:p>
      <w:pPr>
        <w:sectPr>
          <w:headerReference w:type="even" r:id="rId39"/>
          <w:headerReference w:type="default" r:id="rId40"/>
          <w:headerReference w:type="first" r:id="rId41"/>
          <w:endnotePr>
            <w:numFmt w:val="decimal"/>
          </w:endnotePr>
          <w:pgSz w:w="11906" w:h="16838" w:code="9"/>
          <w:pgMar w:top="2376" w:right="2404" w:bottom="3544" w:left="2404" w:header="720" w:footer="3380" w:gutter="0"/>
          <w:cols w:space="720"/>
          <w:noEndnote/>
          <w:docGrid w:linePitch="326"/>
        </w:sectPr>
      </w:pPr>
    </w:p>
    <w:p/>
    <w:sectPr>
      <w:headerReference w:type="even" r:id="rId42"/>
      <w:headerReference w:type="default" r:id="rId4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Dangerous Goods Safety (Major Hazard Facilities) Regulations 2007</w:t>
            </w:r>
          </w:fldSimple>
        </w:p>
      </w:tc>
    </w:tr>
    <w:tr>
      <w:tc>
        <w:tcPr>
          <w:tcW w:w="5715" w:type="dxa"/>
        </w:tcPr>
        <w:p>
          <w:pPr>
            <w:pStyle w:val="HeaderTextRight"/>
            <w:ind w:right="124"/>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(Major Hazard Facilities)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Threshold quantity for Schedule 1 substances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fldSimple w:instr=" styleref CharSchText ">
            <w:r>
              <w:rPr>
                <w:noProof/>
              </w:rPr>
              <w:t>Threshold quantity for Schedule 1 substances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(Major Hazard Facilities)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B2AE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88447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CA3A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66BF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3A70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E80A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92E3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8FCFE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F80726"/>
    <w:lvl w:ilvl="0">
      <w:start w:val="1"/>
      <w:numFmt w:val="decimal"/>
      <w:pStyle w:val="ListNumber"/>
      <w:lvlText w:val="%1."/>
      <w:lvlJc w:val="left"/>
      <w:pPr>
        <w:tabs>
          <w:tab w:val="num" w:pos="360"/>
        </w:tabs>
        <w:ind w:left="360" w:hanging="360"/>
      </w:pPr>
    </w:lvl>
  </w:abstractNum>
  <w:abstractNum w:abstractNumId="9">
    <w:nsid w:val="FFFFFF89"/>
    <w:multiLevelType w:val="singleLevel"/>
    <w:tmpl w:val="C2B414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C787C85"/>
    <w:multiLevelType w:val="hybridMultilevel"/>
    <w:tmpl w:val="86944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38E062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3C2808C0"/>
    <w:multiLevelType w:val="singleLevel"/>
    <w:tmpl w:val="3212467A"/>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6"/>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09160839"/>
    <w:docVar w:name="WAFER_20140109160002" w:val="RemoveTocBookmarks,RemoveUnusedBookmarks,RemoveLanguageTags,UsedStyles,ResetPageSize,UpdateArrangement"/>
    <w:docVar w:name="WAFER_20140109160002_GUID" w:val="961e949b-6937-4cd6-b903-2ef7751e343c"/>
    <w:docVar w:name="WAFER_20140109160839" w:val="RemoveTocBookmarks,RunningHeaders"/>
    <w:docVar w:name="WAFER_20140109160839_GUID" w:val="70dba81d-5aeb-4f98-acda-a88bb5e589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2.xml"/><Relationship Id="rId42"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9.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image" Target="media/image4.png"/><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8.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A3967-43D7-4AE0-B9AD-6D9849FDF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9966</Words>
  <Characters>47639</Characters>
  <Application>Microsoft Office Word</Application>
  <DocSecurity>0</DocSecurity>
  <Lines>1642</Lines>
  <Paragraphs>1010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2007 - 01-e0-02</dc:title>
  <dc:subject/>
  <dc:creator/>
  <cp:keywords/>
  <dc:description/>
  <cp:lastModifiedBy>svcMRProcess</cp:lastModifiedBy>
  <cp:revision>4</cp:revision>
  <cp:lastPrinted>2012-10-22T00:29:00Z</cp:lastPrinted>
  <dcterms:created xsi:type="dcterms:W3CDTF">2020-02-22T17:02:00Z</dcterms:created>
  <dcterms:modified xsi:type="dcterms:W3CDTF">2020-02-22T17:02:00Z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CommencementDate">
    <vt:lpwstr>20130701</vt:lpwstr>
  </property>
  <property fmtid="{D5CDD505-2E9C-101B-9397-08002B2CF9AE}" pid="4" name="OwlsUID">
    <vt:i4>36895</vt:i4>
  </property>
  <property fmtid="{D5CDD505-2E9C-101B-9397-08002B2CF9AE}" pid="5" name="AsAtDate">
    <vt:lpwstr>01 Jul 2013</vt:lpwstr>
  </property>
  <property fmtid="{D5CDD505-2E9C-101B-9397-08002B2CF9AE}" pid="6" name="Suffix">
    <vt:lpwstr>01-e0-02</vt:lpwstr>
  </property>
  <property fmtid="{D5CDD505-2E9C-101B-9397-08002B2CF9AE}" pid="7" name="ReprintNo">
    <vt:lpwstr>1</vt:lpwstr>
  </property>
  <property fmtid="{D5CDD505-2E9C-101B-9397-08002B2CF9AE}" pid="8" name="ReprintedAsAt">
    <vt:filetime>2012-10-18T16:00:00Z</vt:filetime>
  </property>
  <property fmtid="{D5CDD505-2E9C-101B-9397-08002B2CF9AE}" pid="9" name="DocumentType">
    <vt:lpwstr>Reg</vt:lpwstr>
  </property>
</Properties>
</file>