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tabs>
          <w:tab w:val="left" w:pos="567"/>
          <w:tab w:val="left" w:pos="1134"/>
          <w:tab w:val="left" w:pos="1701"/>
          <w:tab w:val="left" w:pos="2268"/>
          <w:tab w:val="left" w:pos="2835"/>
          <w:tab w:val="left" w:pos="3402"/>
          <w:tab w:val="left" w:pos="3969"/>
          <w:tab w:val="left" w:pos="4536"/>
          <w:tab w:val="left" w:pos="5103"/>
        </w:tabs>
        <w:spacing w:before="120" w:after="0"/>
        <w:outlineLvl w:val="0"/>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 name="Picture 4"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
        <w:spacing w:before="2600" w:after="0"/>
      </w:pPr>
      <w:r>
        <w:t>Freedom of Information Act 1992</w:t>
      </w:r>
    </w:p>
    <w:p>
      <w:pPr>
        <w:pStyle w:val="NameofActRegPage1"/>
        <w:spacing w:before="1200" w:after="4200"/>
        <w:outlineLvl w:val="0"/>
        <w:rPr>
          <w:sz w:val="48"/>
        </w:rPr>
      </w:pPr>
      <w:r>
        <w:rPr>
          <w:sz w:val="48"/>
        </w:rPr>
        <w:fldChar w:fldCharType="begin"/>
      </w:r>
      <w:r>
        <w:rPr>
          <w:sz w:val="48"/>
        </w:rPr>
        <w:instrText xml:space="preserve"> STYLEREF "Name Of Act/Reg"</w:instrText>
      </w:r>
      <w:r>
        <w:rPr>
          <w:sz w:val="48"/>
        </w:rPr>
        <w:fldChar w:fldCharType="separate"/>
      </w:r>
      <w:r>
        <w:rPr>
          <w:noProof/>
          <w:sz w:val="48"/>
        </w:rPr>
        <w:t>Freedom of Information Regulations 1993</w:t>
      </w:r>
      <w:r>
        <w:rPr>
          <w:sz w:val="48"/>
        </w:rPr>
        <w:fldChar w:fldCharType="end"/>
      </w:r>
    </w:p>
    <w:p>
      <w:pPr>
        <w:pStyle w:val="ReprintNo"/>
        <w:outlineLvl w:val="9"/>
      </w:pPr>
      <w:r>
        <w:t xml:space="preserve">Reprint </w:t>
      </w:r>
      <w:r>
        <w:fldChar w:fldCharType="begin"/>
      </w:r>
      <w:r>
        <w:instrText xml:space="preserve"> DOCPROPERTY "ReprintNo" </w:instrText>
      </w:r>
      <w:r>
        <w:fldChar w:fldCharType="separate"/>
      </w:r>
      <w:r>
        <w:t>2</w:t>
      </w:r>
      <w:r>
        <w:fldChar w:fldCharType="end"/>
      </w:r>
      <w:r>
        <w:t xml:space="preserve">:  The regulations as at </w:t>
      </w:r>
      <w:r>
        <w:fldChar w:fldCharType="begin"/>
      </w:r>
      <w:r>
        <w:instrText xml:space="preserve"> DOCPROPERTY "ReprintedAsAt" \@ "d MMMM yyyy" </w:instrText>
      </w:r>
      <w:r>
        <w:fldChar w:fldCharType="separate"/>
      </w:r>
      <w:r>
        <w:t>12 July 2013</w:t>
      </w:r>
      <w:r>
        <w:fldChar w:fldCharType="end"/>
      </w:r>
    </w:p>
    <w:p>
      <w:pPr>
        <w:tabs>
          <w:tab w:val="left" w:pos="567"/>
          <w:tab w:val="left" w:pos="851"/>
        </w:tabs>
        <w:ind w:left="851" w:hanging="851"/>
        <w:rPr>
          <w:b/>
          <w:sz w:val="20"/>
        </w:rPr>
      </w:pPr>
      <w:r>
        <w:rPr>
          <w:b/>
          <w:sz w:val="22"/>
        </w:rPr>
        <w:br w:type="page"/>
      </w:r>
      <w:r>
        <w:rPr>
          <w:b/>
          <w:sz w:val="20"/>
        </w:rPr>
        <w:lastRenderedPageBreak/>
        <w:tab/>
      </w:r>
      <w:r>
        <w:rPr>
          <w:b/>
          <w:sz w:val="20"/>
        </w:rPr>
        <w:tab/>
        <w:t>Guide for using this reprint</w:t>
      </w:r>
    </w:p>
    <w:p>
      <w:pPr>
        <w:tabs>
          <w:tab w:val="left" w:pos="567"/>
          <w:tab w:val="left" w:pos="851"/>
        </w:tabs>
        <w:spacing w:before="120" w:after="60"/>
        <w:ind w:left="851" w:hanging="851"/>
        <w:rPr>
          <w:b/>
          <w:i/>
          <w:sz w:val="20"/>
        </w:rPr>
      </w:pPr>
      <w:r>
        <w:rPr>
          <w:b/>
          <w:sz w:val="20"/>
        </w:rPr>
        <w:tab/>
      </w:r>
      <w:r>
        <w:rPr>
          <w:b/>
          <w:sz w:val="20"/>
        </w:rPr>
        <w:tab/>
      </w:r>
      <w:r>
        <w:rPr>
          <w:b/>
          <w:i/>
          <w:sz w:val="20"/>
        </w:rPr>
        <w:t>What the reprint includes</w:t>
      </w:r>
    </w:p>
    <w:p>
      <w:pPr>
        <w:tabs>
          <w:tab w:val="left" w:pos="567"/>
          <w:tab w:val="left" w:pos="851"/>
        </w:tabs>
        <w:ind w:left="1418" w:hanging="851"/>
        <w:rPr>
          <w:b/>
          <w:sz w:val="20"/>
        </w:rPr>
      </w:pPr>
      <w:r>
        <w:rPr>
          <w:sz w:val="20"/>
        </w:rPr>
        <w:object w:dxaOrig="6315" w:dyaOrig="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75pt;height:27.75pt" o:ole="" fillcolor="window">
            <v:imagedata r:id="rId10" o:title=""/>
          </v:shape>
          <o:OLEObject Type="Embed" ProgID="Word.Picture.8" ShapeID="_x0000_i1025" DrawAspect="Content" ObjectID="_1645219271" r:id="rId11"/>
        </w:object>
      </w:r>
    </w:p>
    <w:p>
      <w:pPr>
        <w:tabs>
          <w:tab w:val="left" w:pos="567"/>
          <w:tab w:val="left" w:pos="851"/>
        </w:tabs>
        <w:spacing w:before="120"/>
        <w:ind w:left="851" w:hanging="851"/>
        <w:rPr>
          <w:b/>
          <w:i/>
          <w:sz w:val="20"/>
        </w:rPr>
      </w:pPr>
      <w:r>
        <w:rPr>
          <w:b/>
          <w:sz w:val="20"/>
        </w:rPr>
        <w:tab/>
      </w:r>
      <w:r>
        <w:rPr>
          <w:b/>
          <w:sz w:val="20"/>
        </w:rPr>
        <w:tab/>
      </w:r>
      <w:r>
        <w:rPr>
          <w:b/>
          <w:i/>
          <w:sz w:val="20"/>
        </w:rPr>
        <w:t>Endnotes, Compilation table, and Table of provisions that have not come into operation</w:t>
      </w:r>
    </w:p>
    <w:p>
      <w:pPr>
        <w:tabs>
          <w:tab w:val="left" w:pos="567"/>
          <w:tab w:val="left" w:pos="851"/>
        </w:tabs>
        <w:ind w:left="851" w:hanging="851"/>
        <w:rPr>
          <w:sz w:val="20"/>
        </w:rPr>
      </w:pPr>
      <w:r>
        <w:rPr>
          <w:sz w:val="20"/>
        </w:rPr>
        <w:tab/>
        <w:t>1.</w:t>
      </w:r>
      <w:r>
        <w:rPr>
          <w:sz w:val="20"/>
        </w:rPr>
        <w:tab/>
        <w:t>Details about the original regulations and legislation that has amended its text are shown in the Compilation table in endnote 1, at the back of the reprint.  The table also shows any previous reprint.</w:t>
      </w:r>
    </w:p>
    <w:p>
      <w:pPr>
        <w:tabs>
          <w:tab w:val="left" w:pos="567"/>
          <w:tab w:val="left" w:pos="851"/>
        </w:tabs>
        <w:spacing w:before="60"/>
        <w:ind w:left="851" w:hanging="851"/>
        <w:rPr>
          <w:sz w:val="20"/>
        </w:rPr>
      </w:pPr>
      <w:r>
        <w:rPr>
          <w:sz w:val="20"/>
        </w:rPr>
        <w:tab/>
        <w:t>2.</w:t>
      </w:r>
      <w:r>
        <w:rPr>
          <w:sz w:val="20"/>
        </w:rPr>
        <w:tab/>
        <w:t>Transitional, savings, modifying or other provisions identified in the Compilation table may be important.  The table may refer to another endnote setting out the text of these provisions in full.</w:t>
      </w:r>
    </w:p>
    <w:p>
      <w:pPr>
        <w:tabs>
          <w:tab w:val="left" w:pos="567"/>
          <w:tab w:val="left" w:pos="851"/>
        </w:tabs>
        <w:spacing w:before="60"/>
        <w:ind w:left="851" w:hanging="851"/>
        <w:rPr>
          <w:sz w:val="20"/>
        </w:rPr>
      </w:pPr>
      <w:r>
        <w:rPr>
          <w:sz w:val="20"/>
        </w:rPr>
        <w:tab/>
        <w:t>3.</w:t>
      </w:r>
      <w:r>
        <w:rPr>
          <w:sz w:val="20"/>
        </w:rPr>
        <w:tab/>
        <w:t>A table of provisions that have not come into operation, to be found in endnote 1a if it is needed, lists any provisions of the regulations being reprinted that have not come into operation and any amendments that have not come into operation.  The full text is set out in another endnote that is referred to in the table.</w:t>
      </w:r>
    </w:p>
    <w:p>
      <w:pPr>
        <w:tabs>
          <w:tab w:val="left" w:pos="567"/>
          <w:tab w:val="left" w:pos="851"/>
        </w:tabs>
        <w:spacing w:before="120"/>
        <w:ind w:left="851" w:hanging="851"/>
        <w:rPr>
          <w:b/>
          <w:i/>
          <w:sz w:val="20"/>
        </w:rPr>
      </w:pPr>
      <w:r>
        <w:rPr>
          <w:b/>
          <w:sz w:val="20"/>
        </w:rPr>
        <w:tab/>
      </w:r>
      <w:r>
        <w:rPr>
          <w:b/>
          <w:sz w:val="20"/>
        </w:rPr>
        <w:tab/>
      </w:r>
      <w:r>
        <w:rPr>
          <w:b/>
          <w:i/>
          <w:sz w:val="20"/>
        </w:rPr>
        <w:t>Notes amongst text (italicised and within square brackets)</w:t>
      </w:r>
    </w:p>
    <w:p>
      <w:pPr>
        <w:tabs>
          <w:tab w:val="left" w:pos="567"/>
          <w:tab w:val="left" w:pos="851"/>
        </w:tabs>
        <w:ind w:left="851" w:hanging="851"/>
        <w:rPr>
          <w:sz w:val="20"/>
        </w:rPr>
      </w:pPr>
      <w:r>
        <w:rPr>
          <w:sz w:val="20"/>
        </w:rPr>
        <w:tab/>
        <w:t>1.</w:t>
      </w:r>
      <w:r>
        <w:rPr>
          <w:sz w:val="20"/>
        </w:rPr>
        <w:tab/>
        <w:t>If the reprint includes a regulation that was inserted, or has been amended, since the regulations being reprinted were made, editorial notes at the foot of the regulation give some history of how the regulation came to be as it is.  If the regulation replaced an earlier regulation, no history of the earlier regulation is given (the full history of the regulations is in the Compilation table).</w:t>
      </w:r>
    </w:p>
    <w:p>
      <w:pPr>
        <w:tabs>
          <w:tab w:val="left" w:pos="567"/>
          <w:tab w:val="left" w:pos="851"/>
        </w:tabs>
        <w:spacing w:before="60"/>
        <w:ind w:left="851" w:hanging="851"/>
        <w:rPr>
          <w:sz w:val="20"/>
        </w:rPr>
      </w:pPr>
      <w:r>
        <w:rPr>
          <w:sz w:val="20"/>
        </w:rPr>
        <w:tab/>
      </w:r>
      <w:r>
        <w:rPr>
          <w:sz w:val="20"/>
        </w:rPr>
        <w:tab/>
        <w:t>Notes of this kind may also be at the foot of Schedules or headings.</w:t>
      </w:r>
    </w:p>
    <w:p>
      <w:pPr>
        <w:tabs>
          <w:tab w:val="left" w:pos="567"/>
          <w:tab w:val="left" w:pos="851"/>
        </w:tabs>
        <w:spacing w:before="60"/>
        <w:ind w:left="851" w:hanging="851"/>
        <w:rPr>
          <w:sz w:val="20"/>
        </w:rPr>
      </w:pPr>
      <w:r>
        <w:rPr>
          <w:sz w:val="20"/>
        </w:rPr>
        <w:tab/>
        <w:t>2.</w:t>
      </w:r>
      <w:r>
        <w:rPr>
          <w:sz w:val="20"/>
        </w:rPr>
        <w:tab/>
        <w:t xml:space="preserve">The other kind of editorial note shows something has been — </w:t>
      </w:r>
    </w:p>
    <w:p>
      <w:pPr>
        <w:numPr>
          <w:ilvl w:val="0"/>
          <w:numId w:val="13"/>
        </w:numPr>
        <w:tabs>
          <w:tab w:val="clear" w:pos="360"/>
          <w:tab w:val="num" w:pos="1197"/>
        </w:tabs>
        <w:ind w:left="1208" w:hanging="357"/>
        <w:rPr>
          <w:sz w:val="20"/>
        </w:rPr>
      </w:pPr>
      <w:r>
        <w:rPr>
          <w:rFonts w:ascii="Times" w:hAnsi="Times"/>
          <w:sz w:val="20"/>
        </w:rPr>
        <w:t>removed (because it was repealed or deleted from the law); or</w:t>
      </w:r>
    </w:p>
    <w:p>
      <w:pPr>
        <w:numPr>
          <w:ilvl w:val="0"/>
          <w:numId w:val="13"/>
        </w:numPr>
        <w:tabs>
          <w:tab w:val="clear" w:pos="360"/>
          <w:tab w:val="num" w:pos="1197"/>
        </w:tabs>
        <w:ind w:left="1208" w:hanging="357"/>
        <w:rPr>
          <w:sz w:val="20"/>
        </w:rPr>
      </w:pPr>
      <w:r>
        <w:rPr>
          <w:sz w:val="20"/>
        </w:rPr>
        <w:t xml:space="preserve">omitted under the </w:t>
      </w:r>
      <w:r>
        <w:rPr>
          <w:i/>
          <w:sz w:val="20"/>
        </w:rPr>
        <w:t>Reprints Act 1984</w:t>
      </w:r>
      <w:r>
        <w:rPr>
          <w:sz w:val="20"/>
        </w:rPr>
        <w:t xml:space="preserve"> s. 7(4) (because, although still technically part of the text, it no longer has any effect).</w:t>
      </w:r>
    </w:p>
    <w:p>
      <w:pPr>
        <w:spacing w:before="60"/>
        <w:ind w:left="851"/>
        <w:rPr>
          <w:sz w:val="20"/>
        </w:rPr>
      </w:pPr>
      <w:r>
        <w:rPr>
          <w:sz w:val="20"/>
        </w:rPr>
        <w:t>The text of anything removed or omitted can be found in an earlier reprint (if there is one) or one of the written laws identified in the Compilation table.</w:t>
      </w:r>
    </w:p>
    <w:p>
      <w:pPr>
        <w:tabs>
          <w:tab w:val="left" w:pos="567"/>
          <w:tab w:val="left" w:pos="851"/>
        </w:tabs>
        <w:spacing w:before="120"/>
        <w:ind w:left="851" w:hanging="851"/>
        <w:outlineLvl w:val="0"/>
        <w:rPr>
          <w:b/>
          <w:i/>
          <w:sz w:val="20"/>
        </w:rPr>
      </w:pPr>
      <w:r>
        <w:rPr>
          <w:b/>
          <w:i/>
          <w:sz w:val="20"/>
        </w:rPr>
        <w:tab/>
      </w:r>
      <w:r>
        <w:rPr>
          <w:b/>
          <w:i/>
          <w:sz w:val="20"/>
        </w:rPr>
        <w:tab/>
        <w:t>Reprint numbering and date</w:t>
      </w:r>
    </w:p>
    <w:p>
      <w:pPr>
        <w:tabs>
          <w:tab w:val="left" w:pos="567"/>
          <w:tab w:val="left" w:pos="851"/>
        </w:tabs>
        <w:ind w:left="851" w:hanging="851"/>
        <w:rPr>
          <w:spacing w:val="-3"/>
          <w:sz w:val="20"/>
        </w:rPr>
      </w:pPr>
      <w:r>
        <w:rPr>
          <w:spacing w:val="-3"/>
          <w:sz w:val="20"/>
        </w:rPr>
        <w:tab/>
        <w:t>1.</w:t>
      </w:r>
      <w:r>
        <w:rPr>
          <w:spacing w:val="-3"/>
          <w:sz w:val="20"/>
        </w:rPr>
        <w:tab/>
        <w:t>The reprint number (in the footer of each page of the document) shows how many times the regulations have been reprinted.  For example, numbering a reprint as “Reprint 3” would mean that the reprint was the 3</w:t>
      </w:r>
      <w:r>
        <w:rPr>
          <w:spacing w:val="-3"/>
          <w:sz w:val="20"/>
          <w:vertAlign w:val="superscript"/>
        </w:rPr>
        <w:t>rd</w:t>
      </w:r>
      <w:r>
        <w:rPr>
          <w:spacing w:val="-3"/>
          <w:sz w:val="20"/>
        </w:rPr>
        <w:t xml:space="preserve"> reprint since the regulations were published.  Reprint numbering was implemented as from 1 January 2003.</w:t>
      </w:r>
    </w:p>
    <w:p>
      <w:pPr>
        <w:tabs>
          <w:tab w:val="left" w:pos="567"/>
        </w:tabs>
        <w:spacing w:before="60"/>
        <w:ind w:left="851" w:hanging="851"/>
        <w:rPr>
          <w:spacing w:val="-3"/>
          <w:sz w:val="20"/>
        </w:rPr>
      </w:pPr>
      <w:r>
        <w:rPr>
          <w:spacing w:val="-3"/>
          <w:sz w:val="20"/>
        </w:rPr>
        <w:tab/>
        <w:t>2.</w:t>
      </w:r>
      <w:r>
        <w:rPr>
          <w:spacing w:val="-3"/>
          <w:sz w:val="20"/>
        </w:rPr>
        <w:tab/>
        <w:t>The information in the reprint is current on the date shown as the date as at which the regulations are reprinted.  That date is not the date when the reprint was published by the State Law Publisher and it is probably not the date when the most recent amendment had effect.</w:t>
      </w:r>
    </w:p>
    <w:p>
      <w:pPr>
        <w:tabs>
          <w:tab w:val="left" w:pos="567"/>
        </w:tabs>
        <w:spacing w:before="60"/>
        <w:ind w:left="851" w:hanging="851"/>
        <w:rPr>
          <w:spacing w:val="-3"/>
          <w:sz w:val="20"/>
        </w:rPr>
      </w:pPr>
    </w:p>
    <w:p>
      <w:pPr>
        <w:jc w:val="center"/>
        <w:rPr>
          <w:b/>
        </w:rPr>
        <w:sectPr>
          <w:headerReference w:type="even" r:id="rId12"/>
          <w:headerReference w:type="default" r:id="rId13"/>
          <w:footerReference w:type="even" r:id="rId14"/>
          <w:footerReference w:type="default" r:id="rId15"/>
          <w:headerReference w:type="first" r:id="rId16"/>
          <w:footerReference w:type="first" r:id="rId17"/>
          <w:pgSz w:w="11906" w:h="16838" w:code="9"/>
          <w:pgMar w:top="2381" w:right="2409" w:bottom="3515" w:left="2409"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p>
        </w:tc>
        <w:tc>
          <w:tcPr>
            <w:tcW w:w="2434" w:type="dxa"/>
          </w:tcPr>
          <w:p>
            <w:r>
              <w:rPr>
                <w:b/>
                <w:sz w:val="22"/>
              </w:rPr>
              <w:t xml:space="preserve">Reprinted under the </w:t>
            </w:r>
            <w:r>
              <w:rPr>
                <w:b/>
                <w:i/>
                <w:sz w:val="22"/>
              </w:rPr>
              <w:t>Reprints Act 1984</w:t>
            </w:r>
            <w:r>
              <w:rPr>
                <w:b/>
                <w:sz w:val="22"/>
              </w:rPr>
              <w:t xml:space="preserve"> as </w:t>
            </w: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 xml:space="preserve">at </w:t>
            </w:r>
            <w:r>
              <w:rPr>
                <w:b/>
                <w:sz w:val="22"/>
              </w:rPr>
              <w:fldChar w:fldCharType="begin"/>
            </w:r>
            <w:r>
              <w:rPr>
                <w:b/>
                <w:sz w:val="22"/>
              </w:rPr>
              <w:instrText xml:space="preserve"> DOCPROPERTY "ReprintedAsAt"  \@ </w:instrText>
            </w:r>
            <w:r>
              <w:rPr>
                <w:b/>
                <w:snapToGrid w:val="0"/>
                <w:sz w:val="22"/>
              </w:rPr>
              <w:instrText xml:space="preserve">"d MMMM yyyy" </w:instrText>
            </w:r>
            <w:r>
              <w:rPr>
                <w:b/>
                <w:sz w:val="22"/>
              </w:rPr>
              <w:instrText>\* MERGEFORMAT</w:instrText>
            </w:r>
            <w:r>
              <w:rPr>
                <w:b/>
                <w:sz w:val="22"/>
              </w:rPr>
              <w:fldChar w:fldCharType="separate"/>
            </w:r>
            <w:r>
              <w:rPr>
                <w:b/>
                <w:sz w:val="22"/>
              </w:rPr>
              <w:t>12 July 2013</w:t>
            </w:r>
            <w:r>
              <w:rPr>
                <w:b/>
                <w:sz w:val="22"/>
              </w:rPr>
              <w:fldChar w:fldCharType="end"/>
            </w:r>
          </w:p>
        </w:tc>
      </w:tr>
    </w:tbl>
    <w:p>
      <w:pPr>
        <w:pStyle w:val="WA"/>
        <w:spacing w:before="120"/>
      </w:pPr>
      <w:r>
        <w:t>Western Australia</w:t>
      </w:r>
    </w:p>
    <w:p>
      <w:pPr>
        <w:pStyle w:val="NameofActRegPage1"/>
      </w:pPr>
      <w:r>
        <w:fldChar w:fldCharType="begin"/>
      </w:r>
      <w:r>
        <w:instrText xml:space="preserve"> STYLEREF "Name Of Act/Reg"</w:instrText>
      </w:r>
      <w:r>
        <w:fldChar w:fldCharType="separate"/>
      </w:r>
      <w:r>
        <w:rPr>
          <w:noProof/>
        </w:rPr>
        <w:t>Freedom of Information Regulations 1993</w:t>
      </w:r>
      <w:r>
        <w:fldChar w:fldCharType="end"/>
      </w:r>
    </w:p>
    <w:p>
      <w:pPr>
        <w:pStyle w:val="Arrangement"/>
        <w:spacing w:after="360"/>
        <w:ind w:left="2302" w:right="2302"/>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t>1</w:t>
      </w:r>
      <w:r>
        <w:rPr>
          <w:snapToGrid w:val="0"/>
        </w:rPr>
        <w:t>.</w:t>
      </w:r>
      <w:r>
        <w:rPr>
          <w:snapToGrid w:val="0"/>
        </w:rPr>
        <w:tab/>
        <w:t>Citation</w:t>
      </w:r>
      <w:r>
        <w:tab/>
      </w:r>
      <w:r>
        <w:fldChar w:fldCharType="begin"/>
      </w:r>
      <w:r>
        <w:instrText xml:space="preserve"> PAGEREF _Toc382318510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_Toc382318511 \h </w:instrText>
      </w:r>
      <w:r>
        <w:fldChar w:fldCharType="separate"/>
      </w:r>
      <w:r>
        <w:t>1</w:t>
      </w:r>
      <w:r>
        <w:fldChar w:fldCharType="end"/>
      </w:r>
    </w:p>
    <w:p>
      <w:pPr>
        <w:pStyle w:val="TOC8"/>
        <w:rPr>
          <w:rFonts w:asciiTheme="minorHAnsi" w:eastAsiaTheme="minorEastAsia" w:hAnsiTheme="minorHAnsi" w:cstheme="minorBidi"/>
          <w:szCs w:val="22"/>
        </w:rPr>
      </w:pPr>
      <w:r>
        <w:t>2A</w:t>
      </w:r>
      <w:r>
        <w:rPr>
          <w:snapToGrid w:val="0"/>
        </w:rPr>
        <w:t>.</w:t>
      </w:r>
      <w:r>
        <w:rPr>
          <w:snapToGrid w:val="0"/>
        </w:rPr>
        <w:tab/>
        <w:t>Term used: non-personal information</w:t>
      </w:r>
      <w:r>
        <w:tab/>
      </w:r>
      <w:r>
        <w:fldChar w:fldCharType="begin"/>
      </w:r>
      <w:r>
        <w:instrText xml:space="preserve"> PAGEREF _Toc382318512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General provisions relating to charges</w:t>
      </w:r>
      <w:r>
        <w:tab/>
      </w:r>
      <w:r>
        <w:fldChar w:fldCharType="begin"/>
      </w:r>
      <w:r>
        <w:instrText xml:space="preserve"> PAGEREF _Toc382318513 \h </w:instrText>
      </w:r>
      <w:r>
        <w:fldChar w:fldCharType="separate"/>
      </w:r>
      <w:r>
        <w:t>1</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Application fee (section 12(1)(e))</w:t>
      </w:r>
      <w:r>
        <w:tab/>
      </w:r>
      <w:r>
        <w:fldChar w:fldCharType="begin"/>
      </w:r>
      <w:r>
        <w:instrText xml:space="preserve"> PAGEREF _Toc382318514 \h </w:instrText>
      </w:r>
      <w:r>
        <w:fldChar w:fldCharType="separate"/>
      </w:r>
      <w:r>
        <w:t>2</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Charges (section 16(1))</w:t>
      </w:r>
      <w:r>
        <w:tab/>
      </w:r>
      <w:r>
        <w:fldChar w:fldCharType="begin"/>
      </w:r>
      <w:r>
        <w:instrText xml:space="preserve"> PAGEREF _Toc382318515 \h </w:instrText>
      </w:r>
      <w:r>
        <w:fldChar w:fldCharType="separate"/>
      </w:r>
      <w:r>
        <w:t>2</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Advance deposits (section 18(1) and (4))</w:t>
      </w:r>
      <w:r>
        <w:tab/>
      </w:r>
      <w:r>
        <w:fldChar w:fldCharType="begin"/>
      </w:r>
      <w:r>
        <w:instrText xml:space="preserve"> PAGEREF _Toc382318516 \h </w:instrText>
      </w:r>
      <w:r>
        <w:fldChar w:fldCharType="separate"/>
      </w:r>
      <w:r>
        <w:t>2</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Term used: suitably qualified person (section 28)</w:t>
      </w:r>
      <w:r>
        <w:tab/>
      </w:r>
      <w:r>
        <w:fldChar w:fldCharType="begin"/>
      </w:r>
      <w:r>
        <w:instrText xml:space="preserve"> PAGEREF _Toc382318517 \h </w:instrText>
      </w:r>
      <w:r>
        <w:fldChar w:fldCharType="separate"/>
      </w:r>
      <w:r>
        <w:t>2</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Information or details to be included in complaint (section 66(1)(d))</w:t>
      </w:r>
      <w:r>
        <w:tab/>
      </w:r>
      <w:r>
        <w:fldChar w:fldCharType="begin"/>
      </w:r>
      <w:r>
        <w:instrText xml:space="preserve"> PAGEREF _Toc382318518 \h </w:instrText>
      </w:r>
      <w:r>
        <w:fldChar w:fldCharType="separate"/>
      </w:r>
      <w:r>
        <w:t>3</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Prescribed personal details (Act Schedule 1 clause 3)</w:t>
      </w:r>
      <w:r>
        <w:tab/>
      </w:r>
      <w:r>
        <w:fldChar w:fldCharType="begin"/>
      </w:r>
      <w:r>
        <w:instrText xml:space="preserve"> PAGEREF _Toc382318519 \h </w:instrText>
      </w:r>
      <w:r>
        <w:fldChar w:fldCharType="separate"/>
      </w:r>
      <w:r>
        <w:t>3</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Specified bodies etc. to be regarded as part of other agencies</w:t>
      </w:r>
      <w:r>
        <w:tab/>
      </w:r>
      <w:r>
        <w:fldChar w:fldCharType="begin"/>
      </w:r>
      <w:r>
        <w:instrText xml:space="preserve"> PAGEREF _Toc382318520 \h </w:instrText>
      </w:r>
      <w:r>
        <w:fldChar w:fldCharType="separate"/>
      </w:r>
      <w:r>
        <w:t>4</w:t>
      </w:r>
      <w:r>
        <w:fldChar w:fldCharType="end"/>
      </w:r>
    </w:p>
    <w:p>
      <w:pPr>
        <w:pStyle w:val="TOC2"/>
        <w:tabs>
          <w:tab w:val="right" w:leader="dot" w:pos="7086"/>
        </w:tabs>
        <w:rPr>
          <w:rFonts w:asciiTheme="minorHAnsi" w:eastAsiaTheme="minorEastAsia" w:hAnsiTheme="minorHAnsi" w:cstheme="minorBidi"/>
          <w:b w:val="0"/>
          <w:sz w:val="22"/>
          <w:szCs w:val="22"/>
        </w:rPr>
      </w:pPr>
      <w:r>
        <w:t>Schedule 1</w:t>
      </w:r>
    </w:p>
    <w:p>
      <w:pPr>
        <w:pStyle w:val="TOC2"/>
        <w:tabs>
          <w:tab w:val="right" w:leader="dot" w:pos="7086"/>
        </w:tabs>
        <w:rPr>
          <w:rFonts w:asciiTheme="minorHAnsi" w:eastAsiaTheme="minorEastAsia" w:hAnsiTheme="minorHAnsi" w:cstheme="minorBidi"/>
          <w:b w:val="0"/>
          <w:sz w:val="22"/>
          <w:szCs w:val="22"/>
        </w:rPr>
      </w:pPr>
      <w:r>
        <w:t>Schedule 2 — Offices and bodies to be regarded as part of other agencies</w:t>
      </w:r>
    </w:p>
    <w:p>
      <w:pPr>
        <w:pStyle w:val="TOC2"/>
        <w:tabs>
          <w:tab w:val="right" w:leader="dot" w:pos="7086"/>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_Toc382318524 \h </w:instrText>
      </w:r>
      <w:r>
        <w:fldChar w:fldCharType="separate"/>
      </w:r>
      <w:r>
        <w:t>19</w:t>
      </w:r>
      <w:r>
        <w:fldChar w:fldCharType="end"/>
      </w:r>
    </w:p>
    <w:p>
      <w:pPr>
        <w:pStyle w:val="TOC2"/>
        <w:tabs>
          <w:tab w:val="right" w:leader="dot" w:pos="7086"/>
        </w:tabs>
        <w:rPr>
          <w:rFonts w:asciiTheme="minorHAnsi" w:eastAsiaTheme="minorEastAsia" w:hAnsiTheme="minorHAnsi" w:cstheme="minorBidi"/>
          <w:b w:val="0"/>
          <w:sz w:val="22"/>
          <w:szCs w:val="22"/>
        </w:rPr>
      </w:pPr>
      <w:r>
        <w:t>Defined terms</w:t>
      </w:r>
    </w:p>
    <w:p>
      <w:pPr>
        <w:pStyle w:val="TOC2"/>
        <w:keepLines/>
        <w:tabs>
          <w:tab w:val="right" w:leader="dot" w:pos="7086"/>
        </w:tabs>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8"/>
          <w:headerReference w:type="default" r:id="rId19"/>
          <w:footerReference w:type="even" r:id="rId20"/>
          <w:footerReference w:type="default" r:id="rId21"/>
          <w:footerReference w:type="first" r:id="rId22"/>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r>
              <w:rPr>
                <w:noProof/>
              </w:rPr>
              <w:drawing>
                <wp:inline distT="0" distB="0" distL="0" distR="0">
                  <wp:extent cx="533400" cy="476250"/>
                  <wp:effectExtent l="0" t="0" r="0" b="0"/>
                  <wp:docPr id="6" name="Picture 6"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st"/>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p>
        </w:tc>
        <w:tc>
          <w:tcPr>
            <w:tcW w:w="2434" w:type="dxa"/>
          </w:tcPr>
          <w:p>
            <w:r>
              <w:rPr>
                <w:b/>
                <w:sz w:val="22"/>
              </w:rPr>
              <w:t xml:space="preserve">Reprinted under the </w:t>
            </w:r>
            <w:r>
              <w:rPr>
                <w:b/>
                <w:i/>
                <w:sz w:val="22"/>
              </w:rPr>
              <w:t>Reprints Act 1984</w:t>
            </w:r>
            <w:r>
              <w:rPr>
                <w:b/>
                <w:sz w:val="22"/>
              </w:rPr>
              <w:t xml:space="preserve"> as</w:t>
            </w: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 xml:space="preserve">at </w:t>
            </w:r>
            <w:r>
              <w:rPr>
                <w:b/>
                <w:sz w:val="22"/>
              </w:rPr>
              <w:fldChar w:fldCharType="begin"/>
            </w:r>
            <w:r>
              <w:rPr>
                <w:b/>
                <w:sz w:val="22"/>
              </w:rPr>
              <w:instrText xml:space="preserve"> DOCPROPERTY "ReprintedAsAt"  \@ </w:instrText>
            </w:r>
            <w:r>
              <w:rPr>
                <w:b/>
                <w:snapToGrid w:val="0"/>
                <w:sz w:val="22"/>
              </w:rPr>
              <w:instrText xml:space="preserve">"d MMMM yyyy" </w:instrText>
            </w:r>
            <w:r>
              <w:rPr>
                <w:b/>
                <w:sz w:val="22"/>
              </w:rPr>
              <w:instrText>\* MERGEFORMAT</w:instrText>
            </w:r>
            <w:r>
              <w:rPr>
                <w:b/>
                <w:sz w:val="22"/>
              </w:rPr>
              <w:fldChar w:fldCharType="separate"/>
            </w:r>
            <w:r>
              <w:rPr>
                <w:b/>
                <w:sz w:val="22"/>
              </w:rPr>
              <w:t>12</w:t>
            </w:r>
            <w:r>
              <w:rPr>
                <w:b/>
                <w:snapToGrid w:val="0"/>
                <w:sz w:val="22"/>
              </w:rPr>
              <w:t xml:space="preserve"> July 2013</w:t>
            </w:r>
            <w:r>
              <w:rPr>
                <w:b/>
                <w:sz w:val="22"/>
              </w:rPr>
              <w:fldChar w:fldCharType="end"/>
            </w:r>
          </w:p>
        </w:tc>
      </w:tr>
      <w:tr>
        <w:trPr>
          <w:gridAfter w:val="1"/>
          <w:wAfter w:w="2434" w:type="dxa"/>
          <w:cantSplit/>
          <w:trHeight w:val="276"/>
        </w:trPr>
        <w:tc>
          <w:tcPr>
            <w:tcW w:w="2434" w:type="dxa"/>
            <w:vMerge/>
          </w:tcPr>
          <w:p/>
        </w:tc>
        <w:tc>
          <w:tcPr>
            <w:tcW w:w="2434" w:type="dxa"/>
            <w:vMerge/>
          </w:tcPr>
          <w:p>
            <w:pPr>
              <w:jc w:val="center"/>
            </w:pPr>
          </w:p>
        </w:tc>
      </w:tr>
    </w:tbl>
    <w:p>
      <w:pPr>
        <w:pStyle w:val="WA"/>
        <w:spacing w:before="120"/>
      </w:pPr>
      <w:r>
        <w:t>Western Australia</w:t>
      </w:r>
    </w:p>
    <w:p>
      <w:pPr>
        <w:pStyle w:val="PrincipalActReg"/>
        <w:rPr>
          <w:snapToGrid w:val="0"/>
        </w:rPr>
      </w:pPr>
      <w:r>
        <w:rPr>
          <w:snapToGrid w:val="0"/>
        </w:rPr>
        <w:t>Freedom of Information Act 1992</w:t>
      </w:r>
    </w:p>
    <w:p>
      <w:pPr>
        <w:pStyle w:val="NameofActReg"/>
      </w:pPr>
      <w:r>
        <w:t>Freedom of Information Regulations 1993</w:t>
      </w:r>
    </w:p>
    <w:p>
      <w:pPr>
        <w:pStyle w:val="Heading5"/>
        <w:rPr>
          <w:snapToGrid w:val="0"/>
        </w:rPr>
      </w:pPr>
      <w:bookmarkStart w:id="1" w:name="_Toc382318510"/>
      <w:r>
        <w:rPr>
          <w:rStyle w:val="CharSectno"/>
        </w:rPr>
        <w:t>1</w:t>
      </w:r>
      <w:r>
        <w:rPr>
          <w:snapToGrid w:val="0"/>
        </w:rPr>
        <w:t>.</w:t>
      </w:r>
      <w:r>
        <w:rPr>
          <w:snapToGrid w:val="0"/>
        </w:rPr>
        <w:tab/>
        <w:t>Citation</w:t>
      </w:r>
      <w:bookmarkEnd w:id="1"/>
    </w:p>
    <w:p>
      <w:pPr>
        <w:pStyle w:val="Subsection"/>
        <w:rPr>
          <w:snapToGrid w:val="0"/>
        </w:rPr>
      </w:pPr>
      <w:r>
        <w:rPr>
          <w:snapToGrid w:val="0"/>
        </w:rPr>
        <w:tab/>
      </w:r>
      <w:r>
        <w:rPr>
          <w:snapToGrid w:val="0"/>
        </w:rPr>
        <w:tab/>
        <w:t xml:space="preserve">These regulations may be cited as the </w:t>
      </w:r>
      <w:r>
        <w:rPr>
          <w:i/>
          <w:snapToGrid w:val="0"/>
        </w:rPr>
        <w:t>Freedom of Information Regulations 1993</w:t>
      </w:r>
      <w:r>
        <w:rPr>
          <w:iCs/>
          <w:snapToGrid w:val="0"/>
          <w:vertAlign w:val="superscript"/>
        </w:rPr>
        <w:t> 1</w:t>
      </w:r>
      <w:r>
        <w:rPr>
          <w:snapToGrid w:val="0"/>
        </w:rPr>
        <w:t>.</w:t>
      </w:r>
    </w:p>
    <w:p>
      <w:pPr>
        <w:pStyle w:val="Heading5"/>
        <w:rPr>
          <w:snapToGrid w:val="0"/>
        </w:rPr>
      </w:pPr>
      <w:bookmarkStart w:id="2" w:name="_Toc382318511"/>
      <w:r>
        <w:rPr>
          <w:rStyle w:val="CharSectno"/>
        </w:rPr>
        <w:t>2</w:t>
      </w:r>
      <w:r>
        <w:rPr>
          <w:snapToGrid w:val="0"/>
        </w:rPr>
        <w:t>.</w:t>
      </w:r>
      <w:r>
        <w:rPr>
          <w:snapToGrid w:val="0"/>
        </w:rPr>
        <w:tab/>
        <w:t>Commencement</w:t>
      </w:r>
      <w:bookmarkEnd w:id="2"/>
    </w:p>
    <w:p>
      <w:pPr>
        <w:pStyle w:val="Subsection"/>
        <w:rPr>
          <w:snapToGrid w:val="0"/>
        </w:rPr>
      </w:pPr>
      <w:r>
        <w:rPr>
          <w:snapToGrid w:val="0"/>
        </w:rPr>
        <w:tab/>
      </w:r>
      <w:r>
        <w:rPr>
          <w:snapToGrid w:val="0"/>
        </w:rPr>
        <w:tab/>
        <w:t xml:space="preserve">These regulations come into operation on the day on which section 10 of the </w:t>
      </w:r>
      <w:r>
        <w:rPr>
          <w:i/>
          <w:snapToGrid w:val="0"/>
        </w:rPr>
        <w:t>Freedom of Information Act 1992</w:t>
      </w:r>
      <w:r>
        <w:rPr>
          <w:snapToGrid w:val="0"/>
        </w:rPr>
        <w:t xml:space="preserve"> comes into operation</w:t>
      </w:r>
      <w:r>
        <w:rPr>
          <w:iCs/>
          <w:snapToGrid w:val="0"/>
          <w:vertAlign w:val="superscript"/>
        </w:rPr>
        <w:t> 1</w:t>
      </w:r>
      <w:r>
        <w:rPr>
          <w:snapToGrid w:val="0"/>
        </w:rPr>
        <w:t>.</w:t>
      </w:r>
    </w:p>
    <w:p>
      <w:pPr>
        <w:pStyle w:val="Heading5"/>
        <w:rPr>
          <w:snapToGrid w:val="0"/>
        </w:rPr>
      </w:pPr>
      <w:bookmarkStart w:id="3" w:name="_Toc382318512"/>
      <w:r>
        <w:rPr>
          <w:rStyle w:val="CharSectno"/>
        </w:rPr>
        <w:t>2A</w:t>
      </w:r>
      <w:r>
        <w:rPr>
          <w:snapToGrid w:val="0"/>
        </w:rPr>
        <w:t>.</w:t>
      </w:r>
      <w:r>
        <w:rPr>
          <w:snapToGrid w:val="0"/>
        </w:rPr>
        <w:tab/>
        <w:t>Term used: non-personal information</w:t>
      </w:r>
      <w:bookmarkEnd w:id="3"/>
    </w:p>
    <w:p>
      <w:pPr>
        <w:pStyle w:val="Subsection"/>
        <w:rPr>
          <w:snapToGrid w:val="0"/>
        </w:rPr>
      </w:pPr>
      <w:r>
        <w:rPr>
          <w:snapToGrid w:val="0"/>
        </w:rPr>
        <w:tab/>
      </w:r>
      <w:r>
        <w:rPr>
          <w:snapToGrid w:val="0"/>
        </w:rPr>
        <w:tab/>
        <w:t>In these regulations —</w:t>
      </w:r>
    </w:p>
    <w:p>
      <w:pPr>
        <w:pStyle w:val="Defstart"/>
      </w:pPr>
      <w:r>
        <w:rPr>
          <w:b/>
        </w:rPr>
        <w:tab/>
      </w:r>
      <w:r>
        <w:rPr>
          <w:rStyle w:val="CharDefText"/>
        </w:rPr>
        <w:t>non</w:t>
      </w:r>
      <w:r>
        <w:rPr>
          <w:rStyle w:val="CharDefText"/>
        </w:rPr>
        <w:noBreakHyphen/>
        <w:t>personal information</w:t>
      </w:r>
      <w:r>
        <w:t xml:space="preserve"> means information that is not personal information about the applicant.</w:t>
      </w:r>
    </w:p>
    <w:p>
      <w:pPr>
        <w:pStyle w:val="Footnotesection"/>
      </w:pPr>
      <w:r>
        <w:tab/>
        <w:t>[Regulation 2A inserted in Gazette 30 Sep 1994 p. 4983.]</w:t>
      </w:r>
    </w:p>
    <w:p>
      <w:pPr>
        <w:pStyle w:val="Heading5"/>
        <w:rPr>
          <w:snapToGrid w:val="0"/>
        </w:rPr>
      </w:pPr>
      <w:bookmarkStart w:id="4" w:name="_Toc382318513"/>
      <w:r>
        <w:rPr>
          <w:rStyle w:val="CharSectno"/>
        </w:rPr>
        <w:t>3</w:t>
      </w:r>
      <w:r>
        <w:rPr>
          <w:snapToGrid w:val="0"/>
        </w:rPr>
        <w:t>.</w:t>
      </w:r>
      <w:r>
        <w:rPr>
          <w:snapToGrid w:val="0"/>
        </w:rPr>
        <w:tab/>
        <w:t>General provisions relating to charges</w:t>
      </w:r>
      <w:bookmarkEnd w:id="4"/>
    </w:p>
    <w:p>
      <w:pPr>
        <w:pStyle w:val="Subsection"/>
        <w:rPr>
          <w:snapToGrid w:val="0"/>
        </w:rPr>
      </w:pPr>
      <w:r>
        <w:rPr>
          <w:snapToGrid w:val="0"/>
        </w:rPr>
        <w:tab/>
      </w:r>
      <w:r>
        <w:rPr>
          <w:snapToGrid w:val="0"/>
        </w:rPr>
        <w:tab/>
        <w:t>For an applicant who is —</w:t>
      </w:r>
    </w:p>
    <w:p>
      <w:pPr>
        <w:pStyle w:val="Indenta"/>
        <w:rPr>
          <w:snapToGrid w:val="0"/>
        </w:rPr>
      </w:pPr>
      <w:r>
        <w:rPr>
          <w:snapToGrid w:val="0"/>
        </w:rPr>
        <w:tab/>
        <w:t>(a)</w:t>
      </w:r>
      <w:r>
        <w:rPr>
          <w:snapToGrid w:val="0"/>
        </w:rPr>
        <w:tab/>
        <w:t>impecunious, in the opinion of the agency to whom the application is made; or</w:t>
      </w:r>
    </w:p>
    <w:p>
      <w:pPr>
        <w:pStyle w:val="Indenta"/>
        <w:rPr>
          <w:snapToGrid w:val="0"/>
        </w:rPr>
      </w:pPr>
      <w:r>
        <w:rPr>
          <w:snapToGrid w:val="0"/>
        </w:rPr>
        <w:tab/>
        <w:t>(b)</w:t>
      </w:r>
      <w:r>
        <w:rPr>
          <w:snapToGrid w:val="0"/>
        </w:rPr>
        <w:tab/>
        <w:t xml:space="preserve">the holder of a currently valid pensioner concession card issued on behalf of the Commonwealth to that person, or any other card which may be prescribed as being a pensioner concession card under the </w:t>
      </w:r>
      <w:r>
        <w:rPr>
          <w:i/>
          <w:snapToGrid w:val="0"/>
        </w:rPr>
        <w:t>Rates and Charges (Rebates and Deferments) Act 1992</w:t>
      </w:r>
      <w:r>
        <w:rPr>
          <w:snapToGrid w:val="0"/>
        </w:rPr>
        <w:t>,</w:t>
      </w:r>
    </w:p>
    <w:p>
      <w:pPr>
        <w:pStyle w:val="Subsection"/>
        <w:rPr>
          <w:snapToGrid w:val="0"/>
        </w:rPr>
      </w:pPr>
      <w:r>
        <w:rPr>
          <w:snapToGrid w:val="0"/>
        </w:rPr>
        <w:tab/>
      </w:r>
      <w:r>
        <w:rPr>
          <w:snapToGrid w:val="0"/>
        </w:rPr>
        <w:tab/>
        <w:t>the charge payable under regulation 5 is reduced by 25%.</w:t>
      </w:r>
    </w:p>
    <w:p>
      <w:pPr>
        <w:pStyle w:val="Heading5"/>
        <w:rPr>
          <w:snapToGrid w:val="0"/>
        </w:rPr>
      </w:pPr>
      <w:bookmarkStart w:id="5" w:name="_Toc382318514"/>
      <w:r>
        <w:rPr>
          <w:rStyle w:val="CharSectno"/>
        </w:rPr>
        <w:t>4</w:t>
      </w:r>
      <w:r>
        <w:rPr>
          <w:snapToGrid w:val="0"/>
        </w:rPr>
        <w:t>.</w:t>
      </w:r>
      <w:r>
        <w:rPr>
          <w:snapToGrid w:val="0"/>
        </w:rPr>
        <w:tab/>
        <w:t>Application fee (section 12(1)(e))</w:t>
      </w:r>
      <w:bookmarkEnd w:id="5"/>
    </w:p>
    <w:p>
      <w:pPr>
        <w:pStyle w:val="Subsection"/>
        <w:rPr>
          <w:snapToGrid w:val="0"/>
        </w:rPr>
      </w:pPr>
      <w:r>
        <w:rPr>
          <w:snapToGrid w:val="0"/>
        </w:rPr>
        <w:tab/>
      </w:r>
      <w:r>
        <w:rPr>
          <w:snapToGrid w:val="0"/>
        </w:rPr>
        <w:tab/>
        <w:t>The fee in column 2 of item 1 of Schedule 1 is prescribed as the application fee payable under section 12(1)(e) of the Act, for an application for non</w:t>
      </w:r>
      <w:r>
        <w:rPr>
          <w:snapToGrid w:val="0"/>
        </w:rPr>
        <w:noBreakHyphen/>
        <w:t>personal information.</w:t>
      </w:r>
    </w:p>
    <w:p>
      <w:pPr>
        <w:pStyle w:val="Footnotesection"/>
      </w:pPr>
      <w:r>
        <w:tab/>
        <w:t>[Regulation 4 amended in Gazette 12 Nov 1993 p. 6202; 30 Sep 1994 p. 4983.]</w:t>
      </w:r>
    </w:p>
    <w:p>
      <w:pPr>
        <w:pStyle w:val="Heading5"/>
        <w:rPr>
          <w:snapToGrid w:val="0"/>
        </w:rPr>
      </w:pPr>
      <w:bookmarkStart w:id="6" w:name="_Toc382318515"/>
      <w:r>
        <w:rPr>
          <w:rStyle w:val="CharSectno"/>
        </w:rPr>
        <w:t>5</w:t>
      </w:r>
      <w:r>
        <w:rPr>
          <w:snapToGrid w:val="0"/>
        </w:rPr>
        <w:t>.</w:t>
      </w:r>
      <w:r>
        <w:rPr>
          <w:snapToGrid w:val="0"/>
        </w:rPr>
        <w:tab/>
        <w:t>Charges (section 16(1))</w:t>
      </w:r>
      <w:bookmarkEnd w:id="6"/>
    </w:p>
    <w:p>
      <w:pPr>
        <w:pStyle w:val="Subsection"/>
        <w:rPr>
          <w:snapToGrid w:val="0"/>
        </w:rPr>
      </w:pPr>
      <w:r>
        <w:rPr>
          <w:snapToGrid w:val="0"/>
        </w:rPr>
        <w:tab/>
      </w:r>
      <w:r>
        <w:rPr>
          <w:snapToGrid w:val="0"/>
        </w:rPr>
        <w:tab/>
        <w:t>The charges set out in column 2 of item 2 of Schedule 1 are prescribed as payable under section 16(1) of the Act for the purposes set out opposite those charges in column 1 of that item.</w:t>
      </w:r>
    </w:p>
    <w:p>
      <w:pPr>
        <w:pStyle w:val="Footnotesection"/>
      </w:pPr>
      <w:r>
        <w:tab/>
        <w:t>[Regulation 5 amended in Gazette 30 Sep 1994 p. 4983.]</w:t>
      </w:r>
    </w:p>
    <w:p>
      <w:pPr>
        <w:pStyle w:val="Heading5"/>
        <w:rPr>
          <w:snapToGrid w:val="0"/>
        </w:rPr>
      </w:pPr>
      <w:bookmarkStart w:id="7" w:name="_Toc382318516"/>
      <w:r>
        <w:rPr>
          <w:rStyle w:val="CharSectno"/>
        </w:rPr>
        <w:t>6</w:t>
      </w:r>
      <w:r>
        <w:rPr>
          <w:snapToGrid w:val="0"/>
        </w:rPr>
        <w:t>.</w:t>
      </w:r>
      <w:r>
        <w:rPr>
          <w:snapToGrid w:val="0"/>
        </w:rPr>
        <w:tab/>
        <w:t>Advance deposits (section 18(1) and (4))</w:t>
      </w:r>
      <w:bookmarkEnd w:id="7"/>
    </w:p>
    <w:p>
      <w:pPr>
        <w:pStyle w:val="Subsection"/>
        <w:rPr>
          <w:snapToGrid w:val="0"/>
        </w:rPr>
      </w:pPr>
      <w:r>
        <w:rPr>
          <w:snapToGrid w:val="0"/>
        </w:rPr>
        <w:tab/>
      </w:r>
      <w:r>
        <w:rPr>
          <w:snapToGrid w:val="0"/>
        </w:rPr>
        <w:tab/>
        <w:t>The amount or rate set out in column 2 of item 3 of Schedule 1 is prescribed as the amount or rate of an advanced deposit which may be payable under section 18 of the Act in the circumstances set out opposite those amounts or rates in column 1 of that item.</w:t>
      </w:r>
    </w:p>
    <w:p>
      <w:pPr>
        <w:pStyle w:val="Footnotesection"/>
      </w:pPr>
      <w:r>
        <w:tab/>
        <w:t>[Regulation 6 amended in Gazette 30 Sep 1994 p. 4983.]</w:t>
      </w:r>
    </w:p>
    <w:p>
      <w:pPr>
        <w:pStyle w:val="Heading5"/>
        <w:rPr>
          <w:snapToGrid w:val="0"/>
        </w:rPr>
      </w:pPr>
      <w:bookmarkStart w:id="8" w:name="_Toc382318517"/>
      <w:r>
        <w:rPr>
          <w:rStyle w:val="CharSectno"/>
        </w:rPr>
        <w:t>7</w:t>
      </w:r>
      <w:r>
        <w:rPr>
          <w:snapToGrid w:val="0"/>
        </w:rPr>
        <w:t>.</w:t>
      </w:r>
      <w:r>
        <w:rPr>
          <w:snapToGrid w:val="0"/>
        </w:rPr>
        <w:tab/>
        <w:t>Term used: suitably qualified person (section 28)</w:t>
      </w:r>
      <w:bookmarkEnd w:id="8"/>
    </w:p>
    <w:p>
      <w:pPr>
        <w:pStyle w:val="Subsection"/>
        <w:rPr>
          <w:snapToGrid w:val="0"/>
        </w:rPr>
      </w:pPr>
      <w:r>
        <w:rPr>
          <w:snapToGrid w:val="0"/>
        </w:rPr>
        <w:tab/>
      </w:r>
      <w:r>
        <w:rPr>
          <w:snapToGrid w:val="0"/>
        </w:rPr>
        <w:tab/>
        <w:t>For the purposes of section 28 of the Act —</w:t>
      </w:r>
    </w:p>
    <w:p>
      <w:pPr>
        <w:pStyle w:val="Defstart"/>
      </w:pPr>
      <w:r>
        <w:rPr>
          <w:bCs/>
        </w:rPr>
        <w:tab/>
      </w:r>
      <w:r>
        <w:rPr>
          <w:rStyle w:val="CharDefText"/>
        </w:rPr>
        <w:t>suitably qualified person</w:t>
      </w:r>
      <w:r>
        <w:t xml:space="preserve"> means a person registered under the </w:t>
      </w:r>
      <w:r>
        <w:rPr>
          <w:i/>
        </w:rPr>
        <w:t>Health Practitioner Regulation National Law (</w:t>
      </w:r>
      <w:smartTag w:uri="urn:schemas-microsoft-com:office:smarttags" w:element="place">
        <w:smartTag w:uri="urn:schemas-microsoft-com:office:smarttags" w:element="State">
          <w:r>
            <w:rPr>
              <w:i/>
            </w:rPr>
            <w:t>Western Australia</w:t>
          </w:r>
        </w:smartTag>
      </w:smartTag>
      <w:r>
        <w:rPr>
          <w:i/>
        </w:rPr>
        <w:t>)</w:t>
      </w:r>
      <w:r>
        <w:t xml:space="preserve"> in the medical profession.</w:t>
      </w:r>
    </w:p>
    <w:p>
      <w:pPr>
        <w:pStyle w:val="Footnotesection"/>
        <w:spacing w:before="80"/>
        <w:ind w:left="890" w:hanging="890"/>
      </w:pPr>
      <w:r>
        <w:tab/>
        <w:t>[Regulation 7 amended in Gazette 6 Mar 2012 p. 893.]</w:t>
      </w:r>
    </w:p>
    <w:p>
      <w:pPr>
        <w:pStyle w:val="Heading5"/>
        <w:rPr>
          <w:snapToGrid w:val="0"/>
        </w:rPr>
      </w:pPr>
      <w:bookmarkStart w:id="9" w:name="_Toc382318518"/>
      <w:r>
        <w:rPr>
          <w:rStyle w:val="CharSectno"/>
        </w:rPr>
        <w:t>8</w:t>
      </w:r>
      <w:r>
        <w:rPr>
          <w:snapToGrid w:val="0"/>
        </w:rPr>
        <w:t>.</w:t>
      </w:r>
      <w:r>
        <w:rPr>
          <w:snapToGrid w:val="0"/>
        </w:rPr>
        <w:tab/>
        <w:t>Information or details to be included in complaint (section 66(1)(d))</w:t>
      </w:r>
      <w:bookmarkEnd w:id="9"/>
    </w:p>
    <w:p>
      <w:pPr>
        <w:pStyle w:val="Subsection"/>
        <w:rPr>
          <w:snapToGrid w:val="0"/>
        </w:rPr>
      </w:pPr>
      <w:r>
        <w:rPr>
          <w:snapToGrid w:val="0"/>
        </w:rPr>
        <w:tab/>
      </w:r>
      <w:r>
        <w:rPr>
          <w:snapToGrid w:val="0"/>
        </w:rPr>
        <w:tab/>
        <w:t>For the purposes of section 66(1)(d) of the Act, a complaint made against an agency’s decision under section 65(1) of the Act is to be accompanied by a copy of the agency’s notice of it’s decision, unless the decision complained of is the result of the non</w:t>
      </w:r>
      <w:r>
        <w:rPr>
          <w:snapToGrid w:val="0"/>
        </w:rPr>
        <w:noBreakHyphen/>
        <w:t>receipt of a decision under section 13(2) of the Act.</w:t>
      </w:r>
    </w:p>
    <w:p>
      <w:pPr>
        <w:pStyle w:val="Heading5"/>
        <w:rPr>
          <w:snapToGrid w:val="0"/>
        </w:rPr>
      </w:pPr>
      <w:bookmarkStart w:id="10" w:name="_Toc382318519"/>
      <w:r>
        <w:rPr>
          <w:rStyle w:val="CharSectno"/>
        </w:rPr>
        <w:t>9</w:t>
      </w:r>
      <w:r>
        <w:rPr>
          <w:snapToGrid w:val="0"/>
        </w:rPr>
        <w:t>.</w:t>
      </w:r>
      <w:r>
        <w:rPr>
          <w:snapToGrid w:val="0"/>
        </w:rPr>
        <w:tab/>
        <w:t>Prescribed personal details (Act Schedule 1 clause 3)</w:t>
      </w:r>
      <w:bookmarkEnd w:id="10"/>
    </w:p>
    <w:p>
      <w:pPr>
        <w:pStyle w:val="Subsection"/>
        <w:rPr>
          <w:snapToGrid w:val="0"/>
        </w:rPr>
      </w:pPr>
      <w:r>
        <w:rPr>
          <w:snapToGrid w:val="0"/>
        </w:rPr>
        <w:tab/>
        <w:t>(1)</w:t>
      </w:r>
      <w:r>
        <w:rPr>
          <w:snapToGrid w:val="0"/>
        </w:rPr>
        <w:tab/>
        <w:t>In relation to a person who is or has been an officer of an agency, details of —</w:t>
      </w:r>
    </w:p>
    <w:p>
      <w:pPr>
        <w:pStyle w:val="Indenta"/>
        <w:rPr>
          <w:snapToGrid w:val="0"/>
        </w:rPr>
      </w:pPr>
      <w:r>
        <w:rPr>
          <w:snapToGrid w:val="0"/>
        </w:rPr>
        <w:tab/>
        <w:t>(a)</w:t>
      </w:r>
      <w:r>
        <w:rPr>
          <w:snapToGrid w:val="0"/>
        </w:rPr>
        <w:tab/>
        <w:t>the person’s name; or</w:t>
      </w:r>
    </w:p>
    <w:p>
      <w:pPr>
        <w:pStyle w:val="Indenta"/>
        <w:rPr>
          <w:snapToGrid w:val="0"/>
        </w:rPr>
      </w:pPr>
      <w:r>
        <w:rPr>
          <w:snapToGrid w:val="0"/>
        </w:rPr>
        <w:tab/>
        <w:t>(b)</w:t>
      </w:r>
      <w:r>
        <w:rPr>
          <w:snapToGrid w:val="0"/>
        </w:rPr>
        <w:tab/>
        <w:t>any qualifications held by the person relevant to the person’s position in the agency; or</w:t>
      </w:r>
    </w:p>
    <w:p>
      <w:pPr>
        <w:pStyle w:val="Indenta"/>
        <w:rPr>
          <w:snapToGrid w:val="0"/>
        </w:rPr>
      </w:pPr>
      <w:r>
        <w:rPr>
          <w:snapToGrid w:val="0"/>
        </w:rPr>
        <w:tab/>
        <w:t>(c)</w:t>
      </w:r>
      <w:r>
        <w:rPr>
          <w:snapToGrid w:val="0"/>
        </w:rPr>
        <w:tab/>
        <w:t>the position held by the person in the agency; or</w:t>
      </w:r>
    </w:p>
    <w:p>
      <w:pPr>
        <w:pStyle w:val="Indenta"/>
        <w:rPr>
          <w:snapToGrid w:val="0"/>
        </w:rPr>
      </w:pPr>
      <w:r>
        <w:rPr>
          <w:snapToGrid w:val="0"/>
        </w:rPr>
        <w:tab/>
        <w:t>(d)</w:t>
      </w:r>
      <w:r>
        <w:rPr>
          <w:snapToGrid w:val="0"/>
        </w:rPr>
        <w:tab/>
        <w:t>the functions and duties of the person, as described in any job description document for the position held by the person; or</w:t>
      </w:r>
    </w:p>
    <w:p>
      <w:pPr>
        <w:pStyle w:val="Indenta"/>
        <w:rPr>
          <w:snapToGrid w:val="0"/>
        </w:rPr>
      </w:pPr>
      <w:r>
        <w:rPr>
          <w:snapToGrid w:val="0"/>
        </w:rPr>
        <w:tab/>
        <w:t>(e)</w:t>
      </w:r>
      <w:r>
        <w:rPr>
          <w:snapToGrid w:val="0"/>
        </w:rPr>
        <w:tab/>
        <w:t>anything done by the person in the course of performing or purporting to perform the person’s functions or duties as an officer as described in any job description document for the position held by the person,</w:t>
      </w:r>
    </w:p>
    <w:p>
      <w:pPr>
        <w:pStyle w:val="Subsection"/>
        <w:rPr>
          <w:snapToGrid w:val="0"/>
        </w:rPr>
      </w:pPr>
      <w:r>
        <w:rPr>
          <w:snapToGrid w:val="0"/>
        </w:rPr>
        <w:tab/>
      </w:r>
      <w:r>
        <w:rPr>
          <w:snapToGrid w:val="0"/>
        </w:rPr>
        <w:tab/>
        <w:t>are prescribed details for the purposes of Schedule 1, clause 3(3) of the Act.</w:t>
      </w:r>
    </w:p>
    <w:p>
      <w:pPr>
        <w:pStyle w:val="Subsection"/>
        <w:rPr>
          <w:snapToGrid w:val="0"/>
        </w:rPr>
      </w:pPr>
      <w:r>
        <w:rPr>
          <w:snapToGrid w:val="0"/>
        </w:rPr>
        <w:tab/>
        <w:t>(2)</w:t>
      </w:r>
      <w:r>
        <w:rPr>
          <w:snapToGrid w:val="0"/>
        </w:rPr>
        <w:tab/>
        <w:t>In relation to a person who performs or has performed services for an agency under a contract for services, details of —</w:t>
      </w:r>
    </w:p>
    <w:p>
      <w:pPr>
        <w:pStyle w:val="Indenta"/>
        <w:rPr>
          <w:snapToGrid w:val="0"/>
        </w:rPr>
      </w:pPr>
      <w:r>
        <w:rPr>
          <w:snapToGrid w:val="0"/>
        </w:rPr>
        <w:tab/>
        <w:t>(a)</w:t>
      </w:r>
      <w:r>
        <w:rPr>
          <w:snapToGrid w:val="0"/>
        </w:rPr>
        <w:tab/>
        <w:t>the person’s name; or</w:t>
      </w:r>
    </w:p>
    <w:p>
      <w:pPr>
        <w:pStyle w:val="Indenta"/>
        <w:rPr>
          <w:snapToGrid w:val="0"/>
        </w:rPr>
      </w:pPr>
      <w:r>
        <w:rPr>
          <w:snapToGrid w:val="0"/>
        </w:rPr>
        <w:tab/>
        <w:t>(b)</w:t>
      </w:r>
      <w:r>
        <w:rPr>
          <w:snapToGrid w:val="0"/>
        </w:rPr>
        <w:tab/>
        <w:t>any qualifications held by the person relevant to the person’s position or the services provided or to be provided pursuant to the contract; or</w:t>
      </w:r>
    </w:p>
    <w:p>
      <w:pPr>
        <w:pStyle w:val="Indenta"/>
        <w:rPr>
          <w:snapToGrid w:val="0"/>
        </w:rPr>
      </w:pPr>
      <w:r>
        <w:rPr>
          <w:snapToGrid w:val="0"/>
        </w:rPr>
        <w:tab/>
        <w:t>(c)</w:t>
      </w:r>
      <w:r>
        <w:rPr>
          <w:snapToGrid w:val="0"/>
        </w:rPr>
        <w:tab/>
        <w:t>the title of the position set out in the contract; or</w:t>
      </w:r>
    </w:p>
    <w:p>
      <w:pPr>
        <w:pStyle w:val="Indenta"/>
        <w:rPr>
          <w:snapToGrid w:val="0"/>
        </w:rPr>
      </w:pPr>
      <w:r>
        <w:rPr>
          <w:snapToGrid w:val="0"/>
        </w:rPr>
        <w:tab/>
        <w:t>(d)</w:t>
      </w:r>
      <w:r>
        <w:rPr>
          <w:snapToGrid w:val="0"/>
        </w:rPr>
        <w:tab/>
        <w:t>the nature of services to be provided and described in the contract; or</w:t>
      </w:r>
    </w:p>
    <w:p>
      <w:pPr>
        <w:pStyle w:val="Indenta"/>
        <w:rPr>
          <w:snapToGrid w:val="0"/>
        </w:rPr>
      </w:pPr>
      <w:r>
        <w:rPr>
          <w:snapToGrid w:val="0"/>
        </w:rPr>
        <w:tab/>
        <w:t>(e)</w:t>
      </w:r>
      <w:r>
        <w:rPr>
          <w:snapToGrid w:val="0"/>
        </w:rPr>
        <w:tab/>
        <w:t>the functions and duties of the position or the details of the services to be provided under the contract, as described in the contract or otherwise conveyed to the person pursuant to the contract; or</w:t>
      </w:r>
    </w:p>
    <w:p>
      <w:pPr>
        <w:pStyle w:val="Indenta"/>
        <w:rPr>
          <w:snapToGrid w:val="0"/>
        </w:rPr>
      </w:pPr>
      <w:r>
        <w:rPr>
          <w:snapToGrid w:val="0"/>
        </w:rPr>
        <w:tab/>
        <w:t>(f)</w:t>
      </w:r>
      <w:r>
        <w:rPr>
          <w:snapToGrid w:val="0"/>
        </w:rPr>
        <w:tab/>
        <w:t>anything done by the person in the course of performing or purporting to perform the person’s functions or duties or services, as described in the contract or otherwise conveyed to the person pursuant to the contract,</w:t>
      </w:r>
    </w:p>
    <w:p>
      <w:pPr>
        <w:pStyle w:val="Subsection"/>
        <w:rPr>
          <w:snapToGrid w:val="0"/>
        </w:rPr>
      </w:pPr>
      <w:r>
        <w:rPr>
          <w:snapToGrid w:val="0"/>
        </w:rPr>
        <w:tab/>
      </w:r>
      <w:r>
        <w:rPr>
          <w:snapToGrid w:val="0"/>
        </w:rPr>
        <w:tab/>
        <w:t>are prescribed details for the purposes of Schedule 1, clause 3(4) of the Act.</w:t>
      </w:r>
    </w:p>
    <w:p>
      <w:pPr>
        <w:pStyle w:val="Footnotesection"/>
      </w:pPr>
      <w:r>
        <w:tab/>
        <w:t>[Regulation 9 inserted in Gazette 30 Sep 1994 p. 4983</w:t>
      </w:r>
      <w:r>
        <w:noBreakHyphen/>
        <w:t>4.]</w:t>
      </w:r>
    </w:p>
    <w:p>
      <w:pPr>
        <w:pStyle w:val="Heading5"/>
        <w:rPr>
          <w:snapToGrid w:val="0"/>
        </w:rPr>
      </w:pPr>
      <w:bookmarkStart w:id="11" w:name="_Toc382318520"/>
      <w:r>
        <w:rPr>
          <w:rStyle w:val="CharSectno"/>
        </w:rPr>
        <w:t>10</w:t>
      </w:r>
      <w:r>
        <w:rPr>
          <w:snapToGrid w:val="0"/>
        </w:rPr>
        <w:t>.</w:t>
      </w:r>
      <w:r>
        <w:rPr>
          <w:snapToGrid w:val="0"/>
        </w:rPr>
        <w:tab/>
        <w:t>Specified bodies etc. to be regarded as part of other agencies</w:t>
      </w:r>
      <w:bookmarkEnd w:id="11"/>
    </w:p>
    <w:p>
      <w:pPr>
        <w:pStyle w:val="Subsection"/>
        <w:rPr>
          <w:snapToGrid w:val="0"/>
        </w:rPr>
      </w:pPr>
      <w:r>
        <w:rPr>
          <w:snapToGrid w:val="0"/>
        </w:rPr>
        <w:tab/>
      </w:r>
      <w:r>
        <w:rPr>
          <w:snapToGrid w:val="0"/>
        </w:rPr>
        <w:tab/>
        <w:t>Under Schedule 2, clause 2(4) of the Act, it is declared that the office or body set out in column 2 of Schedule 2 to these regulations is not to be regarded as a separate agency, but is to be regarded as a part of the agency set out opposite that office or body in column 1 of Schedule 2 to these regulations.</w:t>
      </w:r>
    </w:p>
    <w:p>
      <w:pPr>
        <w:pStyle w:val="Footnotesection"/>
      </w:pPr>
      <w:r>
        <w:tab/>
        <w:t>[Regulation 10 inserted in Gazette 30 Sep 1994 p. 4984.]</w:t>
      </w:r>
    </w:p>
    <w:p>
      <w:pPr>
        <w:sectPr>
          <w:headerReference w:type="even" r:id="rId24"/>
          <w:headerReference w:type="default" r:id="rId25"/>
          <w:footerReference w:type="even" r:id="rId26"/>
          <w:footerReference w:type="default" r:id="rId27"/>
          <w:headerReference w:type="first" r:id="rId28"/>
          <w:footerReference w:type="first" r:id="rId29"/>
          <w:pgSz w:w="11906" w:h="16838" w:code="9"/>
          <w:pgMar w:top="2376" w:right="2405" w:bottom="3542" w:left="2405" w:header="706" w:footer="3380" w:gutter="0"/>
          <w:pgNumType w:start="1"/>
          <w:cols w:space="720"/>
          <w:noEndnote/>
          <w:titlePg/>
          <w:docGrid w:linePitch="326"/>
        </w:sectPr>
      </w:pPr>
    </w:p>
    <w:p>
      <w:pPr>
        <w:pStyle w:val="yScheduleHeading"/>
      </w:pPr>
      <w:bookmarkStart w:id="12" w:name="_Toc382318521"/>
      <w:r>
        <w:rPr>
          <w:rStyle w:val="CharSchNo"/>
        </w:rPr>
        <w:t>Schedule 1</w:t>
      </w:r>
      <w:bookmarkEnd w:id="12"/>
    </w:p>
    <w:p>
      <w:pPr>
        <w:pStyle w:val="yFootnoteheading"/>
        <w:rPr>
          <w:snapToGrid w:val="0"/>
        </w:rPr>
      </w:pPr>
      <w:r>
        <w:rPr>
          <w:snapToGrid w:val="0"/>
        </w:rPr>
        <w:tab/>
        <w:t>[Heading amended in Gazette 30 Sep 1994 p. 4984.]</w:t>
      </w:r>
    </w:p>
    <w:p>
      <w:pPr>
        <w:pStyle w:val="yShoulderClause"/>
        <w:spacing w:after="120"/>
        <w:rPr>
          <w:snapToGrid w:val="0"/>
        </w:rPr>
      </w:pPr>
      <w:r>
        <w:rPr>
          <w:snapToGrid w:val="0"/>
        </w:rPr>
        <w:t>[regulation 4, 5 and 6]</w:t>
      </w:r>
    </w:p>
    <w:tbl>
      <w:tblPr>
        <w:tblW w:w="0" w:type="auto"/>
        <w:tblLayout w:type="fixed"/>
        <w:tblLook w:val="0000" w:firstRow="0" w:lastRow="0" w:firstColumn="0" w:lastColumn="0" w:noHBand="0" w:noVBand="0"/>
      </w:tblPr>
      <w:tblGrid>
        <w:gridCol w:w="7196"/>
      </w:tblGrid>
      <w:tr>
        <w:trPr>
          <w:tblHeader/>
        </w:trPr>
        <w:tc>
          <w:tcPr>
            <w:tcW w:w="7196" w:type="dxa"/>
            <w:tcBorders>
              <w:top w:val="single" w:sz="4" w:space="0" w:color="auto"/>
              <w:bottom w:val="single" w:sz="4" w:space="0" w:color="auto"/>
            </w:tcBorders>
          </w:tcPr>
          <w:p>
            <w:pPr>
              <w:pStyle w:val="yTable"/>
              <w:tabs>
                <w:tab w:val="left" w:pos="5670"/>
              </w:tabs>
              <w:rPr>
                <w:b/>
                <w:bCs/>
              </w:rPr>
            </w:pPr>
            <w:r>
              <w:rPr>
                <w:b/>
                <w:bCs/>
              </w:rPr>
              <w:t>Column 1</w:t>
            </w:r>
            <w:r>
              <w:rPr>
                <w:b/>
                <w:bCs/>
              </w:rPr>
              <w:tab/>
              <w:t>Column 2</w:t>
            </w:r>
          </w:p>
        </w:tc>
      </w:tr>
      <w:tr>
        <w:tc>
          <w:tcPr>
            <w:tcW w:w="7196" w:type="dxa"/>
          </w:tcPr>
          <w:p>
            <w:pPr>
              <w:pStyle w:val="yTable"/>
              <w:tabs>
                <w:tab w:val="left" w:pos="567"/>
                <w:tab w:val="left" w:pos="5954"/>
              </w:tabs>
              <w:spacing w:before="120"/>
            </w:pPr>
            <w:r>
              <w:rPr>
                <w:b/>
                <w:bCs/>
              </w:rPr>
              <w:t>1.</w:t>
            </w:r>
            <w:r>
              <w:tab/>
            </w:r>
            <w:r>
              <w:rPr>
                <w:u w:val="single"/>
              </w:rPr>
              <w:t>Type of Fee</w:t>
            </w:r>
            <w:r>
              <w:tab/>
            </w:r>
            <w:r>
              <w:rPr>
                <w:b/>
                <w:bCs/>
              </w:rPr>
              <w:t>$</w:t>
            </w:r>
          </w:p>
        </w:tc>
      </w:tr>
      <w:tr>
        <w:tc>
          <w:tcPr>
            <w:tcW w:w="7196" w:type="dxa"/>
          </w:tcPr>
          <w:p>
            <w:pPr>
              <w:pStyle w:val="yTable"/>
              <w:tabs>
                <w:tab w:val="left" w:pos="5760"/>
                <w:tab w:val="left" w:pos="5954"/>
              </w:tabs>
              <w:ind w:left="567"/>
            </w:pPr>
            <w:r>
              <w:t>Application fee under section 12(1)(e) of the Act (for an</w:t>
            </w:r>
          </w:p>
          <w:p>
            <w:pPr>
              <w:pStyle w:val="yTable"/>
              <w:tabs>
                <w:tab w:val="left" w:pos="5954"/>
              </w:tabs>
              <w:spacing w:before="0"/>
              <w:ind w:left="567"/>
            </w:pPr>
            <w:r>
              <w:t>application for non</w:t>
            </w:r>
            <w:r>
              <w:noBreakHyphen/>
              <w:t>personal information)...........................</w:t>
            </w:r>
            <w:r>
              <w:tab/>
              <w:t>30</w:t>
            </w:r>
          </w:p>
        </w:tc>
      </w:tr>
      <w:tr>
        <w:tc>
          <w:tcPr>
            <w:tcW w:w="7196" w:type="dxa"/>
          </w:tcPr>
          <w:p>
            <w:pPr>
              <w:pStyle w:val="yTable"/>
              <w:tabs>
                <w:tab w:val="left" w:pos="567"/>
                <w:tab w:val="left" w:pos="5954"/>
              </w:tabs>
              <w:spacing w:before="120"/>
            </w:pPr>
            <w:r>
              <w:rPr>
                <w:b/>
                <w:bCs/>
              </w:rPr>
              <w:t>2.</w:t>
            </w:r>
            <w:r>
              <w:tab/>
            </w:r>
            <w:r>
              <w:rPr>
                <w:u w:val="single"/>
              </w:rPr>
              <w:t>Type of Charge</w:t>
            </w:r>
            <w:r>
              <w:tab/>
            </w:r>
            <w:r>
              <w:rPr>
                <w:b/>
                <w:bCs/>
              </w:rPr>
              <w:t>$</w:t>
            </w:r>
          </w:p>
        </w:tc>
      </w:tr>
      <w:tr>
        <w:tc>
          <w:tcPr>
            <w:tcW w:w="7196" w:type="dxa"/>
          </w:tcPr>
          <w:p>
            <w:pPr>
              <w:pStyle w:val="yTable"/>
              <w:tabs>
                <w:tab w:val="left" w:pos="5954"/>
              </w:tabs>
              <w:ind w:left="1134" w:hanging="567"/>
            </w:pPr>
            <w:r>
              <w:t>(a)</w:t>
            </w:r>
            <w:r>
              <w:tab/>
              <w:t xml:space="preserve">Charge for time taken by staff dealing with the </w:t>
            </w:r>
            <w:r>
              <w:br/>
              <w:t xml:space="preserve">application (per hour, or </w:t>
            </w:r>
            <w:r>
              <w:rPr>
                <w:i/>
              </w:rPr>
              <w:t>pro rata</w:t>
            </w:r>
            <w:r>
              <w:t xml:space="preserve"> for a part of an hour)...........................................................................</w:t>
            </w:r>
            <w:r>
              <w:tab/>
              <w:t>30</w:t>
            </w:r>
          </w:p>
        </w:tc>
      </w:tr>
      <w:tr>
        <w:tc>
          <w:tcPr>
            <w:tcW w:w="7196" w:type="dxa"/>
          </w:tcPr>
          <w:p>
            <w:pPr>
              <w:pStyle w:val="yTable"/>
              <w:tabs>
                <w:tab w:val="left" w:pos="5954"/>
              </w:tabs>
              <w:ind w:left="1134" w:hanging="567"/>
            </w:pPr>
            <w:r>
              <w:t>(b)</w:t>
            </w:r>
            <w:r>
              <w:tab/>
              <w:t xml:space="preserve">Charge for access time supervised by staff (per </w:t>
            </w:r>
            <w:r>
              <w:br/>
              <w:t xml:space="preserve">hour, or </w:t>
            </w:r>
            <w:r>
              <w:rPr>
                <w:i/>
              </w:rPr>
              <w:t>pro rata</w:t>
            </w:r>
            <w:r>
              <w:t xml:space="preserve"> for a part of an hour)......................</w:t>
            </w:r>
            <w:r>
              <w:tab/>
              <w:t>30</w:t>
            </w:r>
          </w:p>
        </w:tc>
      </w:tr>
      <w:tr>
        <w:tc>
          <w:tcPr>
            <w:tcW w:w="7196" w:type="dxa"/>
          </w:tcPr>
          <w:p>
            <w:pPr>
              <w:pStyle w:val="yTable"/>
              <w:ind w:left="1701"/>
            </w:pPr>
            <w:r>
              <w:t>plus the actual additional cost to the agency</w:t>
            </w:r>
            <w:r>
              <w:br/>
              <w:t xml:space="preserve">of any special arrangements (eg. hire of </w:t>
            </w:r>
            <w:r>
              <w:br/>
              <w:t>facilities or equipment).</w:t>
            </w:r>
          </w:p>
        </w:tc>
      </w:tr>
      <w:tr>
        <w:tc>
          <w:tcPr>
            <w:tcW w:w="7196" w:type="dxa"/>
          </w:tcPr>
          <w:p>
            <w:pPr>
              <w:pStyle w:val="yTable"/>
              <w:tabs>
                <w:tab w:val="left" w:pos="5954"/>
              </w:tabs>
              <w:ind w:left="1134" w:hanging="567"/>
            </w:pPr>
            <w:r>
              <w:t>(c)</w:t>
            </w:r>
            <w:r>
              <w:tab/>
              <w:t>Charges for photocopying — </w:t>
            </w:r>
          </w:p>
        </w:tc>
      </w:tr>
      <w:tr>
        <w:tc>
          <w:tcPr>
            <w:tcW w:w="7196" w:type="dxa"/>
          </w:tcPr>
          <w:p>
            <w:pPr>
              <w:pStyle w:val="yTable"/>
              <w:tabs>
                <w:tab w:val="left" w:pos="5954"/>
              </w:tabs>
              <w:ind w:left="1701" w:hanging="567"/>
            </w:pPr>
            <w:r>
              <w:t>(i)</w:t>
            </w:r>
            <w:r>
              <w:tab/>
              <w:t xml:space="preserve">per hour, or </w:t>
            </w:r>
            <w:r>
              <w:rPr>
                <w:i/>
              </w:rPr>
              <w:t>pro rata</w:t>
            </w:r>
            <w:r>
              <w:t xml:space="preserve"> for a part of an hour of </w:t>
            </w:r>
            <w:r>
              <w:br/>
              <w:t>staff time;.........................................................</w:t>
            </w:r>
            <w:r>
              <w:tab/>
              <w:t>30</w:t>
            </w:r>
          </w:p>
        </w:tc>
      </w:tr>
      <w:tr>
        <w:tc>
          <w:tcPr>
            <w:tcW w:w="7196" w:type="dxa"/>
          </w:tcPr>
          <w:p>
            <w:pPr>
              <w:pStyle w:val="yTable"/>
              <w:tabs>
                <w:tab w:val="left" w:pos="5954"/>
              </w:tabs>
              <w:ind w:left="1701"/>
            </w:pPr>
            <w:r>
              <w:t>and</w:t>
            </w:r>
          </w:p>
        </w:tc>
      </w:tr>
      <w:tr>
        <w:tc>
          <w:tcPr>
            <w:tcW w:w="7196" w:type="dxa"/>
          </w:tcPr>
          <w:p>
            <w:pPr>
              <w:pStyle w:val="yTable"/>
              <w:tabs>
                <w:tab w:val="left" w:pos="5954"/>
              </w:tabs>
              <w:ind w:left="1701" w:hanging="567"/>
            </w:pPr>
            <w:r>
              <w:t>(ii)</w:t>
            </w:r>
            <w:r>
              <w:tab/>
              <w:t>per copy ..........................................................</w:t>
            </w:r>
            <w:r>
              <w:tab/>
              <w:t>0.20</w:t>
            </w:r>
          </w:p>
        </w:tc>
      </w:tr>
      <w:tr>
        <w:tc>
          <w:tcPr>
            <w:tcW w:w="7196" w:type="dxa"/>
          </w:tcPr>
          <w:p>
            <w:pPr>
              <w:pStyle w:val="yTable"/>
              <w:tabs>
                <w:tab w:val="left" w:pos="5954"/>
              </w:tabs>
              <w:ind w:left="1134" w:hanging="567"/>
            </w:pPr>
            <w:r>
              <w:t>(d)</w:t>
            </w:r>
            <w:r>
              <w:tab/>
              <w:t>Charge for time taken by staff transcribing</w:t>
            </w:r>
            <w:r>
              <w:br/>
              <w:t>information from a tape or other device (per hour,</w:t>
            </w:r>
            <w:r>
              <w:br/>
              <w:t xml:space="preserve">or </w:t>
            </w:r>
            <w:r>
              <w:rPr>
                <w:i/>
              </w:rPr>
              <w:t>pro rata</w:t>
            </w:r>
            <w:r>
              <w:t xml:space="preserve"> for a part of an hour) ..............................</w:t>
            </w:r>
            <w:r>
              <w:tab/>
              <w:t>30</w:t>
            </w:r>
          </w:p>
        </w:tc>
      </w:tr>
      <w:tr>
        <w:tc>
          <w:tcPr>
            <w:tcW w:w="7196" w:type="dxa"/>
          </w:tcPr>
          <w:p>
            <w:pPr>
              <w:pStyle w:val="yTable"/>
              <w:tabs>
                <w:tab w:val="left" w:pos="5880"/>
              </w:tabs>
              <w:ind w:left="1134" w:hanging="567"/>
            </w:pPr>
            <w:r>
              <w:t>(e)</w:t>
            </w:r>
            <w:r>
              <w:tab/>
              <w:t xml:space="preserve">Charge for duplicating a tape, film or computer </w:t>
            </w:r>
            <w:r>
              <w:br/>
              <w:t>information................................................................</w:t>
            </w:r>
            <w:r>
              <w:tab/>
              <w:t>Actual Cost</w:t>
            </w:r>
          </w:p>
        </w:tc>
      </w:tr>
      <w:tr>
        <w:tc>
          <w:tcPr>
            <w:tcW w:w="7196" w:type="dxa"/>
          </w:tcPr>
          <w:p>
            <w:pPr>
              <w:pStyle w:val="yTable"/>
              <w:tabs>
                <w:tab w:val="left" w:pos="5880"/>
              </w:tabs>
              <w:ind w:left="1134" w:hanging="567"/>
            </w:pPr>
            <w:r>
              <w:t>(f)</w:t>
            </w:r>
            <w:r>
              <w:tab/>
              <w:t>Charge for delivery, packaging and postage.............</w:t>
            </w:r>
            <w:r>
              <w:tab/>
              <w:t>Actual Cost</w:t>
            </w:r>
          </w:p>
        </w:tc>
      </w:tr>
      <w:tr>
        <w:tc>
          <w:tcPr>
            <w:tcW w:w="7196" w:type="dxa"/>
          </w:tcPr>
          <w:p>
            <w:pPr>
              <w:pStyle w:val="yTable"/>
              <w:tabs>
                <w:tab w:val="left" w:pos="567"/>
                <w:tab w:val="left" w:pos="5954"/>
              </w:tabs>
              <w:spacing w:before="120"/>
            </w:pPr>
            <w:r>
              <w:rPr>
                <w:b/>
                <w:bCs/>
              </w:rPr>
              <w:t>3.</w:t>
            </w:r>
            <w:r>
              <w:tab/>
            </w:r>
            <w:r>
              <w:rPr>
                <w:u w:val="single"/>
              </w:rPr>
              <w:t>Advance Deposits</w:t>
            </w:r>
          </w:p>
        </w:tc>
      </w:tr>
      <w:tr>
        <w:tc>
          <w:tcPr>
            <w:tcW w:w="7196" w:type="dxa"/>
          </w:tcPr>
          <w:p>
            <w:pPr>
              <w:pStyle w:val="yTable"/>
              <w:tabs>
                <w:tab w:val="left" w:pos="5954"/>
              </w:tabs>
              <w:ind w:left="1134" w:hanging="567"/>
            </w:pPr>
            <w:r>
              <w:t>(a)</w:t>
            </w:r>
            <w:r>
              <w:tab/>
              <w:t xml:space="preserve">Advance deposit which may be required by an </w:t>
            </w:r>
            <w:r>
              <w:br/>
              <w:t xml:space="preserve">agency under section 18(1) of the Act, expressed </w:t>
            </w:r>
            <w:r>
              <w:br/>
              <w:t xml:space="preserve">as a percentage of the estimated charges which </w:t>
            </w:r>
            <w:r>
              <w:br/>
              <w:t>will be payable in excess of the application fee........</w:t>
            </w:r>
            <w:r>
              <w:tab/>
              <w:t>25%</w:t>
            </w:r>
          </w:p>
        </w:tc>
      </w:tr>
      <w:tr>
        <w:tc>
          <w:tcPr>
            <w:tcW w:w="7196" w:type="dxa"/>
            <w:tcBorders>
              <w:bottom w:val="single" w:sz="4" w:space="0" w:color="auto"/>
            </w:tcBorders>
          </w:tcPr>
          <w:p>
            <w:pPr>
              <w:pStyle w:val="yTable"/>
              <w:keepNext/>
              <w:keepLines/>
              <w:tabs>
                <w:tab w:val="left" w:pos="5954"/>
              </w:tabs>
              <w:ind w:left="1134" w:hanging="567"/>
            </w:pPr>
            <w:r>
              <w:t>(b)</w:t>
            </w:r>
            <w:r>
              <w:tab/>
              <w:t xml:space="preserve">Further advance deposit which may be required </w:t>
            </w:r>
            <w:r>
              <w:br/>
              <w:t xml:space="preserve">by an agency under section 18(4) of the Act, </w:t>
            </w:r>
            <w:r>
              <w:br/>
              <w:t xml:space="preserve">expressed as a percentage of the estimated </w:t>
            </w:r>
            <w:r>
              <w:br/>
              <w:t xml:space="preserve">charges which will be payable in excess of the </w:t>
            </w:r>
            <w:r>
              <w:br/>
              <w:t>application fee............................................................</w:t>
            </w:r>
            <w:r>
              <w:tab/>
              <w:t>75%</w:t>
            </w:r>
          </w:p>
        </w:tc>
      </w:tr>
    </w:tbl>
    <w:p>
      <w:pPr>
        <w:pStyle w:val="yFootnotesection"/>
      </w:pPr>
      <w:r>
        <w:tab/>
        <w:t>[Schedule 1, formerly Schedule, amended in Gazette 12 Nov 1993 p. 6202; 30 Sep 1994 p. 4984.]</w:t>
      </w:r>
    </w:p>
    <w:p>
      <w:pPr>
        <w:pStyle w:val="yScheduleHeading"/>
      </w:pPr>
      <w:bookmarkStart w:id="13" w:name="_Toc382318522"/>
      <w:r>
        <w:rPr>
          <w:rStyle w:val="CharSchNo"/>
        </w:rPr>
        <w:t>Schedule 2</w:t>
      </w:r>
      <w:r>
        <w:t> — </w:t>
      </w:r>
      <w:r>
        <w:rPr>
          <w:rStyle w:val="CharSchText"/>
        </w:rPr>
        <w:t>Offices and bodies to be regarded as part of other agencies</w:t>
      </w:r>
      <w:bookmarkEnd w:id="13"/>
    </w:p>
    <w:p>
      <w:pPr>
        <w:pStyle w:val="yShoulderClause"/>
      </w:pPr>
      <w:r>
        <w:t>[r. 10]</w:t>
      </w:r>
    </w:p>
    <w:p>
      <w:pPr>
        <w:pStyle w:val="yFootnoteheading"/>
        <w:spacing w:after="80"/>
      </w:pPr>
      <w:r>
        <w:rPr>
          <w:snapToGrid w:val="0"/>
        </w:rPr>
        <w:tab/>
        <w:t>[Heading inserted in Gazette 28 Dec 2007 p. 6415.]</w:t>
      </w:r>
    </w:p>
    <w:tbl>
      <w:tblPr>
        <w:tblW w:w="708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894"/>
        <w:gridCol w:w="5194"/>
      </w:tblGrid>
      <w:tr>
        <w:trPr>
          <w:tblHeader/>
        </w:trPr>
        <w:tc>
          <w:tcPr>
            <w:tcW w:w="1894" w:type="dxa"/>
            <w:tcBorders>
              <w:bottom w:val="single" w:sz="4" w:space="0" w:color="auto"/>
            </w:tcBorders>
            <w:shd w:val="clear" w:color="auto" w:fill="D9D9D9"/>
          </w:tcPr>
          <w:p>
            <w:pPr>
              <w:pStyle w:val="yTable"/>
              <w:jc w:val="center"/>
              <w:rPr>
                <w:rFonts w:eastAsia="Arial Unicode MS"/>
              </w:rPr>
            </w:pPr>
            <w:r>
              <w:rPr>
                <w:sz w:val="20"/>
              </w:rPr>
              <w:t>Column 1</w:t>
            </w:r>
            <w:r>
              <w:rPr>
                <w:sz w:val="20"/>
              </w:rPr>
              <w:br/>
            </w:r>
            <w:r>
              <w:rPr>
                <w:b/>
                <w:bCs/>
                <w:sz w:val="20"/>
              </w:rPr>
              <w:t>Agency</w:t>
            </w:r>
          </w:p>
        </w:tc>
        <w:tc>
          <w:tcPr>
            <w:tcW w:w="5194" w:type="dxa"/>
            <w:tcBorders>
              <w:bottom w:val="single" w:sz="4" w:space="0" w:color="auto"/>
            </w:tcBorders>
            <w:shd w:val="clear" w:color="auto" w:fill="D9D9D9"/>
          </w:tcPr>
          <w:p>
            <w:pPr>
              <w:pStyle w:val="yTable"/>
              <w:jc w:val="center"/>
              <w:rPr>
                <w:rFonts w:eastAsia="Arial Unicode MS"/>
              </w:rPr>
            </w:pPr>
            <w:r>
              <w:rPr>
                <w:sz w:val="20"/>
              </w:rPr>
              <w:t>Column 2</w:t>
            </w:r>
            <w:r>
              <w:rPr>
                <w:sz w:val="20"/>
              </w:rPr>
              <w:br/>
            </w:r>
            <w:r>
              <w:rPr>
                <w:b/>
                <w:bCs/>
                <w:sz w:val="20"/>
              </w:rPr>
              <w:t>Office or body</w:t>
            </w:r>
          </w:p>
        </w:tc>
      </w:tr>
      <w:tr>
        <w:trPr>
          <w:cantSplit/>
        </w:trPr>
        <w:tc>
          <w:tcPr>
            <w:tcW w:w="1894" w:type="dxa"/>
            <w:vMerge w:val="restart"/>
            <w:tcBorders>
              <w:top w:val="single" w:sz="4" w:space="0" w:color="auto"/>
            </w:tcBorders>
          </w:tcPr>
          <w:p>
            <w:pPr>
              <w:pStyle w:val="yTable"/>
              <w:rPr>
                <w:rFonts w:eastAsia="Arial Unicode MS"/>
              </w:rPr>
            </w:pPr>
            <w:r>
              <w:rPr>
                <w:sz w:val="20"/>
              </w:rPr>
              <w:t>Department for Child Protection</w:t>
            </w:r>
            <w:r>
              <w:rPr>
                <w:sz w:val="20"/>
                <w:vertAlign w:val="superscript"/>
              </w:rPr>
              <w:t> 2</w:t>
            </w:r>
          </w:p>
        </w:tc>
        <w:tc>
          <w:tcPr>
            <w:tcW w:w="5194" w:type="dxa"/>
            <w:tcBorders>
              <w:top w:val="single" w:sz="4" w:space="0" w:color="auto"/>
            </w:tcBorders>
          </w:tcPr>
          <w:p>
            <w:pPr>
              <w:pStyle w:val="yTable"/>
              <w:ind w:left="209" w:hanging="209"/>
              <w:rPr>
                <w:rFonts w:eastAsia="Arial Unicode MS"/>
              </w:rPr>
            </w:pPr>
            <w:r>
              <w:rPr>
                <w:sz w:val="20"/>
              </w:rPr>
              <w:t>Adoption Applications Committee</w:t>
            </w:r>
          </w:p>
        </w:tc>
      </w:tr>
      <w:tr>
        <w:trPr>
          <w:cantSplit/>
        </w:trPr>
        <w:tc>
          <w:tcPr>
            <w:tcW w:w="1894" w:type="dxa"/>
            <w:vMerge/>
          </w:tcPr>
          <w:p>
            <w:pPr>
              <w:pStyle w:val="zytable"/>
              <w:keepNext/>
              <w:keepLines/>
              <w:ind w:left="0" w:right="0"/>
              <w:rPr>
                <w:sz w:val="20"/>
              </w:rPr>
            </w:pPr>
          </w:p>
        </w:tc>
        <w:tc>
          <w:tcPr>
            <w:tcW w:w="5194" w:type="dxa"/>
          </w:tcPr>
          <w:p>
            <w:pPr>
              <w:pStyle w:val="yTable"/>
              <w:ind w:left="209" w:hanging="209"/>
              <w:rPr>
                <w:rFonts w:eastAsia="Arial Unicode MS"/>
              </w:rPr>
            </w:pPr>
            <w:r>
              <w:rPr>
                <w:sz w:val="20"/>
              </w:rPr>
              <w:t>Case Review Panel</w:t>
            </w:r>
          </w:p>
        </w:tc>
      </w:tr>
      <w:tr>
        <w:trPr>
          <w:cantSplit/>
        </w:trPr>
        <w:tc>
          <w:tcPr>
            <w:tcW w:w="1894" w:type="dxa"/>
            <w:vMerge w:val="restart"/>
          </w:tcPr>
          <w:p>
            <w:pPr>
              <w:pStyle w:val="yTable"/>
            </w:pPr>
            <w:r>
              <w:rPr>
                <w:sz w:val="20"/>
              </w:rPr>
              <w:t>Department for Communities</w:t>
            </w:r>
            <w:r>
              <w:rPr>
                <w:sz w:val="20"/>
                <w:vertAlign w:val="superscript"/>
              </w:rPr>
              <w:t> 3</w:t>
            </w:r>
          </w:p>
        </w:tc>
        <w:tc>
          <w:tcPr>
            <w:tcW w:w="5194" w:type="dxa"/>
          </w:tcPr>
          <w:p>
            <w:pPr>
              <w:pStyle w:val="yTable"/>
              <w:ind w:left="209" w:hanging="209"/>
            </w:pPr>
            <w:r>
              <w:rPr>
                <w:sz w:val="20"/>
              </w:rPr>
              <w:t>Care for Children and Young People Advisory Committee</w:t>
            </w:r>
          </w:p>
        </w:tc>
      </w:tr>
      <w:tr>
        <w:trPr>
          <w:cantSplit/>
        </w:trPr>
        <w:tc>
          <w:tcPr>
            <w:tcW w:w="1894" w:type="dxa"/>
            <w:vMerge/>
          </w:tcPr>
          <w:p>
            <w:pPr>
              <w:pStyle w:val="zytable"/>
              <w:ind w:left="0" w:right="0"/>
              <w:rPr>
                <w:sz w:val="20"/>
              </w:rPr>
            </w:pPr>
          </w:p>
        </w:tc>
        <w:tc>
          <w:tcPr>
            <w:tcW w:w="5194" w:type="dxa"/>
          </w:tcPr>
          <w:p>
            <w:pPr>
              <w:pStyle w:val="yTable"/>
              <w:ind w:left="209" w:hanging="209"/>
            </w:pPr>
            <w:r>
              <w:rPr>
                <w:sz w:val="20"/>
              </w:rPr>
              <w:t>Office for Children and Youth</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Office of Multicultural Interests</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Office for Seniors Interests and Volunteering</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 xml:space="preserve">Office for Women’s Policy </w:t>
            </w:r>
          </w:p>
        </w:tc>
      </w:tr>
      <w:tr>
        <w:trPr>
          <w:cantSplit/>
        </w:trPr>
        <w:tc>
          <w:tcPr>
            <w:tcW w:w="1894" w:type="dxa"/>
            <w:vMerge w:val="restart"/>
          </w:tcPr>
          <w:p>
            <w:pPr>
              <w:pStyle w:val="yTable"/>
              <w:rPr>
                <w:rFonts w:eastAsia="Arial Unicode MS"/>
              </w:rPr>
            </w:pPr>
            <w:r>
              <w:rPr>
                <w:sz w:val="20"/>
              </w:rPr>
              <w:t>Department for Planning and Infrastructure</w:t>
            </w:r>
            <w:r>
              <w:rPr>
                <w:sz w:val="20"/>
                <w:vertAlign w:val="superscript"/>
              </w:rPr>
              <w:t> 4</w:t>
            </w:r>
          </w:p>
        </w:tc>
        <w:tc>
          <w:tcPr>
            <w:tcW w:w="5194" w:type="dxa"/>
          </w:tcPr>
          <w:p>
            <w:pPr>
              <w:pStyle w:val="yTable"/>
              <w:ind w:left="210" w:hanging="210"/>
              <w:rPr>
                <w:rFonts w:eastAsia="Arial Unicode MS"/>
              </w:rPr>
            </w:pPr>
            <w:r>
              <w:rPr>
                <w:sz w:val="20"/>
              </w:rPr>
              <w:t>Araluen Botanic Park Board</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Government Domain Reserve Board</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Pastoral Lands Board</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smartTag w:uri="urn:schemas-microsoft-com:office:smarttags" w:element="place">
              <w:smartTag w:uri="urn:schemas-microsoft-com:office:smarttags" w:element="PlaceName">
                <w:r>
                  <w:rPr>
                    <w:sz w:val="20"/>
                  </w:rPr>
                  <w:t>Swan</w:t>
                </w:r>
              </w:smartTag>
              <w:r>
                <w:rPr>
                  <w:sz w:val="20"/>
                </w:rPr>
                <w:t xml:space="preserve"> </w:t>
              </w:r>
              <w:smartTag w:uri="urn:schemas-microsoft-com:office:smarttags" w:element="PlaceType">
                <w:r>
                  <w:rPr>
                    <w:sz w:val="20"/>
                  </w:rPr>
                  <w:t>Valley</w:t>
                </w:r>
              </w:smartTag>
            </w:smartTag>
            <w:r>
              <w:rPr>
                <w:sz w:val="20"/>
              </w:rPr>
              <w:t xml:space="preserve"> Planning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WA Bicycle Committee (WABC)</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Walking WA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Western Australian Coastal Shipping Commission (Stateships)</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Western Australian Marine Act Manning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Western Australian Mercantile Marine Disciplinary Appeal Tribunal</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Western Australian Planning Commission</w:t>
            </w:r>
          </w:p>
        </w:tc>
      </w:tr>
      <w:tr>
        <w:trPr>
          <w:cantSplit/>
        </w:trPr>
        <w:tc>
          <w:tcPr>
            <w:tcW w:w="1894" w:type="dxa"/>
            <w:vMerge w:val="restart"/>
          </w:tcPr>
          <w:p>
            <w:pPr>
              <w:pStyle w:val="yTable"/>
              <w:rPr>
                <w:rFonts w:eastAsia="Arial Unicode MS"/>
              </w:rPr>
            </w:pPr>
            <w:r>
              <w:rPr>
                <w:sz w:val="20"/>
              </w:rPr>
              <w:t>Department of Agriculture and Food</w:t>
            </w:r>
          </w:p>
        </w:tc>
        <w:tc>
          <w:tcPr>
            <w:tcW w:w="5194" w:type="dxa"/>
          </w:tcPr>
          <w:p>
            <w:pPr>
              <w:pStyle w:val="yTable"/>
              <w:ind w:left="209" w:hanging="209"/>
              <w:rPr>
                <w:rFonts w:eastAsia="Arial Unicode MS"/>
              </w:rPr>
            </w:pPr>
            <w:r>
              <w:rPr>
                <w:sz w:val="20"/>
              </w:rPr>
              <w:t>Agricultural Produce Commission</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Albany Zone Control Authority</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Ashburton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Beverley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Binnu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Boyup Brook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smartTag w:uri="urn:schemas-microsoft-com:office:smarttags" w:element="City">
              <w:smartTag w:uri="urn:schemas-microsoft-com:office:smarttags" w:element="place">
                <w:r>
                  <w:rPr>
                    <w:sz w:val="20"/>
                  </w:rPr>
                  <w:t>Bridgetown</w:t>
                </w:r>
              </w:smartTag>
            </w:smartTag>
            <w:r>
              <w:rPr>
                <w:sz w:val="20"/>
              </w:rPr>
              <w:t xml:space="preserve"> </w:t>
            </w:r>
            <w:r>
              <w:rPr>
                <w:sz w:val="20"/>
              </w:rPr>
              <w:noBreakHyphen/>
              <w:t xml:space="preserve"> Greenbushes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Brookton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Broome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Broomehill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Bruce Rock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Bunbury Zone Control Authority</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Buntine West Wubin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 xml:space="preserve">Burakin </w:t>
            </w:r>
            <w:r>
              <w:rPr>
                <w:sz w:val="20"/>
              </w:rPr>
              <w:noBreakHyphen/>
              <w:t xml:space="preserve"> Bunketch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Cadoux/Manmanning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Capel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Carlecatup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Carnamah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Carnarvon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Carnarvon Zone Control Authority</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Chapman Valley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Chicken Meat Industry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Chittering Valley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Collie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Coolup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Cuballing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Cue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Cunderdin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Dardanup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Denmark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Dowerin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Dumbleyung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East Ballidu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East Gillingarra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East Pilbara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East Yornaning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Esperance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Esperance Zone Control Authority</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Frankland Below Gordon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Fruit Growing Industry Trust Fund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Gascoyne Ashburton Head Waters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Gascoyne/Wooramel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Geraldton Zone Control Authority</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Gingin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Gnowangerup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Goomalling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Grain Licensing Authority</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 xml:space="preserve">Halls Creek </w:t>
            </w:r>
            <w:r>
              <w:rPr>
                <w:sz w:val="20"/>
              </w:rPr>
              <w:noBreakHyphen/>
              <w:t xml:space="preserve"> East Kimberley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Hay River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Irwin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Jerramungup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Jerramungup Zone Control Authority</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Kalannie/Goodlands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Kalgan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Kalgoorlie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Kalgoorlie Zone Control Authority</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Katanning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Katanning Zone Control Authority</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Kellerberrin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Kent River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Kimberley Zone Control Authority</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Kojonup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Koorda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Kulin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smartTag w:uri="urn:schemas-microsoft-com:office:smarttags" w:element="place">
              <w:r>
                <w:rPr>
                  <w:sz w:val="20"/>
                </w:rPr>
                <w:t>Lake</w:t>
              </w:r>
            </w:smartTag>
            <w:r>
              <w:rPr>
                <w:sz w:val="20"/>
              </w:rPr>
              <w:t xml:space="preserve"> Grace Zone Control Authority</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Lower Blackwood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Lyndon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Manjimup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Manjimup Zone Control Authority</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Manypeaks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Meekatharra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Meekatharra Zone Control Authority</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Merredin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Merredin Zone Control Authority</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Midland Zone Control Authority</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Miling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Mingenew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Minyulo/Dandaragan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Mobrup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Mogumber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Moora Zone Control Authority</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Morawa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Mount Magnet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Mount Marshall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Mukinbudin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Mullewa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Murchison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Napier River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Narembeen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Narrogin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Narrogin Zone Control Authority</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Newdegate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Ninan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North Eastern Goldfields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North Kimberley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North Stirlings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Northam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Northam Zone Control Authority</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Nugadong West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Nullarbor/Eyre Highway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Nungarin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Nyabing/Pingrup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Perenjori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 xml:space="preserve">Piawaning </w:t>
            </w:r>
            <w:r>
              <w:rPr>
                <w:sz w:val="20"/>
              </w:rPr>
              <w:noBreakHyphen/>
              <w:t xml:space="preserve"> Yerecoin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Pilbara Zone Control Authority</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Pingaring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Pingelly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 xml:space="preserve">Pithara </w:t>
            </w:r>
            <w:r>
              <w:rPr>
                <w:sz w:val="20"/>
              </w:rPr>
              <w:noBreakHyphen/>
              <w:t xml:space="preserve"> Dalwallinu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 xml:space="preserve">Potato Marketing Corporation of </w:t>
            </w:r>
            <w:smartTag w:uri="urn:schemas-microsoft-com:office:smarttags" w:element="State">
              <w:smartTag w:uri="urn:schemas-microsoft-com:office:smarttags" w:element="place">
                <w:r>
                  <w:rPr>
                    <w:sz w:val="20"/>
                  </w:rPr>
                  <w:t>Western Australia</w:t>
                </w:r>
              </w:smartTag>
            </w:smartTag>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Quairading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Quairading Soil Conservation District Advisory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Ravensthorpe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 xml:space="preserve">Roebourne </w:t>
            </w:r>
            <w:r>
              <w:rPr>
                <w:sz w:val="20"/>
              </w:rPr>
              <w:noBreakHyphen/>
              <w:t xml:space="preserve"> Port Hedland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Rural Business Development Corporation</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Sandstone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Serpentine/Jarrahdale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Shark Bay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South Mogumber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Stirling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Sussex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Tambellup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Tammin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Three Springs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Three Springs Zone Control Authority</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Toodyay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Trayning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Tunney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smartTag w:uri="urn:schemas-microsoft-com:office:smarttags" w:element="place">
              <w:smartTag w:uri="urn:schemas-microsoft-com:office:smarttags" w:element="PlaceName">
                <w:r>
                  <w:rPr>
                    <w:sz w:val="20"/>
                  </w:rPr>
                  <w:t>Upper</w:t>
                </w:r>
              </w:smartTag>
              <w:r>
                <w:rPr>
                  <w:sz w:val="20"/>
                </w:rPr>
                <w:t xml:space="preserve"> </w:t>
              </w:r>
              <w:smartTag w:uri="urn:schemas-microsoft-com:office:smarttags" w:element="PlaceName">
                <w:r>
                  <w:rPr>
                    <w:sz w:val="20"/>
                  </w:rPr>
                  <w:t>Gascoyne</w:t>
                </w:r>
              </w:smartTag>
              <w:r>
                <w:rPr>
                  <w:sz w:val="20"/>
                </w:rPr>
                <w:t xml:space="preserve"> </w:t>
              </w:r>
              <w:smartTag w:uri="urn:schemas-microsoft-com:office:smarttags" w:element="PlaceType">
                <w:r>
                  <w:rPr>
                    <w:sz w:val="20"/>
                  </w:rPr>
                  <w:t>Land</w:t>
                </w:r>
              </w:smartTag>
            </w:smartTag>
            <w:r>
              <w:rPr>
                <w:sz w:val="20"/>
              </w:rPr>
              <w:t xml:space="preserve"> Conservation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 xml:space="preserve">Vasse </w:t>
            </w:r>
            <w:r>
              <w:rPr>
                <w:sz w:val="20"/>
              </w:rPr>
              <w:noBreakHyphen/>
              <w:t xml:space="preserve"> Wonnerup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Veterinary Surgeons Board</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Waddi Forest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Wagin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smartTag w:uri="urn:schemas-microsoft-com:office:smarttags" w:element="City">
              <w:smartTag w:uri="urn:schemas-microsoft-com:office:smarttags" w:element="place">
                <w:r>
                  <w:rPr>
                    <w:sz w:val="20"/>
                  </w:rPr>
                  <w:t>Walpole</w:t>
                </w:r>
              </w:smartTag>
            </w:smartTag>
            <w:r>
              <w:rPr>
                <w:sz w:val="20"/>
              </w:rPr>
              <w:t xml:space="preserve"> </w:t>
            </w:r>
            <w:r>
              <w:rPr>
                <w:sz w:val="20"/>
              </w:rPr>
              <w:noBreakHyphen/>
              <w:t xml:space="preserve"> Tingledale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Waroona Zone Control Authority</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 xml:space="preserve">Watheroo </w:t>
            </w:r>
            <w:r>
              <w:rPr>
                <w:sz w:val="20"/>
              </w:rPr>
              <w:noBreakHyphen/>
              <w:t xml:space="preserve"> Coomberdale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Wellesley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Wellstead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West Arthur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West Ballidu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West Kimberley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West Koojan Gillingarra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West Maya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West Mount Barker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Western Australian Meat Industry Authority</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Westonia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Wickepin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Wiluna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Woodanilling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smartTag w:uri="urn:schemas-microsoft-com:office:smarttags" w:element="place">
              <w:smartTag w:uri="urn:schemas-microsoft-com:office:smarttags" w:element="PlaceName">
                <w:r>
                  <w:rPr>
                    <w:sz w:val="20"/>
                  </w:rPr>
                  <w:t>Wooroloo</w:t>
                </w:r>
              </w:smartTag>
              <w:r>
                <w:rPr>
                  <w:sz w:val="20"/>
                </w:rPr>
                <w:t xml:space="preserve"> </w:t>
              </w:r>
              <w:smartTag w:uri="urn:schemas-microsoft-com:office:smarttags" w:element="PlaceType">
                <w:r>
                  <w:rPr>
                    <w:sz w:val="20"/>
                  </w:rPr>
                  <w:t>Land</w:t>
                </w:r>
              </w:smartTag>
            </w:smartTag>
            <w:r>
              <w:rPr>
                <w:sz w:val="20"/>
              </w:rPr>
              <w:t xml:space="preserve"> Conservation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Wyalkatchem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Yalgoo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Yallingup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Yilgarn Land Conservation District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York Land Conservation District Committee</w:t>
            </w:r>
          </w:p>
        </w:tc>
      </w:tr>
      <w:tr>
        <w:trPr>
          <w:cantSplit/>
        </w:trPr>
        <w:tc>
          <w:tcPr>
            <w:tcW w:w="1894" w:type="dxa"/>
            <w:vMerge w:val="restart"/>
          </w:tcPr>
          <w:p>
            <w:pPr>
              <w:pStyle w:val="yTable"/>
              <w:rPr>
                <w:sz w:val="20"/>
              </w:rPr>
            </w:pPr>
            <w:r>
              <w:rPr>
                <w:sz w:val="20"/>
              </w:rPr>
              <w:t>Department of Consumer and Employment Protection</w:t>
            </w:r>
            <w:r>
              <w:rPr>
                <w:sz w:val="20"/>
                <w:vertAlign w:val="superscript"/>
              </w:rPr>
              <w:t> 5</w:t>
            </w:r>
            <w:r>
              <w:rPr>
                <w:sz w:val="20"/>
              </w:rPr>
              <w:t xml:space="preserve"> </w:t>
            </w:r>
          </w:p>
        </w:tc>
        <w:tc>
          <w:tcPr>
            <w:tcW w:w="5194" w:type="dxa"/>
          </w:tcPr>
          <w:p>
            <w:pPr>
              <w:pStyle w:val="yTable"/>
              <w:ind w:left="209" w:hanging="209"/>
              <w:rPr>
                <w:sz w:val="20"/>
              </w:rPr>
            </w:pPr>
            <w:r>
              <w:rPr>
                <w:sz w:val="20"/>
              </w:rPr>
              <w:t>Board of Examiners (Coal Mining)</w:t>
            </w:r>
          </w:p>
        </w:tc>
      </w:tr>
      <w:tr>
        <w:trPr>
          <w:cantSplit/>
        </w:trPr>
        <w:tc>
          <w:tcPr>
            <w:tcW w:w="1894" w:type="dxa"/>
            <w:vMerge/>
          </w:tcPr>
          <w:p>
            <w:pPr>
              <w:pStyle w:val="yTable"/>
            </w:pPr>
          </w:p>
        </w:tc>
        <w:tc>
          <w:tcPr>
            <w:tcW w:w="5194" w:type="dxa"/>
          </w:tcPr>
          <w:p>
            <w:pPr>
              <w:pStyle w:val="yTable"/>
              <w:ind w:left="209" w:hanging="209"/>
            </w:pPr>
            <w:r>
              <w:rPr>
                <w:sz w:val="20"/>
              </w:rPr>
              <w:t>Board of Examiners (Mine Managers and Underground Supervisors)</w:t>
            </w:r>
          </w:p>
        </w:tc>
      </w:tr>
      <w:tr>
        <w:trPr>
          <w:cantSplit/>
        </w:trPr>
        <w:tc>
          <w:tcPr>
            <w:tcW w:w="1894" w:type="dxa"/>
            <w:vMerge/>
          </w:tcPr>
          <w:p>
            <w:pPr>
              <w:pStyle w:val="zytable"/>
              <w:ind w:left="0" w:right="0"/>
              <w:rPr>
                <w:sz w:val="20"/>
              </w:rPr>
            </w:pPr>
          </w:p>
        </w:tc>
        <w:tc>
          <w:tcPr>
            <w:tcW w:w="5194" w:type="dxa"/>
          </w:tcPr>
          <w:p>
            <w:pPr>
              <w:pStyle w:val="yTable"/>
              <w:ind w:left="209" w:hanging="209"/>
            </w:pPr>
            <w:r>
              <w:rPr>
                <w:sz w:val="20"/>
              </w:rPr>
              <w:t>Board of Examiners (Quarry Managers)</w:t>
            </w:r>
          </w:p>
        </w:tc>
      </w:tr>
      <w:tr>
        <w:trPr>
          <w:cantSplit/>
        </w:trPr>
        <w:tc>
          <w:tcPr>
            <w:tcW w:w="1894" w:type="dxa"/>
            <w:vMerge/>
          </w:tcPr>
          <w:p>
            <w:pPr>
              <w:pStyle w:val="zytable"/>
              <w:ind w:left="0" w:right="0"/>
              <w:rPr>
                <w:sz w:val="20"/>
              </w:rPr>
            </w:pPr>
          </w:p>
        </w:tc>
        <w:tc>
          <w:tcPr>
            <w:tcW w:w="5194" w:type="dxa"/>
          </w:tcPr>
          <w:p>
            <w:pPr>
              <w:pStyle w:val="yTable"/>
              <w:ind w:left="209" w:hanging="209"/>
            </w:pPr>
            <w:r>
              <w:rPr>
                <w:sz w:val="20"/>
              </w:rPr>
              <w:t>Charitable Collections Advisory Committee</w:t>
            </w:r>
          </w:p>
        </w:tc>
      </w:tr>
      <w:tr>
        <w:trPr>
          <w:cantSplit/>
        </w:trPr>
        <w:tc>
          <w:tcPr>
            <w:tcW w:w="1894" w:type="dxa"/>
            <w:vMerge/>
          </w:tcPr>
          <w:p>
            <w:pPr>
              <w:pStyle w:val="zytable"/>
              <w:ind w:left="0" w:right="0"/>
              <w:rPr>
                <w:rFonts w:eastAsia="Arial Unicode MS"/>
                <w:sz w:val="20"/>
              </w:rPr>
            </w:pPr>
          </w:p>
        </w:tc>
        <w:tc>
          <w:tcPr>
            <w:tcW w:w="5194" w:type="dxa"/>
          </w:tcPr>
          <w:p>
            <w:pPr>
              <w:pStyle w:val="yTable"/>
              <w:ind w:left="209" w:hanging="209"/>
              <w:rPr>
                <w:rFonts w:eastAsia="Arial Unicode MS"/>
              </w:rPr>
            </w:pPr>
            <w:r>
              <w:rPr>
                <w:sz w:val="20"/>
              </w:rPr>
              <w:t xml:space="preserve">Coal Industry Tribunal of </w:t>
            </w:r>
            <w:smartTag w:uri="urn:schemas-microsoft-com:office:smarttags" w:element="State">
              <w:smartTag w:uri="urn:schemas-microsoft-com:office:smarttags" w:element="place">
                <w:r>
                  <w:rPr>
                    <w:sz w:val="20"/>
                  </w:rPr>
                  <w:t>Western Australia</w:t>
                </w:r>
              </w:smartTag>
            </w:smartTag>
          </w:p>
        </w:tc>
      </w:tr>
      <w:tr>
        <w:trPr>
          <w:cantSplit/>
        </w:trPr>
        <w:tc>
          <w:tcPr>
            <w:tcW w:w="1894" w:type="dxa"/>
            <w:vMerge/>
          </w:tcPr>
          <w:p>
            <w:pPr>
              <w:pStyle w:val="zytable"/>
              <w:ind w:left="0" w:right="0"/>
              <w:rPr>
                <w:sz w:val="20"/>
              </w:rPr>
            </w:pPr>
          </w:p>
        </w:tc>
        <w:tc>
          <w:tcPr>
            <w:tcW w:w="5194" w:type="dxa"/>
          </w:tcPr>
          <w:p>
            <w:pPr>
              <w:pStyle w:val="yTable"/>
              <w:ind w:left="209" w:hanging="209"/>
            </w:pPr>
            <w:r>
              <w:rPr>
                <w:sz w:val="20"/>
              </w:rPr>
              <w:t>Commission for Occupational Safety and Health</w:t>
            </w:r>
          </w:p>
        </w:tc>
      </w:tr>
      <w:tr>
        <w:trPr>
          <w:cantSplit/>
        </w:trPr>
        <w:tc>
          <w:tcPr>
            <w:tcW w:w="1894" w:type="dxa"/>
            <w:vMerge/>
          </w:tcPr>
          <w:p>
            <w:pPr>
              <w:pStyle w:val="zytable"/>
              <w:ind w:left="0" w:right="0"/>
              <w:rPr>
                <w:sz w:val="20"/>
              </w:rPr>
            </w:pPr>
          </w:p>
        </w:tc>
        <w:tc>
          <w:tcPr>
            <w:tcW w:w="5194" w:type="dxa"/>
          </w:tcPr>
          <w:p>
            <w:pPr>
              <w:pStyle w:val="yTable"/>
              <w:ind w:left="209" w:hanging="209"/>
            </w:pPr>
            <w:r>
              <w:rPr>
                <w:sz w:val="20"/>
              </w:rPr>
              <w:t>Consumer Products Safety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Electrical Licensing Board</w:t>
            </w:r>
          </w:p>
        </w:tc>
      </w:tr>
      <w:tr>
        <w:trPr>
          <w:cantSplit/>
        </w:trPr>
        <w:tc>
          <w:tcPr>
            <w:tcW w:w="1894" w:type="dxa"/>
            <w:vMerge/>
          </w:tcPr>
          <w:p>
            <w:pPr>
              <w:pStyle w:val="zytable"/>
              <w:ind w:left="0" w:right="0"/>
              <w:rPr>
                <w:sz w:val="20"/>
              </w:rPr>
            </w:pPr>
          </w:p>
        </w:tc>
        <w:tc>
          <w:tcPr>
            <w:tcW w:w="5194" w:type="dxa"/>
          </w:tcPr>
          <w:p>
            <w:pPr>
              <w:pStyle w:val="yTable"/>
              <w:ind w:left="209" w:hanging="209"/>
            </w:pPr>
            <w:r>
              <w:rPr>
                <w:sz w:val="20"/>
              </w:rPr>
              <w:t>Land Valuers Licensing Board</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Mines Survey Board</w:t>
            </w:r>
          </w:p>
        </w:tc>
      </w:tr>
      <w:tr>
        <w:trPr>
          <w:cantSplit/>
        </w:trPr>
        <w:tc>
          <w:tcPr>
            <w:tcW w:w="1894" w:type="dxa"/>
            <w:vMerge/>
          </w:tcPr>
          <w:p>
            <w:pPr>
              <w:pStyle w:val="zytable"/>
              <w:ind w:left="0" w:right="0"/>
              <w:rPr>
                <w:sz w:val="20"/>
              </w:rPr>
            </w:pPr>
          </w:p>
        </w:tc>
        <w:tc>
          <w:tcPr>
            <w:tcW w:w="5194" w:type="dxa"/>
          </w:tcPr>
          <w:p>
            <w:pPr>
              <w:pStyle w:val="yTable"/>
              <w:ind w:left="209" w:hanging="209"/>
            </w:pPr>
            <w:r>
              <w:rPr>
                <w:sz w:val="20"/>
              </w:rPr>
              <w:t>Mining Industry Advisory Committee</w:t>
            </w:r>
          </w:p>
        </w:tc>
      </w:tr>
      <w:tr>
        <w:trPr>
          <w:cantSplit/>
        </w:trPr>
        <w:tc>
          <w:tcPr>
            <w:tcW w:w="1894" w:type="dxa"/>
            <w:vMerge/>
          </w:tcPr>
          <w:p>
            <w:pPr>
              <w:pStyle w:val="zytable"/>
              <w:ind w:left="0" w:right="0"/>
              <w:rPr>
                <w:sz w:val="20"/>
              </w:rPr>
            </w:pPr>
          </w:p>
        </w:tc>
        <w:tc>
          <w:tcPr>
            <w:tcW w:w="5194" w:type="dxa"/>
          </w:tcPr>
          <w:p>
            <w:pPr>
              <w:pStyle w:val="yTable"/>
              <w:ind w:left="209" w:hanging="209"/>
            </w:pPr>
            <w:r>
              <w:rPr>
                <w:sz w:val="20"/>
              </w:rPr>
              <w:t>Motor Vehicle Industry Board</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Plumbers Licensing Board</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Retail Shops Advisory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WorkSafe</w:t>
            </w:r>
          </w:p>
        </w:tc>
      </w:tr>
      <w:tr>
        <w:tc>
          <w:tcPr>
            <w:tcW w:w="1894" w:type="dxa"/>
          </w:tcPr>
          <w:p>
            <w:pPr>
              <w:pStyle w:val="yTable"/>
              <w:rPr>
                <w:rFonts w:eastAsia="Arial Unicode MS"/>
              </w:rPr>
            </w:pPr>
            <w:r>
              <w:rPr>
                <w:sz w:val="20"/>
              </w:rPr>
              <w:t>Department of Corrective Services</w:t>
            </w:r>
          </w:p>
        </w:tc>
        <w:tc>
          <w:tcPr>
            <w:tcW w:w="5194" w:type="dxa"/>
          </w:tcPr>
          <w:p>
            <w:pPr>
              <w:pStyle w:val="yTable"/>
              <w:ind w:left="209" w:hanging="209"/>
              <w:rPr>
                <w:rFonts w:eastAsia="Arial Unicode MS"/>
              </w:rPr>
            </w:pPr>
            <w:r>
              <w:rPr>
                <w:sz w:val="20"/>
              </w:rPr>
              <w:t>Prison Officers Appeal Tribunal</w:t>
            </w:r>
          </w:p>
        </w:tc>
      </w:tr>
      <w:tr>
        <w:trPr>
          <w:cantSplit/>
        </w:trPr>
        <w:tc>
          <w:tcPr>
            <w:tcW w:w="1894" w:type="dxa"/>
            <w:vMerge w:val="restart"/>
          </w:tcPr>
          <w:p>
            <w:pPr>
              <w:pStyle w:val="yTable"/>
            </w:pPr>
            <w:r>
              <w:rPr>
                <w:sz w:val="20"/>
              </w:rPr>
              <w:t>Department of Culture and the Arts</w:t>
            </w:r>
          </w:p>
        </w:tc>
        <w:tc>
          <w:tcPr>
            <w:tcW w:w="5194" w:type="dxa"/>
          </w:tcPr>
          <w:p>
            <w:pPr>
              <w:pStyle w:val="yTable"/>
              <w:ind w:left="209" w:hanging="209"/>
              <w:rPr>
                <w:rFonts w:eastAsia="Arial Unicode MS"/>
              </w:rPr>
            </w:pPr>
            <w:r>
              <w:rPr>
                <w:sz w:val="20"/>
              </w:rPr>
              <w:t xml:space="preserve">Art Gallery Board of Western Australia </w:t>
            </w:r>
          </w:p>
        </w:tc>
      </w:tr>
      <w:tr>
        <w:trPr>
          <w:cantSplit/>
        </w:trPr>
        <w:tc>
          <w:tcPr>
            <w:tcW w:w="1894" w:type="dxa"/>
            <w:vMerge/>
          </w:tcPr>
          <w:p>
            <w:pPr>
              <w:pStyle w:val="zytable"/>
              <w:ind w:left="0" w:right="0"/>
              <w:rPr>
                <w:sz w:val="20"/>
              </w:rPr>
            </w:pPr>
          </w:p>
        </w:tc>
        <w:tc>
          <w:tcPr>
            <w:tcW w:w="5194" w:type="dxa"/>
          </w:tcPr>
          <w:p>
            <w:pPr>
              <w:pStyle w:val="yTable"/>
              <w:ind w:left="209" w:hanging="209"/>
              <w:rPr>
                <w:sz w:val="20"/>
              </w:rPr>
            </w:pPr>
            <w:r>
              <w:rPr>
                <w:sz w:val="20"/>
              </w:rPr>
              <w:t>Art Gallery Foundation</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Art Gallery of Western Australia</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ArtsWA Peer Assessment Panel – Designer Fashion</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ArtsWA Peer Assessment Panels – Arts Development</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ArtsWA Peer Assessment Panels – Contemporary Music</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ArtsWA Peer Assessment Panels – Indigenous Arts</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ArtsWA Peer Assessment Panels – Young People and the Arts</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Community Cultural and Arts Facilities Fund Assessment Panel</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 xml:space="preserve">Library Board of </w:t>
            </w:r>
            <w:smartTag w:uri="urn:schemas-microsoft-com:office:smarttags" w:element="State">
              <w:smartTag w:uri="urn:schemas-microsoft-com:office:smarttags" w:element="place">
                <w:r>
                  <w:rPr>
                    <w:sz w:val="20"/>
                  </w:rPr>
                  <w:t>Western Australia</w:t>
                </w:r>
              </w:smartTag>
            </w:smartTag>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Perth Theatre Trust</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Perth Theatre Trust Board</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Screen West</w:t>
            </w:r>
          </w:p>
        </w:tc>
      </w:tr>
      <w:tr>
        <w:trPr>
          <w:cantSplit/>
        </w:trPr>
        <w:tc>
          <w:tcPr>
            <w:tcW w:w="1894" w:type="dxa"/>
            <w:vMerge/>
          </w:tcPr>
          <w:p>
            <w:pPr>
              <w:pStyle w:val="zytable"/>
              <w:ind w:left="0" w:right="0"/>
              <w:rPr>
                <w:rFonts w:eastAsia="Arial Unicode MS"/>
                <w:sz w:val="20"/>
              </w:rPr>
            </w:pPr>
          </w:p>
        </w:tc>
        <w:tc>
          <w:tcPr>
            <w:tcW w:w="5194" w:type="dxa"/>
          </w:tcPr>
          <w:p>
            <w:pPr>
              <w:pStyle w:val="yTable"/>
              <w:ind w:left="209" w:hanging="209"/>
              <w:rPr>
                <w:rFonts w:eastAsia="Arial Unicode MS"/>
              </w:rPr>
            </w:pPr>
            <w:r>
              <w:rPr>
                <w:sz w:val="20"/>
              </w:rPr>
              <w:t>Screen West Board</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 xml:space="preserve">State Library of </w:t>
            </w:r>
            <w:smartTag w:uri="urn:schemas-microsoft-com:office:smarttags" w:element="State">
              <w:smartTag w:uri="urn:schemas-microsoft-com:office:smarttags" w:element="place">
                <w:r>
                  <w:rPr>
                    <w:sz w:val="20"/>
                  </w:rPr>
                  <w:t>Western Australia</w:t>
                </w:r>
              </w:smartTag>
            </w:smartTag>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State Records Advisory Committee (SRAC)</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State Records Commission</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State Records Office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Swan Bells Foundation</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smartTag w:uri="urn:schemas-microsoft-com:office:smarttags" w:element="place">
              <w:smartTag w:uri="urn:schemas-microsoft-com:office:smarttags" w:element="PlaceName">
                <w:r>
                  <w:rPr>
                    <w:sz w:val="20"/>
                  </w:rPr>
                  <w:t>Western</w:t>
                </w:r>
              </w:smartTag>
              <w:r>
                <w:rPr>
                  <w:sz w:val="20"/>
                </w:rPr>
                <w:t xml:space="preserve"> </w:t>
              </w:r>
              <w:smartTag w:uri="urn:schemas-microsoft-com:office:smarttags" w:element="PlaceName">
                <w:r>
                  <w:rPr>
                    <w:sz w:val="20"/>
                  </w:rPr>
                  <w:t>Australian</w:t>
                </w:r>
              </w:smartTag>
              <w:r>
                <w:rPr>
                  <w:sz w:val="20"/>
                </w:rPr>
                <w:t xml:space="preserve"> </w:t>
              </w:r>
              <w:smartTag w:uri="urn:schemas-microsoft-com:office:smarttags" w:element="PlaceType">
                <w:r>
                  <w:rPr>
                    <w:sz w:val="20"/>
                  </w:rPr>
                  <w:t>Museum</w:t>
                </w:r>
              </w:smartTag>
            </w:smartTag>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smartTag w:uri="urn:schemas-microsoft-com:office:smarttags" w:element="place">
              <w:smartTag w:uri="urn:schemas-microsoft-com:office:smarttags" w:element="PlaceName">
                <w:r>
                  <w:rPr>
                    <w:sz w:val="20"/>
                  </w:rPr>
                  <w:t>Western</w:t>
                </w:r>
              </w:smartTag>
              <w:r>
                <w:rPr>
                  <w:sz w:val="20"/>
                </w:rPr>
                <w:t xml:space="preserve"> </w:t>
              </w:r>
              <w:smartTag w:uri="urn:schemas-microsoft-com:office:smarttags" w:element="PlaceName">
                <w:r>
                  <w:rPr>
                    <w:sz w:val="20"/>
                  </w:rPr>
                  <w:t>Australian</w:t>
                </w:r>
              </w:smartTag>
              <w:r>
                <w:rPr>
                  <w:sz w:val="20"/>
                </w:rPr>
                <w:t xml:space="preserve"> </w:t>
              </w:r>
              <w:smartTag w:uri="urn:schemas-microsoft-com:office:smarttags" w:element="PlaceType">
                <w:r>
                  <w:rPr>
                    <w:sz w:val="20"/>
                  </w:rPr>
                  <w:t>Museum</w:t>
                </w:r>
              </w:smartTag>
            </w:smartTag>
            <w:r>
              <w:rPr>
                <w:sz w:val="20"/>
              </w:rPr>
              <w:t xml:space="preserve"> Board</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smartTag w:uri="urn:schemas-microsoft-com:office:smarttags" w:element="place">
              <w:smartTag w:uri="urn:schemas-microsoft-com:office:smarttags" w:element="PlaceName">
                <w:r>
                  <w:rPr>
                    <w:sz w:val="20"/>
                  </w:rPr>
                  <w:t>Western</w:t>
                </w:r>
              </w:smartTag>
              <w:r>
                <w:rPr>
                  <w:sz w:val="20"/>
                </w:rPr>
                <w:t xml:space="preserve"> </w:t>
              </w:r>
              <w:smartTag w:uri="urn:schemas-microsoft-com:office:smarttags" w:element="PlaceName">
                <w:r>
                  <w:rPr>
                    <w:sz w:val="20"/>
                  </w:rPr>
                  <w:t>Australian</w:t>
                </w:r>
              </w:smartTag>
              <w:r>
                <w:rPr>
                  <w:sz w:val="20"/>
                </w:rPr>
                <w:t xml:space="preserve"> </w:t>
              </w:r>
              <w:smartTag w:uri="urn:schemas-microsoft-com:office:smarttags" w:element="PlaceType">
                <w:r>
                  <w:rPr>
                    <w:sz w:val="20"/>
                  </w:rPr>
                  <w:t>Museum</w:t>
                </w:r>
              </w:smartTag>
            </w:smartTag>
            <w:r>
              <w:rPr>
                <w:sz w:val="20"/>
              </w:rPr>
              <w:t xml:space="preserve"> Foundation</w:t>
            </w:r>
          </w:p>
        </w:tc>
      </w:tr>
      <w:tr>
        <w:trPr>
          <w:cantSplit/>
        </w:trPr>
        <w:tc>
          <w:tcPr>
            <w:tcW w:w="1894" w:type="dxa"/>
            <w:vMerge w:val="restart"/>
          </w:tcPr>
          <w:p>
            <w:pPr>
              <w:pStyle w:val="yTableNAm"/>
              <w:keepLines/>
              <w:widowControl w:val="0"/>
              <w:spacing w:before="60"/>
              <w:rPr>
                <w:sz w:val="20"/>
              </w:rPr>
            </w:pPr>
            <w:r>
              <w:rPr>
                <w:sz w:val="20"/>
              </w:rPr>
              <w:t>Department of Education</w:t>
            </w:r>
          </w:p>
        </w:tc>
        <w:tc>
          <w:tcPr>
            <w:tcW w:w="5194" w:type="dxa"/>
          </w:tcPr>
          <w:p>
            <w:pPr>
              <w:pStyle w:val="yTableNAm"/>
              <w:keepLines/>
              <w:widowControl w:val="0"/>
              <w:spacing w:before="60"/>
              <w:rPr>
                <w:snapToGrid w:val="0"/>
                <w:sz w:val="20"/>
              </w:rPr>
            </w:pPr>
            <w:r>
              <w:rPr>
                <w:snapToGrid w:val="0"/>
                <w:sz w:val="20"/>
              </w:rPr>
              <w:t>Country High School Hostels Authority</w:t>
            </w:r>
          </w:p>
        </w:tc>
      </w:tr>
      <w:tr>
        <w:trPr>
          <w:cantSplit/>
        </w:trPr>
        <w:tc>
          <w:tcPr>
            <w:tcW w:w="1894" w:type="dxa"/>
            <w:vMerge/>
          </w:tcPr>
          <w:p>
            <w:pPr>
              <w:pStyle w:val="yTableNAm"/>
              <w:keepLines/>
              <w:widowControl w:val="0"/>
              <w:spacing w:before="60"/>
            </w:pPr>
          </w:p>
        </w:tc>
        <w:tc>
          <w:tcPr>
            <w:tcW w:w="5194" w:type="dxa"/>
          </w:tcPr>
          <w:p>
            <w:pPr>
              <w:pStyle w:val="yTableNAm"/>
              <w:keepLines/>
              <w:widowControl w:val="0"/>
              <w:spacing w:before="60"/>
              <w:rPr>
                <w:rFonts w:eastAsia="Arial Unicode MS"/>
                <w:i/>
              </w:rPr>
            </w:pPr>
            <w:r>
              <w:rPr>
                <w:snapToGrid w:val="0"/>
                <w:sz w:val="20"/>
              </w:rPr>
              <w:t>Trustees of Public Education Endowment</w:t>
            </w:r>
          </w:p>
        </w:tc>
      </w:tr>
      <w:tr>
        <w:trPr>
          <w:cantSplit/>
        </w:trPr>
        <w:tc>
          <w:tcPr>
            <w:tcW w:w="1894" w:type="dxa"/>
            <w:vMerge w:val="restart"/>
          </w:tcPr>
          <w:p>
            <w:pPr>
              <w:pStyle w:val="yTableNAm"/>
              <w:keepNext/>
              <w:keepLines/>
              <w:spacing w:before="60"/>
              <w:rPr>
                <w:sz w:val="20"/>
              </w:rPr>
            </w:pPr>
            <w:r>
              <w:rPr>
                <w:sz w:val="20"/>
              </w:rPr>
              <w:t>Department of Education Services</w:t>
            </w:r>
          </w:p>
        </w:tc>
        <w:tc>
          <w:tcPr>
            <w:tcW w:w="5194" w:type="dxa"/>
          </w:tcPr>
          <w:p>
            <w:pPr>
              <w:pStyle w:val="yTableNAm"/>
              <w:keepNext/>
              <w:keepLines/>
              <w:spacing w:before="60"/>
              <w:rPr>
                <w:sz w:val="20"/>
              </w:rPr>
            </w:pPr>
            <w:r>
              <w:rPr>
                <w:sz w:val="20"/>
              </w:rPr>
              <w:t>Aboriginal Education and Training Council</w:t>
            </w:r>
          </w:p>
        </w:tc>
      </w:tr>
      <w:tr>
        <w:trPr>
          <w:cantSplit/>
        </w:trPr>
        <w:tc>
          <w:tcPr>
            <w:tcW w:w="1894" w:type="dxa"/>
            <w:vMerge/>
          </w:tcPr>
          <w:p>
            <w:pPr>
              <w:pStyle w:val="yTableNAm"/>
              <w:spacing w:before="60"/>
            </w:pPr>
          </w:p>
        </w:tc>
        <w:tc>
          <w:tcPr>
            <w:tcW w:w="5194" w:type="dxa"/>
          </w:tcPr>
          <w:p>
            <w:pPr>
              <w:pStyle w:val="yTableNAm"/>
              <w:spacing w:before="60"/>
            </w:pPr>
            <w:r>
              <w:rPr>
                <w:sz w:val="20"/>
              </w:rPr>
              <w:t>Non</w:t>
            </w:r>
            <w:r>
              <w:rPr>
                <w:sz w:val="20"/>
              </w:rPr>
              <w:noBreakHyphen/>
              <w:t>Government Schools Planning Advisory Committee</w:t>
            </w:r>
          </w:p>
        </w:tc>
      </w:tr>
      <w:tr>
        <w:trPr>
          <w:cantSplit/>
        </w:trPr>
        <w:tc>
          <w:tcPr>
            <w:tcW w:w="1894" w:type="dxa"/>
            <w:vMerge/>
          </w:tcPr>
          <w:p>
            <w:pPr>
              <w:pStyle w:val="zyTableNAm"/>
              <w:spacing w:before="60"/>
              <w:rPr>
                <w:sz w:val="20"/>
              </w:rPr>
            </w:pPr>
          </w:p>
        </w:tc>
        <w:tc>
          <w:tcPr>
            <w:tcW w:w="5194" w:type="dxa"/>
          </w:tcPr>
          <w:p>
            <w:pPr>
              <w:pStyle w:val="yTableNAm"/>
              <w:spacing w:before="60"/>
            </w:pPr>
            <w:r>
              <w:rPr>
                <w:sz w:val="20"/>
              </w:rPr>
              <w:t>Rural and Remote Education Advisory Council</w:t>
            </w:r>
          </w:p>
        </w:tc>
      </w:tr>
      <w:tr>
        <w:trPr>
          <w:cantSplit/>
        </w:trPr>
        <w:tc>
          <w:tcPr>
            <w:tcW w:w="1894" w:type="dxa"/>
            <w:vMerge/>
          </w:tcPr>
          <w:p>
            <w:pPr>
              <w:pStyle w:val="zyTableNAm"/>
              <w:spacing w:before="60"/>
              <w:rPr>
                <w:sz w:val="20"/>
              </w:rPr>
            </w:pPr>
          </w:p>
        </w:tc>
        <w:tc>
          <w:tcPr>
            <w:tcW w:w="5194" w:type="dxa"/>
          </w:tcPr>
          <w:p>
            <w:pPr>
              <w:pStyle w:val="yTableNAm"/>
              <w:spacing w:before="60"/>
            </w:pPr>
            <w:r>
              <w:rPr>
                <w:sz w:val="20"/>
              </w:rPr>
              <w:t xml:space="preserve">Teacher Registration Board of </w:t>
            </w:r>
            <w:smartTag w:uri="urn:schemas-microsoft-com:office:smarttags" w:element="State">
              <w:smartTag w:uri="urn:schemas-microsoft-com:office:smarttags" w:element="place">
                <w:r>
                  <w:rPr>
                    <w:sz w:val="20"/>
                  </w:rPr>
                  <w:t>Western Australia</w:t>
                </w:r>
              </w:smartTag>
            </w:smartTag>
          </w:p>
        </w:tc>
      </w:tr>
      <w:tr>
        <w:trPr>
          <w:cantSplit/>
        </w:trPr>
        <w:tc>
          <w:tcPr>
            <w:tcW w:w="1894" w:type="dxa"/>
            <w:vMerge/>
          </w:tcPr>
          <w:p>
            <w:pPr>
              <w:pStyle w:val="zyTableNAm"/>
              <w:spacing w:before="60"/>
              <w:rPr>
                <w:sz w:val="20"/>
              </w:rPr>
            </w:pPr>
          </w:p>
        </w:tc>
        <w:tc>
          <w:tcPr>
            <w:tcW w:w="5194" w:type="dxa"/>
          </w:tcPr>
          <w:p>
            <w:pPr>
              <w:pStyle w:val="yTableNAm"/>
              <w:spacing w:before="60"/>
              <w:rPr>
                <w:sz w:val="20"/>
              </w:rPr>
            </w:pPr>
            <w:r>
              <w:rPr>
                <w:sz w:val="20"/>
              </w:rPr>
              <w:t>Training Accreditation Council</w:t>
            </w:r>
          </w:p>
        </w:tc>
      </w:tr>
      <w:tr>
        <w:trPr>
          <w:cantSplit/>
        </w:trPr>
        <w:tc>
          <w:tcPr>
            <w:tcW w:w="1894" w:type="dxa"/>
            <w:vMerge/>
          </w:tcPr>
          <w:p>
            <w:pPr>
              <w:pStyle w:val="zyTableNAm"/>
              <w:spacing w:before="60"/>
              <w:rPr>
                <w:sz w:val="20"/>
              </w:rPr>
            </w:pPr>
          </w:p>
        </w:tc>
        <w:tc>
          <w:tcPr>
            <w:tcW w:w="5194" w:type="dxa"/>
          </w:tcPr>
          <w:p>
            <w:pPr>
              <w:pStyle w:val="yTableNAm"/>
              <w:spacing w:before="60"/>
            </w:pPr>
            <w:r>
              <w:rPr>
                <w:sz w:val="20"/>
              </w:rPr>
              <w:t>Western Australian Higher Education Council</w:t>
            </w:r>
          </w:p>
        </w:tc>
      </w:tr>
      <w:tr>
        <w:trPr>
          <w:cantSplit/>
        </w:trPr>
        <w:tc>
          <w:tcPr>
            <w:tcW w:w="1894" w:type="dxa"/>
            <w:vMerge w:val="restart"/>
          </w:tcPr>
          <w:p>
            <w:pPr>
              <w:pStyle w:val="yTable"/>
              <w:rPr>
                <w:sz w:val="20"/>
              </w:rPr>
            </w:pPr>
            <w:r>
              <w:rPr>
                <w:sz w:val="20"/>
              </w:rPr>
              <w:t>Department of Environment and Conservation</w:t>
            </w:r>
            <w:r>
              <w:rPr>
                <w:sz w:val="20"/>
                <w:vertAlign w:val="superscript"/>
              </w:rPr>
              <w:t> 6</w:t>
            </w:r>
          </w:p>
        </w:tc>
        <w:tc>
          <w:tcPr>
            <w:tcW w:w="5194" w:type="dxa"/>
          </w:tcPr>
          <w:p>
            <w:pPr>
              <w:pStyle w:val="yTable"/>
              <w:ind w:left="209" w:hanging="209"/>
              <w:rPr>
                <w:sz w:val="20"/>
              </w:rPr>
            </w:pPr>
            <w:r>
              <w:rPr>
                <w:sz w:val="20"/>
              </w:rPr>
              <w:t>Cockburn Sound Management Council</w:t>
            </w:r>
          </w:p>
        </w:tc>
      </w:tr>
      <w:tr>
        <w:trPr>
          <w:cantSplit/>
        </w:trPr>
        <w:tc>
          <w:tcPr>
            <w:tcW w:w="1894" w:type="dxa"/>
            <w:vMerge/>
          </w:tcPr>
          <w:p>
            <w:pPr>
              <w:pStyle w:val="yTable"/>
            </w:pPr>
          </w:p>
        </w:tc>
        <w:tc>
          <w:tcPr>
            <w:tcW w:w="5194" w:type="dxa"/>
          </w:tcPr>
          <w:p>
            <w:pPr>
              <w:pStyle w:val="yTable"/>
              <w:ind w:left="209" w:hanging="209"/>
              <w:rPr>
                <w:rFonts w:eastAsia="Arial Unicode MS"/>
              </w:rPr>
            </w:pPr>
            <w:r>
              <w:rPr>
                <w:sz w:val="20"/>
              </w:rPr>
              <w:t xml:space="preserve">Conservation Commission of </w:t>
            </w:r>
            <w:smartTag w:uri="urn:schemas-microsoft-com:office:smarttags" w:element="State">
              <w:smartTag w:uri="urn:schemas-microsoft-com:office:smarttags" w:element="place">
                <w:r>
                  <w:rPr>
                    <w:sz w:val="20"/>
                  </w:rPr>
                  <w:t>Western Australia</w:t>
                </w:r>
              </w:smartTag>
            </w:smartTag>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Contaminated Sites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Environmental Protection Authority</w:t>
            </w:r>
          </w:p>
        </w:tc>
      </w:tr>
      <w:tr>
        <w:trPr>
          <w:cantSplit/>
        </w:trPr>
        <w:tc>
          <w:tcPr>
            <w:tcW w:w="1894" w:type="dxa"/>
            <w:vMerge/>
          </w:tcPr>
          <w:p>
            <w:pPr>
              <w:pStyle w:val="zytable"/>
              <w:ind w:left="0" w:right="0"/>
              <w:rPr>
                <w:rFonts w:eastAsia="Arial Unicode MS"/>
                <w:sz w:val="20"/>
              </w:rPr>
            </w:pPr>
          </w:p>
        </w:tc>
        <w:tc>
          <w:tcPr>
            <w:tcW w:w="5194" w:type="dxa"/>
          </w:tcPr>
          <w:p>
            <w:pPr>
              <w:pStyle w:val="yTable"/>
              <w:ind w:left="209" w:hanging="209"/>
              <w:rPr>
                <w:rFonts w:eastAsia="Arial Unicode MS"/>
              </w:rPr>
            </w:pPr>
            <w:r>
              <w:rPr>
                <w:sz w:val="20"/>
              </w:rPr>
              <w:t xml:space="preserve">Keep </w:t>
            </w:r>
            <w:smartTag w:uri="urn:schemas-microsoft-com:office:smarttags" w:element="country-region">
              <w:smartTag w:uri="urn:schemas-microsoft-com:office:smarttags" w:element="place">
                <w:r>
                  <w:rPr>
                    <w:sz w:val="20"/>
                  </w:rPr>
                  <w:t>Australia</w:t>
                </w:r>
              </w:smartTag>
            </w:smartTag>
            <w:r>
              <w:rPr>
                <w:sz w:val="20"/>
              </w:rPr>
              <w:t xml:space="preserve"> Beautiful Council</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smartTag w:uri="urn:schemas-microsoft-com:office:smarttags" w:element="place">
              <w:smartTag w:uri="urn:schemas-microsoft-com:office:smarttags" w:element="PlaceName">
                <w:r>
                  <w:rPr>
                    <w:sz w:val="20"/>
                  </w:rPr>
                  <w:t>Marine</w:t>
                </w:r>
              </w:smartTag>
              <w:r>
                <w:rPr>
                  <w:sz w:val="20"/>
                </w:rPr>
                <w:t xml:space="preserve"> </w:t>
              </w:r>
              <w:smartTag w:uri="urn:schemas-microsoft-com:office:smarttags" w:element="PlaceType">
                <w:r>
                  <w:rPr>
                    <w:sz w:val="20"/>
                  </w:rPr>
                  <w:t>Parks</w:t>
                </w:r>
              </w:smartTag>
            </w:smartTag>
            <w:r>
              <w:rPr>
                <w:sz w:val="20"/>
              </w:rPr>
              <w:t xml:space="preserve"> and Reserves Authority</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smartTag w:uri="urn:schemas-microsoft-com:office:smarttags" w:element="place">
              <w:smartTag w:uri="urn:schemas-microsoft-com:office:smarttags" w:element="PlaceName">
                <w:r>
                  <w:rPr>
                    <w:sz w:val="20"/>
                  </w:rPr>
                  <w:t>Marine</w:t>
                </w:r>
              </w:smartTag>
              <w:r>
                <w:rPr>
                  <w:sz w:val="20"/>
                </w:rPr>
                <w:t xml:space="preserve"> </w:t>
              </w:r>
              <w:smartTag w:uri="urn:schemas-microsoft-com:office:smarttags" w:element="PlaceType">
                <w:r>
                  <w:rPr>
                    <w:sz w:val="20"/>
                  </w:rPr>
                  <w:t>Parks</w:t>
                </w:r>
              </w:smartTag>
            </w:smartTag>
            <w:r>
              <w:rPr>
                <w:sz w:val="20"/>
              </w:rPr>
              <w:t xml:space="preserve"> and Reserves Scientific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Office of the Appeals Convenor</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smartTag w:uri="urn:schemas-microsoft-com:office:smarttags" w:element="place">
              <w:smartTag w:uri="urn:schemas-microsoft-com:office:smarttags" w:element="PlaceName">
                <w:r>
                  <w:rPr>
                    <w:sz w:val="20"/>
                  </w:rPr>
                  <w:t>Swan</w:t>
                </w:r>
              </w:smartTag>
              <w:r>
                <w:rPr>
                  <w:sz w:val="20"/>
                </w:rPr>
                <w:t xml:space="preserve"> </w:t>
              </w:r>
              <w:smartTag w:uri="urn:schemas-microsoft-com:office:smarttags" w:element="PlaceType">
                <w:r>
                  <w:rPr>
                    <w:sz w:val="20"/>
                  </w:rPr>
                  <w:t>River</w:t>
                </w:r>
              </w:smartTag>
            </w:smartTag>
            <w:r>
              <w:rPr>
                <w:sz w:val="20"/>
              </w:rPr>
              <w:t xml:space="preserve"> Trust</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Waste Management (WA)</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Waste Management Board</w:t>
            </w:r>
          </w:p>
        </w:tc>
      </w:tr>
      <w:tr>
        <w:trPr>
          <w:cantSplit/>
        </w:trPr>
        <w:tc>
          <w:tcPr>
            <w:tcW w:w="1894" w:type="dxa"/>
            <w:vMerge w:val="restart"/>
          </w:tcPr>
          <w:p>
            <w:pPr>
              <w:pStyle w:val="yTable"/>
              <w:rPr>
                <w:sz w:val="20"/>
              </w:rPr>
            </w:pPr>
            <w:r>
              <w:rPr>
                <w:sz w:val="20"/>
              </w:rPr>
              <w:t xml:space="preserve">Department of Fisheries </w:t>
            </w:r>
          </w:p>
        </w:tc>
        <w:tc>
          <w:tcPr>
            <w:tcW w:w="5194" w:type="dxa"/>
          </w:tcPr>
          <w:p>
            <w:pPr>
              <w:pStyle w:val="yTable"/>
              <w:ind w:left="209" w:hanging="209"/>
              <w:rPr>
                <w:sz w:val="20"/>
              </w:rPr>
            </w:pPr>
            <w:r>
              <w:rPr>
                <w:sz w:val="20"/>
              </w:rPr>
              <w:t>Abrolhos Islands Management Advisory Committee</w:t>
            </w:r>
          </w:p>
        </w:tc>
      </w:tr>
      <w:tr>
        <w:trPr>
          <w:cantSplit/>
        </w:trPr>
        <w:tc>
          <w:tcPr>
            <w:tcW w:w="1894" w:type="dxa"/>
            <w:vMerge/>
          </w:tcPr>
          <w:p>
            <w:pPr>
              <w:pStyle w:val="yTable"/>
            </w:pPr>
          </w:p>
        </w:tc>
        <w:tc>
          <w:tcPr>
            <w:tcW w:w="5194" w:type="dxa"/>
          </w:tcPr>
          <w:p>
            <w:pPr>
              <w:pStyle w:val="yTable"/>
              <w:ind w:left="209" w:hanging="209"/>
              <w:rPr>
                <w:rFonts w:eastAsia="Arial Unicode MS"/>
              </w:rPr>
            </w:pPr>
            <w:r>
              <w:rPr>
                <w:sz w:val="20"/>
              </w:rPr>
              <w:t>Aquaculture Development Council</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Pearling Industry Advisory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Recreational Fishing Advisory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Rock Lobster Industry Advisory Committee</w:t>
            </w:r>
          </w:p>
        </w:tc>
      </w:tr>
      <w:tr>
        <w:trPr>
          <w:cantSplit/>
        </w:trPr>
        <w:tc>
          <w:tcPr>
            <w:tcW w:w="1894" w:type="dxa"/>
            <w:vMerge w:val="restart"/>
          </w:tcPr>
          <w:p>
            <w:pPr>
              <w:pStyle w:val="yTable"/>
              <w:rPr>
                <w:sz w:val="20"/>
              </w:rPr>
            </w:pPr>
            <w:r>
              <w:rPr>
                <w:sz w:val="20"/>
              </w:rPr>
              <w:t>Department of Health</w:t>
            </w:r>
          </w:p>
        </w:tc>
        <w:tc>
          <w:tcPr>
            <w:tcW w:w="5194" w:type="dxa"/>
          </w:tcPr>
          <w:p>
            <w:pPr>
              <w:pStyle w:val="yTable"/>
              <w:ind w:left="209" w:hanging="209"/>
              <w:rPr>
                <w:sz w:val="20"/>
              </w:rPr>
            </w:pPr>
            <w:r>
              <w:rPr>
                <w:sz w:val="20"/>
              </w:rPr>
              <w:t>Aged Care Advisory Panel</w:t>
            </w:r>
          </w:p>
        </w:tc>
      </w:tr>
      <w:tr>
        <w:trPr>
          <w:cantSplit/>
        </w:trPr>
        <w:tc>
          <w:tcPr>
            <w:tcW w:w="1894" w:type="dxa"/>
            <w:vMerge/>
          </w:tcPr>
          <w:p>
            <w:pPr>
              <w:pStyle w:val="yTable"/>
              <w:rPr>
                <w:rFonts w:eastAsia="Arial Unicode MS"/>
              </w:rPr>
            </w:pPr>
          </w:p>
        </w:tc>
        <w:tc>
          <w:tcPr>
            <w:tcW w:w="5194" w:type="dxa"/>
          </w:tcPr>
          <w:p>
            <w:pPr>
              <w:pStyle w:val="yTable"/>
              <w:ind w:left="209" w:hanging="209"/>
              <w:rPr>
                <w:rFonts w:eastAsia="Arial Unicode MS"/>
              </w:rPr>
            </w:pPr>
            <w:r>
              <w:rPr>
                <w:sz w:val="20"/>
              </w:rPr>
              <w:t>Anaesthetic Morality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Fluoridation of Public Water Supplies Advisory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Food Advisory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Local Health Authorities Analytical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Maternal Mortality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Perinatal and Infant Mortality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Pesticides Advisory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Western Australian Reproductive Technology Foundation</w:t>
            </w:r>
          </w:p>
        </w:tc>
      </w:tr>
      <w:tr>
        <w:trPr>
          <w:cantSplit/>
        </w:trPr>
        <w:tc>
          <w:tcPr>
            <w:tcW w:w="1894" w:type="dxa"/>
            <w:vMerge w:val="restart"/>
          </w:tcPr>
          <w:p>
            <w:pPr>
              <w:pStyle w:val="yTable"/>
              <w:keepNext/>
              <w:keepLines/>
              <w:rPr>
                <w:sz w:val="20"/>
              </w:rPr>
            </w:pPr>
            <w:r>
              <w:rPr>
                <w:sz w:val="20"/>
              </w:rPr>
              <w:t>Department of Housing and Works </w:t>
            </w:r>
            <w:r>
              <w:rPr>
                <w:sz w:val="20"/>
                <w:vertAlign w:val="superscript"/>
              </w:rPr>
              <w:t>7</w:t>
            </w:r>
          </w:p>
        </w:tc>
        <w:tc>
          <w:tcPr>
            <w:tcW w:w="5194" w:type="dxa"/>
          </w:tcPr>
          <w:p>
            <w:pPr>
              <w:pStyle w:val="yTable"/>
              <w:keepNext/>
              <w:keepLines/>
              <w:ind w:left="209" w:hanging="209"/>
              <w:rPr>
                <w:sz w:val="20"/>
              </w:rPr>
            </w:pPr>
            <w:r>
              <w:rPr>
                <w:sz w:val="20"/>
              </w:rPr>
              <w:t>Aboriginal Housing and Infrastructure Council</w:t>
            </w:r>
          </w:p>
        </w:tc>
      </w:tr>
      <w:tr>
        <w:trPr>
          <w:cantSplit/>
        </w:trPr>
        <w:tc>
          <w:tcPr>
            <w:tcW w:w="1894" w:type="dxa"/>
            <w:vMerge/>
          </w:tcPr>
          <w:p>
            <w:pPr>
              <w:pStyle w:val="yTable"/>
            </w:pPr>
          </w:p>
        </w:tc>
        <w:tc>
          <w:tcPr>
            <w:tcW w:w="5194" w:type="dxa"/>
          </w:tcPr>
          <w:p>
            <w:pPr>
              <w:pStyle w:val="yTable"/>
              <w:ind w:left="209" w:hanging="209"/>
              <w:rPr>
                <w:rFonts w:eastAsia="Arial Unicode MS"/>
              </w:rPr>
            </w:pPr>
            <w:r>
              <w:rPr>
                <w:sz w:val="20"/>
              </w:rPr>
              <w:t xml:space="preserve">Architects Board of </w:t>
            </w:r>
            <w:smartTag w:uri="urn:schemas-microsoft-com:office:smarttags" w:element="State">
              <w:smartTag w:uri="urn:schemas-microsoft-com:office:smarttags" w:element="place">
                <w:r>
                  <w:rPr>
                    <w:sz w:val="20"/>
                  </w:rPr>
                  <w:t>Western Australia</w:t>
                </w:r>
              </w:smartTag>
            </w:smartTag>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Building and Construction Advisory Council</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Building Regulations Advisory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Country Housing Authority</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Keystart Board of Directors</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smartTag w:uri="urn:schemas-microsoft-com:office:smarttags" w:element="place">
              <w:smartTag w:uri="urn:schemas-microsoft-com:office:smarttags" w:element="PlaceName">
                <w:r>
                  <w:rPr>
                    <w:sz w:val="20"/>
                  </w:rPr>
                  <w:t>Municipal</w:t>
                </w:r>
              </w:smartTag>
              <w:r>
                <w:rPr>
                  <w:sz w:val="20"/>
                </w:rPr>
                <w:t xml:space="preserve"> </w:t>
              </w:r>
              <w:smartTag w:uri="urn:schemas-microsoft-com:office:smarttags" w:element="PlaceType">
                <w:r>
                  <w:rPr>
                    <w:sz w:val="20"/>
                  </w:rPr>
                  <w:t>Building</w:t>
                </w:r>
              </w:smartTag>
            </w:smartTag>
            <w:r>
              <w:rPr>
                <w:sz w:val="20"/>
              </w:rPr>
              <w:t xml:space="preserve"> Surveyors Qualifications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Public Housing Review Panel</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Regional Appeals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smartTag w:uri="urn:schemas-microsoft-com:office:smarttags" w:element="place">
              <w:smartTag w:uri="urn:schemas-microsoft-com:office:smarttags" w:element="PlaceName">
                <w:r>
                  <w:rPr>
                    <w:sz w:val="20"/>
                  </w:rPr>
                  <w:t>Western</w:t>
                </w:r>
              </w:smartTag>
              <w:r>
                <w:rPr>
                  <w:sz w:val="20"/>
                </w:rPr>
                <w:t xml:space="preserve"> </w:t>
              </w:r>
              <w:smartTag w:uri="urn:schemas-microsoft-com:office:smarttags" w:element="PlaceName">
                <w:r>
                  <w:rPr>
                    <w:sz w:val="20"/>
                  </w:rPr>
                  <w:t>Australian</w:t>
                </w:r>
              </w:smartTag>
              <w:r>
                <w:rPr>
                  <w:sz w:val="20"/>
                </w:rPr>
                <w:t xml:space="preserve"> </w:t>
              </w:r>
              <w:smartTag w:uri="urn:schemas-microsoft-com:office:smarttags" w:element="PlaceType">
                <w:r>
                  <w:rPr>
                    <w:sz w:val="20"/>
                  </w:rPr>
                  <w:t>Building</w:t>
                </w:r>
              </w:smartTag>
            </w:smartTag>
            <w:r>
              <w:rPr>
                <w:sz w:val="20"/>
              </w:rPr>
              <w:t xml:space="preserve"> Management Authority</w:t>
            </w:r>
          </w:p>
        </w:tc>
      </w:tr>
      <w:tr>
        <w:trPr>
          <w:cantSplit/>
        </w:trPr>
        <w:tc>
          <w:tcPr>
            <w:tcW w:w="1894" w:type="dxa"/>
            <w:vMerge w:val="restart"/>
          </w:tcPr>
          <w:p>
            <w:pPr>
              <w:pStyle w:val="yTable"/>
              <w:rPr>
                <w:sz w:val="20"/>
              </w:rPr>
            </w:pPr>
            <w:r>
              <w:rPr>
                <w:sz w:val="20"/>
              </w:rPr>
              <w:t>Department of Indigenous Affairs</w:t>
            </w:r>
            <w:r>
              <w:rPr>
                <w:sz w:val="20"/>
                <w:vertAlign w:val="superscript"/>
              </w:rPr>
              <w:t> 8</w:t>
            </w:r>
          </w:p>
        </w:tc>
        <w:tc>
          <w:tcPr>
            <w:tcW w:w="5194" w:type="dxa"/>
          </w:tcPr>
          <w:p>
            <w:pPr>
              <w:pStyle w:val="yTable"/>
              <w:ind w:left="209" w:hanging="209"/>
              <w:rPr>
                <w:sz w:val="20"/>
              </w:rPr>
            </w:pPr>
            <w:r>
              <w:rPr>
                <w:sz w:val="20"/>
              </w:rPr>
              <w:t>Aboriginal Cultural Material Committee</w:t>
            </w:r>
          </w:p>
        </w:tc>
      </w:tr>
      <w:tr>
        <w:trPr>
          <w:cantSplit/>
        </w:trPr>
        <w:tc>
          <w:tcPr>
            <w:tcW w:w="1894" w:type="dxa"/>
            <w:vMerge/>
          </w:tcPr>
          <w:p>
            <w:pPr>
              <w:pStyle w:val="yTable"/>
              <w:rPr>
                <w:rFonts w:eastAsia="Arial Unicode MS"/>
              </w:rPr>
            </w:pPr>
          </w:p>
        </w:tc>
        <w:tc>
          <w:tcPr>
            <w:tcW w:w="5194" w:type="dxa"/>
          </w:tcPr>
          <w:p>
            <w:pPr>
              <w:pStyle w:val="yTable"/>
              <w:ind w:left="209" w:hanging="209"/>
              <w:rPr>
                <w:rFonts w:eastAsia="Arial Unicode MS"/>
              </w:rPr>
            </w:pPr>
            <w:r>
              <w:rPr>
                <w:sz w:val="20"/>
              </w:rPr>
              <w:t>Aboriginal Lands Trust</w:t>
            </w:r>
          </w:p>
        </w:tc>
      </w:tr>
      <w:tr>
        <w:trPr>
          <w:cantSplit/>
        </w:trPr>
        <w:tc>
          <w:tcPr>
            <w:tcW w:w="1894" w:type="dxa"/>
            <w:vMerge w:val="restart"/>
          </w:tcPr>
          <w:p>
            <w:pPr>
              <w:pStyle w:val="yTable"/>
              <w:rPr>
                <w:i/>
                <w:sz w:val="20"/>
              </w:rPr>
            </w:pPr>
            <w:r>
              <w:rPr>
                <w:sz w:val="20"/>
              </w:rPr>
              <w:t>Department of Industry and Resources</w:t>
            </w:r>
            <w:r>
              <w:rPr>
                <w:sz w:val="20"/>
                <w:vertAlign w:val="superscript"/>
              </w:rPr>
              <w:t> 9</w:t>
            </w:r>
          </w:p>
        </w:tc>
        <w:tc>
          <w:tcPr>
            <w:tcW w:w="5194" w:type="dxa"/>
          </w:tcPr>
          <w:p>
            <w:pPr>
              <w:pStyle w:val="yTable"/>
              <w:ind w:left="209" w:hanging="209"/>
              <w:rPr>
                <w:sz w:val="20"/>
              </w:rPr>
            </w:pPr>
            <w:r>
              <w:rPr>
                <w:sz w:val="20"/>
              </w:rPr>
              <w:t>Centre of Excellence State Funding Advisory Committee</w:t>
            </w:r>
          </w:p>
        </w:tc>
      </w:tr>
      <w:tr>
        <w:trPr>
          <w:cantSplit/>
        </w:trPr>
        <w:tc>
          <w:tcPr>
            <w:tcW w:w="1894" w:type="dxa"/>
            <w:vMerge/>
          </w:tcPr>
          <w:p>
            <w:pPr>
              <w:pStyle w:val="yTable"/>
            </w:pPr>
          </w:p>
        </w:tc>
        <w:tc>
          <w:tcPr>
            <w:tcW w:w="5194" w:type="dxa"/>
          </w:tcPr>
          <w:p>
            <w:pPr>
              <w:pStyle w:val="yTable"/>
              <w:ind w:left="209" w:hanging="209"/>
              <w:rPr>
                <w:rFonts w:eastAsia="Arial Unicode MS"/>
              </w:rPr>
            </w:pPr>
            <w:r>
              <w:rPr>
                <w:sz w:val="20"/>
              </w:rPr>
              <w:t>Coal Miners Accident Relief Fund Trust</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Coal Miners Welfare Board</w:t>
            </w:r>
          </w:p>
        </w:tc>
      </w:tr>
      <w:tr>
        <w:trPr>
          <w:cantSplit/>
        </w:trPr>
        <w:tc>
          <w:tcPr>
            <w:tcW w:w="1894" w:type="dxa"/>
            <w:vMerge/>
          </w:tcPr>
          <w:p>
            <w:pPr>
              <w:pStyle w:val="zytable"/>
              <w:ind w:left="0" w:right="0"/>
              <w:rPr>
                <w:rFonts w:eastAsia="Arial Unicode MS"/>
                <w:sz w:val="20"/>
              </w:rPr>
            </w:pPr>
          </w:p>
        </w:tc>
        <w:tc>
          <w:tcPr>
            <w:tcW w:w="5194" w:type="dxa"/>
          </w:tcPr>
          <w:p>
            <w:pPr>
              <w:pStyle w:val="yTable"/>
              <w:ind w:left="209" w:hanging="209"/>
              <w:rPr>
                <w:rFonts w:eastAsia="Arial Unicode MS"/>
              </w:rPr>
            </w:pPr>
            <w:r>
              <w:rPr>
                <w:sz w:val="20"/>
              </w:rPr>
              <w:t>Miners Phthisis Board</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Office of Science, Technology and Innovation</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Oil and Gas Industry Advisory Council</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Western Australian Manufacturing Industry Council</w:t>
            </w:r>
          </w:p>
        </w:tc>
      </w:tr>
      <w:tr>
        <w:trPr>
          <w:cantSplit/>
        </w:trPr>
        <w:tc>
          <w:tcPr>
            <w:tcW w:w="1894" w:type="dxa"/>
            <w:vMerge w:val="restart"/>
          </w:tcPr>
          <w:p>
            <w:pPr>
              <w:pStyle w:val="yTable"/>
              <w:rPr>
                <w:sz w:val="20"/>
              </w:rPr>
            </w:pPr>
            <w:r>
              <w:rPr>
                <w:sz w:val="20"/>
              </w:rPr>
              <w:t>Department of Local Government and Regional Development</w:t>
            </w:r>
            <w:r>
              <w:rPr>
                <w:sz w:val="20"/>
                <w:vertAlign w:val="superscript"/>
              </w:rPr>
              <w:t> 10</w:t>
            </w:r>
          </w:p>
        </w:tc>
        <w:tc>
          <w:tcPr>
            <w:tcW w:w="5194" w:type="dxa"/>
          </w:tcPr>
          <w:p>
            <w:pPr>
              <w:pStyle w:val="yTable"/>
              <w:ind w:left="209" w:hanging="209"/>
              <w:rPr>
                <w:sz w:val="20"/>
              </w:rPr>
            </w:pPr>
            <w:r>
              <w:rPr>
                <w:sz w:val="20"/>
              </w:rPr>
              <w:t>Caravan Parks and Camping Grounds Advisory Committee</w:t>
            </w:r>
          </w:p>
        </w:tc>
      </w:tr>
      <w:tr>
        <w:trPr>
          <w:cantSplit/>
        </w:trPr>
        <w:tc>
          <w:tcPr>
            <w:tcW w:w="1894" w:type="dxa"/>
            <w:vMerge/>
          </w:tcPr>
          <w:p>
            <w:pPr>
              <w:pStyle w:val="yTable"/>
            </w:pPr>
          </w:p>
        </w:tc>
        <w:tc>
          <w:tcPr>
            <w:tcW w:w="5194" w:type="dxa"/>
          </w:tcPr>
          <w:p>
            <w:pPr>
              <w:pStyle w:val="yTable"/>
              <w:ind w:left="209" w:hanging="209"/>
              <w:rPr>
                <w:rFonts w:eastAsia="Arial Unicode MS"/>
              </w:rPr>
            </w:pPr>
            <w:r>
              <w:rPr>
                <w:sz w:val="20"/>
              </w:rPr>
              <w:t>Control of Vehicles (Off</w:t>
            </w:r>
            <w:r>
              <w:rPr>
                <w:sz w:val="20"/>
              </w:rPr>
              <w:noBreakHyphen/>
              <w:t>road Areas) Act Advisory Committee</w:t>
            </w:r>
          </w:p>
        </w:tc>
      </w:tr>
      <w:tr>
        <w:trPr>
          <w:cantSplit/>
        </w:trPr>
        <w:tc>
          <w:tcPr>
            <w:tcW w:w="1894" w:type="dxa"/>
            <w:vMerge/>
          </w:tcPr>
          <w:p>
            <w:pPr>
              <w:pStyle w:val="zytable"/>
              <w:ind w:left="0" w:right="0"/>
              <w:rPr>
                <w:sz w:val="20"/>
              </w:rPr>
            </w:pPr>
          </w:p>
        </w:tc>
        <w:tc>
          <w:tcPr>
            <w:tcW w:w="5194" w:type="dxa"/>
          </w:tcPr>
          <w:p>
            <w:pPr>
              <w:pStyle w:val="yTable"/>
              <w:ind w:left="210" w:hanging="210"/>
              <w:rPr>
                <w:rFonts w:eastAsia="Arial Unicode MS"/>
              </w:rPr>
            </w:pPr>
            <w:r>
              <w:rPr>
                <w:sz w:val="20"/>
              </w:rPr>
              <w:t>Local Government Advisory Board</w:t>
            </w:r>
          </w:p>
        </w:tc>
      </w:tr>
      <w:tr>
        <w:trPr>
          <w:cantSplit/>
        </w:trPr>
        <w:tc>
          <w:tcPr>
            <w:tcW w:w="1894" w:type="dxa"/>
            <w:vMerge/>
          </w:tcPr>
          <w:p>
            <w:pPr>
              <w:pStyle w:val="zytable"/>
              <w:ind w:left="0" w:right="0"/>
              <w:rPr>
                <w:sz w:val="20"/>
              </w:rPr>
            </w:pPr>
          </w:p>
        </w:tc>
        <w:tc>
          <w:tcPr>
            <w:tcW w:w="5194" w:type="dxa"/>
          </w:tcPr>
          <w:p>
            <w:pPr>
              <w:pStyle w:val="yTable"/>
              <w:ind w:left="210" w:hanging="210"/>
              <w:rPr>
                <w:rFonts w:eastAsia="Arial Unicode MS"/>
              </w:rPr>
            </w:pPr>
            <w:r>
              <w:rPr>
                <w:sz w:val="20"/>
              </w:rPr>
              <w:t>Regional Development Council</w:t>
            </w:r>
          </w:p>
        </w:tc>
      </w:tr>
      <w:tr>
        <w:trPr>
          <w:cantSplit/>
        </w:trPr>
        <w:tc>
          <w:tcPr>
            <w:tcW w:w="1894" w:type="dxa"/>
            <w:vMerge/>
          </w:tcPr>
          <w:p>
            <w:pPr>
              <w:pStyle w:val="zytable"/>
              <w:ind w:left="0" w:right="0"/>
              <w:rPr>
                <w:sz w:val="20"/>
              </w:rPr>
            </w:pPr>
          </w:p>
        </w:tc>
        <w:tc>
          <w:tcPr>
            <w:tcW w:w="5194" w:type="dxa"/>
          </w:tcPr>
          <w:p>
            <w:pPr>
              <w:pStyle w:val="yTable"/>
              <w:ind w:left="210" w:hanging="210"/>
              <w:rPr>
                <w:rFonts w:eastAsia="Arial Unicode MS"/>
              </w:rPr>
            </w:pPr>
            <w:r>
              <w:rPr>
                <w:sz w:val="20"/>
              </w:rPr>
              <w:t>Rural, Remote and Regional Women’s Network</w:t>
            </w:r>
          </w:p>
        </w:tc>
      </w:tr>
      <w:tr>
        <w:trPr>
          <w:cantSplit/>
        </w:trPr>
        <w:tc>
          <w:tcPr>
            <w:tcW w:w="1894" w:type="dxa"/>
            <w:vMerge/>
          </w:tcPr>
          <w:p>
            <w:pPr>
              <w:pStyle w:val="zytable"/>
              <w:ind w:left="0" w:right="0"/>
              <w:rPr>
                <w:sz w:val="20"/>
              </w:rPr>
            </w:pPr>
          </w:p>
        </w:tc>
        <w:tc>
          <w:tcPr>
            <w:tcW w:w="5194" w:type="dxa"/>
          </w:tcPr>
          <w:p>
            <w:pPr>
              <w:pStyle w:val="yTable"/>
              <w:ind w:left="210" w:hanging="210"/>
              <w:rPr>
                <w:rFonts w:eastAsia="Arial Unicode MS"/>
              </w:rPr>
            </w:pPr>
            <w:r>
              <w:rPr>
                <w:sz w:val="20"/>
              </w:rPr>
              <w:t>WA Local Government Grants Commission</w:t>
            </w:r>
          </w:p>
        </w:tc>
      </w:tr>
      <w:tr>
        <w:trPr>
          <w:cantSplit/>
        </w:trPr>
        <w:tc>
          <w:tcPr>
            <w:tcW w:w="1894" w:type="dxa"/>
            <w:vMerge/>
          </w:tcPr>
          <w:p>
            <w:pPr>
              <w:pStyle w:val="zytable"/>
              <w:ind w:left="0" w:right="0"/>
              <w:rPr>
                <w:rFonts w:eastAsia="Arial Unicode MS"/>
                <w:sz w:val="20"/>
              </w:rPr>
            </w:pPr>
          </w:p>
        </w:tc>
        <w:tc>
          <w:tcPr>
            <w:tcW w:w="5194" w:type="dxa"/>
          </w:tcPr>
          <w:p>
            <w:pPr>
              <w:pStyle w:val="yTable"/>
              <w:ind w:left="210" w:hanging="210"/>
              <w:rPr>
                <w:rFonts w:eastAsia="Arial Unicode MS"/>
              </w:rPr>
            </w:pPr>
            <w:r>
              <w:rPr>
                <w:sz w:val="20"/>
              </w:rPr>
              <w:t>WA Telecentre Advisory Board</w:t>
            </w:r>
          </w:p>
        </w:tc>
      </w:tr>
      <w:tr>
        <w:trPr>
          <w:cantSplit/>
        </w:trPr>
        <w:tc>
          <w:tcPr>
            <w:tcW w:w="1894" w:type="dxa"/>
            <w:vMerge/>
          </w:tcPr>
          <w:p>
            <w:pPr>
              <w:pStyle w:val="zytable"/>
              <w:ind w:left="0" w:right="0"/>
              <w:rPr>
                <w:sz w:val="20"/>
              </w:rPr>
            </w:pPr>
          </w:p>
        </w:tc>
        <w:tc>
          <w:tcPr>
            <w:tcW w:w="5194" w:type="dxa"/>
          </w:tcPr>
          <w:p>
            <w:pPr>
              <w:pStyle w:val="yTable"/>
              <w:ind w:left="210" w:hanging="210"/>
              <w:rPr>
                <w:rFonts w:eastAsia="Arial Unicode MS"/>
              </w:rPr>
            </w:pPr>
            <w:r>
              <w:rPr>
                <w:sz w:val="20"/>
              </w:rPr>
              <w:t>Western Australian Local Government Grants Commission</w:t>
            </w:r>
          </w:p>
        </w:tc>
      </w:tr>
      <w:tr>
        <w:trPr>
          <w:cantSplit/>
        </w:trPr>
        <w:tc>
          <w:tcPr>
            <w:tcW w:w="1894" w:type="dxa"/>
            <w:vMerge w:val="restart"/>
          </w:tcPr>
          <w:p>
            <w:pPr>
              <w:pStyle w:val="yTable"/>
              <w:rPr>
                <w:sz w:val="20"/>
              </w:rPr>
            </w:pPr>
            <w:r>
              <w:rPr>
                <w:sz w:val="20"/>
              </w:rPr>
              <w:t>Department of Racing, Gaming and Liquor</w:t>
            </w:r>
          </w:p>
        </w:tc>
        <w:tc>
          <w:tcPr>
            <w:tcW w:w="5194" w:type="dxa"/>
          </w:tcPr>
          <w:p>
            <w:pPr>
              <w:pStyle w:val="yTable"/>
              <w:ind w:left="209" w:hanging="209"/>
              <w:rPr>
                <w:sz w:val="20"/>
              </w:rPr>
            </w:pPr>
            <w:r>
              <w:rPr>
                <w:sz w:val="20"/>
              </w:rPr>
              <w:t>Gaming and Wagering Commission of Western Australia</w:t>
            </w:r>
          </w:p>
        </w:tc>
      </w:tr>
      <w:tr>
        <w:trPr>
          <w:cantSplit/>
        </w:trPr>
        <w:tc>
          <w:tcPr>
            <w:tcW w:w="1894" w:type="dxa"/>
            <w:vMerge/>
          </w:tcPr>
          <w:p>
            <w:pPr>
              <w:pStyle w:val="yTable"/>
            </w:pPr>
          </w:p>
        </w:tc>
        <w:tc>
          <w:tcPr>
            <w:tcW w:w="5194" w:type="dxa"/>
          </w:tcPr>
          <w:p>
            <w:pPr>
              <w:pStyle w:val="yTable"/>
              <w:ind w:left="209" w:hanging="209"/>
              <w:rPr>
                <w:rFonts w:eastAsia="Arial Unicode MS"/>
              </w:rPr>
            </w:pPr>
            <w:r>
              <w:rPr>
                <w:sz w:val="20"/>
              </w:rPr>
              <w:t>Gaming Community Trust</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Problem Gambling Support Services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Racing Penalties Appeal Tribunal</w:t>
            </w:r>
          </w:p>
        </w:tc>
      </w:tr>
      <w:tr>
        <w:trPr>
          <w:cantSplit/>
        </w:trPr>
        <w:tc>
          <w:tcPr>
            <w:tcW w:w="1894" w:type="dxa"/>
          </w:tcPr>
          <w:p>
            <w:pPr>
              <w:pStyle w:val="zytable"/>
              <w:ind w:left="0" w:right="0"/>
              <w:rPr>
                <w:rFonts w:eastAsia="Arial Unicode MS"/>
                <w:sz w:val="20"/>
              </w:rPr>
            </w:pPr>
            <w:r>
              <w:rPr>
                <w:rFonts w:eastAsia="Arial Unicode MS"/>
                <w:sz w:val="20"/>
              </w:rPr>
              <w:t>Department of Sport &amp; Recreation</w:t>
            </w:r>
          </w:p>
        </w:tc>
        <w:tc>
          <w:tcPr>
            <w:tcW w:w="5194" w:type="dxa"/>
          </w:tcPr>
          <w:p>
            <w:pPr>
              <w:pStyle w:val="yTable"/>
              <w:ind w:left="209" w:hanging="209"/>
              <w:rPr>
                <w:sz w:val="20"/>
              </w:rPr>
            </w:pPr>
            <w:r>
              <w:rPr>
                <w:sz w:val="20"/>
              </w:rPr>
              <w:t>Premier’s Physical Activity Taskforce</w:t>
            </w:r>
          </w:p>
        </w:tc>
      </w:tr>
      <w:tr>
        <w:tc>
          <w:tcPr>
            <w:tcW w:w="1894" w:type="dxa"/>
            <w:vMerge w:val="restart"/>
          </w:tcPr>
          <w:p>
            <w:pPr>
              <w:pStyle w:val="yTable"/>
              <w:rPr>
                <w:rFonts w:eastAsia="Arial Unicode MS"/>
              </w:rPr>
            </w:pPr>
            <w:r>
              <w:rPr>
                <w:sz w:val="20"/>
              </w:rPr>
              <w:t>Department of the Attorney General</w:t>
            </w:r>
          </w:p>
        </w:tc>
        <w:tc>
          <w:tcPr>
            <w:tcW w:w="5194" w:type="dxa"/>
          </w:tcPr>
          <w:p>
            <w:pPr>
              <w:pStyle w:val="yTable"/>
              <w:ind w:left="209" w:hanging="209"/>
              <w:rPr>
                <w:rFonts w:eastAsia="Arial Unicode MS"/>
              </w:rPr>
            </w:pPr>
            <w:r>
              <w:rPr>
                <w:sz w:val="20"/>
              </w:rPr>
              <w:t>Appeals Costs Board</w:t>
            </w:r>
          </w:p>
        </w:tc>
      </w:tr>
      <w:tr>
        <w:trPr>
          <w:cantSplit/>
        </w:trPr>
        <w:tc>
          <w:tcPr>
            <w:tcW w:w="1894" w:type="dxa"/>
            <w:vMerge/>
          </w:tcPr>
          <w:p>
            <w:pPr>
              <w:pStyle w:val="yTable"/>
            </w:pPr>
          </w:p>
        </w:tc>
        <w:tc>
          <w:tcPr>
            <w:tcW w:w="5194" w:type="dxa"/>
          </w:tcPr>
          <w:p>
            <w:pPr>
              <w:pStyle w:val="yTable"/>
              <w:ind w:left="209" w:hanging="209"/>
              <w:rPr>
                <w:rFonts w:eastAsia="Arial Unicode MS"/>
              </w:rPr>
            </w:pPr>
            <w:r>
              <w:rPr>
                <w:sz w:val="20"/>
              </w:rPr>
              <w:t xml:space="preserve">Chief Assessor and Assessors under the </w:t>
            </w:r>
            <w:r>
              <w:rPr>
                <w:i/>
                <w:iCs/>
                <w:sz w:val="20"/>
              </w:rPr>
              <w:t>Criminal Injuries Compensation Act 1985</w:t>
            </w:r>
          </w:p>
        </w:tc>
      </w:tr>
      <w:tr>
        <w:trPr>
          <w:cantSplit/>
        </w:trPr>
        <w:tc>
          <w:tcPr>
            <w:tcW w:w="1894" w:type="dxa"/>
            <w:vMerge/>
          </w:tcPr>
          <w:p>
            <w:pPr>
              <w:pStyle w:val="zytable"/>
              <w:ind w:left="0" w:right="0"/>
              <w:rPr>
                <w:rFonts w:eastAsia="Arial Unicode MS"/>
                <w:sz w:val="20"/>
              </w:rPr>
            </w:pPr>
          </w:p>
        </w:tc>
        <w:tc>
          <w:tcPr>
            <w:tcW w:w="5194" w:type="dxa"/>
          </w:tcPr>
          <w:p>
            <w:pPr>
              <w:pStyle w:val="yTable"/>
              <w:ind w:left="209" w:hanging="209"/>
              <w:rPr>
                <w:rFonts w:eastAsia="Arial Unicode MS"/>
              </w:rPr>
            </w:pPr>
            <w:r>
              <w:rPr>
                <w:sz w:val="20"/>
              </w:rPr>
              <w:t>Children’s Court of Western Australia</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Coroner’s Court of Western Australia</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Family Court of Western Australia</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Gender Reassignment Board</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Law Reporting Advisory Board</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Magistrates Court</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Mentally Impaired Accused Review Board</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Professional Standards Council</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 xml:space="preserve">Supreme Court of </w:t>
            </w:r>
            <w:smartTag w:uri="urn:schemas-microsoft-com:office:smarttags" w:element="State">
              <w:smartTag w:uri="urn:schemas-microsoft-com:office:smarttags" w:element="place">
                <w:r>
                  <w:rPr>
                    <w:sz w:val="20"/>
                  </w:rPr>
                  <w:t>Western Australia</w:t>
                </w:r>
              </w:smartTag>
            </w:smartTag>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 xml:space="preserve">The District Court of </w:t>
            </w:r>
            <w:smartTag w:uri="urn:schemas-microsoft-com:office:smarttags" w:element="State">
              <w:smartTag w:uri="urn:schemas-microsoft-com:office:smarttags" w:element="place">
                <w:r>
                  <w:rPr>
                    <w:sz w:val="20"/>
                  </w:rPr>
                  <w:t>Western Australia</w:t>
                </w:r>
              </w:smartTag>
            </w:smartTag>
          </w:p>
        </w:tc>
      </w:tr>
      <w:tr>
        <w:trPr>
          <w:cantSplit/>
        </w:trPr>
        <w:tc>
          <w:tcPr>
            <w:tcW w:w="1894" w:type="dxa"/>
            <w:vMerge w:val="restart"/>
          </w:tcPr>
          <w:p>
            <w:pPr>
              <w:pStyle w:val="yTable"/>
              <w:rPr>
                <w:sz w:val="20"/>
              </w:rPr>
            </w:pPr>
            <w:r>
              <w:rPr>
                <w:sz w:val="20"/>
              </w:rPr>
              <w:t>Department of the Premier and Cabinet</w:t>
            </w:r>
          </w:p>
        </w:tc>
        <w:tc>
          <w:tcPr>
            <w:tcW w:w="5194" w:type="dxa"/>
          </w:tcPr>
          <w:p>
            <w:pPr>
              <w:pStyle w:val="yTable"/>
              <w:ind w:left="209" w:hanging="209"/>
              <w:rPr>
                <w:sz w:val="20"/>
              </w:rPr>
            </w:pPr>
            <w:r>
              <w:rPr>
                <w:sz w:val="20"/>
              </w:rPr>
              <w:t>Completed Royal Commissions</w:t>
            </w:r>
          </w:p>
        </w:tc>
      </w:tr>
      <w:tr>
        <w:trPr>
          <w:cantSplit/>
        </w:trPr>
        <w:tc>
          <w:tcPr>
            <w:tcW w:w="1894" w:type="dxa"/>
            <w:vMerge/>
          </w:tcPr>
          <w:p>
            <w:pPr>
              <w:pStyle w:val="yTable"/>
            </w:pPr>
          </w:p>
        </w:tc>
        <w:tc>
          <w:tcPr>
            <w:tcW w:w="5194" w:type="dxa"/>
          </w:tcPr>
          <w:p>
            <w:pPr>
              <w:pStyle w:val="yTable"/>
              <w:ind w:left="209" w:hanging="209"/>
              <w:rPr>
                <w:rFonts w:eastAsia="Arial Unicode MS"/>
              </w:rPr>
            </w:pPr>
            <w:r>
              <w:rPr>
                <w:sz w:val="20"/>
              </w:rPr>
              <w:t>Constitutional Centre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 xml:space="preserve">Constitutional Centre of </w:t>
            </w:r>
            <w:smartTag w:uri="urn:schemas-microsoft-com:office:smarttags" w:element="State">
              <w:smartTag w:uri="urn:schemas-microsoft-com:office:smarttags" w:element="place">
                <w:r>
                  <w:rPr>
                    <w:sz w:val="20"/>
                  </w:rPr>
                  <w:t>Western Australia</w:t>
                </w:r>
              </w:smartTag>
            </w:smartTag>
            <w:r>
              <w:rPr>
                <w:sz w:val="20"/>
              </w:rPr>
              <w:t xml:space="preserve"> Advisory Board</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 xml:space="preserve">European, North Asia and </w:t>
            </w:r>
            <w:smartTag w:uri="urn:schemas-microsoft-com:office:smarttags" w:element="place">
              <w:r>
                <w:rPr>
                  <w:sz w:val="20"/>
                </w:rPr>
                <w:t>Middle East</w:t>
              </w:r>
            </w:smartTag>
            <w:r>
              <w:rPr>
                <w:sz w:val="20"/>
              </w:rPr>
              <w:t xml:space="preserve"> Offices</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Office of e</w:t>
            </w:r>
            <w:r>
              <w:rPr>
                <w:sz w:val="20"/>
              </w:rPr>
              <w:noBreakHyphen/>
              <w:t>Government</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Office of Road Safety</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Office of the Premier</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State Law Publisher</w:t>
            </w:r>
          </w:p>
        </w:tc>
      </w:tr>
      <w:tr>
        <w:trPr>
          <w:cantSplit/>
        </w:trPr>
        <w:tc>
          <w:tcPr>
            <w:tcW w:w="1894" w:type="dxa"/>
            <w:vMerge w:val="restart"/>
          </w:tcPr>
          <w:p>
            <w:pPr>
              <w:pStyle w:val="yTableNAm"/>
              <w:spacing w:before="60"/>
            </w:pPr>
            <w:r>
              <w:rPr>
                <w:sz w:val="20"/>
              </w:rPr>
              <w:t>Department of Training and Workforce Development</w:t>
            </w:r>
          </w:p>
        </w:tc>
        <w:tc>
          <w:tcPr>
            <w:tcW w:w="5194" w:type="dxa"/>
          </w:tcPr>
          <w:p>
            <w:pPr>
              <w:pStyle w:val="yTableNAm"/>
              <w:spacing w:before="60"/>
              <w:rPr>
                <w:rFonts w:eastAsia="Arial Unicode MS"/>
              </w:rPr>
            </w:pPr>
            <w:r>
              <w:rPr>
                <w:sz w:val="20"/>
              </w:rPr>
              <w:t>Division of Industrial Training</w:t>
            </w:r>
          </w:p>
        </w:tc>
      </w:tr>
      <w:tr>
        <w:trPr>
          <w:cantSplit/>
        </w:trPr>
        <w:tc>
          <w:tcPr>
            <w:tcW w:w="1894" w:type="dxa"/>
            <w:vMerge/>
          </w:tcPr>
          <w:p>
            <w:pPr>
              <w:pStyle w:val="zyTableNAm"/>
              <w:spacing w:before="60"/>
              <w:rPr>
                <w:sz w:val="20"/>
              </w:rPr>
            </w:pPr>
          </w:p>
        </w:tc>
        <w:tc>
          <w:tcPr>
            <w:tcW w:w="5194" w:type="dxa"/>
          </w:tcPr>
          <w:p>
            <w:pPr>
              <w:pStyle w:val="yTableNAm"/>
              <w:spacing w:before="60"/>
              <w:rPr>
                <w:rFonts w:eastAsia="Arial Unicode MS"/>
              </w:rPr>
            </w:pPr>
            <w:r>
              <w:rPr>
                <w:sz w:val="20"/>
              </w:rPr>
              <w:t>State Training Board</w:t>
            </w:r>
          </w:p>
        </w:tc>
      </w:tr>
      <w:tr>
        <w:trPr>
          <w:cantSplit/>
        </w:trPr>
        <w:tc>
          <w:tcPr>
            <w:tcW w:w="1894" w:type="dxa"/>
            <w:vMerge w:val="restart"/>
          </w:tcPr>
          <w:p>
            <w:pPr>
              <w:pStyle w:val="yTable"/>
              <w:rPr>
                <w:sz w:val="20"/>
                <w:highlight w:val="yellow"/>
              </w:rPr>
            </w:pPr>
            <w:r>
              <w:rPr>
                <w:sz w:val="20"/>
              </w:rPr>
              <w:t>Department of Treasury and Finance</w:t>
            </w:r>
            <w:r>
              <w:rPr>
                <w:sz w:val="20"/>
                <w:vertAlign w:val="superscript"/>
              </w:rPr>
              <w:t> 11</w:t>
            </w:r>
          </w:p>
        </w:tc>
        <w:tc>
          <w:tcPr>
            <w:tcW w:w="5194" w:type="dxa"/>
          </w:tcPr>
          <w:p>
            <w:pPr>
              <w:pStyle w:val="yTable"/>
              <w:ind w:left="209" w:hanging="209"/>
              <w:rPr>
                <w:sz w:val="20"/>
              </w:rPr>
            </w:pPr>
            <w:r>
              <w:rPr>
                <w:sz w:val="20"/>
              </w:rPr>
              <w:t>Anzac Day Trust</w:t>
            </w:r>
          </w:p>
        </w:tc>
      </w:tr>
      <w:tr>
        <w:trPr>
          <w:cantSplit/>
        </w:trPr>
        <w:tc>
          <w:tcPr>
            <w:tcW w:w="1894" w:type="dxa"/>
            <w:vMerge/>
          </w:tcPr>
          <w:p>
            <w:pPr>
              <w:pStyle w:val="yTable"/>
              <w:rPr>
                <w:rFonts w:eastAsia="Arial Unicode MS"/>
              </w:rPr>
            </w:pPr>
          </w:p>
        </w:tc>
        <w:tc>
          <w:tcPr>
            <w:tcW w:w="5194" w:type="dxa"/>
          </w:tcPr>
          <w:p>
            <w:pPr>
              <w:pStyle w:val="yTable"/>
              <w:ind w:left="209" w:hanging="209"/>
              <w:rPr>
                <w:rFonts w:eastAsia="Arial Unicode MS"/>
              </w:rPr>
            </w:pPr>
            <w:r>
              <w:rPr>
                <w:sz w:val="20"/>
              </w:rPr>
              <w:t>Office of Shared Services</w:t>
            </w:r>
          </w:p>
        </w:tc>
      </w:tr>
      <w:tr>
        <w:trPr>
          <w:cantSplit/>
        </w:trPr>
        <w:tc>
          <w:tcPr>
            <w:tcW w:w="1894" w:type="dxa"/>
            <w:vMerge w:val="restart"/>
          </w:tcPr>
          <w:p>
            <w:pPr>
              <w:pStyle w:val="yTable"/>
              <w:rPr>
                <w:sz w:val="20"/>
              </w:rPr>
            </w:pPr>
            <w:r>
              <w:rPr>
                <w:sz w:val="20"/>
              </w:rPr>
              <w:t>Department of Water</w:t>
            </w:r>
          </w:p>
        </w:tc>
        <w:tc>
          <w:tcPr>
            <w:tcW w:w="5194" w:type="dxa"/>
          </w:tcPr>
          <w:p>
            <w:pPr>
              <w:pStyle w:val="yTable"/>
              <w:ind w:left="209" w:hanging="209"/>
              <w:rPr>
                <w:sz w:val="20"/>
              </w:rPr>
            </w:pPr>
            <w:r>
              <w:rPr>
                <w:sz w:val="20"/>
              </w:rPr>
              <w:t>Avon Waterways Committee</w:t>
            </w:r>
          </w:p>
        </w:tc>
      </w:tr>
      <w:tr>
        <w:trPr>
          <w:cantSplit/>
        </w:trPr>
        <w:tc>
          <w:tcPr>
            <w:tcW w:w="1894" w:type="dxa"/>
            <w:vMerge/>
          </w:tcPr>
          <w:p>
            <w:pPr>
              <w:pStyle w:val="yTable"/>
            </w:pPr>
          </w:p>
        </w:tc>
        <w:tc>
          <w:tcPr>
            <w:tcW w:w="5194" w:type="dxa"/>
          </w:tcPr>
          <w:p>
            <w:pPr>
              <w:pStyle w:val="yTable"/>
              <w:ind w:left="209" w:hanging="209"/>
              <w:rPr>
                <w:rFonts w:eastAsia="Arial Unicode MS"/>
              </w:rPr>
            </w:pPr>
            <w:r>
              <w:rPr>
                <w:sz w:val="20"/>
              </w:rPr>
              <w:t>Broome Groundwater Advisory Committee</w:t>
            </w:r>
          </w:p>
        </w:tc>
      </w:tr>
      <w:tr>
        <w:trPr>
          <w:cantSplit/>
        </w:trPr>
        <w:tc>
          <w:tcPr>
            <w:tcW w:w="1894" w:type="dxa"/>
            <w:vMerge/>
          </w:tcPr>
          <w:p>
            <w:pPr>
              <w:pStyle w:val="zytable"/>
              <w:ind w:left="0" w:right="0"/>
              <w:rPr>
                <w:rFonts w:eastAsia="Arial Unicode MS"/>
                <w:sz w:val="20"/>
              </w:rPr>
            </w:pPr>
          </w:p>
        </w:tc>
        <w:tc>
          <w:tcPr>
            <w:tcW w:w="5194" w:type="dxa"/>
          </w:tcPr>
          <w:p>
            <w:pPr>
              <w:pStyle w:val="yTable"/>
              <w:ind w:left="209" w:hanging="209"/>
              <w:rPr>
                <w:rFonts w:eastAsia="Arial Unicode MS"/>
              </w:rPr>
            </w:pPr>
            <w:r>
              <w:rPr>
                <w:sz w:val="20"/>
              </w:rPr>
              <w:t>Canning – Wungong – Southern River Irrigation Advisory Committee</w:t>
            </w:r>
          </w:p>
        </w:tc>
      </w:tr>
      <w:tr>
        <w:trPr>
          <w:cantSplit/>
        </w:trPr>
        <w:tc>
          <w:tcPr>
            <w:tcW w:w="1894" w:type="dxa"/>
            <w:vMerge/>
          </w:tcPr>
          <w:p>
            <w:pPr>
              <w:pStyle w:val="zytable"/>
              <w:ind w:left="0" w:right="0"/>
              <w:rPr>
                <w:sz w:val="20"/>
              </w:rPr>
            </w:pPr>
          </w:p>
        </w:tc>
        <w:tc>
          <w:tcPr>
            <w:tcW w:w="5194" w:type="dxa"/>
          </w:tcPr>
          <w:p>
            <w:pPr>
              <w:pStyle w:val="yTable"/>
              <w:keepNext/>
              <w:keepLines/>
              <w:ind w:left="209" w:hanging="209"/>
              <w:rPr>
                <w:rFonts w:eastAsia="Arial Unicode MS"/>
              </w:rPr>
            </w:pPr>
            <w:r>
              <w:rPr>
                <w:sz w:val="20"/>
              </w:rPr>
              <w:t>Carnarvon Water Allocation Advisory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Cockburn Sound Management Council</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Collie Salinity Catchment Recovery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Engineering Evaluation Initiative Steering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Flood Warning Consultative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Flood Warning Operations Group</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smartTag w:uri="urn:schemas-microsoft-com:office:smarttags" w:element="place">
              <w:smartTag w:uri="urn:schemas-microsoft-com:office:smarttags" w:element="PlaceName">
                <w:r>
                  <w:rPr>
                    <w:sz w:val="20"/>
                  </w:rPr>
                  <w:t>Geographe</w:t>
                </w:r>
              </w:smartTag>
              <w:r>
                <w:rPr>
                  <w:sz w:val="20"/>
                </w:rPr>
                <w:t xml:space="preserve"> </w:t>
              </w:r>
              <w:smartTag w:uri="urn:schemas-microsoft-com:office:smarttags" w:element="PlaceType">
                <w:r>
                  <w:rPr>
                    <w:sz w:val="20"/>
                  </w:rPr>
                  <w:t>Bay</w:t>
                </w:r>
              </w:smartTag>
            </w:smartTag>
            <w:r>
              <w:rPr>
                <w:sz w:val="20"/>
              </w:rPr>
              <w:t xml:space="preserve"> Catchment Council (GeoCatch)</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Gingin Water Resources Advisory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Gnangara Coordinating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Kent Recovery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Leschenault Catchment Council</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Peel Inlet Management Council</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Premier’s Water Foundation</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South West Coastal Groundwater Advisory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South West Water Forum</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Swan Groundwater Advisory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Wanneroo Groundwater Advisory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smartTag w:uri="urn:schemas-microsoft-com:office:smarttags" w:element="City">
              <w:smartTag w:uri="urn:schemas-microsoft-com:office:smarttags" w:element="place">
                <w:r>
                  <w:rPr>
                    <w:sz w:val="20"/>
                  </w:rPr>
                  <w:t>Warren</w:t>
                </w:r>
              </w:smartTag>
            </w:smartTag>
            <w:r>
              <w:rPr>
                <w:sz w:val="20"/>
              </w:rPr>
              <w:t xml:space="preserve"> Salinity Catchment Recovery Team</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Warren Water Management Area Advisory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Water Resource Allocation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Whicher Water Resource Management Group</w:t>
            </w:r>
          </w:p>
        </w:tc>
      </w:tr>
      <w:tr>
        <w:trPr>
          <w:trHeight w:val="172"/>
        </w:trPr>
        <w:tc>
          <w:tcPr>
            <w:tcW w:w="1894" w:type="dxa"/>
          </w:tcPr>
          <w:p>
            <w:pPr>
              <w:pStyle w:val="yTable"/>
              <w:rPr>
                <w:rFonts w:eastAsia="Arial Unicode MS"/>
                <w:sz w:val="20"/>
              </w:rPr>
            </w:pPr>
            <w:r>
              <w:rPr>
                <w:sz w:val="20"/>
              </w:rPr>
              <w:t>Disability Services Commission</w:t>
            </w:r>
          </w:p>
        </w:tc>
        <w:tc>
          <w:tcPr>
            <w:tcW w:w="5194" w:type="dxa"/>
          </w:tcPr>
          <w:p>
            <w:pPr>
              <w:pStyle w:val="yTable"/>
              <w:ind w:left="209" w:hanging="209"/>
              <w:rPr>
                <w:rFonts w:eastAsia="Arial Unicode MS"/>
                <w:sz w:val="20"/>
              </w:rPr>
            </w:pPr>
            <w:r>
              <w:rPr>
                <w:sz w:val="20"/>
              </w:rPr>
              <w:t xml:space="preserve">Advisory Council for Disability Services </w:t>
            </w:r>
          </w:p>
        </w:tc>
      </w:tr>
      <w:tr>
        <w:tc>
          <w:tcPr>
            <w:tcW w:w="1894" w:type="dxa"/>
          </w:tcPr>
          <w:p>
            <w:pPr>
              <w:pStyle w:val="yTable"/>
              <w:rPr>
                <w:rFonts w:eastAsia="Arial Unicode MS"/>
                <w:sz w:val="20"/>
              </w:rPr>
            </w:pPr>
            <w:r>
              <w:rPr>
                <w:sz w:val="20"/>
              </w:rPr>
              <w:t xml:space="preserve">Minister for the Environment </w:t>
            </w:r>
          </w:p>
        </w:tc>
        <w:tc>
          <w:tcPr>
            <w:tcW w:w="5194" w:type="dxa"/>
          </w:tcPr>
          <w:p>
            <w:pPr>
              <w:pStyle w:val="yTable"/>
              <w:ind w:left="209" w:hanging="209"/>
              <w:rPr>
                <w:rFonts w:eastAsia="Arial Unicode MS"/>
                <w:sz w:val="20"/>
              </w:rPr>
            </w:pPr>
            <w:r>
              <w:rPr>
                <w:rFonts w:eastAsia="Arial Unicode MS"/>
                <w:sz w:val="20"/>
              </w:rPr>
              <w:t xml:space="preserve">Appeals Convenor for the </w:t>
            </w:r>
            <w:r>
              <w:rPr>
                <w:rFonts w:eastAsia="Arial Unicode MS"/>
                <w:i/>
                <w:sz w:val="20"/>
              </w:rPr>
              <w:t>Environmental Protection Act 1986</w:t>
            </w:r>
          </w:p>
        </w:tc>
      </w:tr>
      <w:tr>
        <w:trPr>
          <w:cantSplit/>
        </w:trPr>
        <w:tc>
          <w:tcPr>
            <w:tcW w:w="1894" w:type="dxa"/>
            <w:vMerge w:val="restart"/>
          </w:tcPr>
          <w:p>
            <w:pPr>
              <w:pStyle w:val="yTable"/>
              <w:rPr>
                <w:sz w:val="20"/>
              </w:rPr>
            </w:pPr>
            <w:r>
              <w:rPr>
                <w:sz w:val="20"/>
              </w:rPr>
              <w:t>Office of Energy</w:t>
            </w:r>
            <w:r>
              <w:rPr>
                <w:sz w:val="20"/>
                <w:vertAlign w:val="superscript"/>
              </w:rPr>
              <w:t> 12</w:t>
            </w:r>
          </w:p>
        </w:tc>
        <w:tc>
          <w:tcPr>
            <w:tcW w:w="5194" w:type="dxa"/>
          </w:tcPr>
          <w:p>
            <w:pPr>
              <w:pStyle w:val="yTable"/>
              <w:ind w:left="209" w:hanging="209"/>
              <w:rPr>
                <w:sz w:val="20"/>
              </w:rPr>
            </w:pPr>
            <w:r>
              <w:rPr>
                <w:sz w:val="20"/>
              </w:rPr>
              <w:t>Aboriginal and Remote Communities Power Supply Steering Committee</w:t>
            </w:r>
          </w:p>
        </w:tc>
      </w:tr>
      <w:tr>
        <w:trPr>
          <w:cantSplit/>
        </w:trPr>
        <w:tc>
          <w:tcPr>
            <w:tcW w:w="1894" w:type="dxa"/>
            <w:vMerge/>
          </w:tcPr>
          <w:p>
            <w:pPr>
              <w:pStyle w:val="yTable"/>
              <w:rPr>
                <w:rFonts w:eastAsia="Arial Unicode MS"/>
                <w:sz w:val="20"/>
              </w:rPr>
            </w:pPr>
          </w:p>
        </w:tc>
        <w:tc>
          <w:tcPr>
            <w:tcW w:w="5194" w:type="dxa"/>
          </w:tcPr>
          <w:p>
            <w:pPr>
              <w:pStyle w:val="yTable"/>
              <w:ind w:left="209" w:hanging="209"/>
              <w:rPr>
                <w:rFonts w:eastAsia="Arial Unicode MS"/>
                <w:sz w:val="20"/>
              </w:rPr>
            </w:pPr>
            <w:r>
              <w:rPr>
                <w:sz w:val="20"/>
              </w:rPr>
              <w:t>Advisory Committee for Wind</w:t>
            </w:r>
            <w:r>
              <w:rPr>
                <w:sz w:val="20"/>
              </w:rPr>
              <w:noBreakHyphen/>
              <w:t>up of the Perth International Centre for the Application of Solar Energy</w:t>
            </w:r>
          </w:p>
        </w:tc>
      </w:tr>
      <w:tr>
        <w:trPr>
          <w:cantSplit/>
        </w:trPr>
        <w:tc>
          <w:tcPr>
            <w:tcW w:w="1894" w:type="dxa"/>
            <w:vMerge/>
          </w:tcPr>
          <w:p>
            <w:pPr>
              <w:pStyle w:val="zytable"/>
              <w:ind w:left="0" w:right="0"/>
              <w:rPr>
                <w:sz w:val="20"/>
                <w:highlight w:val="yellow"/>
              </w:rPr>
            </w:pPr>
          </w:p>
        </w:tc>
        <w:tc>
          <w:tcPr>
            <w:tcW w:w="5194" w:type="dxa"/>
          </w:tcPr>
          <w:p>
            <w:pPr>
              <w:pStyle w:val="yTable"/>
              <w:ind w:left="209" w:hanging="209"/>
              <w:rPr>
                <w:rFonts w:eastAsia="Arial Unicode MS"/>
                <w:sz w:val="20"/>
              </w:rPr>
            </w:pPr>
            <w:r>
              <w:rPr>
                <w:sz w:val="20"/>
              </w:rPr>
              <w:t>Ministerial Advisory Committee on Electricity Supply</w:t>
            </w:r>
          </w:p>
        </w:tc>
      </w:tr>
      <w:tr>
        <w:trPr>
          <w:cantSplit/>
        </w:trPr>
        <w:tc>
          <w:tcPr>
            <w:tcW w:w="1894" w:type="dxa"/>
            <w:vMerge/>
          </w:tcPr>
          <w:p>
            <w:pPr>
              <w:pStyle w:val="zytable"/>
              <w:ind w:left="0" w:right="0"/>
              <w:rPr>
                <w:sz w:val="20"/>
                <w:highlight w:val="yellow"/>
              </w:rPr>
            </w:pPr>
          </w:p>
        </w:tc>
        <w:tc>
          <w:tcPr>
            <w:tcW w:w="5194" w:type="dxa"/>
          </w:tcPr>
          <w:p>
            <w:pPr>
              <w:pStyle w:val="yTable"/>
              <w:ind w:left="209" w:hanging="209"/>
              <w:rPr>
                <w:rFonts w:eastAsia="Arial Unicode MS"/>
                <w:sz w:val="20"/>
              </w:rPr>
            </w:pPr>
            <w:r>
              <w:rPr>
                <w:sz w:val="20"/>
              </w:rPr>
              <w:t>Perth International Centre for Application of Solar Energy</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sz w:val="20"/>
              </w:rPr>
            </w:pPr>
            <w:r>
              <w:rPr>
                <w:sz w:val="20"/>
              </w:rPr>
              <w:t>State Underground Power Steering Committee</w:t>
            </w:r>
          </w:p>
        </w:tc>
      </w:tr>
      <w:tr>
        <w:tc>
          <w:tcPr>
            <w:tcW w:w="1894" w:type="dxa"/>
          </w:tcPr>
          <w:p>
            <w:pPr>
              <w:pStyle w:val="yTable"/>
              <w:rPr>
                <w:rFonts w:eastAsia="Arial Unicode MS"/>
                <w:sz w:val="20"/>
              </w:rPr>
            </w:pPr>
            <w:r>
              <w:rPr>
                <w:sz w:val="20"/>
              </w:rPr>
              <w:t>Public Transport Authority of Western Australia</w:t>
            </w:r>
          </w:p>
        </w:tc>
        <w:tc>
          <w:tcPr>
            <w:tcW w:w="5194" w:type="dxa"/>
          </w:tcPr>
          <w:p>
            <w:pPr>
              <w:pStyle w:val="yTable"/>
              <w:keepNext/>
              <w:ind w:left="209" w:hanging="209"/>
              <w:rPr>
                <w:rFonts w:eastAsia="Arial Unicode MS"/>
                <w:sz w:val="20"/>
              </w:rPr>
            </w:pPr>
            <w:r>
              <w:rPr>
                <w:sz w:val="20"/>
              </w:rPr>
              <w:t xml:space="preserve">Railway Appeal Board </w:t>
            </w:r>
          </w:p>
        </w:tc>
      </w:tr>
      <w:tr>
        <w:tc>
          <w:tcPr>
            <w:tcW w:w="1894" w:type="dxa"/>
            <w:vMerge w:val="restart"/>
          </w:tcPr>
          <w:p>
            <w:pPr>
              <w:pStyle w:val="yTable"/>
              <w:keepNext/>
              <w:keepLines/>
              <w:rPr>
                <w:sz w:val="20"/>
              </w:rPr>
            </w:pPr>
            <w:r>
              <w:rPr>
                <w:sz w:val="20"/>
              </w:rPr>
              <w:t>Western Australia Industrial Relations Commission</w:t>
            </w:r>
          </w:p>
        </w:tc>
        <w:tc>
          <w:tcPr>
            <w:tcW w:w="5194" w:type="dxa"/>
          </w:tcPr>
          <w:p>
            <w:pPr>
              <w:pStyle w:val="yTable"/>
              <w:keepNext/>
              <w:keepLines/>
              <w:ind w:left="209" w:hanging="209"/>
              <w:rPr>
                <w:sz w:val="20"/>
              </w:rPr>
            </w:pPr>
            <w:r>
              <w:rPr>
                <w:sz w:val="20"/>
              </w:rPr>
              <w:t>Board of Reference (</w:t>
            </w:r>
            <w:r>
              <w:rPr>
                <w:i/>
                <w:sz w:val="20"/>
              </w:rPr>
              <w:t>Construction Industry Portable Paid Long Service Leave Act 1985</w:t>
            </w:r>
            <w:r>
              <w:rPr>
                <w:sz w:val="20"/>
              </w:rPr>
              <w:t>)</w:t>
            </w:r>
          </w:p>
        </w:tc>
      </w:tr>
      <w:tr>
        <w:trPr>
          <w:cantSplit/>
        </w:trPr>
        <w:tc>
          <w:tcPr>
            <w:tcW w:w="1894" w:type="dxa"/>
            <w:vMerge/>
          </w:tcPr>
          <w:p>
            <w:pPr>
              <w:pStyle w:val="yTable"/>
            </w:pPr>
          </w:p>
        </w:tc>
        <w:tc>
          <w:tcPr>
            <w:tcW w:w="5194" w:type="dxa"/>
          </w:tcPr>
          <w:p>
            <w:pPr>
              <w:pStyle w:val="yTable"/>
              <w:ind w:left="209" w:hanging="209"/>
              <w:rPr>
                <w:rFonts w:eastAsia="Arial Unicode MS"/>
              </w:rPr>
            </w:pPr>
            <w:r>
              <w:rPr>
                <w:sz w:val="20"/>
              </w:rPr>
              <w:t>Board of Reference (</w:t>
            </w:r>
            <w:r>
              <w:rPr>
                <w:i/>
                <w:iCs/>
                <w:sz w:val="20"/>
              </w:rPr>
              <w:t>Industrial Relations Act 1979</w:t>
            </w:r>
            <w:r>
              <w:rPr>
                <w:sz w:val="20"/>
              </w:rPr>
              <w:t>)</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Board of Reference (</w:t>
            </w:r>
            <w:r>
              <w:rPr>
                <w:i/>
                <w:iCs/>
                <w:sz w:val="20"/>
              </w:rPr>
              <w:t>Long Service Leave Act 1958</w:t>
            </w:r>
            <w:r>
              <w:rPr>
                <w:sz w:val="20"/>
              </w:rPr>
              <w:t>)</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Department of the Registrar, Western Australian Industrial Relations Commission</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 xml:space="preserve">Industrial </w:t>
            </w:r>
            <w:smartTag w:uri="urn:schemas-microsoft-com:office:smarttags" w:element="Street">
              <w:r>
                <w:rPr>
                  <w:sz w:val="20"/>
                </w:rPr>
                <w:t>Magistrates Court</w:t>
              </w:r>
            </w:smartTag>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rPr>
            </w:pPr>
            <w:r>
              <w:rPr>
                <w:sz w:val="20"/>
              </w:rPr>
              <w:t>Occupational Safety and Health Tribunal</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sz w:val="20"/>
              </w:rPr>
            </w:pPr>
            <w:r>
              <w:rPr>
                <w:sz w:val="20"/>
              </w:rPr>
              <w:t>Public Service Appeal Board</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sz w:val="20"/>
              </w:rPr>
            </w:pPr>
            <w:r>
              <w:rPr>
                <w:sz w:val="20"/>
              </w:rPr>
              <w:t>Public Service Arbitrator</w:t>
            </w:r>
          </w:p>
        </w:tc>
      </w:tr>
      <w:tr>
        <w:trPr>
          <w:cantSplit/>
        </w:trPr>
        <w:tc>
          <w:tcPr>
            <w:tcW w:w="1894" w:type="dxa"/>
            <w:vMerge/>
          </w:tcPr>
          <w:p>
            <w:pPr>
              <w:pStyle w:val="zytable"/>
              <w:ind w:left="0" w:right="0"/>
              <w:rPr>
                <w:rFonts w:eastAsia="Arial Unicode MS"/>
                <w:sz w:val="20"/>
              </w:rPr>
            </w:pPr>
          </w:p>
        </w:tc>
        <w:tc>
          <w:tcPr>
            <w:tcW w:w="5194" w:type="dxa"/>
          </w:tcPr>
          <w:p>
            <w:pPr>
              <w:pStyle w:val="yTable"/>
              <w:ind w:left="209" w:hanging="209"/>
              <w:rPr>
                <w:rFonts w:eastAsia="Arial Unicode MS"/>
                <w:sz w:val="20"/>
              </w:rPr>
            </w:pPr>
            <w:r>
              <w:rPr>
                <w:sz w:val="20"/>
              </w:rPr>
              <w:t>Railways Classification Board</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sz w:val="20"/>
              </w:rPr>
            </w:pPr>
            <w:r>
              <w:rPr>
                <w:sz w:val="20"/>
              </w:rPr>
              <w:t>Special Board of Reference (Long Service Leave Standard Provisions)</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sz w:val="20"/>
              </w:rPr>
            </w:pPr>
            <w:r>
              <w:rPr>
                <w:sz w:val="20"/>
              </w:rPr>
              <w:t>WA Industrial Appeal Court</w:t>
            </w:r>
          </w:p>
        </w:tc>
      </w:tr>
      <w:tr>
        <w:trPr>
          <w:cantSplit/>
        </w:trPr>
        <w:tc>
          <w:tcPr>
            <w:tcW w:w="1894" w:type="dxa"/>
            <w:vMerge w:val="restart"/>
          </w:tcPr>
          <w:p>
            <w:pPr>
              <w:pStyle w:val="yTable"/>
              <w:rPr>
                <w:sz w:val="20"/>
              </w:rPr>
            </w:pPr>
            <w:r>
              <w:rPr>
                <w:sz w:val="20"/>
              </w:rPr>
              <w:t>Western Australia Police</w:t>
            </w:r>
          </w:p>
        </w:tc>
        <w:tc>
          <w:tcPr>
            <w:tcW w:w="5194" w:type="dxa"/>
          </w:tcPr>
          <w:p>
            <w:pPr>
              <w:pStyle w:val="yTable"/>
              <w:ind w:left="209" w:hanging="209"/>
              <w:rPr>
                <w:sz w:val="20"/>
              </w:rPr>
            </w:pPr>
            <w:r>
              <w:rPr>
                <w:sz w:val="20"/>
              </w:rPr>
              <w:t>Community Safety and Crime Prevention Council</w:t>
            </w:r>
          </w:p>
        </w:tc>
      </w:tr>
      <w:tr>
        <w:trPr>
          <w:cantSplit/>
        </w:trPr>
        <w:tc>
          <w:tcPr>
            <w:tcW w:w="1894" w:type="dxa"/>
            <w:vMerge/>
          </w:tcPr>
          <w:p>
            <w:pPr>
              <w:pStyle w:val="yTable"/>
              <w:rPr>
                <w:sz w:val="20"/>
              </w:rPr>
            </w:pPr>
          </w:p>
        </w:tc>
        <w:tc>
          <w:tcPr>
            <w:tcW w:w="5194" w:type="dxa"/>
          </w:tcPr>
          <w:p>
            <w:pPr>
              <w:pStyle w:val="yTable"/>
              <w:ind w:left="209" w:hanging="209"/>
              <w:rPr>
                <w:rFonts w:eastAsia="Arial Unicode MS"/>
                <w:sz w:val="20"/>
              </w:rPr>
            </w:pPr>
            <w:r>
              <w:rPr>
                <w:sz w:val="20"/>
              </w:rPr>
              <w:t>Police Appeal Board</w:t>
            </w:r>
          </w:p>
        </w:tc>
      </w:tr>
      <w:tr>
        <w:trPr>
          <w:cantSplit/>
        </w:trPr>
        <w:tc>
          <w:tcPr>
            <w:tcW w:w="1894" w:type="dxa"/>
            <w:vMerge/>
          </w:tcPr>
          <w:p>
            <w:pPr>
              <w:pStyle w:val="zytable"/>
              <w:ind w:left="0" w:right="0"/>
              <w:rPr>
                <w:rFonts w:eastAsia="Arial Unicode MS"/>
                <w:sz w:val="20"/>
              </w:rPr>
            </w:pPr>
          </w:p>
        </w:tc>
        <w:tc>
          <w:tcPr>
            <w:tcW w:w="5194" w:type="dxa"/>
          </w:tcPr>
          <w:p>
            <w:pPr>
              <w:pStyle w:val="yTable"/>
              <w:ind w:left="209" w:hanging="209"/>
              <w:rPr>
                <w:rFonts w:eastAsia="Arial Unicode MS"/>
                <w:sz w:val="20"/>
              </w:rPr>
            </w:pPr>
            <w:r>
              <w:rPr>
                <w:sz w:val="20"/>
              </w:rPr>
              <w:t>Western Australian Police Historical Society</w:t>
            </w:r>
          </w:p>
        </w:tc>
      </w:tr>
      <w:tr>
        <w:trPr>
          <w:cantSplit/>
        </w:trPr>
        <w:tc>
          <w:tcPr>
            <w:tcW w:w="1894" w:type="dxa"/>
            <w:vMerge w:val="restart"/>
          </w:tcPr>
          <w:p>
            <w:pPr>
              <w:pStyle w:val="yTable"/>
              <w:rPr>
                <w:sz w:val="20"/>
              </w:rPr>
            </w:pPr>
            <w:r>
              <w:rPr>
                <w:sz w:val="20"/>
              </w:rPr>
              <w:t>Western Australian Land Information Authority (Landgate)</w:t>
            </w:r>
          </w:p>
        </w:tc>
        <w:tc>
          <w:tcPr>
            <w:tcW w:w="5194" w:type="dxa"/>
          </w:tcPr>
          <w:p>
            <w:pPr>
              <w:pStyle w:val="yTable"/>
              <w:ind w:left="209" w:hanging="209"/>
              <w:rPr>
                <w:rFonts w:eastAsia="Arial Unicode MS"/>
                <w:sz w:val="20"/>
              </w:rPr>
            </w:pPr>
            <w:r>
              <w:rPr>
                <w:rFonts w:eastAsia="Arial Unicode MS"/>
                <w:sz w:val="20"/>
              </w:rPr>
              <w:t>Geographic Names Committee</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sz w:val="20"/>
              </w:rPr>
            </w:pPr>
            <w:r>
              <w:rPr>
                <w:rFonts w:eastAsia="Arial Unicode MS"/>
                <w:sz w:val="20"/>
              </w:rPr>
              <w:t>Land Board</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sz w:val="20"/>
              </w:rPr>
            </w:pPr>
            <w:r>
              <w:rPr>
                <w:rFonts w:eastAsia="Arial Unicode MS"/>
                <w:sz w:val="20"/>
              </w:rPr>
              <w:t>Land Surveyors Development Board</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sz w:val="20"/>
              </w:rPr>
            </w:pPr>
            <w:r>
              <w:rPr>
                <w:rFonts w:eastAsia="Arial Unicode MS"/>
                <w:sz w:val="20"/>
              </w:rPr>
              <w:t>Land Surveyors Licensing Board</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sz w:val="20"/>
              </w:rPr>
            </w:pPr>
            <w:r>
              <w:rPr>
                <w:rFonts w:eastAsia="Arial Unicode MS"/>
                <w:sz w:val="20"/>
              </w:rPr>
              <w:t>Pastoral Board</w:t>
            </w:r>
          </w:p>
        </w:tc>
      </w:tr>
      <w:tr>
        <w:trPr>
          <w:cantSplit/>
        </w:trPr>
        <w:tc>
          <w:tcPr>
            <w:tcW w:w="1894" w:type="dxa"/>
            <w:vMerge/>
          </w:tcPr>
          <w:p>
            <w:pPr>
              <w:pStyle w:val="zytable"/>
              <w:ind w:left="0" w:right="0"/>
              <w:rPr>
                <w:sz w:val="20"/>
              </w:rPr>
            </w:pPr>
          </w:p>
        </w:tc>
        <w:tc>
          <w:tcPr>
            <w:tcW w:w="5194" w:type="dxa"/>
          </w:tcPr>
          <w:p>
            <w:pPr>
              <w:pStyle w:val="yTable"/>
              <w:ind w:left="209" w:hanging="209"/>
              <w:rPr>
                <w:rFonts w:eastAsia="Arial Unicode MS"/>
                <w:sz w:val="20"/>
              </w:rPr>
            </w:pPr>
            <w:r>
              <w:rPr>
                <w:rFonts w:eastAsia="Arial Unicode MS"/>
                <w:sz w:val="20"/>
              </w:rPr>
              <w:t>Valuer General’s Office</w:t>
            </w:r>
          </w:p>
        </w:tc>
      </w:tr>
      <w:tr>
        <w:tc>
          <w:tcPr>
            <w:tcW w:w="1894" w:type="dxa"/>
          </w:tcPr>
          <w:p>
            <w:pPr>
              <w:pStyle w:val="yTable"/>
              <w:rPr>
                <w:rFonts w:eastAsia="Arial Unicode MS"/>
                <w:sz w:val="20"/>
              </w:rPr>
            </w:pPr>
            <w:r>
              <w:rPr>
                <w:sz w:val="20"/>
              </w:rPr>
              <w:t>WorkCover Western Australia Authority (Workcover WA)</w:t>
            </w:r>
          </w:p>
        </w:tc>
        <w:tc>
          <w:tcPr>
            <w:tcW w:w="5194" w:type="dxa"/>
          </w:tcPr>
          <w:p>
            <w:pPr>
              <w:pStyle w:val="yTable"/>
              <w:tabs>
                <w:tab w:val="right" w:pos="2765"/>
                <w:tab w:val="left" w:pos="3053"/>
              </w:tabs>
              <w:ind w:left="209" w:hanging="209"/>
              <w:rPr>
                <w:rFonts w:eastAsia="Arial Unicode MS"/>
                <w:sz w:val="20"/>
              </w:rPr>
            </w:pPr>
            <w:r>
              <w:rPr>
                <w:rFonts w:eastAsia="Arial Unicode MS"/>
                <w:sz w:val="20"/>
              </w:rPr>
              <w:t>Dispute Resolution Directorate</w:t>
            </w:r>
          </w:p>
        </w:tc>
      </w:tr>
    </w:tbl>
    <w:p>
      <w:pPr>
        <w:pStyle w:val="yFootnotesection"/>
      </w:pPr>
      <w:r>
        <w:tab/>
        <w:t>[Schedule 2 inserted in Gazette 28 Dec 2007 p. 6415</w:t>
      </w:r>
      <w:r>
        <w:noBreakHyphen/>
        <w:t>23; amended in Gazette 6 Mar 2012 p. 893 and 896; 7 Dec 2012 p. 5993; 5 Feb 2013 p. 837.]</w:t>
      </w:r>
    </w:p>
    <w:p/>
    <w:p>
      <w:pPr>
        <w:pStyle w:val="CentredBaseLine"/>
        <w:jc w:val="center"/>
      </w:pPr>
      <w:r>
        <w:rPr>
          <w:noProof/>
        </w:rPr>
        <w:drawing>
          <wp:inline distT="0" distB="0" distL="0" distR="0">
            <wp:extent cx="933450" cy="171450"/>
            <wp:effectExtent l="0" t="0" r="0" b="0"/>
            <wp:docPr id="7" name="Picture 7"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even" r:id="rId31"/>
          <w:headerReference w:type="default" r:id="rId32"/>
          <w:headerReference w:type="first" r:id="rId33"/>
          <w:pgSz w:w="11906" w:h="16838" w:code="9"/>
          <w:pgMar w:top="2376" w:right="2405" w:bottom="3542" w:left="2405" w:header="706" w:footer="3380" w:gutter="0"/>
          <w:cols w:space="720"/>
          <w:noEndnote/>
          <w:docGrid w:linePitch="326"/>
        </w:sectPr>
      </w:pPr>
    </w:p>
    <w:p>
      <w:pPr>
        <w:pStyle w:val="nHeading2"/>
      </w:pPr>
      <w:bookmarkStart w:id="14" w:name="_Toc382318523"/>
      <w:r>
        <w:t>Notes</w:t>
      </w:r>
      <w:bookmarkEnd w:id="14"/>
    </w:p>
    <w:p>
      <w:pPr>
        <w:pStyle w:val="nSubsection"/>
        <w:rPr>
          <w:snapToGrid w:val="0"/>
        </w:rPr>
      </w:pPr>
      <w:r>
        <w:rPr>
          <w:snapToGrid w:val="0"/>
          <w:vertAlign w:val="superscript"/>
        </w:rPr>
        <w:t>1</w:t>
      </w:r>
      <w:r>
        <w:rPr>
          <w:snapToGrid w:val="0"/>
        </w:rPr>
        <w:tab/>
        <w:t xml:space="preserve">This reprint is a compilation as at </w:t>
      </w:r>
      <w:r>
        <w:rPr>
          <w:snapToGrid w:val="0"/>
        </w:rPr>
        <w:fldChar w:fldCharType="begin"/>
      </w:r>
      <w:r>
        <w:rPr>
          <w:snapToGrid w:val="0"/>
        </w:rPr>
        <w:instrText xml:space="preserve"> DOCPROPERTY "ReprintedAsAt" \@ "d MMMM yyyy"  \* MERGEFORMAT </w:instrText>
      </w:r>
      <w:r>
        <w:rPr>
          <w:snapToGrid w:val="0"/>
        </w:rPr>
        <w:fldChar w:fldCharType="separate"/>
      </w:r>
      <w:r>
        <w:rPr>
          <w:snapToGrid w:val="0"/>
        </w:rPr>
        <w:t>12 July 2013</w:t>
      </w:r>
      <w:r>
        <w:rPr>
          <w:snapToGrid w:val="0"/>
        </w:rPr>
        <w:fldChar w:fldCharType="end"/>
      </w:r>
      <w:r>
        <w:rPr>
          <w:snapToGrid w:val="0"/>
        </w:rPr>
        <w:t xml:space="preserve"> of the </w:t>
      </w:r>
      <w:r>
        <w:rPr>
          <w:i/>
          <w:snapToGrid w:val="0"/>
        </w:rPr>
        <w:fldChar w:fldCharType="begin"/>
      </w:r>
      <w:r>
        <w:rPr>
          <w:i/>
          <w:snapToGrid w:val="0"/>
        </w:rPr>
        <w:instrText xml:space="preserve"> STYLEREF "Name of Act/Reg" \* CHARFORMAT </w:instrText>
      </w:r>
      <w:r>
        <w:rPr>
          <w:i/>
          <w:snapToGrid w:val="0"/>
        </w:rPr>
        <w:fldChar w:fldCharType="separate"/>
      </w:r>
      <w:r>
        <w:rPr>
          <w:i/>
          <w:noProof/>
          <w:snapToGrid w:val="0"/>
        </w:rPr>
        <w:t>Freedom of Information Regulations 1993</w:t>
      </w:r>
      <w:r>
        <w:rPr>
          <w:i/>
          <w:snapToGrid w:val="0"/>
        </w:rPr>
        <w:fldChar w:fldCharType="end"/>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15" w:name="_Toc382318524"/>
      <w:r>
        <w:rPr>
          <w:snapToGrid w:val="0"/>
        </w:rPr>
        <w:t>Compilation table</w:t>
      </w:r>
      <w:bookmarkEnd w:id="15"/>
    </w:p>
    <w:tbl>
      <w:tblPr>
        <w:tblW w:w="0" w:type="auto"/>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top w:val="single" w:sz="8" w:space="0" w:color="auto"/>
              <w:bottom w:val="single" w:sz="8" w:space="0" w:color="auto"/>
            </w:tcBorders>
            <w:shd w:val="clear" w:color="auto" w:fill="auto"/>
          </w:tcPr>
          <w:p>
            <w:pPr>
              <w:pStyle w:val="nTable"/>
              <w:spacing w:after="40"/>
              <w:rPr>
                <w:b/>
                <w:sz w:val="19"/>
              </w:rPr>
            </w:pPr>
            <w:r>
              <w:rPr>
                <w:b/>
                <w:sz w:val="19"/>
              </w:rPr>
              <w:t>Citation</w:t>
            </w:r>
          </w:p>
        </w:tc>
        <w:tc>
          <w:tcPr>
            <w:tcW w:w="1276" w:type="dxa"/>
            <w:tcBorders>
              <w:top w:val="single" w:sz="8" w:space="0" w:color="auto"/>
              <w:bottom w:val="single" w:sz="8" w:space="0" w:color="auto"/>
            </w:tcBorders>
            <w:shd w:val="clear" w:color="auto" w:fill="auto"/>
          </w:tcPr>
          <w:p>
            <w:pPr>
              <w:pStyle w:val="nTable"/>
              <w:spacing w:after="40"/>
              <w:rPr>
                <w:b/>
                <w:sz w:val="19"/>
              </w:rPr>
            </w:pPr>
            <w:r>
              <w:rPr>
                <w:b/>
                <w:sz w:val="19"/>
              </w:rPr>
              <w:t>Gazettal</w:t>
            </w:r>
          </w:p>
        </w:tc>
        <w:tc>
          <w:tcPr>
            <w:tcW w:w="2693" w:type="dxa"/>
            <w:tcBorders>
              <w:top w:val="single" w:sz="8" w:space="0" w:color="auto"/>
              <w:bottom w:val="single" w:sz="8" w:space="0" w:color="auto"/>
            </w:tcBorders>
            <w:shd w:val="clear" w:color="auto" w:fill="auto"/>
          </w:tcPr>
          <w:p>
            <w:pPr>
              <w:pStyle w:val="nTable"/>
              <w:spacing w:after="40"/>
              <w:rPr>
                <w:b/>
                <w:sz w:val="19"/>
              </w:rPr>
            </w:pPr>
            <w:r>
              <w:rPr>
                <w:b/>
                <w:sz w:val="19"/>
              </w:rPr>
              <w:t>Commencement</w:t>
            </w:r>
          </w:p>
        </w:tc>
      </w:tr>
      <w:tr>
        <w:tc>
          <w:tcPr>
            <w:tcW w:w="3118" w:type="dxa"/>
          </w:tcPr>
          <w:p>
            <w:pPr>
              <w:pStyle w:val="nTable"/>
              <w:spacing w:after="40"/>
              <w:rPr>
                <w:sz w:val="19"/>
              </w:rPr>
            </w:pPr>
            <w:r>
              <w:rPr>
                <w:i/>
                <w:sz w:val="19"/>
              </w:rPr>
              <w:t>Freedom of Information Regulations 1993</w:t>
            </w:r>
          </w:p>
        </w:tc>
        <w:tc>
          <w:tcPr>
            <w:tcW w:w="1276" w:type="dxa"/>
          </w:tcPr>
          <w:p>
            <w:pPr>
              <w:pStyle w:val="nTable"/>
              <w:spacing w:after="40"/>
              <w:rPr>
                <w:sz w:val="19"/>
              </w:rPr>
            </w:pPr>
            <w:r>
              <w:rPr>
                <w:sz w:val="19"/>
              </w:rPr>
              <w:t>22 Oct 1993 p. 5800</w:t>
            </w:r>
            <w:r>
              <w:rPr>
                <w:sz w:val="19"/>
              </w:rPr>
              <w:noBreakHyphen/>
              <w:t>2</w:t>
            </w:r>
          </w:p>
        </w:tc>
        <w:tc>
          <w:tcPr>
            <w:tcW w:w="2693" w:type="dxa"/>
          </w:tcPr>
          <w:p>
            <w:pPr>
              <w:pStyle w:val="nTable"/>
              <w:spacing w:after="40"/>
              <w:rPr>
                <w:sz w:val="19"/>
              </w:rPr>
            </w:pPr>
            <w:r>
              <w:rPr>
                <w:sz w:val="19"/>
              </w:rPr>
              <w:t>1 Nov 1993 (see r. 2 and </w:t>
            </w:r>
            <w:r>
              <w:rPr>
                <w:i/>
                <w:sz w:val="19"/>
              </w:rPr>
              <w:t>Gazette</w:t>
            </w:r>
            <w:r>
              <w:rPr>
                <w:sz w:val="19"/>
              </w:rPr>
              <w:t xml:space="preserve"> 29 Oct 1993 p. 5881)</w:t>
            </w:r>
          </w:p>
        </w:tc>
      </w:tr>
      <w:tr>
        <w:tc>
          <w:tcPr>
            <w:tcW w:w="3118" w:type="dxa"/>
          </w:tcPr>
          <w:p>
            <w:pPr>
              <w:pStyle w:val="nTable"/>
              <w:spacing w:after="40"/>
              <w:rPr>
                <w:i/>
                <w:sz w:val="19"/>
              </w:rPr>
            </w:pPr>
            <w:r>
              <w:rPr>
                <w:i/>
                <w:sz w:val="19"/>
              </w:rPr>
              <w:t>Freedom of Information Amendment Regulations 1993</w:t>
            </w:r>
          </w:p>
        </w:tc>
        <w:tc>
          <w:tcPr>
            <w:tcW w:w="1276" w:type="dxa"/>
          </w:tcPr>
          <w:p>
            <w:pPr>
              <w:pStyle w:val="nTable"/>
              <w:spacing w:after="40"/>
              <w:rPr>
                <w:sz w:val="19"/>
              </w:rPr>
            </w:pPr>
            <w:r>
              <w:rPr>
                <w:sz w:val="19"/>
              </w:rPr>
              <w:t>12 Nov 1993 p. 6202</w:t>
            </w:r>
          </w:p>
        </w:tc>
        <w:tc>
          <w:tcPr>
            <w:tcW w:w="2693" w:type="dxa"/>
          </w:tcPr>
          <w:p>
            <w:pPr>
              <w:pStyle w:val="nTable"/>
              <w:spacing w:after="40"/>
              <w:rPr>
                <w:sz w:val="19"/>
              </w:rPr>
            </w:pPr>
            <w:r>
              <w:rPr>
                <w:sz w:val="19"/>
              </w:rPr>
              <w:t>12 Nov 1993</w:t>
            </w:r>
          </w:p>
        </w:tc>
      </w:tr>
      <w:tr>
        <w:tc>
          <w:tcPr>
            <w:tcW w:w="3118" w:type="dxa"/>
          </w:tcPr>
          <w:p>
            <w:pPr>
              <w:pStyle w:val="nTable"/>
              <w:spacing w:after="40"/>
              <w:rPr>
                <w:i/>
                <w:sz w:val="19"/>
              </w:rPr>
            </w:pPr>
            <w:r>
              <w:rPr>
                <w:i/>
                <w:sz w:val="19"/>
              </w:rPr>
              <w:t>Freedom of Information Amendment Regulations 1994</w:t>
            </w:r>
          </w:p>
        </w:tc>
        <w:tc>
          <w:tcPr>
            <w:tcW w:w="1276" w:type="dxa"/>
          </w:tcPr>
          <w:p>
            <w:pPr>
              <w:pStyle w:val="nTable"/>
              <w:spacing w:after="40"/>
              <w:rPr>
                <w:sz w:val="19"/>
              </w:rPr>
            </w:pPr>
            <w:r>
              <w:rPr>
                <w:sz w:val="19"/>
              </w:rPr>
              <w:t>30 Sep 1994 p. 4982-94</w:t>
            </w:r>
          </w:p>
        </w:tc>
        <w:tc>
          <w:tcPr>
            <w:tcW w:w="2693" w:type="dxa"/>
          </w:tcPr>
          <w:p>
            <w:pPr>
              <w:pStyle w:val="nTable"/>
              <w:spacing w:after="40"/>
              <w:rPr>
                <w:sz w:val="19"/>
              </w:rPr>
            </w:pPr>
            <w:r>
              <w:rPr>
                <w:sz w:val="19"/>
              </w:rPr>
              <w:t>30 Sep 1994</w:t>
            </w:r>
          </w:p>
        </w:tc>
      </w:tr>
      <w:tr>
        <w:tc>
          <w:tcPr>
            <w:tcW w:w="3118" w:type="dxa"/>
          </w:tcPr>
          <w:p>
            <w:pPr>
              <w:pStyle w:val="nTable"/>
              <w:spacing w:after="40"/>
              <w:rPr>
                <w:i/>
                <w:sz w:val="19"/>
              </w:rPr>
            </w:pPr>
            <w:r>
              <w:rPr>
                <w:i/>
                <w:sz w:val="19"/>
              </w:rPr>
              <w:t>Freedom of Information Amendment Regulations 1996</w:t>
            </w:r>
          </w:p>
        </w:tc>
        <w:tc>
          <w:tcPr>
            <w:tcW w:w="1276" w:type="dxa"/>
          </w:tcPr>
          <w:p>
            <w:pPr>
              <w:pStyle w:val="nTable"/>
              <w:spacing w:after="40"/>
              <w:rPr>
                <w:sz w:val="19"/>
              </w:rPr>
            </w:pPr>
            <w:r>
              <w:rPr>
                <w:sz w:val="19"/>
              </w:rPr>
              <w:t>27 Sep 1996 p. 4790</w:t>
            </w:r>
            <w:r>
              <w:rPr>
                <w:sz w:val="19"/>
              </w:rPr>
              <w:noBreakHyphen/>
              <w:t>1</w:t>
            </w:r>
          </w:p>
        </w:tc>
        <w:tc>
          <w:tcPr>
            <w:tcW w:w="2693" w:type="dxa"/>
          </w:tcPr>
          <w:p>
            <w:pPr>
              <w:pStyle w:val="nTable"/>
              <w:spacing w:after="40"/>
              <w:rPr>
                <w:sz w:val="19"/>
              </w:rPr>
            </w:pPr>
            <w:r>
              <w:rPr>
                <w:sz w:val="19"/>
              </w:rPr>
              <w:t>27 Sep 1996</w:t>
            </w:r>
          </w:p>
        </w:tc>
      </w:tr>
      <w:tr>
        <w:tc>
          <w:tcPr>
            <w:tcW w:w="3118" w:type="dxa"/>
          </w:tcPr>
          <w:p>
            <w:pPr>
              <w:pStyle w:val="nTable"/>
              <w:spacing w:after="40"/>
              <w:rPr>
                <w:i/>
                <w:sz w:val="19"/>
              </w:rPr>
            </w:pPr>
            <w:r>
              <w:rPr>
                <w:i/>
                <w:sz w:val="19"/>
              </w:rPr>
              <w:t>Freedom of Information Amendment Regulations 1997</w:t>
            </w:r>
          </w:p>
        </w:tc>
        <w:tc>
          <w:tcPr>
            <w:tcW w:w="1276" w:type="dxa"/>
          </w:tcPr>
          <w:p>
            <w:pPr>
              <w:pStyle w:val="nTable"/>
              <w:spacing w:after="40"/>
              <w:rPr>
                <w:sz w:val="19"/>
              </w:rPr>
            </w:pPr>
            <w:r>
              <w:rPr>
                <w:sz w:val="19"/>
              </w:rPr>
              <w:t>2 Sep 1997 p. 4976 7</w:t>
            </w:r>
          </w:p>
        </w:tc>
        <w:tc>
          <w:tcPr>
            <w:tcW w:w="2693" w:type="dxa"/>
          </w:tcPr>
          <w:p>
            <w:pPr>
              <w:pStyle w:val="nTable"/>
              <w:spacing w:after="40"/>
              <w:rPr>
                <w:sz w:val="19"/>
              </w:rPr>
            </w:pPr>
            <w:r>
              <w:rPr>
                <w:sz w:val="19"/>
              </w:rPr>
              <w:t>2 Sep 1997</w:t>
            </w:r>
          </w:p>
        </w:tc>
      </w:tr>
      <w:tr>
        <w:tc>
          <w:tcPr>
            <w:tcW w:w="3118" w:type="dxa"/>
          </w:tcPr>
          <w:p>
            <w:pPr>
              <w:pStyle w:val="nTable"/>
              <w:spacing w:after="40"/>
              <w:rPr>
                <w:i/>
                <w:sz w:val="19"/>
              </w:rPr>
            </w:pPr>
            <w:r>
              <w:rPr>
                <w:i/>
                <w:sz w:val="19"/>
              </w:rPr>
              <w:t>Freedom of Information Amendment Regulations 2006</w:t>
            </w:r>
          </w:p>
        </w:tc>
        <w:tc>
          <w:tcPr>
            <w:tcW w:w="1276" w:type="dxa"/>
          </w:tcPr>
          <w:p>
            <w:pPr>
              <w:pStyle w:val="nTable"/>
              <w:spacing w:after="40"/>
              <w:rPr>
                <w:sz w:val="19"/>
              </w:rPr>
            </w:pPr>
            <w:r>
              <w:rPr>
                <w:sz w:val="19"/>
              </w:rPr>
              <w:t>22 Dec 2006 p. 5805-6</w:t>
            </w:r>
          </w:p>
        </w:tc>
        <w:tc>
          <w:tcPr>
            <w:tcW w:w="2693" w:type="dxa"/>
          </w:tcPr>
          <w:p>
            <w:pPr>
              <w:pStyle w:val="nTable"/>
              <w:spacing w:after="40"/>
              <w:rPr>
                <w:sz w:val="19"/>
              </w:rPr>
            </w:pPr>
            <w:r>
              <w:rPr>
                <w:sz w:val="19"/>
              </w:rPr>
              <w:t xml:space="preserve">1 Jan 2007 (see r. 2 and </w:t>
            </w:r>
            <w:r>
              <w:rPr>
                <w:i/>
                <w:sz w:val="19"/>
              </w:rPr>
              <w:t>Gazette</w:t>
            </w:r>
            <w:r>
              <w:rPr>
                <w:sz w:val="19"/>
              </w:rPr>
              <w:t xml:space="preserve"> 8 Dec 2006 p. 5369)</w:t>
            </w:r>
          </w:p>
        </w:tc>
      </w:tr>
      <w:tr>
        <w:tc>
          <w:tcPr>
            <w:tcW w:w="3118" w:type="dxa"/>
          </w:tcPr>
          <w:p>
            <w:pPr>
              <w:pStyle w:val="nTable"/>
              <w:spacing w:after="40"/>
              <w:rPr>
                <w:i/>
                <w:sz w:val="19"/>
              </w:rPr>
            </w:pPr>
            <w:r>
              <w:rPr>
                <w:i/>
                <w:sz w:val="19"/>
              </w:rPr>
              <w:t>Freedom of Information Amendment Regulations 2007</w:t>
            </w:r>
          </w:p>
        </w:tc>
        <w:tc>
          <w:tcPr>
            <w:tcW w:w="1276" w:type="dxa"/>
          </w:tcPr>
          <w:p>
            <w:pPr>
              <w:pStyle w:val="nTable"/>
              <w:spacing w:after="40"/>
              <w:rPr>
                <w:sz w:val="19"/>
              </w:rPr>
            </w:pPr>
            <w:r>
              <w:rPr>
                <w:sz w:val="19"/>
              </w:rPr>
              <w:t>28 Dec 2007 p. 6414-23</w:t>
            </w:r>
          </w:p>
        </w:tc>
        <w:tc>
          <w:tcPr>
            <w:tcW w:w="2693" w:type="dxa"/>
          </w:tcPr>
          <w:p>
            <w:pPr>
              <w:pStyle w:val="nTable"/>
              <w:spacing w:after="40"/>
              <w:rPr>
                <w:sz w:val="19"/>
              </w:rPr>
            </w:pPr>
            <w:r>
              <w:rPr>
                <w:sz w:val="19"/>
              </w:rPr>
              <w:t>28 Dec 2007 (see r. 2)</w:t>
            </w:r>
          </w:p>
        </w:tc>
      </w:tr>
      <w:tr>
        <w:trPr>
          <w:cantSplit/>
        </w:trPr>
        <w:tc>
          <w:tcPr>
            <w:tcW w:w="7087" w:type="dxa"/>
            <w:gridSpan w:val="3"/>
          </w:tcPr>
          <w:p>
            <w:pPr>
              <w:pStyle w:val="nTable"/>
              <w:tabs>
                <w:tab w:val="right" w:pos="2765"/>
                <w:tab w:val="left" w:pos="3053"/>
              </w:tabs>
              <w:spacing w:after="40"/>
              <w:ind w:left="3050" w:hanging="3050"/>
              <w:rPr>
                <w:b/>
                <w:bCs/>
                <w:i/>
                <w:sz w:val="19"/>
              </w:rPr>
            </w:pPr>
            <w:r>
              <w:rPr>
                <w:b/>
                <w:bCs/>
                <w:sz w:val="19"/>
              </w:rPr>
              <w:t xml:space="preserve">Reprint 1: The </w:t>
            </w:r>
            <w:r>
              <w:rPr>
                <w:b/>
                <w:bCs/>
                <w:i/>
                <w:sz w:val="19"/>
              </w:rPr>
              <w:t>Freedom of Information Regulations 1993</w:t>
            </w:r>
            <w:r>
              <w:rPr>
                <w:b/>
                <w:bCs/>
                <w:sz w:val="19"/>
              </w:rPr>
              <w:t xml:space="preserve"> as at 14 Mar 2008</w:t>
            </w:r>
          </w:p>
          <w:p>
            <w:pPr>
              <w:pStyle w:val="nTable"/>
              <w:tabs>
                <w:tab w:val="right" w:pos="2765"/>
                <w:tab w:val="left" w:pos="3053"/>
              </w:tabs>
              <w:spacing w:after="40"/>
              <w:ind w:left="3050" w:hanging="3050"/>
              <w:rPr>
                <w:sz w:val="19"/>
              </w:rPr>
            </w:pPr>
            <w:r>
              <w:rPr>
                <w:sz w:val="19"/>
              </w:rPr>
              <w:t>(includes amendments listed above)</w:t>
            </w:r>
          </w:p>
        </w:tc>
      </w:tr>
      <w:tr>
        <w:tc>
          <w:tcPr>
            <w:tcW w:w="3118" w:type="dxa"/>
          </w:tcPr>
          <w:p>
            <w:pPr>
              <w:pStyle w:val="nTable"/>
              <w:spacing w:after="40"/>
              <w:rPr>
                <w:rFonts w:ascii="Times" w:hAnsi="Times"/>
                <w:i/>
                <w:sz w:val="19"/>
                <w:szCs w:val="19"/>
              </w:rPr>
            </w:pPr>
            <w:r>
              <w:rPr>
                <w:rFonts w:ascii="Times" w:hAnsi="Times"/>
                <w:i/>
                <w:sz w:val="19"/>
                <w:szCs w:val="19"/>
              </w:rPr>
              <w:t>Freedom of Information Amendment Regulations (No. 2) 2012</w:t>
            </w:r>
          </w:p>
        </w:tc>
        <w:tc>
          <w:tcPr>
            <w:tcW w:w="1276" w:type="dxa"/>
          </w:tcPr>
          <w:p>
            <w:pPr>
              <w:pStyle w:val="nTable"/>
              <w:spacing w:after="40"/>
              <w:rPr>
                <w:rFonts w:ascii="Times" w:hAnsi="Times"/>
                <w:sz w:val="19"/>
                <w:szCs w:val="19"/>
              </w:rPr>
            </w:pPr>
            <w:r>
              <w:rPr>
                <w:rFonts w:ascii="Times" w:hAnsi="Times"/>
                <w:sz w:val="19"/>
                <w:szCs w:val="19"/>
              </w:rPr>
              <w:t>6 Mar 2012 p. 892-3</w:t>
            </w:r>
          </w:p>
        </w:tc>
        <w:tc>
          <w:tcPr>
            <w:tcW w:w="2693" w:type="dxa"/>
          </w:tcPr>
          <w:p>
            <w:pPr>
              <w:pStyle w:val="nTable"/>
              <w:spacing w:after="40"/>
              <w:rPr>
                <w:rFonts w:ascii="Times" w:hAnsi="Times"/>
                <w:snapToGrid w:val="0"/>
                <w:sz w:val="19"/>
                <w:szCs w:val="19"/>
              </w:rPr>
            </w:pPr>
            <w:r>
              <w:rPr>
                <w:rFonts w:ascii="Times" w:hAnsi="Times"/>
                <w:snapToGrid w:val="0"/>
                <w:sz w:val="19"/>
                <w:szCs w:val="19"/>
              </w:rPr>
              <w:t>r. 1 and 2: 6 Mar 2012 (see r. 2(a));</w:t>
            </w:r>
            <w:r>
              <w:rPr>
                <w:rFonts w:ascii="Times" w:hAnsi="Times"/>
                <w:snapToGrid w:val="0"/>
                <w:sz w:val="19"/>
                <w:szCs w:val="19"/>
              </w:rPr>
              <w:br/>
              <w:t>Regulations other than r. 1 and 2: 7 Mar 2012 (see r. 2(b))</w:t>
            </w:r>
          </w:p>
        </w:tc>
      </w:tr>
      <w:tr>
        <w:tc>
          <w:tcPr>
            <w:tcW w:w="3118" w:type="dxa"/>
          </w:tcPr>
          <w:p>
            <w:pPr>
              <w:pStyle w:val="nTable"/>
              <w:spacing w:after="40"/>
              <w:rPr>
                <w:rFonts w:ascii="Times" w:hAnsi="Times"/>
                <w:i/>
                <w:sz w:val="19"/>
                <w:szCs w:val="19"/>
              </w:rPr>
            </w:pPr>
            <w:r>
              <w:rPr>
                <w:rFonts w:ascii="Times" w:hAnsi="Times"/>
                <w:i/>
                <w:sz w:val="19"/>
                <w:szCs w:val="19"/>
              </w:rPr>
              <w:t>Freedom of Information Amendment Regulations 2012</w:t>
            </w:r>
          </w:p>
        </w:tc>
        <w:tc>
          <w:tcPr>
            <w:tcW w:w="1276" w:type="dxa"/>
          </w:tcPr>
          <w:p>
            <w:pPr>
              <w:pStyle w:val="nTable"/>
              <w:spacing w:after="40"/>
              <w:rPr>
                <w:rFonts w:ascii="Times" w:hAnsi="Times"/>
                <w:sz w:val="19"/>
                <w:szCs w:val="19"/>
              </w:rPr>
            </w:pPr>
            <w:r>
              <w:rPr>
                <w:rFonts w:ascii="Times" w:hAnsi="Times"/>
                <w:sz w:val="19"/>
                <w:szCs w:val="19"/>
              </w:rPr>
              <w:t>6 Mar 2012 p. 896</w:t>
            </w:r>
          </w:p>
        </w:tc>
        <w:tc>
          <w:tcPr>
            <w:tcW w:w="2693" w:type="dxa"/>
          </w:tcPr>
          <w:p>
            <w:pPr>
              <w:pStyle w:val="nTable"/>
              <w:spacing w:after="40"/>
              <w:rPr>
                <w:rFonts w:ascii="Times" w:hAnsi="Times"/>
                <w:snapToGrid w:val="0"/>
                <w:sz w:val="19"/>
                <w:szCs w:val="19"/>
              </w:rPr>
            </w:pPr>
            <w:r>
              <w:rPr>
                <w:rFonts w:ascii="Times" w:hAnsi="Times"/>
                <w:snapToGrid w:val="0"/>
                <w:sz w:val="19"/>
                <w:szCs w:val="19"/>
              </w:rPr>
              <w:t>r. 1 and 2: 6 Mar 2012</w:t>
            </w:r>
            <w:r>
              <w:rPr>
                <w:rFonts w:ascii="Times" w:hAnsi="Times"/>
                <w:snapToGrid w:val="0"/>
                <w:sz w:val="19"/>
                <w:szCs w:val="19"/>
              </w:rPr>
              <w:br/>
              <w:t>(see r. 2(a));</w:t>
            </w:r>
            <w:r>
              <w:rPr>
                <w:rFonts w:ascii="Times" w:hAnsi="Times"/>
                <w:snapToGrid w:val="0"/>
                <w:sz w:val="19"/>
                <w:szCs w:val="19"/>
              </w:rPr>
              <w:br/>
              <w:t>Regulations other than r. 1 and 2: 7 Mar 2012 (see r. 2(b))</w:t>
            </w:r>
          </w:p>
        </w:tc>
      </w:tr>
      <w:tr>
        <w:tc>
          <w:tcPr>
            <w:tcW w:w="3118" w:type="dxa"/>
          </w:tcPr>
          <w:p>
            <w:pPr>
              <w:pStyle w:val="nTable"/>
              <w:spacing w:after="40"/>
              <w:rPr>
                <w:rFonts w:ascii="Times" w:hAnsi="Times"/>
                <w:i/>
                <w:sz w:val="19"/>
                <w:szCs w:val="19"/>
              </w:rPr>
            </w:pPr>
            <w:r>
              <w:rPr>
                <w:rFonts w:ascii="Times" w:hAnsi="Times"/>
                <w:i/>
                <w:sz w:val="19"/>
                <w:szCs w:val="19"/>
              </w:rPr>
              <w:t>Freedom of Information Amendment Regulations (No. 3) 2012</w:t>
            </w:r>
          </w:p>
        </w:tc>
        <w:tc>
          <w:tcPr>
            <w:tcW w:w="1276" w:type="dxa"/>
          </w:tcPr>
          <w:p>
            <w:pPr>
              <w:pStyle w:val="nTable"/>
              <w:spacing w:after="40"/>
              <w:rPr>
                <w:rFonts w:ascii="Times" w:hAnsi="Times"/>
                <w:sz w:val="19"/>
                <w:szCs w:val="19"/>
              </w:rPr>
            </w:pPr>
            <w:r>
              <w:rPr>
                <w:rFonts w:ascii="Times" w:hAnsi="Times"/>
                <w:sz w:val="19"/>
                <w:szCs w:val="19"/>
              </w:rPr>
              <w:t>7 Dec 2012 p. 5993</w:t>
            </w:r>
          </w:p>
        </w:tc>
        <w:tc>
          <w:tcPr>
            <w:tcW w:w="2693" w:type="dxa"/>
          </w:tcPr>
          <w:p>
            <w:pPr>
              <w:pStyle w:val="nTable"/>
              <w:spacing w:after="40"/>
              <w:rPr>
                <w:rFonts w:ascii="Times" w:hAnsi="Times"/>
                <w:sz w:val="19"/>
                <w:szCs w:val="19"/>
              </w:rPr>
            </w:pPr>
            <w:r>
              <w:rPr>
                <w:rFonts w:ascii="Times" w:hAnsi="Times"/>
                <w:snapToGrid w:val="0"/>
                <w:sz w:val="19"/>
                <w:szCs w:val="19"/>
              </w:rPr>
              <w:t>r. 1 and 2: 7 Dec 2012 (see r. 2(a));</w:t>
            </w:r>
            <w:r>
              <w:rPr>
                <w:rFonts w:ascii="Times" w:hAnsi="Times"/>
                <w:snapToGrid w:val="0"/>
                <w:sz w:val="19"/>
                <w:szCs w:val="19"/>
              </w:rPr>
              <w:br/>
              <w:t xml:space="preserve">Regulations other than r. 1 and 2: 7 Dec 2012 (see r. 2(b) and </w:t>
            </w:r>
            <w:r>
              <w:rPr>
                <w:rFonts w:ascii="Times" w:hAnsi="Times"/>
                <w:i/>
                <w:snapToGrid w:val="0"/>
                <w:sz w:val="19"/>
                <w:szCs w:val="19"/>
              </w:rPr>
              <w:t>Gazette</w:t>
            </w:r>
            <w:r>
              <w:rPr>
                <w:rFonts w:ascii="Times" w:hAnsi="Times"/>
                <w:snapToGrid w:val="0"/>
                <w:sz w:val="19"/>
                <w:szCs w:val="19"/>
              </w:rPr>
              <w:t xml:space="preserve"> 16 Nov 2012 p. 5637)</w:t>
            </w:r>
          </w:p>
        </w:tc>
      </w:tr>
      <w:tr>
        <w:trPr>
          <w:cantSplit/>
        </w:trPr>
        <w:tc>
          <w:tcPr>
            <w:tcW w:w="3118" w:type="dxa"/>
          </w:tcPr>
          <w:p>
            <w:pPr>
              <w:pStyle w:val="nTable"/>
              <w:spacing w:after="40"/>
              <w:rPr>
                <w:rFonts w:ascii="Times" w:hAnsi="Times"/>
                <w:i/>
                <w:sz w:val="19"/>
                <w:szCs w:val="19"/>
                <w:highlight w:val="green"/>
              </w:rPr>
            </w:pPr>
            <w:bookmarkStart w:id="16" w:name="RuleErr_8"/>
            <w:r>
              <w:rPr>
                <w:rFonts w:ascii="Times" w:hAnsi="Times"/>
                <w:i/>
                <w:sz w:val="19"/>
                <w:szCs w:val="19"/>
              </w:rPr>
              <w:t>Freedom of Information Amendment Regulations 2013</w:t>
            </w:r>
            <w:bookmarkEnd w:id="16"/>
          </w:p>
        </w:tc>
        <w:tc>
          <w:tcPr>
            <w:tcW w:w="1276" w:type="dxa"/>
          </w:tcPr>
          <w:p>
            <w:pPr>
              <w:pStyle w:val="nTable"/>
              <w:keepNext/>
              <w:spacing w:after="40"/>
              <w:rPr>
                <w:rFonts w:ascii="Times" w:hAnsi="Times"/>
                <w:sz w:val="19"/>
                <w:szCs w:val="19"/>
              </w:rPr>
            </w:pPr>
            <w:r>
              <w:rPr>
                <w:sz w:val="19"/>
              </w:rPr>
              <w:t>5 Feb 2013 p. 836</w:t>
            </w:r>
            <w:r>
              <w:rPr>
                <w:sz w:val="19"/>
              </w:rPr>
              <w:noBreakHyphen/>
              <w:t>7</w:t>
            </w:r>
          </w:p>
        </w:tc>
        <w:tc>
          <w:tcPr>
            <w:tcW w:w="2693" w:type="dxa"/>
          </w:tcPr>
          <w:p>
            <w:pPr>
              <w:pStyle w:val="nTable"/>
              <w:keepNext/>
              <w:spacing w:after="40"/>
              <w:rPr>
                <w:rFonts w:ascii="Times" w:hAnsi="Times"/>
                <w:i/>
                <w:snapToGrid w:val="0"/>
                <w:sz w:val="19"/>
                <w:szCs w:val="19"/>
              </w:rPr>
            </w:pPr>
            <w:r>
              <w:rPr>
                <w:rFonts w:ascii="Times" w:hAnsi="Times"/>
                <w:snapToGrid w:val="0"/>
                <w:sz w:val="19"/>
                <w:szCs w:val="19"/>
              </w:rPr>
              <w:t>r. 1 and 2: 5 Feb 2013 (see r. 2(a));</w:t>
            </w:r>
            <w:r>
              <w:rPr>
                <w:rFonts w:ascii="Times" w:hAnsi="Times"/>
                <w:snapToGrid w:val="0"/>
                <w:sz w:val="19"/>
                <w:szCs w:val="19"/>
              </w:rPr>
              <w:br/>
              <w:t xml:space="preserve">Regulations other than r. 1 and 2: </w:t>
            </w:r>
            <w:r>
              <w:rPr>
                <w:sz w:val="19"/>
              </w:rPr>
              <w:t xml:space="preserve">1 May 2013 (see r. 2(b)(i) and </w:t>
            </w:r>
            <w:r>
              <w:rPr>
                <w:i/>
                <w:sz w:val="19"/>
              </w:rPr>
              <w:t>Gazette</w:t>
            </w:r>
            <w:r>
              <w:rPr>
                <w:sz w:val="19"/>
              </w:rPr>
              <w:t xml:space="preserve"> 5 Feb 2013 p. 823)</w:t>
            </w:r>
          </w:p>
        </w:tc>
      </w:tr>
      <w:tr>
        <w:tc>
          <w:tcPr>
            <w:tcW w:w="7087" w:type="dxa"/>
            <w:gridSpan w:val="3"/>
            <w:tcBorders>
              <w:bottom w:val="single" w:sz="8" w:space="0" w:color="auto"/>
            </w:tcBorders>
            <w:shd w:val="clear" w:color="auto" w:fill="auto"/>
          </w:tcPr>
          <w:p>
            <w:pPr>
              <w:pStyle w:val="nTable"/>
              <w:keepNext/>
              <w:spacing w:after="40"/>
              <w:rPr>
                <w:rFonts w:ascii="Times" w:hAnsi="Times"/>
                <w:snapToGrid w:val="0"/>
                <w:sz w:val="19"/>
                <w:szCs w:val="19"/>
              </w:rPr>
            </w:pPr>
            <w:r>
              <w:rPr>
                <w:rFonts w:ascii="Times" w:hAnsi="Times"/>
                <w:b/>
                <w:snapToGrid w:val="0"/>
                <w:sz w:val="19"/>
                <w:szCs w:val="19"/>
              </w:rPr>
              <w:t xml:space="preserve">Reprint 2:  The </w:t>
            </w:r>
            <w:r>
              <w:rPr>
                <w:rFonts w:ascii="Times" w:hAnsi="Times"/>
                <w:b/>
                <w:i/>
                <w:snapToGrid w:val="0"/>
                <w:sz w:val="19"/>
                <w:szCs w:val="19"/>
              </w:rPr>
              <w:t>Freedom of Information Regulations 1993</w:t>
            </w:r>
            <w:r>
              <w:rPr>
                <w:rFonts w:ascii="Times" w:hAnsi="Times"/>
                <w:b/>
                <w:snapToGrid w:val="0"/>
                <w:sz w:val="19"/>
                <w:szCs w:val="19"/>
              </w:rPr>
              <w:t xml:space="preserve"> as at 12 Jul 2013</w:t>
            </w:r>
            <w:r>
              <w:rPr>
                <w:rFonts w:ascii="Times" w:hAnsi="Times"/>
                <w:snapToGrid w:val="0"/>
                <w:sz w:val="19"/>
                <w:szCs w:val="19"/>
              </w:rPr>
              <w:t xml:space="preserve"> </w:t>
            </w:r>
            <w:r>
              <w:rPr>
                <w:rFonts w:ascii="Times" w:hAnsi="Times"/>
                <w:snapToGrid w:val="0"/>
                <w:sz w:val="19"/>
                <w:szCs w:val="19"/>
              </w:rPr>
              <w:br/>
              <w:t>(includes amendments listed above)</w:t>
            </w:r>
          </w:p>
        </w:tc>
      </w:tr>
    </w:tbl>
    <w:p>
      <w:pPr>
        <w:pStyle w:val="nSubsection"/>
        <w:spacing w:before="160"/>
      </w:pPr>
      <w:r>
        <w:rPr>
          <w:vertAlign w:val="superscript"/>
        </w:rPr>
        <w:t>2</w:t>
      </w:r>
      <w:r>
        <w:rPr>
          <w:vertAlign w:val="superscript"/>
        </w:rPr>
        <w:tab/>
      </w:r>
      <w:r>
        <w:rPr>
          <w:snapToGrid w:val="0"/>
        </w:rPr>
        <w:t xml:space="preserve">Under the </w:t>
      </w:r>
      <w:r>
        <w:rPr>
          <w:i/>
          <w:iCs/>
          <w:snapToGrid w:val="0"/>
        </w:rPr>
        <w:t xml:space="preserve">Public Sector Management Act 1994 </w:t>
      </w:r>
      <w:r>
        <w:rPr>
          <w:snapToGrid w:val="0"/>
        </w:rPr>
        <w:t xml:space="preserve">the designations of departments can be altered.  </w:t>
      </w:r>
      <w:r>
        <w:t>At the time of this reprint the designation of the Department for Child Protection has been altered to the Department for Child Protection and Family Support.</w:t>
      </w:r>
    </w:p>
    <w:p>
      <w:pPr>
        <w:pStyle w:val="nSubsection"/>
      </w:pPr>
      <w:r>
        <w:rPr>
          <w:vertAlign w:val="superscript"/>
        </w:rPr>
        <w:t>3</w:t>
      </w:r>
      <w:r>
        <w:rPr>
          <w:vertAlign w:val="superscript"/>
        </w:rPr>
        <w:tab/>
      </w:r>
      <w:r>
        <w:t xml:space="preserve">Under the </w:t>
      </w:r>
      <w:r>
        <w:rPr>
          <w:i/>
        </w:rPr>
        <w:t>Alteration of Statutory Designations Order (No. 4) 2013</w:t>
      </w:r>
      <w:r>
        <w:t xml:space="preserve"> a reference in any law to the Department for Communities is to be read and construed as a reference to the Department of Local Government and Communities unless the context of the reference requires otherwise. </w:t>
      </w:r>
    </w:p>
    <w:p>
      <w:pPr>
        <w:pStyle w:val="nSubsection"/>
      </w:pPr>
      <w:r>
        <w:rPr>
          <w:vertAlign w:val="superscript"/>
        </w:rPr>
        <w:t>4</w:t>
      </w:r>
      <w:r>
        <w:rPr>
          <w:vertAlign w:val="superscript"/>
        </w:rPr>
        <w:tab/>
      </w:r>
      <w:r>
        <w:t xml:space="preserve">Under the </w:t>
      </w:r>
      <w:r>
        <w:rPr>
          <w:i/>
        </w:rPr>
        <w:t>Alteration of Statutory Designations (DPI) Order 2009</w:t>
      </w:r>
      <w:r>
        <w:t xml:space="preserve"> (as amended by the </w:t>
      </w:r>
      <w:r>
        <w:rPr>
          <w:i/>
        </w:rPr>
        <w:t>Alteration of Statutory Designations Order (No. 3) 2013</w:t>
      </w:r>
      <w:r>
        <w:t xml:space="preserve">) a reference in any law to the Department for Planning and Infrastructure is to be read and construed, according to the function, office or other matter to which the reference relates, as a reference to the Department of Planning, Department of Transport, Department of Lands or Department of Regional Development, unless the context of the reference requires otherwise. </w:t>
      </w:r>
    </w:p>
    <w:p>
      <w:pPr>
        <w:pStyle w:val="nSubsection"/>
      </w:pPr>
      <w:r>
        <w:rPr>
          <w:snapToGrid w:val="0"/>
          <w:vertAlign w:val="superscript"/>
        </w:rPr>
        <w:t>5</w:t>
      </w:r>
      <w:r>
        <w:rPr>
          <w:snapToGrid w:val="0"/>
        </w:rPr>
        <w:tab/>
        <w:t xml:space="preserve">Under the </w:t>
      </w:r>
      <w:r>
        <w:rPr>
          <w:i/>
          <w:iCs/>
          <w:snapToGrid w:val="0"/>
        </w:rPr>
        <w:t xml:space="preserve">Public Sector Management Act 1994 </w:t>
      </w:r>
      <w:r>
        <w:rPr>
          <w:snapToGrid w:val="0"/>
        </w:rPr>
        <w:t xml:space="preserve">the designations of departments can be altered.  </w:t>
      </w:r>
      <w:r>
        <w:t xml:space="preserve">At the time of this reprint the designation of the Department of Consumer and Employment Protection has been altered to the Department of Commerce (see </w:t>
      </w:r>
      <w:r>
        <w:rPr>
          <w:i/>
          <w:iCs/>
        </w:rPr>
        <w:t>Gazette</w:t>
      </w:r>
      <w:r>
        <w:t xml:space="preserve"> 2 Jan 2009 p. 8).</w:t>
      </w:r>
    </w:p>
    <w:p>
      <w:pPr>
        <w:pStyle w:val="nSubsection"/>
        <w:rPr>
          <w:snapToGrid w:val="0"/>
        </w:rPr>
      </w:pPr>
      <w:r>
        <w:rPr>
          <w:vertAlign w:val="superscript"/>
        </w:rPr>
        <w:t>6</w:t>
      </w:r>
      <w:r>
        <w:rPr>
          <w:vertAlign w:val="superscript"/>
        </w:rPr>
        <w:tab/>
      </w:r>
      <w:r>
        <w:t xml:space="preserve">Under the </w:t>
      </w:r>
      <w:r>
        <w:rPr>
          <w:i/>
        </w:rPr>
        <w:t xml:space="preserve">Alteration of Statutory Designations Order (No. 2) 2013 </w:t>
      </w:r>
      <w:r>
        <w:t>a reference in any law to the Department of Environment and Conservation is to be read and construed as a reference to the Department of Parks and Wildlife unless the context of the reference requires otherwise.</w:t>
      </w:r>
    </w:p>
    <w:p>
      <w:pPr>
        <w:pStyle w:val="nSubsection"/>
        <w:rPr>
          <w:snapToGrid w:val="0"/>
        </w:rPr>
      </w:pPr>
      <w:r>
        <w:rPr>
          <w:snapToGrid w:val="0"/>
          <w:vertAlign w:val="superscript"/>
        </w:rPr>
        <w:t>7</w:t>
      </w:r>
      <w:r>
        <w:rPr>
          <w:snapToGrid w:val="0"/>
        </w:rPr>
        <w:tab/>
        <w:t xml:space="preserve">Under the </w:t>
      </w:r>
      <w:r>
        <w:rPr>
          <w:i/>
          <w:iCs/>
          <w:snapToGrid w:val="0"/>
        </w:rPr>
        <w:t xml:space="preserve">Public Sector Management Act 1994 </w:t>
      </w:r>
      <w:r>
        <w:rPr>
          <w:snapToGrid w:val="0"/>
        </w:rPr>
        <w:t xml:space="preserve">the designations of departments can be altered.  </w:t>
      </w:r>
      <w:r>
        <w:t>At the time of this reprint the designation of the Department of Housing and Works has been altered to the Department of Housing.</w:t>
      </w:r>
    </w:p>
    <w:p>
      <w:pPr>
        <w:pStyle w:val="nSubsection"/>
        <w:rPr>
          <w:snapToGrid w:val="0"/>
        </w:rPr>
      </w:pPr>
      <w:r>
        <w:rPr>
          <w:snapToGrid w:val="0"/>
          <w:vertAlign w:val="superscript"/>
        </w:rPr>
        <w:t>8</w:t>
      </w:r>
      <w:r>
        <w:rPr>
          <w:snapToGrid w:val="0"/>
        </w:rPr>
        <w:tab/>
        <w:t xml:space="preserve">Under the </w:t>
      </w:r>
      <w:r>
        <w:rPr>
          <w:i/>
          <w:iCs/>
          <w:snapToGrid w:val="0"/>
        </w:rPr>
        <w:t xml:space="preserve">Public Sector Management Act 1994 </w:t>
      </w:r>
      <w:r>
        <w:rPr>
          <w:snapToGrid w:val="0"/>
        </w:rPr>
        <w:t xml:space="preserve">the designations of departments can be altered.  </w:t>
      </w:r>
      <w:r>
        <w:t>At the time of this reprint the designation of the Department of Indigenous Affairs has been altered to the Department of Aboriginal Affairs.</w:t>
      </w:r>
    </w:p>
    <w:p>
      <w:pPr>
        <w:pStyle w:val="nSubsection"/>
      </w:pPr>
      <w:r>
        <w:rPr>
          <w:snapToGrid w:val="0"/>
          <w:vertAlign w:val="superscript"/>
        </w:rPr>
        <w:t>9</w:t>
      </w:r>
      <w:r>
        <w:rPr>
          <w:snapToGrid w:val="0"/>
        </w:rPr>
        <w:tab/>
        <w:t xml:space="preserve">Under the </w:t>
      </w:r>
      <w:r>
        <w:rPr>
          <w:i/>
          <w:iCs/>
          <w:snapToGrid w:val="0"/>
        </w:rPr>
        <w:t xml:space="preserve">Public Sector Management Act 1994 </w:t>
      </w:r>
      <w:r>
        <w:rPr>
          <w:snapToGrid w:val="0"/>
        </w:rPr>
        <w:t xml:space="preserve">the designations of departments can be altered.  </w:t>
      </w:r>
      <w:r>
        <w:t xml:space="preserve">At the time of this reprint the designation of the Department of Industry and Resources has been altered to the Department of Mines and Petroleum (see </w:t>
      </w:r>
      <w:r>
        <w:rPr>
          <w:i/>
          <w:iCs/>
        </w:rPr>
        <w:t xml:space="preserve">Gazette </w:t>
      </w:r>
      <w:r>
        <w:t>2 Jan 2009 p. 8).</w:t>
      </w:r>
    </w:p>
    <w:p>
      <w:pPr>
        <w:pStyle w:val="nSubsection"/>
        <w:keepLines/>
      </w:pPr>
      <w:r>
        <w:rPr>
          <w:vertAlign w:val="superscript"/>
        </w:rPr>
        <w:t>10</w:t>
      </w:r>
      <w:r>
        <w:rPr>
          <w:vertAlign w:val="superscript"/>
        </w:rPr>
        <w:tab/>
      </w:r>
      <w:r>
        <w:t xml:space="preserve">Under the </w:t>
      </w:r>
      <w:r>
        <w:rPr>
          <w:i/>
        </w:rPr>
        <w:t xml:space="preserve">Alteration of Statutory Designations Order (No. 4) 2013 </w:t>
      </w:r>
      <w:r>
        <w:t>a reference in any law to the Department of Local Government and Regional Development is to be read and construed as a reference to the Department of Local Government and Communities unless the context of the reference requires otherwise.</w:t>
      </w:r>
    </w:p>
    <w:p>
      <w:pPr>
        <w:pStyle w:val="nSubsection"/>
      </w:pPr>
      <w:r>
        <w:rPr>
          <w:snapToGrid w:val="0"/>
          <w:vertAlign w:val="superscript"/>
        </w:rPr>
        <w:t>11</w:t>
      </w:r>
      <w:r>
        <w:rPr>
          <w:snapToGrid w:val="0"/>
        </w:rPr>
        <w:tab/>
        <w:t xml:space="preserve">Under the </w:t>
      </w:r>
      <w:r>
        <w:rPr>
          <w:i/>
          <w:iCs/>
          <w:snapToGrid w:val="0"/>
        </w:rPr>
        <w:t xml:space="preserve">Public Sector Management Act 1994 </w:t>
      </w:r>
      <w:r>
        <w:rPr>
          <w:snapToGrid w:val="0"/>
        </w:rPr>
        <w:t xml:space="preserve">the designations of departments can be altered.  The </w:t>
      </w:r>
      <w:r>
        <w:t xml:space="preserve">designation of the Department of Treasury and Finance was altered to the Department of the Treasury with effect from 1 Jul 2011. The Department of Finance was established with effect from 1 Jul 2011 (see </w:t>
      </w:r>
      <w:r>
        <w:rPr>
          <w:i/>
        </w:rPr>
        <w:t>Gazette</w:t>
      </w:r>
      <w:r>
        <w:t xml:space="preserve"> 25 Mar 2011 p. 1110).</w:t>
      </w:r>
    </w:p>
    <w:p>
      <w:pPr>
        <w:pStyle w:val="nSubsection"/>
        <w:sectPr>
          <w:headerReference w:type="even" r:id="rId34"/>
          <w:headerReference w:type="default" r:id="rId35"/>
          <w:headerReference w:type="first" r:id="rId36"/>
          <w:pgSz w:w="11906" w:h="16838" w:code="9"/>
          <w:pgMar w:top="2376" w:right="2404" w:bottom="3544" w:left="2404" w:header="720" w:footer="3380" w:gutter="0"/>
          <w:cols w:space="720"/>
          <w:noEndnote/>
          <w:docGrid w:linePitch="326"/>
        </w:sectPr>
      </w:pPr>
      <w:r>
        <w:rPr>
          <w:vertAlign w:val="superscript"/>
        </w:rPr>
        <w:t>12</w:t>
      </w:r>
      <w:r>
        <w:rPr>
          <w:vertAlign w:val="superscript"/>
        </w:rPr>
        <w:tab/>
      </w:r>
      <w:r>
        <w:t xml:space="preserve">Under the </w:t>
      </w:r>
      <w:r>
        <w:rPr>
          <w:i/>
        </w:rPr>
        <w:t xml:space="preserve">Alteration of Statutory Designations Order 2012 </w:t>
      </w:r>
      <w:r>
        <w:t>a reference in any law to the Office of Energy is to be read and construed as a reference to the Department of Finance unless the context of the reference requires otherwise.</w:t>
      </w:r>
    </w:p>
    <w:p>
      <w:pPr>
        <w:pStyle w:val="nHeading2"/>
        <w:rPr>
          <w:sz w:val="28"/>
        </w:rPr>
      </w:pPr>
      <w:bookmarkStart w:id="17" w:name="_Toc382318525"/>
      <w:r>
        <w:rPr>
          <w:sz w:val="28"/>
        </w:rPr>
        <w:t>Defined terms</w:t>
      </w:r>
      <w:bookmarkEnd w:id="17"/>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bookmarkStart w:id="18" w:name="DefinedTerms"/>
      <w:bookmarkEnd w:id="18"/>
      <w:r>
        <w:t>non</w:t>
      </w:r>
      <w:r>
        <w:noBreakHyphen/>
        <w:t>personal information</w:t>
      </w:r>
      <w:r>
        <w:tab/>
        <w:t>2A</w:t>
      </w:r>
    </w:p>
    <w:p>
      <w:pPr>
        <w:pStyle w:val="DefinedTerms"/>
      </w:pPr>
      <w:r>
        <w:t>suitably qualified person</w:t>
      </w:r>
      <w:r>
        <w:tab/>
        <w:t>7</w:t>
      </w:r>
    </w:p>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p>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sectPr>
          <w:headerReference w:type="even" r:id="rId37"/>
          <w:headerReference w:type="default" r:id="rId38"/>
          <w:footerReference w:type="even" r:id="rId39"/>
          <w:footerReference w:type="default" r:id="rId40"/>
          <w:headerReference w:type="first" r:id="rId41"/>
          <w:pgSz w:w="11906" w:h="16838" w:code="9"/>
          <w:pgMar w:top="2376" w:right="2404" w:bottom="3544" w:left="2404" w:header="720" w:footer="3380" w:gutter="0"/>
          <w:cols w:space="720"/>
          <w:noEndnote/>
          <w:docGrid w:linePitch="326"/>
        </w:sectPr>
      </w:pPr>
    </w:p>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p>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p>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p>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p>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p>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p>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p>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p>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p>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p>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p>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p>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p>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p>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p>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p>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p>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p>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p>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p>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p>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p>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p>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p>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p>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p>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p>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p>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p>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p>
    <w:p>
      <w:pPr>
        <w:pBdr>
          <w:top w:val="double" w:sz="4" w:space="0" w:color="auto"/>
        </w:pBd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center"/>
        <w:rPr>
          <w:rFonts w:ascii="Arial" w:hAnsi="Arial" w:cs="Arial"/>
          <w:sz w:val="12"/>
        </w:rPr>
      </w:pPr>
      <w:r>
        <w:rPr>
          <w:rFonts w:ascii="Arial" w:hAnsi="Arial" w:cs="Arial"/>
          <w:sz w:val="12"/>
        </w:rPr>
        <w:t>By Authority: JOHN A. STRIJK, Government Printer</w:t>
      </w:r>
    </w:p>
    <w:sectPr>
      <w:headerReference w:type="even" r:id="rId42"/>
      <w:headerReference w:type="default" r:id="rId43"/>
      <w:type w:val="continuous"/>
      <w:pgSz w:w="11906" w:h="16838" w:code="9"/>
      <w:pgMar w:top="2381" w:right="2410" w:bottom="2977" w:left="2410" w:header="720" w:footer="3380" w:gutter="0"/>
      <w:paperSrc w:first="15" w:other="15"/>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PageLeft"/>
      <w:tabs>
        <w:tab w:val="right" w:pos="7088"/>
      </w:tabs>
    </w:pPr>
    <w:r>
      <w:t xml:space="preserve">page </w:t>
    </w:r>
    <w:r>
      <w:rPr>
        <w:rStyle w:val="CharPageNo"/>
      </w:rPr>
      <w:fldChar w:fldCharType="begin"/>
    </w:r>
    <w:r>
      <w:rPr>
        <w:rStyle w:val="CharPageNo"/>
      </w:rPr>
      <w:instrText xml:space="preserve"> PAGE </w:instrText>
    </w:r>
    <w:r>
      <w:rPr>
        <w:rStyle w:val="CharPageNo"/>
      </w:rPr>
      <w:fldChar w:fldCharType="separate"/>
    </w:r>
    <w:r>
      <w:rPr>
        <w:rStyle w:val="CharPageNo"/>
        <w:noProof/>
      </w:rPr>
      <w:t>i</w:t>
    </w:r>
    <w:r>
      <w:rPr>
        <w:rStyle w:val="CharPageNo"/>
      </w:rPr>
      <w:fldChar w:fldCharType="end"/>
    </w:r>
    <w:r>
      <w:rPr>
        <w:rStyle w:val="CharPageNo"/>
      </w:rPr>
      <w:tab/>
    </w:r>
    <w:r>
      <w:t xml:space="preserve">Reprint </w:t>
    </w:r>
    <w:fldSimple w:instr=" DOCPROPERTY &quot;ReprintNo&quot; ">
      <w:r>
        <w:t>2</w:t>
      </w:r>
    </w:fldSimple>
  </w:p>
  <w:p>
    <w:pPr>
      <w:pStyle w:val="FooterPageLeft"/>
      <w:tabs>
        <w:tab w:val="right" w:pos="7088"/>
      </w:tabs>
      <w:rPr>
        <w:rFonts w:ascii="Times New Roman" w:hAnsi="Times New Roman"/>
        <w:sz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
      <w:pBdr>
        <w:top w:val="single" w:sz="4" w:space="1" w:color="auto"/>
      </w:pBdr>
      <w:tabs>
        <w:tab w:val="clear" w:pos="4153"/>
        <w:tab w:val="clear" w:pos="8306"/>
        <w:tab w:val="right" w:pos="7088"/>
      </w:tabs>
      <w:spacing w:line="240" w:lineRule="auto"/>
      <w:rPr>
        <w:rStyle w:val="PageNumber"/>
      </w:rPr>
    </w:pPr>
    <w:r>
      <w:rPr>
        <w:sz w:val="20"/>
      </w:rPr>
      <w:t xml:space="preserve">Reprint </w:t>
    </w:r>
    <w:r>
      <w:rPr>
        <w:sz w:val="20"/>
      </w:rPr>
      <w:fldChar w:fldCharType="begin"/>
    </w:r>
    <w:r>
      <w:rPr>
        <w:sz w:val="20"/>
      </w:rPr>
      <w:instrText xml:space="preserve"> DOCPROPERTY "ReprintNo" </w:instrText>
    </w:r>
    <w:r>
      <w:rPr>
        <w:sz w:val="20"/>
      </w:rPr>
      <w:fldChar w:fldCharType="separate"/>
    </w:r>
    <w:r>
      <w:rPr>
        <w:sz w:val="20"/>
      </w:rPr>
      <w:t>2</w:t>
    </w:r>
    <w:r>
      <w:rPr>
        <w:sz w:val="20"/>
      </w:rPr>
      <w:fldChar w:fldCharType="end"/>
    </w:r>
    <w:r>
      <w:rPr>
        <w:sz w:val="20"/>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p>
    <w:pPr>
      <w:pStyle w:val="Footer"/>
      <w:pBdr>
        <w:top w:val="single" w:sz="4" w:space="1" w:color="auto"/>
      </w:pBdr>
      <w:tabs>
        <w:tab w:val="clear" w:pos="4153"/>
        <w:tab w:val="clear" w:pos="8306"/>
        <w:tab w:val="right" w:pos="7088"/>
      </w:tabs>
      <w:spacing w:line="240" w:lineRule="auto"/>
      <w:rPr>
        <w:rFonts w:ascii="Times New Roman" w:hAnsi="Times New Roman"/>
        <w:sz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
      <w:pBdr>
        <w:top w:val="single" w:sz="4" w:space="1" w:color="auto"/>
      </w:pBdr>
      <w:tabs>
        <w:tab w:val="clear" w:pos="4153"/>
        <w:tab w:val="clear" w:pos="8306"/>
        <w:tab w:val="right" w:pos="7088"/>
      </w:tabs>
      <w:spacing w:line="240" w:lineRule="auto"/>
      <w:rPr>
        <w:rStyle w:val="PageNumber"/>
      </w:rPr>
    </w:pPr>
    <w:r>
      <w:rPr>
        <w:sz w:val="20"/>
      </w:rPr>
      <w:t xml:space="preserve">Reprint </w:t>
    </w:r>
    <w:r>
      <w:rPr>
        <w:sz w:val="20"/>
      </w:rPr>
      <w:fldChar w:fldCharType="begin"/>
    </w:r>
    <w:r>
      <w:rPr>
        <w:sz w:val="20"/>
      </w:rPr>
      <w:instrText xml:space="preserve"> DOCPROPERTY "ReprintNo"</w:instrText>
    </w:r>
    <w:r>
      <w:rPr>
        <w:sz w:val="20"/>
      </w:rPr>
      <w:fldChar w:fldCharType="separate"/>
    </w:r>
    <w:r>
      <w:rPr>
        <w:sz w:val="20"/>
      </w:rPr>
      <w:t>2</w:t>
    </w:r>
    <w:r>
      <w:rPr>
        <w:sz w:val="20"/>
      </w:rPr>
      <w:fldChar w:fldCharType="end"/>
    </w:r>
    <w:r>
      <w:rPr>
        <w:sz w:val="20"/>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p>
    <w:pPr>
      <w:pStyle w:val="Footer"/>
      <w:pBdr>
        <w:top w:val="single" w:sz="4" w:space="1" w:color="auto"/>
      </w:pBdr>
      <w:tabs>
        <w:tab w:val="clear" w:pos="4153"/>
        <w:tab w:val="clear" w:pos="8306"/>
        <w:tab w:val="right" w:pos="7088"/>
      </w:tabs>
      <w:spacing w:line="240" w:lineRule="auto"/>
      <w:rPr>
        <w:rFonts w:ascii="Times New Roman" w:hAnsi="Times New Roman"/>
        <w:sz w:val="1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PageLeft"/>
      <w:tabs>
        <w:tab w:val="right" w:pos="7088"/>
      </w:tabs>
    </w:pPr>
    <w:r>
      <w:t xml:space="preserve">page </w:t>
    </w:r>
    <w:r>
      <w:rPr>
        <w:rStyle w:val="CharPageNo"/>
      </w:rPr>
      <w:fldChar w:fldCharType="begin"/>
    </w:r>
    <w:r>
      <w:rPr>
        <w:rStyle w:val="CharPageNo"/>
      </w:rPr>
      <w:instrText xml:space="preserve"> PAGE </w:instrText>
    </w:r>
    <w:r>
      <w:rPr>
        <w:rStyle w:val="CharPageNo"/>
      </w:rPr>
      <w:fldChar w:fldCharType="separate"/>
    </w:r>
    <w:r>
      <w:rPr>
        <w:rStyle w:val="CharPageNo"/>
        <w:noProof/>
      </w:rPr>
      <w:t>20</w:t>
    </w:r>
    <w:r>
      <w:rPr>
        <w:rStyle w:val="CharPageNo"/>
      </w:rPr>
      <w:fldChar w:fldCharType="end"/>
    </w:r>
    <w:r>
      <w:rPr>
        <w:rStyle w:val="CharPageNo"/>
      </w:rPr>
      <w:tab/>
    </w:r>
    <w:r>
      <w:t xml:space="preserve">Reprint </w:t>
    </w:r>
    <w:fldSimple w:instr=" DOCPROPERTY &quot;ReprintNo&quot; ">
      <w:r>
        <w:t>2</w:t>
      </w:r>
    </w:fldSimple>
  </w:p>
  <w:p>
    <w:pPr>
      <w:pStyle w:val="FooterPageLeft"/>
      <w:tabs>
        <w:tab w:val="right" w:pos="7088"/>
      </w:tabs>
      <w:rPr>
        <w:rFonts w:ascii="Times New Roman" w:hAnsi="Times New Roman"/>
        <w:sz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
      <w:pBdr>
        <w:top w:val="single" w:sz="4" w:space="1" w:color="auto"/>
      </w:pBdr>
      <w:tabs>
        <w:tab w:val="clear" w:pos="4153"/>
        <w:tab w:val="clear" w:pos="8306"/>
        <w:tab w:val="right" w:pos="7088"/>
      </w:tabs>
      <w:spacing w:line="240" w:lineRule="auto"/>
      <w:rPr>
        <w:rStyle w:val="PageNumber"/>
      </w:rPr>
    </w:pPr>
    <w:r>
      <w:rPr>
        <w:sz w:val="20"/>
      </w:rPr>
      <w:t xml:space="preserve">Reprint </w:t>
    </w:r>
    <w:r>
      <w:rPr>
        <w:sz w:val="20"/>
      </w:rPr>
      <w:fldChar w:fldCharType="begin"/>
    </w:r>
    <w:r>
      <w:rPr>
        <w:sz w:val="20"/>
      </w:rPr>
      <w:instrText xml:space="preserve"> DOCPROPERTY "ReprintNo" </w:instrText>
    </w:r>
    <w:r>
      <w:rPr>
        <w:sz w:val="20"/>
      </w:rPr>
      <w:fldChar w:fldCharType="separate"/>
    </w:r>
    <w:r>
      <w:rPr>
        <w:sz w:val="20"/>
      </w:rPr>
      <w:t>2</w:t>
    </w:r>
    <w:r>
      <w:rPr>
        <w:sz w:val="20"/>
      </w:rPr>
      <w:fldChar w:fldCharType="end"/>
    </w:r>
    <w:r>
      <w:rPr>
        <w:sz w:val="20"/>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pPr>
      <w:pStyle w:val="Footer"/>
      <w:pBdr>
        <w:top w:val="single" w:sz="4" w:space="1" w:color="auto"/>
      </w:pBdr>
      <w:tabs>
        <w:tab w:val="clear" w:pos="4153"/>
        <w:tab w:val="clear" w:pos="8306"/>
        <w:tab w:val="right" w:pos="7088"/>
      </w:tabs>
      <w:spacing w:line="240" w:lineRule="auto"/>
      <w:rPr>
        <w:rFonts w:ascii="Times New Roman" w:hAnsi="Times New Roman"/>
        <w:sz w:val="16"/>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
      <w:pBdr>
        <w:top w:val="single" w:sz="4" w:space="1" w:color="auto"/>
      </w:pBdr>
      <w:tabs>
        <w:tab w:val="clear" w:pos="4153"/>
        <w:tab w:val="clear" w:pos="8306"/>
        <w:tab w:val="right" w:pos="7088"/>
      </w:tabs>
      <w:spacing w:line="240" w:lineRule="auto"/>
      <w:rPr>
        <w:rStyle w:val="PageNumber"/>
      </w:rPr>
    </w:pPr>
    <w:r>
      <w:rPr>
        <w:sz w:val="20"/>
      </w:rPr>
      <w:t xml:space="preserve">Reprint </w:t>
    </w:r>
    <w:r>
      <w:rPr>
        <w:sz w:val="20"/>
      </w:rPr>
      <w:fldChar w:fldCharType="begin"/>
    </w:r>
    <w:r>
      <w:rPr>
        <w:sz w:val="20"/>
      </w:rPr>
      <w:instrText xml:space="preserve"> DOCPROPERTY "ReprintNo"</w:instrText>
    </w:r>
    <w:r>
      <w:rPr>
        <w:sz w:val="20"/>
      </w:rPr>
      <w:fldChar w:fldCharType="separate"/>
    </w:r>
    <w:r>
      <w:rPr>
        <w:sz w:val="20"/>
      </w:rPr>
      <w:t>2</w:t>
    </w:r>
    <w:r>
      <w:rPr>
        <w:sz w:val="20"/>
      </w:rPr>
      <w:fldChar w:fldCharType="end"/>
    </w:r>
    <w:r>
      <w:rPr>
        <w:sz w:val="20"/>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pPr>
      <w:pStyle w:val="Footer"/>
      <w:pBdr>
        <w:top w:val="single" w:sz="4" w:space="1" w:color="auto"/>
      </w:pBdr>
      <w:tabs>
        <w:tab w:val="clear" w:pos="4153"/>
        <w:tab w:val="clear" w:pos="8306"/>
        <w:tab w:val="right" w:pos="7088"/>
      </w:tabs>
      <w:spacing w:line="240" w:lineRule="auto"/>
      <w:rPr>
        <w:rFonts w:ascii="Times New Roman" w:hAnsi="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Freedom of Information Regulations 1993</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Freedom of Information Regulations 1993</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Freedom of Information Regulations 1993</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Freedom of Information Regulations 1993</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t>Defined terms</w:t>
          </w: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Freedom of Information Regulations 1993</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Freedom of Information Regulations 1993</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Freedom of Information Regulations 1993</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Freedom of Information Regulations 1993</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Freedom of Information Regulations 1993</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312" w:type="dxa"/>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Freedom of Information Regulations 1993</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Freedom of Information Regulations 1993</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r.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Freedom of Information Regulations 1993</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72DC6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312C4B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B22587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E362B64"/>
    <w:lvl w:ilvl="0">
      <w:start w:val="1"/>
      <w:numFmt w:val="decimal"/>
      <w:pStyle w:val="ListNumber2"/>
      <w:lvlText w:val="%1."/>
      <w:lvlJc w:val="left"/>
      <w:pPr>
        <w:tabs>
          <w:tab w:val="num" w:pos="720"/>
        </w:tabs>
        <w:ind w:left="720" w:hanging="360"/>
      </w:pPr>
    </w:lvl>
  </w:abstractNum>
  <w:abstractNum w:abstractNumId="4">
    <w:nsid w:val="FFFFFF80"/>
    <w:multiLevelType w:val="singleLevel"/>
    <w:tmpl w:val="F520751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ECCDF8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634C7B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142A51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0A4D4D6"/>
    <w:lvl w:ilvl="0">
      <w:start w:val="1"/>
      <w:numFmt w:val="decimal"/>
      <w:pStyle w:val="ListNumber"/>
      <w:lvlText w:val="%1."/>
      <w:lvlJc w:val="left"/>
      <w:pPr>
        <w:tabs>
          <w:tab w:val="num" w:pos="360"/>
        </w:tabs>
        <w:ind w:left="360" w:hanging="360"/>
      </w:pPr>
    </w:lvl>
  </w:abstractNum>
  <w:abstractNum w:abstractNumId="9">
    <w:nsid w:val="FFFFFF89"/>
    <w:multiLevelType w:val="singleLevel"/>
    <w:tmpl w:val="D506CAD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5">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2FF52EB"/>
    <w:multiLevelType w:val="multilevel"/>
    <w:tmpl w:val="6ECCF27A"/>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9">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2">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3C2808C0"/>
    <w:multiLevelType w:val="singleLevel"/>
    <w:tmpl w:val="33826592"/>
    <w:lvl w:ilvl="0">
      <w:start w:val="1"/>
      <w:numFmt w:val="bullet"/>
      <w:pStyle w:val="NotesPerm2"/>
      <w:lvlText w:val=""/>
      <w:lvlJc w:val="left"/>
      <w:pPr>
        <w:tabs>
          <w:tab w:val="num" w:pos="1446"/>
        </w:tabs>
        <w:ind w:left="1446" w:hanging="567"/>
      </w:pPr>
      <w:rPr>
        <w:rFonts w:ascii="Symbol" w:hAnsi="Symbol" w:hint="default"/>
      </w:rPr>
    </w:lvl>
  </w:abstractNum>
  <w:abstractNum w:abstractNumId="24">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6">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7">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8">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40311162317"/>
    <w:docVar w:name="WAFER_20140311162317" w:val="RemoveTocBookmarks,RemoveUnusedBookmarks,RemoveLanguageTags,UsedStyles,ResetPageSize"/>
    <w:docVar w:name="WAFER_20140311162317_GUID" w:val="b5487a10-444f-4fb2-989e-cb657adb0080"/>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Times" w:hAnsi="Times"/>
      <w:sz w:val="18"/>
    </w:rPr>
  </w:style>
  <w:style w:type="character" w:styleId="PageNumber">
    <w:name w:val="page number"/>
    <w:basedOn w:val="DefaultParagraphFont"/>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FooterPageLeft">
    <w:name w:val="Footer.Page.Left"/>
    <w:pPr>
      <w:pBdr>
        <w:top w:val="single" w:sz="4" w:space="1" w:color="auto"/>
      </w:pBdr>
    </w:pPr>
    <w:rPr>
      <w:rFonts w:ascii="Arial" w:hAnsi="Arial"/>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SignatureText">
    <w:name w:val="SignatureText"/>
    <w:basedOn w:val="Normal"/>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yTableNAm">
    <w:name w:val="yTableNAm"/>
    <w:basedOn w:val="TableAm"/>
    <w:pPr>
      <w:tabs>
        <w:tab w:val="left" w:pos="567"/>
      </w:tabs>
    </w:pPr>
    <w:rPr>
      <w:sz w:val="22"/>
    </w:rPr>
  </w:style>
  <w:style w:type="paragraph" w:customStyle="1" w:styleId="zyTableNAm">
    <w:name w:val="zyTableNAm"/>
    <w:basedOn w:val="TableAm"/>
    <w:pPr>
      <w:tabs>
        <w:tab w:val="left" w:pos="567"/>
      </w:tabs>
    </w:pPr>
    <w:rPr>
      <w:sz w:val="22"/>
    </w:rPr>
  </w:style>
  <w:style w:type="paragraph" w:customStyle="1" w:styleId="DeleteListSub">
    <w:name w:val="DeleteListSub"/>
    <w:basedOn w:val="Normal"/>
    <w:pPr>
      <w:widowControl w:val="0"/>
      <w:spacing w:before="80" w:line="260" w:lineRule="atLeast"/>
      <w:ind w:left="879"/>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Times" w:hAnsi="Times"/>
      <w:sz w:val="18"/>
    </w:rPr>
  </w:style>
  <w:style w:type="character" w:styleId="PageNumber">
    <w:name w:val="page number"/>
    <w:basedOn w:val="DefaultParagraphFont"/>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FooterPageLeft">
    <w:name w:val="Footer.Page.Left"/>
    <w:pPr>
      <w:pBdr>
        <w:top w:val="single" w:sz="4" w:space="1" w:color="auto"/>
      </w:pBdr>
    </w:pPr>
    <w:rPr>
      <w:rFonts w:ascii="Arial" w:hAnsi="Arial"/>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SignatureText">
    <w:name w:val="SignatureText"/>
    <w:basedOn w:val="Normal"/>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yTableNAm">
    <w:name w:val="yTableNAm"/>
    <w:basedOn w:val="TableAm"/>
    <w:pPr>
      <w:tabs>
        <w:tab w:val="left" w:pos="567"/>
      </w:tabs>
    </w:pPr>
    <w:rPr>
      <w:sz w:val="22"/>
    </w:rPr>
  </w:style>
  <w:style w:type="paragraph" w:customStyle="1" w:styleId="zyTableNAm">
    <w:name w:val="zyTableNAm"/>
    <w:basedOn w:val="TableAm"/>
    <w:pPr>
      <w:tabs>
        <w:tab w:val="left" w:pos="567"/>
      </w:tabs>
    </w:pPr>
    <w:rPr>
      <w:sz w:val="22"/>
    </w:rPr>
  </w:style>
  <w:style w:type="paragraph" w:customStyle="1" w:styleId="DeleteListSub">
    <w:name w:val="DeleteListSub"/>
    <w:basedOn w:val="Normal"/>
    <w:pPr>
      <w:widowControl w:val="0"/>
      <w:spacing w:before="80" w:line="260" w:lineRule="atLeast"/>
      <w:ind w:left="879"/>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9"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header" Target="header12.xml"/><Relationship Id="rId42" Type="http://schemas.openxmlformats.org/officeDocument/2006/relationships/header" Target="header18.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9.xml"/><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header" Target="header15.xml"/><Relationship Id="rId40" Type="http://schemas.openxmlformats.org/officeDocument/2006/relationships/footer" Target="footer11.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3.png"/><Relationship Id="rId28" Type="http://schemas.openxmlformats.org/officeDocument/2006/relationships/header" Target="header8.xml"/><Relationship Id="rId36" Type="http://schemas.openxmlformats.org/officeDocument/2006/relationships/header" Target="header14.xml"/><Relationship Id="rId10" Type="http://schemas.openxmlformats.org/officeDocument/2006/relationships/image" Target="media/image2.wmf"/><Relationship Id="rId19" Type="http://schemas.openxmlformats.org/officeDocument/2006/relationships/header" Target="header5.xml"/><Relationship Id="rId31" Type="http://schemas.openxmlformats.org/officeDocument/2006/relationships/header" Target="header9.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image" Target="media/image4.png"/><Relationship Id="rId35" Type="http://schemas.openxmlformats.org/officeDocument/2006/relationships/header" Target="header13.xml"/><Relationship Id="rId43"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D736B-9547-4DD6-AF8F-3A1924097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4845</Words>
  <Characters>28444</Characters>
  <Application>Microsoft Office Word</Application>
  <DocSecurity>0</DocSecurity>
  <Lines>1292</Lines>
  <Paragraphs>693</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32596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Freedom of Information Regulations 1993 - 02-00-01</dc:title>
  <dc:subject/>
  <dc:creator/>
  <cp:keywords/>
  <dc:description/>
  <cp:lastModifiedBy>svcMRProcess</cp:lastModifiedBy>
  <cp:revision>4</cp:revision>
  <cp:lastPrinted>2013-07-17T03:17:00Z</cp:lastPrinted>
  <dcterms:created xsi:type="dcterms:W3CDTF">2020-03-08T16:35:00Z</dcterms:created>
  <dcterms:modified xsi:type="dcterms:W3CDTF">2020-03-08T16:35:00Z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22 October 1993 pp.5800-2</vt:lpwstr>
  </property>
  <property fmtid="{D5CDD505-2E9C-101B-9397-08002B2CF9AE}" pid="3" name="CommencementDate">
    <vt:lpwstr>20130712</vt:lpwstr>
  </property>
  <property fmtid="{D5CDD505-2E9C-101B-9397-08002B2CF9AE}" pid="4" name="DocumentType">
    <vt:lpwstr>Reg</vt:lpwstr>
  </property>
  <property fmtid="{D5CDD505-2E9C-101B-9397-08002B2CF9AE}" pid="5" name="OwlsUID">
    <vt:i4>4455</vt:i4>
  </property>
  <property fmtid="{D5CDD505-2E9C-101B-9397-08002B2CF9AE}" pid="6" name="AsAtDate">
    <vt:lpwstr>12 Jul 2013</vt:lpwstr>
  </property>
  <property fmtid="{D5CDD505-2E9C-101B-9397-08002B2CF9AE}" pid="7" name="Suffix">
    <vt:lpwstr>02-00-01</vt:lpwstr>
  </property>
  <property fmtid="{D5CDD505-2E9C-101B-9397-08002B2CF9AE}" pid="8" name="ReprintNo">
    <vt:lpwstr>2</vt:lpwstr>
  </property>
  <property fmtid="{D5CDD505-2E9C-101B-9397-08002B2CF9AE}" pid="9" name="ReprintedAsAt">
    <vt:filetime>2013-07-11T16:00:00Z</vt:filetime>
  </property>
</Properties>
</file>