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_Toc413148052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_Toc413148053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_Toc413148054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_Toc413148055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_Toc413148057 \h </w:instrText>
      </w:r>
      <w:r>
        <w:fldChar w:fldCharType="separate"/>
      </w:r>
      <w:r>
        <w:t>5</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_Toc413148058 \h </w:instrText>
      </w:r>
      <w:r>
        <w:fldChar w:fldCharType="separate"/>
      </w:r>
      <w:r>
        <w:t>5</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_Toc413148059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_Toc413148060 \h </w:instrText>
      </w:r>
      <w:r>
        <w:fldChar w:fldCharType="separate"/>
      </w:r>
      <w:r>
        <w:t>6</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_Toc413148061 \h </w:instrText>
      </w:r>
      <w:r>
        <w:fldChar w:fldCharType="separate"/>
      </w:r>
      <w:r>
        <w:t>6</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_Toc413148062 \h </w:instrText>
      </w:r>
      <w:r>
        <w:fldChar w:fldCharType="separate"/>
      </w:r>
      <w:r>
        <w:t>7</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_Toc413148063 \h </w:instrText>
      </w:r>
      <w:r>
        <w:fldChar w:fldCharType="separate"/>
      </w:r>
      <w:r>
        <w:t>7</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_Toc413148064 \h </w:instrText>
      </w:r>
      <w:r>
        <w:fldChar w:fldCharType="separate"/>
      </w:r>
      <w:r>
        <w:t>8</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_Toc413148065 \h </w:instrText>
      </w:r>
      <w:r>
        <w:fldChar w:fldCharType="separate"/>
      </w:r>
      <w:r>
        <w:t>9</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_Toc413148066 \h </w:instrText>
      </w:r>
      <w:r>
        <w:fldChar w:fldCharType="separate"/>
      </w:r>
      <w:r>
        <w:t>10</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_Toc413148067 \h </w:instrText>
      </w:r>
      <w:r>
        <w:fldChar w:fldCharType="separate"/>
      </w:r>
      <w:r>
        <w:t>10</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_Toc413148068 \h </w:instrText>
      </w:r>
      <w:r>
        <w:fldChar w:fldCharType="separate"/>
      </w:r>
      <w:r>
        <w:t>10</w:t>
      </w:r>
      <w:r>
        <w:fldChar w:fldCharType="end"/>
      </w:r>
    </w:p>
    <w:p>
      <w:pPr>
        <w:pStyle w:val="TOC8"/>
        <w:rPr>
          <w:rFonts w:asciiTheme="minorHAnsi" w:eastAsiaTheme="minorEastAsia" w:hAnsiTheme="minorHAnsi" w:cstheme="minorBidi"/>
          <w:szCs w:val="22"/>
        </w:rPr>
      </w:pPr>
      <w:r>
        <w:t>17.</w:t>
      </w:r>
      <w:r>
        <w:tab/>
        <w:t>Amending or cancelling development approval</w:t>
      </w:r>
      <w:r>
        <w:tab/>
      </w:r>
      <w:r>
        <w:fldChar w:fldCharType="begin"/>
      </w:r>
      <w:r>
        <w:instrText xml:space="preserve"> PAGEREF _Toc413148069 \h </w:instrText>
      </w:r>
      <w:r>
        <w:fldChar w:fldCharType="separate"/>
      </w:r>
      <w:r>
        <w:t>11</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_Toc413148070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_Toc413148072 \h </w:instrText>
      </w:r>
      <w:r>
        <w:fldChar w:fldCharType="separate"/>
      </w:r>
      <w:r>
        <w:t>14</w:t>
      </w:r>
      <w:r>
        <w:fldChar w:fldCharType="end"/>
      </w:r>
    </w:p>
    <w:p>
      <w:pPr>
        <w:pStyle w:val="TOC8"/>
        <w:rPr>
          <w:rFonts w:asciiTheme="minorHAnsi" w:eastAsiaTheme="minorEastAsia" w:hAnsiTheme="minorHAnsi" w:cstheme="minorBidi"/>
          <w:szCs w:val="22"/>
        </w:rPr>
      </w:pPr>
      <w:r>
        <w:t>20.</w:t>
      </w:r>
      <w:r>
        <w:tab/>
        <w:t>Commencement and publication of delegation</w:t>
      </w:r>
      <w:r>
        <w:tab/>
      </w:r>
      <w:r>
        <w:fldChar w:fldCharType="begin"/>
      </w:r>
      <w:r>
        <w:instrText xml:space="preserve"> PAGEREF _Toc413148073 \h </w:instrText>
      </w:r>
      <w:r>
        <w:fldChar w:fldCharType="separate"/>
      </w:r>
      <w:r>
        <w:t>15</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_Toc413148074 \h </w:instrText>
      </w:r>
      <w:r>
        <w:fldChar w:fldCharType="separate"/>
      </w:r>
      <w:r>
        <w:t>15</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_Toc413148075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_Toc413148078 \h </w:instrText>
      </w:r>
      <w:r>
        <w:fldChar w:fldCharType="separate"/>
      </w:r>
      <w:r>
        <w:t>18</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_Toc413148079 \h </w:instrText>
      </w:r>
      <w:r>
        <w:fldChar w:fldCharType="separate"/>
      </w:r>
      <w:r>
        <w:t>18</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_Toc413148080 \h </w:instrText>
      </w:r>
      <w:r>
        <w:fldChar w:fldCharType="separate"/>
      </w:r>
      <w:r>
        <w:t>19</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_Toc413148081 \h </w:instrText>
      </w:r>
      <w:r>
        <w:fldChar w:fldCharType="separate"/>
      </w:r>
      <w:r>
        <w:t>19</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_Toc413148082 \h </w:instrText>
      </w:r>
      <w:r>
        <w:fldChar w:fldCharType="separate"/>
      </w:r>
      <w:r>
        <w:t>20</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_Toc413148083 \h </w:instrText>
      </w:r>
      <w:r>
        <w:fldChar w:fldCharType="separate"/>
      </w:r>
      <w:r>
        <w:t>21</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_Toc413148084 \h </w:instrText>
      </w:r>
      <w:r>
        <w:fldChar w:fldCharType="separate"/>
      </w:r>
      <w:r>
        <w:t>22</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_Toc413148085 \h </w:instrText>
      </w:r>
      <w:r>
        <w:fldChar w:fldCharType="separate"/>
      </w:r>
      <w:r>
        <w:t>22</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_Toc413148086 \h </w:instrText>
      </w:r>
      <w:r>
        <w:fldChar w:fldCharType="separate"/>
      </w:r>
      <w:r>
        <w:t>23</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_Toc413148087 \h </w:instrText>
      </w:r>
      <w:r>
        <w:fldChar w:fldCharType="separate"/>
      </w:r>
      <w:r>
        <w:t>24</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_Toc413148088 \h </w:instrText>
      </w:r>
      <w:r>
        <w:fldChar w:fldCharType="separate"/>
      </w:r>
      <w:r>
        <w:t>25</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_Toc413148089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_Toc413148091 \h </w:instrText>
      </w:r>
      <w:r>
        <w:fldChar w:fldCharType="separate"/>
      </w:r>
      <w:r>
        <w:t>26</w:t>
      </w:r>
      <w:r>
        <w:fldChar w:fldCharType="end"/>
      </w:r>
    </w:p>
    <w:p>
      <w:pPr>
        <w:pStyle w:val="TOC8"/>
        <w:rPr>
          <w:rFonts w:asciiTheme="minorHAnsi" w:eastAsiaTheme="minorEastAsia" w:hAnsiTheme="minorHAnsi" w:cstheme="minorBidi"/>
          <w:szCs w:val="22"/>
        </w:rPr>
      </w:pPr>
      <w:r>
        <w:t>36.</w:t>
      </w:r>
      <w:r>
        <w:tab/>
        <w:t>Short</w:t>
      </w:r>
      <w:r>
        <w:noBreakHyphen/>
        <w:t>list of persons recommended for appointment</w:t>
      </w:r>
      <w:r>
        <w:tab/>
      </w:r>
      <w:r>
        <w:fldChar w:fldCharType="begin"/>
      </w:r>
      <w:r>
        <w:instrText xml:space="preserve"> PAGEREF _Toc413148092 \h </w:instrText>
      </w:r>
      <w:r>
        <w:fldChar w:fldCharType="separate"/>
      </w:r>
      <w:r>
        <w:t>27</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_Toc413148093 \h </w:instrText>
      </w:r>
      <w:r>
        <w:fldChar w:fldCharType="separate"/>
      </w:r>
      <w:r>
        <w:t>28</w:t>
      </w:r>
      <w:r>
        <w:fldChar w:fldCharType="end"/>
      </w:r>
    </w:p>
    <w:p>
      <w:pPr>
        <w:pStyle w:val="TOC8"/>
        <w:rPr>
          <w:rFonts w:asciiTheme="minorHAnsi" w:eastAsiaTheme="minorEastAsia" w:hAnsiTheme="minorHAnsi" w:cstheme="minorBidi"/>
          <w:szCs w:val="22"/>
        </w:rPr>
      </w:pPr>
      <w:r>
        <w:t>38.</w:t>
      </w:r>
      <w:r>
        <w:tab/>
        <w:t>Short</w:t>
      </w:r>
      <w:r>
        <w:noBreakHyphen/>
        <w:t>list working group</w:t>
      </w:r>
      <w:r>
        <w:tab/>
      </w:r>
      <w:r>
        <w:fldChar w:fldCharType="begin"/>
      </w:r>
      <w:r>
        <w:instrText xml:space="preserve"> PAGEREF _Toc413148094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_Toc413148096 \h </w:instrText>
      </w:r>
      <w:r>
        <w:fldChar w:fldCharType="separate"/>
      </w:r>
      <w:r>
        <w:t>30</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_Toc413148097 \h </w:instrText>
      </w:r>
      <w:r>
        <w:fldChar w:fldCharType="separate"/>
      </w:r>
      <w:r>
        <w:t>31</w:t>
      </w:r>
      <w:r>
        <w:fldChar w:fldCharType="end"/>
      </w:r>
    </w:p>
    <w:p>
      <w:pPr>
        <w:pStyle w:val="TOC8"/>
        <w:rPr>
          <w:rFonts w:asciiTheme="minorHAnsi" w:eastAsiaTheme="minorEastAsia" w:hAnsiTheme="minorHAnsi" w:cstheme="minorBidi"/>
          <w:szCs w:val="22"/>
        </w:rPr>
      </w:pPr>
      <w:r>
        <w:t>41.</w:t>
      </w:r>
      <w:r>
        <w:tab/>
        <w:t>Quorum</w:t>
      </w:r>
      <w:r>
        <w:tab/>
      </w:r>
      <w:r>
        <w:fldChar w:fldCharType="begin"/>
      </w:r>
      <w:r>
        <w:instrText xml:space="preserve"> PAGEREF _Toc413148098 \h </w:instrText>
      </w:r>
      <w:r>
        <w:fldChar w:fldCharType="separate"/>
      </w:r>
      <w:r>
        <w:t>31</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_Toc413148099 \h </w:instrText>
      </w:r>
      <w:r>
        <w:fldChar w:fldCharType="separate"/>
      </w:r>
      <w:r>
        <w:t>32</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_Toc413148100 \h </w:instrText>
      </w:r>
      <w:r>
        <w:fldChar w:fldCharType="separate"/>
      </w:r>
      <w:r>
        <w:t>32</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_Toc413148101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_Toc413148103 \h </w:instrText>
      </w:r>
      <w:r>
        <w:fldChar w:fldCharType="separate"/>
      </w:r>
      <w:r>
        <w:t>33</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_Toc413148104 \h </w:instrText>
      </w:r>
      <w:r>
        <w:fldChar w:fldCharType="separate"/>
      </w:r>
      <w:r>
        <w:t>34</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_Toc413148105 \h </w:instrText>
      </w:r>
      <w:r>
        <w:fldChar w:fldCharType="separate"/>
      </w:r>
      <w:r>
        <w:t>35</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_Toc413148106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_Toc413148108 \h </w:instrText>
      </w:r>
      <w:r>
        <w:fldChar w:fldCharType="separate"/>
      </w:r>
      <w:r>
        <w:t>37</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_Toc413148109 \h </w:instrText>
      </w:r>
      <w:r>
        <w:fldChar w:fldCharType="separate"/>
      </w:r>
      <w:r>
        <w:t>37</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_Toc413148110 \h </w:instrText>
      </w:r>
      <w:r>
        <w:fldChar w:fldCharType="separate"/>
      </w:r>
      <w:r>
        <w:t>38</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_Toc413148111 \h </w:instrText>
      </w:r>
      <w:r>
        <w:fldChar w:fldCharType="separate"/>
      </w:r>
      <w:r>
        <w:t>38</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_Toc413148112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_Toc413148114 \h </w:instrText>
      </w:r>
      <w:r>
        <w:fldChar w:fldCharType="separate"/>
      </w:r>
      <w:r>
        <w:t>40</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_Toc413148115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21)</w:t>
      </w:r>
      <w:r>
        <w:tab/>
      </w:r>
      <w:r>
        <w:fldChar w:fldCharType="begin"/>
      </w:r>
      <w:r>
        <w:instrText xml:space="preserve"> PAGEREF _Toc413148119 \h </w:instrText>
      </w:r>
      <w:r>
        <w:fldChar w:fldCharType="separate"/>
      </w:r>
      <w:r>
        <w:t>44</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21)</w:t>
      </w:r>
      <w:r>
        <w:tab/>
      </w:r>
      <w:r>
        <w:fldChar w:fldCharType="begin"/>
      </w:r>
      <w:r>
        <w:instrText xml:space="preserve"> PAGEREF _Toc413148120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_Toc413148122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3" w:name="_Toc377108711"/>
      <w:bookmarkStart w:id="4" w:name="_Toc41314805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7108712"/>
      <w:bookmarkStart w:id="6" w:name="_Toc413148052"/>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8" w:name="_Toc377108713"/>
      <w:bookmarkStart w:id="9" w:name="_Toc41314805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0" w:name="_Toc377108714"/>
      <w:bookmarkStart w:id="11" w:name="_Toc413148054"/>
      <w:r>
        <w:rPr>
          <w:rStyle w:val="CharSectno"/>
        </w:rPr>
        <w:t>3</w:t>
      </w:r>
      <w:r>
        <w:t>.</w:t>
      </w:r>
      <w:r>
        <w:tab/>
        <w:t>Terms used</w:t>
      </w:r>
      <w:bookmarkEnd w:id="10"/>
      <w:bookmarkEnd w:id="11"/>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CEO</w:t>
      </w:r>
      <w:r>
        <w:t xml:space="preserve"> means the chief executive officer of the department;</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r>
        <w:rPr>
          <w:i/>
          <w:iCs/>
        </w:rPr>
        <w:t>State Planning Policy 3.1 Residential Design Codes (Variation 1)</w:t>
      </w:r>
      <w:r>
        <w:t xml:space="preserve"> made under section 26 of the Act, including any amendments made to the policy;</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NotesPerm"/>
        <w:tabs>
          <w:tab w:val="clear" w:pos="879"/>
          <w:tab w:val="left" w:pos="851"/>
        </w:tabs>
        <w:ind w:left="1418" w:hanging="1418"/>
      </w:pPr>
      <w:r>
        <w:tab/>
        <w:t>Note:</w:t>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w:t>
      </w:r>
    </w:p>
    <w:p>
      <w:pPr>
        <w:pStyle w:val="Heading5"/>
      </w:pPr>
      <w:bookmarkStart w:id="12" w:name="_Toc377108715"/>
      <w:bookmarkStart w:id="13" w:name="_Toc413148055"/>
      <w:r>
        <w:rPr>
          <w:rStyle w:val="CharSectno"/>
        </w:rPr>
        <w:t>4</w:t>
      </w:r>
      <w:r>
        <w:t>.</w:t>
      </w:r>
      <w:r>
        <w:tab/>
        <w:t>Notes not part of the law</w:t>
      </w:r>
      <w:bookmarkEnd w:id="12"/>
      <w:bookmarkEnd w:id="13"/>
    </w:p>
    <w:p>
      <w:pPr>
        <w:pStyle w:val="Subsection"/>
      </w:pPr>
      <w:r>
        <w:tab/>
      </w:r>
      <w:r>
        <w:tab/>
        <w:t>Notes in these regulations are provided to assist understanding and do not form part of the regulations.</w:t>
      </w:r>
    </w:p>
    <w:p>
      <w:pPr>
        <w:pStyle w:val="Heading2"/>
      </w:pPr>
      <w:bookmarkStart w:id="14" w:name="_Toc377108716"/>
      <w:bookmarkStart w:id="15" w:name="_Toc413148056"/>
      <w:r>
        <w:rPr>
          <w:rStyle w:val="CharPartNo"/>
        </w:rPr>
        <w:t>Part 2</w:t>
      </w:r>
      <w:r>
        <w:rPr>
          <w:rStyle w:val="CharDivNo"/>
        </w:rPr>
        <w:t> </w:t>
      </w:r>
      <w:r>
        <w:t>—</w:t>
      </w:r>
      <w:r>
        <w:rPr>
          <w:rStyle w:val="CharDivText"/>
        </w:rPr>
        <w:t> </w:t>
      </w:r>
      <w:r>
        <w:rPr>
          <w:rStyle w:val="CharPartText"/>
        </w:rPr>
        <w:t>Development applications and determinations</w:t>
      </w:r>
      <w:bookmarkEnd w:id="14"/>
      <w:bookmarkEnd w:id="15"/>
    </w:p>
    <w:p>
      <w:pPr>
        <w:pStyle w:val="Heading5"/>
        <w:spacing w:before="180"/>
      </w:pPr>
      <w:bookmarkStart w:id="16" w:name="_Toc377108717"/>
      <w:bookmarkStart w:id="17" w:name="_Toc413148057"/>
      <w:r>
        <w:rPr>
          <w:rStyle w:val="CharSectno"/>
        </w:rPr>
        <w:t>5</w:t>
      </w:r>
      <w:r>
        <w:t>.</w:t>
      </w:r>
      <w:r>
        <w:tab/>
        <w:t>Mandatory DAP applications (Act s. 171A(2)(a))</w:t>
      </w:r>
      <w:bookmarkEnd w:id="16"/>
      <w:bookmarkEnd w:id="17"/>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$15 million or more; and</w:t>
      </w:r>
    </w:p>
    <w:p>
      <w:pPr>
        <w:pStyle w:val="Indenta"/>
      </w:pPr>
      <w:r>
        <w:tab/>
        <w:t>(c)</w:t>
      </w:r>
      <w:r>
        <w:tab/>
        <w:t>in the case of an application for development in a district outside of the district of the City of Perth — is for the approval of development that has an estimated cost of $7 million or more,</w:t>
      </w:r>
    </w:p>
    <w:p>
      <w:pPr>
        <w:pStyle w:val="Subsection"/>
        <w:spacing w:before="120"/>
      </w:pPr>
      <w:r>
        <w:tab/>
      </w:r>
      <w:r>
        <w:tab/>
        <w:t>is of a class prescribed under section 171A(2)(a) of the Act.</w:t>
      </w:r>
    </w:p>
    <w:p>
      <w:pPr>
        <w:pStyle w:val="Heading5"/>
        <w:spacing w:before="180"/>
      </w:pPr>
      <w:bookmarkStart w:id="18" w:name="_Toc377108718"/>
      <w:bookmarkStart w:id="19" w:name="_Toc413148058"/>
      <w:r>
        <w:rPr>
          <w:rStyle w:val="CharSectno"/>
        </w:rPr>
        <w:t>6</w:t>
      </w:r>
      <w:r>
        <w:t>.</w:t>
      </w:r>
      <w:r>
        <w:tab/>
        <w:t>Optional DAP applications (Act s. 171A(2)(ba))</w:t>
      </w:r>
      <w:bookmarkEnd w:id="18"/>
      <w:bookmarkEnd w:id="19"/>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under section 171A(2)(ba) of the Act.</w:t>
      </w:r>
    </w:p>
    <w:p>
      <w:pPr>
        <w:pStyle w:val="Heading5"/>
      </w:pPr>
      <w:bookmarkStart w:id="20" w:name="_Toc377108719"/>
      <w:bookmarkStart w:id="21" w:name="_Toc413148059"/>
      <w:r>
        <w:rPr>
          <w:rStyle w:val="CharSectno"/>
        </w:rPr>
        <w:t>7</w:t>
      </w:r>
      <w:r>
        <w:t>.</w:t>
      </w:r>
      <w:r>
        <w:tab/>
        <w:t>Election in respect of r. 6 application</w:t>
      </w:r>
      <w:bookmarkEnd w:id="20"/>
      <w:bookmarkEnd w:id="21"/>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2" w:name="_Toc377108720"/>
      <w:bookmarkStart w:id="23" w:name="_Toc413148060"/>
      <w:r>
        <w:rPr>
          <w:rStyle w:val="CharSectno"/>
        </w:rPr>
        <w:t>8</w:t>
      </w:r>
      <w:r>
        <w:t>.</w:t>
      </w:r>
      <w:r>
        <w:tab/>
        <w:t>Applications to be determined by DAPs</w:t>
      </w:r>
      <w:bookmarkEnd w:id="22"/>
      <w:bookmarkEnd w:id="23"/>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24" w:name="_Toc377108721"/>
      <w:bookmarkStart w:id="25" w:name="_Toc413148061"/>
      <w:r>
        <w:rPr>
          <w:rStyle w:val="CharSectno"/>
        </w:rPr>
        <w:t>9</w:t>
      </w:r>
      <w:r>
        <w:t>.</w:t>
      </w:r>
      <w:r>
        <w:tab/>
        <w:t>Making of applications and initial procedures unaffected</w:t>
      </w:r>
      <w:bookmarkEnd w:id="24"/>
      <w:bookmarkEnd w:id="25"/>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26" w:name="_Toc377108722"/>
      <w:bookmarkStart w:id="27" w:name="_Toc413148062"/>
      <w:r>
        <w:rPr>
          <w:rStyle w:val="CharSectno"/>
        </w:rPr>
        <w:t>10</w:t>
      </w:r>
      <w:r>
        <w:t>.</w:t>
      </w:r>
      <w:r>
        <w:tab/>
        <w:t>Making a DAP application: notice and fees</w:t>
      </w:r>
      <w:bookmarkEnd w:id="26"/>
      <w:bookmarkEnd w:id="27"/>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28" w:name="_Toc377108723"/>
      <w:bookmarkStart w:id="29" w:name="_Toc413148063"/>
      <w:r>
        <w:rPr>
          <w:rStyle w:val="CharSectno"/>
        </w:rPr>
        <w:t>11</w:t>
      </w:r>
      <w:r>
        <w:t>.</w:t>
      </w:r>
      <w:r>
        <w:tab/>
        <w:t>Local government must notify DAP of DAP application</w:t>
      </w:r>
      <w:bookmarkEnd w:id="28"/>
      <w:bookmarkEnd w:id="29"/>
    </w:p>
    <w:p>
      <w:pPr>
        <w:pStyle w:val="Subsection"/>
        <w:spacing w:before="120"/>
      </w:pPr>
      <w:r>
        <w:tab/>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Heading5"/>
      </w:pPr>
      <w:bookmarkStart w:id="30" w:name="_Toc377108724"/>
      <w:bookmarkStart w:id="31" w:name="_Toc413148064"/>
      <w:r>
        <w:rPr>
          <w:rStyle w:val="CharSectno"/>
        </w:rPr>
        <w:t>12</w:t>
      </w:r>
      <w:r>
        <w:t>.</w:t>
      </w:r>
      <w:r>
        <w:tab/>
        <w:t>Responsible authority must report to DAP</w:t>
      </w:r>
      <w:bookmarkEnd w:id="30"/>
      <w:bookmarkEnd w:id="31"/>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Planning CEO.</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w:t>
      </w:r>
    </w:p>
    <w:p>
      <w:pPr>
        <w:pStyle w:val="Heading5"/>
      </w:pPr>
      <w:bookmarkStart w:id="32" w:name="_Toc377108725"/>
      <w:bookmarkStart w:id="33" w:name="_Toc413148065"/>
      <w:r>
        <w:rPr>
          <w:rStyle w:val="CharSectno"/>
        </w:rPr>
        <w:t>13</w:t>
      </w:r>
      <w:r>
        <w:t>.</w:t>
      </w:r>
      <w:r>
        <w:tab/>
        <w:t>Further services from responsible authority</w:t>
      </w:r>
      <w:bookmarkEnd w:id="32"/>
      <w:bookmarkEnd w:id="33"/>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34" w:name="_Toc377108726"/>
      <w:bookmarkStart w:id="35" w:name="_Toc413148066"/>
      <w:r>
        <w:rPr>
          <w:rStyle w:val="CharSectno"/>
        </w:rPr>
        <w:t>14</w:t>
      </w:r>
      <w:r>
        <w:t>.</w:t>
      </w:r>
      <w:r>
        <w:tab/>
        <w:t>Costs and expenses incurred by responsible authority</w:t>
      </w:r>
      <w:bookmarkEnd w:id="34"/>
      <w:bookmarkEnd w:id="35"/>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36" w:name="_Toc377108727"/>
      <w:bookmarkStart w:id="37" w:name="_Toc413148067"/>
      <w:r>
        <w:rPr>
          <w:rStyle w:val="CharSectno"/>
        </w:rPr>
        <w:t>15</w:t>
      </w:r>
      <w:r>
        <w:t>.</w:t>
      </w:r>
      <w:r>
        <w:tab/>
        <w:t>Notification to applicant</w:t>
      </w:r>
      <w:bookmarkEnd w:id="36"/>
      <w:bookmarkEnd w:id="37"/>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38" w:name="_Toc377108728"/>
      <w:bookmarkStart w:id="39" w:name="_Toc413148068"/>
      <w:r>
        <w:rPr>
          <w:rStyle w:val="CharSectno"/>
        </w:rPr>
        <w:t>16</w:t>
      </w:r>
      <w:r>
        <w:t>.</w:t>
      </w:r>
      <w:r>
        <w:tab/>
        <w:t>Determination by DAP</w:t>
      </w:r>
      <w:bookmarkEnd w:id="38"/>
      <w:bookmarkEnd w:id="39"/>
    </w:p>
    <w:p>
      <w:pPr>
        <w:pStyle w:val="Subsection"/>
      </w:pPr>
      <w:r>
        <w:tab/>
        <w:t>(1)</w:t>
      </w:r>
      <w:r>
        <w:tab/>
        <w:t>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Heading5"/>
      </w:pPr>
      <w:bookmarkStart w:id="40" w:name="_Toc377108729"/>
      <w:bookmarkStart w:id="41" w:name="_Toc413148069"/>
      <w:r>
        <w:rPr>
          <w:rStyle w:val="CharSectno"/>
        </w:rPr>
        <w:t>17</w:t>
      </w:r>
      <w:r>
        <w:t>.</w:t>
      </w:r>
      <w:r>
        <w:tab/>
        <w:t>Amending or cancelling development approval</w:t>
      </w:r>
      <w:bookmarkEnd w:id="40"/>
      <w:bookmarkEnd w:id="41"/>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42" w:name="_Toc377108730"/>
      <w:bookmarkStart w:id="43" w:name="_Toc413148070"/>
      <w:r>
        <w:rPr>
          <w:rStyle w:val="CharSectno"/>
        </w:rPr>
        <w:t>18</w:t>
      </w:r>
      <w:r>
        <w:t>.</w:t>
      </w:r>
      <w:r>
        <w:tab/>
        <w:t>Review by State Administrative Tribunal</w:t>
      </w:r>
      <w:bookmarkEnd w:id="42"/>
      <w:bookmarkEnd w:id="43"/>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Heading2"/>
      </w:pPr>
      <w:bookmarkStart w:id="44" w:name="_Toc377108731"/>
      <w:bookmarkStart w:id="45" w:name="_Toc413148071"/>
      <w:r>
        <w:rPr>
          <w:rStyle w:val="CharPartNo"/>
        </w:rPr>
        <w:t>Part 3</w:t>
      </w:r>
      <w:r>
        <w:rPr>
          <w:rStyle w:val="CharDivNo"/>
        </w:rPr>
        <w:t> </w:t>
      </w:r>
      <w:r>
        <w:t>—</w:t>
      </w:r>
      <w:r>
        <w:rPr>
          <w:rStyle w:val="CharDivText"/>
        </w:rPr>
        <w:t> </w:t>
      </w:r>
      <w:r>
        <w:rPr>
          <w:rStyle w:val="CharPartText"/>
        </w:rPr>
        <w:t>Delegation to DAPs</w:t>
      </w:r>
      <w:bookmarkEnd w:id="44"/>
      <w:bookmarkEnd w:id="45"/>
    </w:p>
    <w:p>
      <w:pPr>
        <w:pStyle w:val="Heading5"/>
      </w:pPr>
      <w:bookmarkStart w:id="46" w:name="_Toc377108732"/>
      <w:bookmarkStart w:id="47" w:name="_Toc413148072"/>
      <w:r>
        <w:rPr>
          <w:rStyle w:val="CharSectno"/>
        </w:rPr>
        <w:t>19</w:t>
      </w:r>
      <w:r>
        <w:t>.</w:t>
      </w:r>
      <w:r>
        <w:tab/>
        <w:t>Determination of certain development applications may be delegated to DAP</w:t>
      </w:r>
      <w:bookmarkEnd w:id="46"/>
      <w:bookmarkEnd w:id="47"/>
    </w:p>
    <w:p>
      <w:pPr>
        <w:pStyle w:val="Subsection"/>
      </w:pPr>
      <w:r>
        <w:tab/>
        <w:t>(1)</w:t>
      </w:r>
      <w:r>
        <w:tab/>
        <w:t xml:space="preserve">Any development application that — </w:t>
      </w:r>
    </w:p>
    <w:p>
      <w:pPr>
        <w:pStyle w:val="Indenta"/>
      </w:pPr>
      <w:r>
        <w:tab/>
        <w:t>(a)</w:t>
      </w:r>
      <w:r>
        <w:tab/>
        <w:t>is not an excluded development application; 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for the purposes of this regulation.</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development applications prescribed under subregulation (1) that are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A local government or the Commission must not make a delegation under this regulation or amend such a delegation without the prior consent of the Planning CEO.</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w:t>
      </w:r>
    </w:p>
    <w:p>
      <w:pPr>
        <w:pStyle w:val="Heading5"/>
        <w:keepLines w:val="0"/>
      </w:pPr>
      <w:bookmarkStart w:id="48" w:name="_Toc377108733"/>
      <w:bookmarkStart w:id="49" w:name="_Toc413148073"/>
      <w:r>
        <w:rPr>
          <w:rStyle w:val="CharSectno"/>
        </w:rPr>
        <w:t>20</w:t>
      </w:r>
      <w:r>
        <w:t>.</w:t>
      </w:r>
      <w:r>
        <w:tab/>
        <w:t>Commencement and publication of delegation</w:t>
      </w:r>
      <w:bookmarkEnd w:id="48"/>
      <w:bookmarkEnd w:id="49"/>
    </w:p>
    <w:p>
      <w:pPr>
        <w:pStyle w:val="Subsection"/>
      </w:pPr>
      <w:r>
        <w:tab/>
        <w:t>(1)</w:t>
      </w:r>
      <w:r>
        <w:tab/>
        <w:t xml:space="preserve">An instrument of delegation under regulation 19, and any instrument amending or revoking the delegation, takes effect on the day specified in the instrument, being a day that is not earlier than the day on which notice of the instrument is published in the </w:t>
      </w:r>
      <w:r>
        <w:rPr>
          <w:i/>
          <w:iCs/>
        </w:rPr>
        <w:t xml:space="preserve">Gazette </w:t>
      </w:r>
      <w:r>
        <w:t>under this regulation.</w:t>
      </w:r>
    </w:p>
    <w:p>
      <w:pPr>
        <w:pStyle w:val="Subsection"/>
      </w:pPr>
      <w:r>
        <w:tab/>
        <w:t>(2)</w:t>
      </w:r>
      <w:r>
        <w:tab/>
        <w:t>A body that delegates to a DAP under regulation 19 must give a copy of the instrument of delegation to the Planning CEO.</w:t>
      </w:r>
    </w:p>
    <w:p>
      <w:pPr>
        <w:pStyle w:val="Subsection"/>
      </w:pPr>
      <w:r>
        <w:tab/>
        <w:t>(3)</w:t>
      </w:r>
      <w:r>
        <w:tab/>
        <w:t xml:space="preserve">The Planning CEO must cause the notice of the instrument to be published in the </w:t>
      </w:r>
      <w:r>
        <w:rPr>
          <w:i/>
          <w:iCs/>
        </w:rPr>
        <w:t>Gazette</w:t>
      </w:r>
      <w:r>
        <w:t xml:space="preserve"> and on the DAP website.</w:t>
      </w:r>
    </w:p>
    <w:p>
      <w:pPr>
        <w:pStyle w:val="Subsection"/>
      </w:pPr>
      <w:r>
        <w:tab/>
        <w:t>(4)</w:t>
      </w:r>
      <w:r>
        <w:tab/>
        <w:t xml:space="preserve">The body that delegated the power must pay the costs of publication of the notice in the </w:t>
      </w:r>
      <w:r>
        <w:rPr>
          <w:i/>
          <w:iCs/>
        </w:rPr>
        <w:t>Gazette</w:t>
      </w:r>
      <w:r>
        <w:t>.</w:t>
      </w:r>
    </w:p>
    <w:p>
      <w:pPr>
        <w:pStyle w:val="Footnotesection"/>
      </w:pPr>
      <w:r>
        <w:tab/>
        <w:t>[Regulation 20 amended in Gazette 25 Jan 2013 p. 272</w:t>
      </w:r>
      <w:r>
        <w:noBreakHyphen/>
        <w:t>3.]</w:t>
      </w:r>
    </w:p>
    <w:p>
      <w:pPr>
        <w:pStyle w:val="Heading5"/>
      </w:pPr>
      <w:bookmarkStart w:id="50" w:name="_Toc377108734"/>
      <w:bookmarkStart w:id="51" w:name="_Toc413148074"/>
      <w:r>
        <w:rPr>
          <w:rStyle w:val="CharSectno"/>
        </w:rPr>
        <w:t>21</w:t>
      </w:r>
      <w:r>
        <w:t>.</w:t>
      </w:r>
      <w:r>
        <w:tab/>
        <w:t>Effect of delegation</w:t>
      </w:r>
      <w:bookmarkEnd w:id="50"/>
      <w:bookmarkEnd w:id="51"/>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52" w:name="_Toc377108735"/>
      <w:bookmarkStart w:id="53" w:name="_Toc413148075"/>
      <w:r>
        <w:rPr>
          <w:rStyle w:val="CharSectno"/>
        </w:rPr>
        <w:t>22</w:t>
      </w:r>
      <w:r>
        <w:t>.</w:t>
      </w:r>
      <w:r>
        <w:tab/>
        <w:t>Payments in respect of exercise of delegated power</w:t>
      </w:r>
      <w:bookmarkEnd w:id="52"/>
      <w:bookmarkEnd w:id="53"/>
    </w:p>
    <w:p>
      <w:pPr>
        <w:pStyle w:val="Subsection"/>
      </w:pPr>
      <w:r>
        <w:tab/>
        <w:t>(1)</w:t>
      </w:r>
      <w:r>
        <w:tab/>
        <w:t>Subject to any agreement made under subregulation (3), a local government that under this Part delegates a power to determine a development application must pay to the department in respect of each application that is determined by a DAP pursuant to the delegation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each application that is determined by a DAP pursuant to the delegation an amount equal to the amount that would have been payable under regulation 17 by the applicant if the application were made under that regulation.</w:t>
      </w:r>
    </w:p>
    <w:p>
      <w:pPr>
        <w:pStyle w:val="Subsection"/>
      </w:pPr>
      <w:r>
        <w:tab/>
        <w:t>(3)</w:t>
      </w:r>
      <w:r>
        <w:tab/>
        <w:t>The Planning CEO may enter into an agreement with a local government  as to the payments under subregulation (1) or (2).</w:t>
      </w:r>
    </w:p>
    <w:p>
      <w:pPr>
        <w:pStyle w:val="Footnotesection"/>
      </w:pPr>
      <w:r>
        <w:tab/>
        <w:t>[Regulation 22 amended in Gazette 25 Jan 2013 p. 272</w:t>
      </w:r>
      <w:r>
        <w:noBreakHyphen/>
        <w:t>3.]</w:t>
      </w:r>
    </w:p>
    <w:p>
      <w:pPr>
        <w:pStyle w:val="Heading2"/>
      </w:pPr>
      <w:bookmarkStart w:id="54" w:name="_Toc377108736"/>
      <w:bookmarkStart w:id="55" w:name="_Toc413148076"/>
      <w:r>
        <w:rPr>
          <w:rStyle w:val="CharPartNo"/>
        </w:rPr>
        <w:t>Part 4</w:t>
      </w:r>
      <w:r>
        <w:t> — </w:t>
      </w:r>
      <w:r>
        <w:rPr>
          <w:rStyle w:val="CharPartText"/>
        </w:rPr>
        <w:t>Development assessment panels</w:t>
      </w:r>
      <w:bookmarkEnd w:id="54"/>
      <w:bookmarkEnd w:id="55"/>
    </w:p>
    <w:p>
      <w:pPr>
        <w:pStyle w:val="Heading3"/>
      </w:pPr>
      <w:bookmarkStart w:id="56" w:name="_Toc377108737"/>
      <w:bookmarkStart w:id="57" w:name="_Toc413148077"/>
      <w:r>
        <w:rPr>
          <w:rStyle w:val="CharDivNo"/>
        </w:rPr>
        <w:t>Division 1</w:t>
      </w:r>
      <w:r>
        <w:t> — </w:t>
      </w:r>
      <w:r>
        <w:rPr>
          <w:rStyle w:val="CharDivText"/>
        </w:rPr>
        <w:t>DAP members</w:t>
      </w:r>
      <w:bookmarkEnd w:id="56"/>
      <w:bookmarkEnd w:id="57"/>
    </w:p>
    <w:p>
      <w:pPr>
        <w:pStyle w:val="Heading5"/>
      </w:pPr>
      <w:bookmarkStart w:id="58" w:name="_Toc377108738"/>
      <w:bookmarkStart w:id="59" w:name="_Toc413148078"/>
      <w:r>
        <w:rPr>
          <w:rStyle w:val="CharSectno"/>
        </w:rPr>
        <w:t>23</w:t>
      </w:r>
      <w:r>
        <w:t>.</w:t>
      </w:r>
      <w:r>
        <w:tab/>
        <w:t>LDAP members</w:t>
      </w:r>
      <w:bookmarkEnd w:id="58"/>
      <w:bookmarkEnd w:id="59"/>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60" w:name="_Toc377108739"/>
      <w:bookmarkStart w:id="61" w:name="_Toc413148079"/>
      <w:r>
        <w:rPr>
          <w:rStyle w:val="CharSectno"/>
        </w:rPr>
        <w:t>24</w:t>
      </w:r>
      <w:r>
        <w:t>.</w:t>
      </w:r>
      <w:r>
        <w:tab/>
        <w:t>Local government members of LDAP</w:t>
      </w:r>
      <w:bookmarkEnd w:id="60"/>
      <w:bookmarkEnd w:id="61"/>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62" w:name="_Toc377108740"/>
      <w:bookmarkStart w:id="63" w:name="_Toc413148080"/>
      <w:r>
        <w:rPr>
          <w:rStyle w:val="CharSectno"/>
        </w:rPr>
        <w:t>25</w:t>
      </w:r>
      <w:r>
        <w:t>.</w:t>
      </w:r>
      <w:r>
        <w:tab/>
        <w:t>JDAP members</w:t>
      </w:r>
      <w:bookmarkEnd w:id="62"/>
      <w:bookmarkEnd w:id="63"/>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64" w:name="_Toc377108741"/>
      <w:bookmarkStart w:id="65" w:name="_Toc413148081"/>
      <w:r>
        <w:rPr>
          <w:rStyle w:val="CharSectno"/>
        </w:rPr>
        <w:t>26</w:t>
      </w:r>
      <w:r>
        <w:t>.</w:t>
      </w:r>
      <w:r>
        <w:tab/>
        <w:t>JDAP local government member register</w:t>
      </w:r>
      <w:bookmarkEnd w:id="64"/>
      <w:bookmarkEnd w:id="65"/>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66" w:name="_Toc377108742"/>
      <w:bookmarkStart w:id="67" w:name="_Toc413148082"/>
      <w:r>
        <w:rPr>
          <w:rStyle w:val="CharSectno"/>
        </w:rPr>
        <w:t>27</w:t>
      </w:r>
      <w:r>
        <w:t>.</w:t>
      </w:r>
      <w:r>
        <w:tab/>
        <w:t>Presiding member and deputy presiding member</w:t>
      </w:r>
      <w:bookmarkEnd w:id="66"/>
      <w:bookmarkEnd w:id="67"/>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The deputy presiding member must act as presiding member when the presiding member is unable to do so by reason of illness, absence or other cause.</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Heading5"/>
      </w:pPr>
      <w:bookmarkStart w:id="68" w:name="_Toc377108743"/>
      <w:bookmarkStart w:id="69" w:name="_Toc413148083"/>
      <w:r>
        <w:rPr>
          <w:rStyle w:val="CharSectno"/>
        </w:rPr>
        <w:t>28</w:t>
      </w:r>
      <w:r>
        <w:t>.</w:t>
      </w:r>
      <w:r>
        <w:tab/>
        <w:t>Alternate members</w:t>
      </w:r>
      <w:bookmarkEnd w:id="68"/>
      <w:bookmarkEnd w:id="6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70" w:name="_Toc377108744"/>
      <w:bookmarkStart w:id="71" w:name="_Toc413148084"/>
      <w:r>
        <w:rPr>
          <w:rStyle w:val="CharSectno"/>
        </w:rPr>
        <w:t>29</w:t>
      </w:r>
      <w:r>
        <w:t>.</w:t>
      </w:r>
      <w:r>
        <w:tab/>
        <w:t>Term of office</w:t>
      </w:r>
      <w:bookmarkEnd w:id="70"/>
      <w:bookmarkEnd w:id="71"/>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72" w:name="_Toc377108745"/>
      <w:bookmarkStart w:id="73" w:name="_Toc413148085"/>
      <w:r>
        <w:rPr>
          <w:rStyle w:val="CharSectno"/>
        </w:rPr>
        <w:t>30</w:t>
      </w:r>
      <w:r>
        <w:t>.</w:t>
      </w:r>
      <w:r>
        <w:tab/>
        <w:t>Training of DAP members</w:t>
      </w:r>
      <w:bookmarkEnd w:id="72"/>
      <w:bookmarkEnd w:id="73"/>
    </w:p>
    <w:p>
      <w:pPr>
        <w:pStyle w:val="Subsection"/>
      </w:pPr>
      <w:r>
        <w:tab/>
        <w:t>(1)</w:t>
      </w:r>
      <w:r>
        <w:tab/>
        <w:t>A person who is appointed as a DAP member cannot perform any functions as a member of that DAP until the Planning CEO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w:t>
      </w:r>
    </w:p>
    <w:p>
      <w:pPr>
        <w:pStyle w:val="Heading5"/>
      </w:pPr>
      <w:bookmarkStart w:id="74" w:name="_Toc377108746"/>
      <w:bookmarkStart w:id="75" w:name="_Toc413148086"/>
      <w:r>
        <w:rPr>
          <w:rStyle w:val="CharSectno"/>
        </w:rPr>
        <w:t>31</w:t>
      </w:r>
      <w:r>
        <w:t>.</w:t>
      </w:r>
      <w:r>
        <w:tab/>
        <w:t>Fees and allowances for DAP members</w:t>
      </w:r>
      <w:bookmarkEnd w:id="74"/>
      <w:bookmarkEnd w:id="75"/>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76" w:name="_Toc377108747"/>
      <w:bookmarkStart w:id="77" w:name="_Toc413148087"/>
      <w:r>
        <w:rPr>
          <w:rStyle w:val="CharSectno"/>
        </w:rPr>
        <w:t>32</w:t>
      </w:r>
      <w:r>
        <w:t>.</w:t>
      </w:r>
      <w:r>
        <w:tab/>
        <w:t>Casual vacancies</w:t>
      </w:r>
      <w:bookmarkEnd w:id="76"/>
      <w:bookmarkEnd w:id="77"/>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w:t>
      </w:r>
      <w:r>
        <w:tab/>
        <w:t>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Heading5"/>
      </w:pPr>
      <w:bookmarkStart w:id="78" w:name="_Toc377108748"/>
      <w:bookmarkStart w:id="79" w:name="_Toc413148088"/>
      <w:r>
        <w:rPr>
          <w:rStyle w:val="CharSectno"/>
        </w:rPr>
        <w:t>33</w:t>
      </w:r>
      <w:r>
        <w:t>.</w:t>
      </w:r>
      <w:r>
        <w:tab/>
        <w:t>Leave of absence</w:t>
      </w:r>
      <w:bookmarkEnd w:id="78"/>
      <w:bookmarkEnd w:id="79"/>
    </w:p>
    <w:p>
      <w:pPr>
        <w:pStyle w:val="Subsection"/>
      </w:pPr>
      <w:r>
        <w:tab/>
      </w:r>
      <w:r>
        <w:tab/>
        <w:t>The Minister may grant leave of absence to a DAP member on the terms and conditions determined by the Minister.</w:t>
      </w:r>
    </w:p>
    <w:p>
      <w:pPr>
        <w:pStyle w:val="Heading5"/>
      </w:pPr>
      <w:bookmarkStart w:id="80" w:name="_Toc377108749"/>
      <w:bookmarkStart w:id="81" w:name="_Toc413148089"/>
      <w:r>
        <w:rPr>
          <w:rStyle w:val="CharSectno"/>
        </w:rPr>
        <w:t>34</w:t>
      </w:r>
      <w:r>
        <w:t>.</w:t>
      </w:r>
      <w:r>
        <w:tab/>
        <w:t>Extension of term of office during vacancy in membership</w:t>
      </w:r>
      <w:bookmarkEnd w:id="80"/>
      <w:bookmarkEnd w:id="81"/>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82" w:name="_Toc377108750"/>
      <w:bookmarkStart w:id="83" w:name="_Toc413148090"/>
      <w:r>
        <w:rPr>
          <w:rStyle w:val="CharDivNo"/>
        </w:rPr>
        <w:t>Division 2</w:t>
      </w:r>
      <w:r>
        <w:t> — </w:t>
      </w:r>
      <w:r>
        <w:rPr>
          <w:rStyle w:val="CharDivText"/>
        </w:rPr>
        <w:t>Specialist members</w:t>
      </w:r>
      <w:bookmarkEnd w:id="82"/>
      <w:bookmarkEnd w:id="83"/>
    </w:p>
    <w:p>
      <w:pPr>
        <w:pStyle w:val="Heading5"/>
      </w:pPr>
      <w:bookmarkStart w:id="84" w:name="_Toc377108751"/>
      <w:bookmarkStart w:id="85" w:name="_Toc413148091"/>
      <w:r>
        <w:rPr>
          <w:rStyle w:val="CharSectno"/>
        </w:rPr>
        <w:t>35</w:t>
      </w:r>
      <w:r>
        <w:t>.</w:t>
      </w:r>
      <w:r>
        <w:tab/>
        <w:t>Register of persons eligible to be specialist members</w:t>
      </w:r>
      <w:bookmarkEnd w:id="84"/>
      <w:bookmarkEnd w:id="85"/>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pPr>
      <w:bookmarkStart w:id="86" w:name="_Toc377108752"/>
      <w:bookmarkStart w:id="87" w:name="_Toc413148092"/>
      <w:r>
        <w:rPr>
          <w:rStyle w:val="CharSectno"/>
        </w:rPr>
        <w:t>36</w:t>
      </w:r>
      <w:r>
        <w:t>.</w:t>
      </w:r>
      <w:r>
        <w:tab/>
        <w:t>Short</w:t>
      </w:r>
      <w:r>
        <w:noBreakHyphen/>
        <w:t>list of persons recommended for appointment</w:t>
      </w:r>
      <w:bookmarkEnd w:id="86"/>
      <w:bookmarkEnd w:id="87"/>
    </w:p>
    <w:p>
      <w:pPr>
        <w:pStyle w:val="Subsection"/>
      </w:pPr>
      <w:r>
        <w:tab/>
        <w:t>(1)</w:t>
      </w:r>
      <w:r>
        <w:tab/>
        <w:t>When it is necessary to appoint a specialist member of a DAP or an alternate member of a DAP under regulation 28(1)(c) the Minister must, in writing, request the working group established under regulation 38(1) to submit a short</w:t>
      </w:r>
      <w:r>
        <w:noBreakHyphen/>
        <w:t>list of persons recommended for the appointment.</w:t>
      </w:r>
    </w:p>
    <w:p>
      <w:pPr>
        <w:pStyle w:val="Subsection"/>
      </w:pPr>
      <w:r>
        <w:tab/>
        <w:t>(2)</w:t>
      </w:r>
      <w:r>
        <w:tab/>
        <w:t>The working group must, within such time as is specified by the Minister, submit to the Minister a short</w:t>
      </w:r>
      <w:r>
        <w:noBreakHyphen/>
        <w:t>list of one or more persons selected by the working group from the register maintained under regulation 35.</w:t>
      </w:r>
    </w:p>
    <w:p>
      <w:pPr>
        <w:pStyle w:val="Subsection"/>
      </w:pPr>
      <w:r>
        <w:tab/>
        <w:t>(3)</w:t>
      </w:r>
      <w:r>
        <w:tab/>
        <w:t>The short</w:t>
      </w:r>
      <w:r>
        <w:noBreakHyphen/>
        <w:t xml:space="preserve">list must not include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Heading5"/>
      </w:pPr>
      <w:bookmarkStart w:id="88" w:name="_Toc377108753"/>
      <w:bookmarkStart w:id="89" w:name="_Toc413148093"/>
      <w:r>
        <w:rPr>
          <w:rStyle w:val="CharSectno"/>
        </w:rPr>
        <w:t>37</w:t>
      </w:r>
      <w:r>
        <w:t>.</w:t>
      </w:r>
      <w:r>
        <w:tab/>
        <w:t>Appointment of specialist members and alternate specialist members</w:t>
      </w:r>
      <w:bookmarkEnd w:id="88"/>
      <w:bookmarkEnd w:id="89"/>
    </w:p>
    <w:p>
      <w:pPr>
        <w:pStyle w:val="Subsection"/>
      </w:pPr>
      <w:r>
        <w:tab/>
        <w:t>(1)</w:t>
      </w:r>
      <w:r>
        <w:tab/>
        <w:t xml:space="preserve">The Minister, when appointing a person as a specialist member of a DAP under regulation 23(1)(b) or 25(1)(b) or an alternate member under regulation 28(1)(c) — </w:t>
      </w:r>
    </w:p>
    <w:p>
      <w:pPr>
        <w:pStyle w:val="Indenta"/>
      </w:pPr>
      <w:r>
        <w:tab/>
        <w:t>(a)</w:t>
      </w:r>
      <w:r>
        <w:tab/>
        <w:t>must have regard to the short</w:t>
      </w:r>
      <w:r>
        <w:noBreakHyphen/>
        <w:t>list submitted under regulation 36; and</w:t>
      </w:r>
    </w:p>
    <w:p>
      <w:pPr>
        <w:pStyle w:val="Indenta"/>
      </w:pPr>
      <w:r>
        <w:tab/>
        <w:t>(b)</w:t>
      </w:r>
      <w:r>
        <w:tab/>
        <w:t>if the Minister does not appoint a person listed on the short</w:t>
      </w:r>
      <w:r>
        <w:noBreakHyphen/>
        <w:t>list,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pPr>
      <w:bookmarkStart w:id="90" w:name="_Toc377108754"/>
      <w:bookmarkStart w:id="91" w:name="_Toc413148094"/>
      <w:r>
        <w:rPr>
          <w:rStyle w:val="CharSectno"/>
        </w:rPr>
        <w:t>38</w:t>
      </w:r>
      <w:r>
        <w:t>.</w:t>
      </w:r>
      <w:r>
        <w:tab/>
        <w:t>Short</w:t>
      </w:r>
      <w:r>
        <w:noBreakHyphen/>
        <w:t>list working group</w:t>
      </w:r>
      <w:bookmarkEnd w:id="90"/>
      <w:bookmarkEnd w:id="91"/>
    </w:p>
    <w:p>
      <w:pPr>
        <w:pStyle w:val="Subsection"/>
      </w:pPr>
      <w:r>
        <w:tab/>
        <w:t>(1)</w:t>
      </w:r>
      <w:r>
        <w:tab/>
        <w:t>A working group is established to submit to the Minister under regulation 36 short</w:t>
      </w:r>
      <w:r>
        <w:noBreakHyphen/>
        <w:t>lists of persons recommended for appointment as specialist members of DAPs.</w:t>
      </w:r>
    </w:p>
    <w:p>
      <w:pPr>
        <w:pStyle w:val="Subsection"/>
      </w:pPr>
      <w:r>
        <w:tab/>
        <w:t>(2)</w:t>
      </w:r>
      <w:r>
        <w:tab/>
        <w:t xml:space="preserve">The working group consists of the following members — </w:t>
      </w:r>
    </w:p>
    <w:p>
      <w:pPr>
        <w:pStyle w:val="Indenta"/>
      </w:pPr>
      <w:r>
        <w:tab/>
        <w:t>(a)</w:t>
      </w:r>
      <w:r>
        <w:tab/>
        <w:t xml:space="preserve">the Planning CEO or an officer of the department nominated by the Planning CEO; </w:t>
      </w:r>
    </w:p>
    <w:p>
      <w:pPr>
        <w:pStyle w:val="Indenta"/>
      </w:pPr>
      <w:r>
        <w:tab/>
        <w:t>(b)</w:t>
      </w:r>
      <w:r>
        <w:tab/>
        <w:t>a person nominated by WALGA and appointed by the Minister or, if subregulation (5) applies, a person appointed in accordance with that subregulation;</w:t>
      </w:r>
    </w:p>
    <w:p>
      <w:pPr>
        <w:pStyle w:val="Indenta"/>
      </w:pPr>
      <w:r>
        <w:tab/>
        <w:t>(c)</w:t>
      </w:r>
      <w:r>
        <w:tab/>
        <w:t>a person nominated by the WA Division of the Planning Institute of Australia Incorporated and appointed by the Minister or, if subregulation (5) applies, a person appointed in accordance with that subregulation;</w:t>
      </w:r>
    </w:p>
    <w:p>
      <w:pPr>
        <w:pStyle w:val="Indenta"/>
      </w:pPr>
      <w:r>
        <w:tab/>
        <w:t>(d)</w:t>
      </w:r>
      <w:r>
        <w:tab/>
        <w:t>a person appointed by the Minister from nominations submitted under subregulation (4) or, if subregulation (5) applies, a person appointed in accordance with that subregulation.</w:t>
      </w:r>
    </w:p>
    <w:p>
      <w:pPr>
        <w:pStyle w:val="Subsection"/>
      </w:pPr>
      <w:r>
        <w:tab/>
        <w:t>(3)</w:t>
      </w:r>
      <w:r>
        <w:tab/>
        <w:t>When it is necessary to appoint a person under subregulation (2)(b) or (c), the Minister must request WALGA or the Planning Institute of Australia Incorporated, as the case requires, to nominate a person for appointment.</w:t>
      </w:r>
    </w:p>
    <w:p>
      <w:pPr>
        <w:pStyle w:val="Subsection"/>
      </w:pPr>
      <w:r>
        <w:tab/>
        <w:t>(4)</w:t>
      </w:r>
      <w:r>
        <w:tab/>
        <w:t xml:space="preserve">When it is necessary to appoint a person under subregulation (2)(d), the Minister must request each of the following bodies to nominate a person for appointment —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Indenta"/>
      </w:pPr>
      <w:r>
        <w:tab/>
        <w:t>(e)</w:t>
      </w:r>
      <w:r>
        <w:tab/>
        <w:t xml:space="preserve">the Master Builders Association of </w:t>
      </w:r>
      <w:smartTag w:uri="urn:schemas-microsoft-com:office:smarttags" w:element="place">
        <w:smartTag w:uri="urn:schemas-microsoft-com:office:smarttags" w:element="State">
          <w:r>
            <w:t>Western Australia</w:t>
          </w:r>
        </w:smartTag>
      </w:smartTag>
      <w:r>
        <w:t>.</w:t>
      </w:r>
    </w:p>
    <w:p>
      <w:pPr>
        <w:pStyle w:val="Subsection"/>
      </w:pPr>
      <w:r>
        <w:tab/>
        <w:t>(5)</w:t>
      </w:r>
      <w:r>
        <w:tab/>
        <w:t>If, within 14 days after the date on which the Minister makes a request under subregulation (3) or (4) for nomination for appointment, no nomination has been made, the Minister may appoint any person the Minister thinks fit.</w:t>
      </w:r>
    </w:p>
    <w:p>
      <w:pPr>
        <w:pStyle w:val="Subsection"/>
      </w:pPr>
      <w:r>
        <w:tab/>
        <w:t>(6)</w:t>
      </w:r>
      <w:r>
        <w:tab/>
        <w:t>The member referred to in subregulation (2)(a) is the presiding member of the working group.</w:t>
      </w:r>
    </w:p>
    <w:p>
      <w:pPr>
        <w:pStyle w:val="Subsection"/>
      </w:pPr>
      <w:r>
        <w:tab/>
        <w:t>(7)</w:t>
      </w:r>
      <w:r>
        <w:tab/>
        <w:t>A working group member, including the presiding member, has a single vote on a decision to be made by the working group and, in the case of an equality of votes, the presiding member also has a casting vote.</w:t>
      </w:r>
    </w:p>
    <w:p>
      <w:pPr>
        <w:pStyle w:val="Subsection"/>
      </w:pPr>
      <w:r>
        <w:tab/>
        <w:t>(8)</w:t>
      </w:r>
      <w:r>
        <w:tab/>
        <w:t>A matter that is to be decided by the working group must be decided by a majority of votes.</w:t>
      </w:r>
    </w:p>
    <w:p>
      <w:pPr>
        <w:pStyle w:val="Subsection"/>
      </w:pPr>
      <w:r>
        <w:tab/>
        <w:t>(9)</w:t>
      </w:r>
      <w:r>
        <w:tab/>
        <w:t>A decision is a valid decision of the working group even though it is not made at a meeting of the working group, if each member of the working group agrees in writing to the proposed decision.</w:t>
      </w:r>
    </w:p>
    <w:p>
      <w:pPr>
        <w:pStyle w:val="Subsection"/>
      </w:pPr>
      <w:r>
        <w:tab/>
        <w:t>(10)</w:t>
      </w:r>
      <w:r>
        <w:tab/>
        <w:t>Subject to any direction of the Minister, the working group may determine its own procedures.</w:t>
      </w:r>
    </w:p>
    <w:p>
      <w:pPr>
        <w:pStyle w:val="Subsection"/>
      </w:pPr>
      <w:r>
        <w:tab/>
        <w:t>(11)</w:t>
      </w:r>
      <w:r>
        <w:tab/>
        <w:t>Regulations 29, 32, 33 and 34 apply in relation to a member of the working group appointed under this regulation as if any reference in those regulations to a DAP member were a reference to a member of the working group.</w:t>
      </w:r>
    </w:p>
    <w:p>
      <w:pPr>
        <w:pStyle w:val="Footnotesection"/>
      </w:pPr>
      <w:r>
        <w:tab/>
        <w:t>[Regulation 38 amended in Gazette 25 Jan 2013 p. 272</w:t>
      </w:r>
      <w:r>
        <w:noBreakHyphen/>
        <w:t>3.]</w:t>
      </w:r>
    </w:p>
    <w:p>
      <w:pPr>
        <w:pStyle w:val="Heading3"/>
      </w:pPr>
      <w:bookmarkStart w:id="92" w:name="_Toc377108755"/>
      <w:bookmarkStart w:id="93" w:name="_Toc413148095"/>
      <w:r>
        <w:rPr>
          <w:rStyle w:val="CharDivNo"/>
        </w:rPr>
        <w:t>Division 3</w:t>
      </w:r>
      <w:r>
        <w:t> — </w:t>
      </w:r>
      <w:r>
        <w:rPr>
          <w:rStyle w:val="CharDivText"/>
        </w:rPr>
        <w:t>Meetings</w:t>
      </w:r>
      <w:bookmarkEnd w:id="92"/>
      <w:bookmarkEnd w:id="93"/>
    </w:p>
    <w:p>
      <w:pPr>
        <w:pStyle w:val="Heading5"/>
      </w:pPr>
      <w:bookmarkStart w:id="94" w:name="_Toc377108756"/>
      <w:bookmarkStart w:id="95" w:name="_Toc413148096"/>
      <w:r>
        <w:rPr>
          <w:rStyle w:val="CharSectno"/>
        </w:rPr>
        <w:t>39</w:t>
      </w:r>
      <w:r>
        <w:t>.</w:t>
      </w:r>
      <w:r>
        <w:tab/>
        <w:t>Notice of meetings</w:t>
      </w:r>
      <w:bookmarkEnd w:id="94"/>
      <w:bookmarkEnd w:id="95"/>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Planning CEO.</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w:t>
      </w:r>
    </w:p>
    <w:p>
      <w:pPr>
        <w:pStyle w:val="Heading5"/>
      </w:pPr>
      <w:bookmarkStart w:id="96" w:name="_Toc377108757"/>
      <w:bookmarkStart w:id="97" w:name="_Toc413148097"/>
      <w:r>
        <w:rPr>
          <w:rStyle w:val="CharSectno"/>
        </w:rPr>
        <w:t>40</w:t>
      </w:r>
      <w:r>
        <w:t>.</w:t>
      </w:r>
      <w:r>
        <w:tab/>
        <w:t>General procedure concerning meetings</w:t>
      </w:r>
      <w:bookmarkEnd w:id="96"/>
      <w:bookmarkEnd w:id="97"/>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simultaneously in contact by telephone, or other means of instantaneous communication; and</w:t>
      </w:r>
    </w:p>
    <w:p>
      <w:pPr>
        <w:pStyle w:val="Indenta"/>
      </w:pPr>
      <w:r>
        <w:tab/>
        <w:t>(b)</w:t>
      </w:r>
      <w:r>
        <w:tab/>
        <w:t>is not open to the public.</w:t>
      </w:r>
    </w:p>
    <w:p>
      <w:pPr>
        <w:pStyle w:val="Subsection"/>
      </w:pPr>
      <w:r>
        <w:tab/>
        <w:t>(5)</w:t>
      </w:r>
      <w:r>
        <w:tab/>
        <w:t>The Planning CEO may issue practice notes about the practice and procedure of DAPs and each DAP must comply with those practice notes.</w:t>
      </w:r>
    </w:p>
    <w:p>
      <w:pPr>
        <w:pStyle w:val="Footnotesection"/>
      </w:pPr>
      <w:r>
        <w:tab/>
        <w:t>[Regulation 40 amended in Gazette 25 Jan 2013 p. 272</w:t>
      </w:r>
      <w:r>
        <w:noBreakHyphen/>
        <w:t>3.]</w:t>
      </w:r>
    </w:p>
    <w:p>
      <w:pPr>
        <w:pStyle w:val="Heading5"/>
      </w:pPr>
      <w:bookmarkStart w:id="98" w:name="_Toc377108758"/>
      <w:bookmarkStart w:id="99" w:name="_Toc413148098"/>
      <w:r>
        <w:rPr>
          <w:rStyle w:val="CharSectno"/>
        </w:rPr>
        <w:t>41</w:t>
      </w:r>
      <w:r>
        <w:t>.</w:t>
      </w:r>
      <w:r>
        <w:tab/>
        <w:t>Quorum</w:t>
      </w:r>
      <w:bookmarkEnd w:id="98"/>
      <w:bookmarkEnd w:id="99"/>
    </w:p>
    <w:p>
      <w:pPr>
        <w:pStyle w:val="Subsection"/>
      </w:pPr>
      <w:r>
        <w:tab/>
        <w:t>(1)</w:t>
      </w:r>
      <w:r>
        <w:tab/>
        <w:t xml:space="preserve">At a meeting of a LDAP, 3 members of the LDAP including — </w:t>
      </w:r>
    </w:p>
    <w:p>
      <w:pPr>
        <w:pStyle w:val="Indenta"/>
      </w:pPr>
      <w:r>
        <w:tab/>
        <w:t>(a)</w:t>
      </w:r>
      <w:r>
        <w:tab/>
        <w:t>the presiding member; and</w:t>
      </w:r>
    </w:p>
    <w:p>
      <w:pPr>
        <w:pStyle w:val="Indenta"/>
      </w:pPr>
      <w:r>
        <w:tab/>
        <w:t>(b)</w:t>
      </w:r>
      <w:r>
        <w:tab/>
        <w:t>another specialist member; and</w:t>
      </w:r>
    </w:p>
    <w:p>
      <w:pPr>
        <w:pStyle w:val="Indenta"/>
        <w:keepNext/>
        <w:keepLines/>
      </w:pPr>
      <w:r>
        <w:tab/>
        <w:t>(c)</w:t>
      </w:r>
      <w:r>
        <w:tab/>
        <w:t>a local government member,</w:t>
      </w:r>
    </w:p>
    <w:p>
      <w:pPr>
        <w:pStyle w:val="Subsection"/>
      </w:pPr>
      <w:r>
        <w:tab/>
      </w:r>
      <w:r>
        <w:tab/>
        <w:t>constitute a quorum.</w:t>
      </w:r>
    </w:p>
    <w:p>
      <w:pPr>
        <w:pStyle w:val="Subsection"/>
      </w:pPr>
      <w:r>
        <w:tab/>
        <w:t>(2)</w:t>
      </w:r>
      <w:r>
        <w:tab/>
        <w:t xml:space="preserve">At a meeting of a JDAP, 3 members of the JDAP including — </w:t>
      </w:r>
    </w:p>
    <w:p>
      <w:pPr>
        <w:pStyle w:val="Indenta"/>
      </w:pPr>
      <w:r>
        <w:tab/>
        <w:t>(a)</w:t>
      </w:r>
      <w:r>
        <w:tab/>
        <w:t>the presiding member; and</w:t>
      </w:r>
    </w:p>
    <w:p>
      <w:pPr>
        <w:pStyle w:val="Indenta"/>
      </w:pPr>
      <w:r>
        <w:tab/>
        <w:t>(b)</w:t>
      </w:r>
      <w:r>
        <w:tab/>
        <w:t>another specialist member; and</w:t>
      </w:r>
    </w:p>
    <w:p>
      <w:pPr>
        <w:pStyle w:val="Indenta"/>
      </w:pPr>
      <w:r>
        <w:tab/>
        <w:t>(c)</w:t>
      </w:r>
      <w:r>
        <w:tab/>
        <w:t>one of the local government members referred to in regulation 25(1)(a),</w:t>
      </w:r>
    </w:p>
    <w:p>
      <w:pPr>
        <w:pStyle w:val="Subsection"/>
      </w:pPr>
      <w:r>
        <w:tab/>
      </w:r>
      <w:r>
        <w:tab/>
        <w:t>constitute a quorum.</w:t>
      </w:r>
    </w:p>
    <w:p>
      <w:pPr>
        <w:pStyle w:val="Heading5"/>
      </w:pPr>
      <w:bookmarkStart w:id="100" w:name="_Toc377108759"/>
      <w:bookmarkStart w:id="101" w:name="_Toc413148099"/>
      <w:r>
        <w:rPr>
          <w:rStyle w:val="CharSectno"/>
        </w:rPr>
        <w:t>42</w:t>
      </w:r>
      <w:r>
        <w:t>.</w:t>
      </w:r>
      <w:r>
        <w:tab/>
        <w:t>Voting</w:t>
      </w:r>
      <w:bookmarkEnd w:id="100"/>
      <w:bookmarkEnd w:id="101"/>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02" w:name="_Toc377108760"/>
      <w:bookmarkStart w:id="103" w:name="_Toc413148100"/>
      <w:r>
        <w:rPr>
          <w:rStyle w:val="CharSectno"/>
        </w:rPr>
        <w:t>43</w:t>
      </w:r>
      <w:r>
        <w:t>.</w:t>
      </w:r>
      <w:r>
        <w:tab/>
        <w:t>Attending meeting remotely</w:t>
      </w:r>
      <w:bookmarkEnd w:id="102"/>
      <w:bookmarkEnd w:id="103"/>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04" w:name="_Toc377108761"/>
      <w:bookmarkStart w:id="105" w:name="_Toc413148101"/>
      <w:r>
        <w:rPr>
          <w:rStyle w:val="CharSectno"/>
        </w:rPr>
        <w:t>44</w:t>
      </w:r>
      <w:r>
        <w:t>.</w:t>
      </w:r>
      <w:r>
        <w:tab/>
        <w:t>Minutes</w:t>
      </w:r>
      <w:bookmarkEnd w:id="104"/>
      <w:bookmarkEnd w:id="105"/>
    </w:p>
    <w:p>
      <w:pPr>
        <w:pStyle w:val="Subsection"/>
      </w:pPr>
      <w:r>
        <w:tab/>
        <w:t>(1)</w:t>
      </w:r>
      <w:r>
        <w:tab/>
        <w:t xml:space="preserve">Accurate minutes of a meeting of a DAP must be kept, in a form approved by the Planning CEO, by — </w:t>
      </w:r>
    </w:p>
    <w:p>
      <w:pPr>
        <w:pStyle w:val="Indenta"/>
      </w:pPr>
      <w:r>
        <w:tab/>
        <w:t>(a)</w:t>
      </w:r>
      <w:r>
        <w:tab/>
        <w:t>an officer of the local government at whose offices the DAP meeting is held; or</w:t>
      </w:r>
    </w:p>
    <w:p>
      <w:pPr>
        <w:pStyle w:val="Indenta"/>
      </w:pPr>
      <w:r>
        <w:tab/>
        <w:t>(b)</w:t>
      </w:r>
      <w:r>
        <w:tab/>
        <w:t>another person approved by the Planning CEO.</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Planning CEO.</w:t>
      </w:r>
    </w:p>
    <w:p>
      <w:pPr>
        <w:pStyle w:val="Footnotesection"/>
      </w:pPr>
      <w:r>
        <w:tab/>
        <w:t>[Regulation 44 amended in Gazette 25 Jan 2013 p. 272</w:t>
      </w:r>
      <w:r>
        <w:noBreakHyphen/>
        <w:t>3.]</w:t>
      </w:r>
    </w:p>
    <w:p>
      <w:pPr>
        <w:pStyle w:val="Heading3"/>
      </w:pPr>
      <w:bookmarkStart w:id="106" w:name="_Toc377108762"/>
      <w:bookmarkStart w:id="107" w:name="_Toc413148102"/>
      <w:r>
        <w:rPr>
          <w:rStyle w:val="CharDivNo"/>
        </w:rPr>
        <w:t>Division 4</w:t>
      </w:r>
      <w:r>
        <w:t> — </w:t>
      </w:r>
      <w:r>
        <w:rPr>
          <w:rStyle w:val="CharDivText"/>
        </w:rPr>
        <w:t>Conduct of DAP members</w:t>
      </w:r>
      <w:bookmarkEnd w:id="106"/>
      <w:bookmarkEnd w:id="107"/>
    </w:p>
    <w:p>
      <w:pPr>
        <w:pStyle w:val="Heading5"/>
      </w:pPr>
      <w:bookmarkStart w:id="108" w:name="_Toc377108763"/>
      <w:bookmarkStart w:id="109" w:name="_Toc413148103"/>
      <w:r>
        <w:rPr>
          <w:rStyle w:val="CharSectno"/>
        </w:rPr>
        <w:t>45</w:t>
      </w:r>
      <w:r>
        <w:t>.</w:t>
      </w:r>
      <w:r>
        <w:tab/>
        <w:t>Code of conduct</w:t>
      </w:r>
      <w:bookmarkEnd w:id="108"/>
      <w:bookmarkEnd w:id="109"/>
    </w:p>
    <w:p>
      <w:pPr>
        <w:pStyle w:val="Subsection"/>
      </w:pPr>
      <w:r>
        <w:tab/>
        <w:t>(1)</w:t>
      </w:r>
      <w:r>
        <w:tab/>
        <w:t>The Planning CEO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Planning CEO may amend the code of conduct from time to time.</w:t>
      </w:r>
    </w:p>
    <w:p>
      <w:pPr>
        <w:pStyle w:val="Footnotesection"/>
      </w:pPr>
      <w:r>
        <w:tab/>
        <w:t>[Regulation 45 amended in Gazette 25 Jan 2013 p. 272</w:t>
      </w:r>
      <w:r>
        <w:noBreakHyphen/>
        <w:t>3.]</w:t>
      </w:r>
    </w:p>
    <w:p>
      <w:pPr>
        <w:pStyle w:val="Heading5"/>
      </w:pPr>
      <w:bookmarkStart w:id="110" w:name="_Toc377108764"/>
      <w:bookmarkStart w:id="111" w:name="_Toc413148104"/>
      <w:r>
        <w:rPr>
          <w:rStyle w:val="CharSectno"/>
        </w:rPr>
        <w:t>46</w:t>
      </w:r>
      <w:r>
        <w:t>.</w:t>
      </w:r>
      <w:r>
        <w:tab/>
        <w:t>Gifts</w:t>
      </w:r>
      <w:bookmarkEnd w:id="110"/>
      <w:bookmarkEnd w:id="111"/>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Planning CEO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Planning CEO must maintain a register of gifts in which details of notices received under subregulation (4) are recorded.</w:t>
      </w:r>
    </w:p>
    <w:p>
      <w:pPr>
        <w:pStyle w:val="Footnotesection"/>
      </w:pPr>
      <w:r>
        <w:tab/>
        <w:t>[Regulation 46 amended in Gazette 25 Jan 2013 p. 272</w:t>
      </w:r>
      <w:r>
        <w:noBreakHyphen/>
        <w:t>3.]</w:t>
      </w:r>
    </w:p>
    <w:p>
      <w:pPr>
        <w:pStyle w:val="Heading5"/>
      </w:pPr>
      <w:bookmarkStart w:id="112" w:name="_Toc377108765"/>
      <w:bookmarkStart w:id="113" w:name="_Toc413148105"/>
      <w:r>
        <w:rPr>
          <w:rStyle w:val="CharSectno"/>
        </w:rPr>
        <w:t>47</w:t>
      </w:r>
      <w:r>
        <w:t>.</w:t>
      </w:r>
      <w:r>
        <w:tab/>
        <w:t>Relations with local government and public sector employees</w:t>
      </w:r>
      <w:bookmarkEnd w:id="112"/>
      <w:bookmarkEnd w:id="113"/>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14" w:name="_Toc377108766"/>
      <w:bookmarkStart w:id="115" w:name="_Toc413148106"/>
      <w:r>
        <w:rPr>
          <w:rStyle w:val="CharSectno"/>
        </w:rPr>
        <w:t>48</w:t>
      </w:r>
      <w:r>
        <w:t>.</w:t>
      </w:r>
      <w:r>
        <w:tab/>
        <w:t>Public comment</w:t>
      </w:r>
      <w:bookmarkEnd w:id="114"/>
      <w:bookmarkEnd w:id="115"/>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16" w:name="_Toc377108767"/>
      <w:bookmarkStart w:id="117" w:name="_Toc413148107"/>
      <w:r>
        <w:rPr>
          <w:rStyle w:val="CharPartNo"/>
        </w:rPr>
        <w:t>Part 5</w:t>
      </w:r>
      <w:r>
        <w:rPr>
          <w:rStyle w:val="CharDivNo"/>
        </w:rPr>
        <w:t> </w:t>
      </w:r>
      <w:r>
        <w:t>—</w:t>
      </w:r>
      <w:r>
        <w:rPr>
          <w:rStyle w:val="CharDivText"/>
        </w:rPr>
        <w:t> </w:t>
      </w:r>
      <w:r>
        <w:rPr>
          <w:rStyle w:val="CharPartText"/>
        </w:rPr>
        <w:t>Administration</w:t>
      </w:r>
      <w:bookmarkEnd w:id="116"/>
      <w:bookmarkEnd w:id="117"/>
    </w:p>
    <w:p>
      <w:pPr>
        <w:pStyle w:val="Heading5"/>
      </w:pPr>
      <w:bookmarkStart w:id="118" w:name="_Toc377108768"/>
      <w:bookmarkStart w:id="119" w:name="_Toc413148108"/>
      <w:r>
        <w:rPr>
          <w:rStyle w:val="CharSectno"/>
        </w:rPr>
        <w:t>49</w:t>
      </w:r>
      <w:r>
        <w:t>.</w:t>
      </w:r>
      <w:r>
        <w:tab/>
        <w:t>Administrative officer</w:t>
      </w:r>
      <w:bookmarkEnd w:id="118"/>
      <w:bookmarkEnd w:id="119"/>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Planning CEO must make a departmental officer available to provide services to a DAP as its administrative officer.</w:t>
      </w:r>
    </w:p>
    <w:p>
      <w:pPr>
        <w:pStyle w:val="Footnotesection"/>
      </w:pPr>
      <w:r>
        <w:tab/>
        <w:t>[Regulation 49 amended in Gazette 25 Jan 2013 p. 272</w:t>
      </w:r>
      <w:r>
        <w:noBreakHyphen/>
        <w:t>3.]</w:t>
      </w:r>
    </w:p>
    <w:p>
      <w:pPr>
        <w:pStyle w:val="Heading5"/>
      </w:pPr>
      <w:bookmarkStart w:id="120" w:name="_Toc377108769"/>
      <w:bookmarkStart w:id="121" w:name="_Toc413148109"/>
      <w:r>
        <w:rPr>
          <w:rStyle w:val="CharSectno"/>
        </w:rPr>
        <w:t>50</w:t>
      </w:r>
      <w:r>
        <w:t>.</w:t>
      </w:r>
      <w:r>
        <w:tab/>
        <w:t>Other staff and facilities</w:t>
      </w:r>
      <w:bookmarkEnd w:id="120"/>
      <w:bookmarkEnd w:id="121"/>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22" w:name="_Toc377108770"/>
      <w:bookmarkStart w:id="123" w:name="_Toc413148110"/>
      <w:r>
        <w:rPr>
          <w:rStyle w:val="CharSectno"/>
        </w:rPr>
        <w:t>51</w:t>
      </w:r>
      <w:r>
        <w:t>.</w:t>
      </w:r>
      <w:r>
        <w:tab/>
        <w:t>DAP website</w:t>
      </w:r>
      <w:bookmarkEnd w:id="122"/>
      <w:bookmarkEnd w:id="123"/>
    </w:p>
    <w:p>
      <w:pPr>
        <w:pStyle w:val="Subsection"/>
        <w:keepNext/>
        <w:keepLines/>
      </w:pPr>
      <w:r>
        <w:tab/>
      </w:r>
      <w:r>
        <w:tab/>
        <w:t xml:space="preserve">The Planning CEO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Planning CEO considers appropriate.</w:t>
      </w:r>
    </w:p>
    <w:p>
      <w:pPr>
        <w:pStyle w:val="Footnotesection"/>
      </w:pPr>
      <w:r>
        <w:tab/>
        <w:t>[Regulation 51 amended in Gazette 25 Jan 2013 p. 272</w:t>
      </w:r>
      <w:r>
        <w:noBreakHyphen/>
        <w:t>3.]</w:t>
      </w:r>
    </w:p>
    <w:p>
      <w:pPr>
        <w:pStyle w:val="Heading5"/>
      </w:pPr>
      <w:bookmarkStart w:id="124" w:name="_Toc377108771"/>
      <w:bookmarkStart w:id="125" w:name="_Toc413148111"/>
      <w:r>
        <w:rPr>
          <w:rStyle w:val="CharSectno"/>
        </w:rPr>
        <w:t>52</w:t>
      </w:r>
      <w:r>
        <w:t>.</w:t>
      </w:r>
      <w:r>
        <w:tab/>
        <w:t>Minister may require information</w:t>
      </w:r>
      <w:bookmarkEnd w:id="124"/>
      <w:bookmarkEnd w:id="12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26" w:name="_Toc377108772"/>
      <w:bookmarkStart w:id="127" w:name="_Toc413148112"/>
      <w:r>
        <w:rPr>
          <w:rStyle w:val="CharSectno"/>
        </w:rPr>
        <w:t>53</w:t>
      </w:r>
      <w:r>
        <w:t>.</w:t>
      </w:r>
      <w:r>
        <w:tab/>
        <w:t>Annual report</w:t>
      </w:r>
      <w:bookmarkEnd w:id="126"/>
      <w:bookmarkEnd w:id="127"/>
    </w:p>
    <w:p>
      <w:pPr>
        <w:pStyle w:val="Subsection"/>
      </w:pPr>
      <w:r>
        <w:tab/>
        <w:t>(1)</w:t>
      </w:r>
      <w:r>
        <w:tab/>
        <w:t xml:space="preserve">The Planning CEO must include in the annual report prepared by the Planning CEO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Planning CEO considers relevant.</w:t>
      </w:r>
    </w:p>
    <w:p>
      <w:pPr>
        <w:pStyle w:val="Footnotesection"/>
      </w:pPr>
      <w:r>
        <w:tab/>
        <w:t>[Regulation 53 amended in Gazette 25 Jan 2013 p. 272</w:t>
      </w:r>
      <w:r>
        <w:noBreakHyphen/>
        <w:t>3.]</w:t>
      </w:r>
    </w:p>
    <w:p>
      <w:pPr>
        <w:pStyle w:val="Heading2"/>
      </w:pPr>
      <w:bookmarkStart w:id="128" w:name="_Toc377108773"/>
      <w:bookmarkStart w:id="129" w:name="_Toc413148113"/>
      <w:r>
        <w:rPr>
          <w:rStyle w:val="CharPartNo"/>
        </w:rPr>
        <w:t>Part 6</w:t>
      </w:r>
      <w:r>
        <w:rPr>
          <w:rStyle w:val="CharDivNo"/>
        </w:rPr>
        <w:t> </w:t>
      </w:r>
      <w:r>
        <w:t>—</w:t>
      </w:r>
      <w:r>
        <w:rPr>
          <w:rStyle w:val="CharDivText"/>
        </w:rPr>
        <w:t> </w:t>
      </w:r>
      <w:r>
        <w:rPr>
          <w:rStyle w:val="CharPartText"/>
        </w:rPr>
        <w:t>Miscellaneous</w:t>
      </w:r>
      <w:bookmarkEnd w:id="128"/>
      <w:bookmarkEnd w:id="129"/>
    </w:p>
    <w:p>
      <w:pPr>
        <w:pStyle w:val="Heading5"/>
      </w:pPr>
      <w:bookmarkStart w:id="130" w:name="_Toc377108774"/>
      <w:bookmarkStart w:id="131" w:name="_Toc413148114"/>
      <w:r>
        <w:rPr>
          <w:rStyle w:val="CharSectno"/>
        </w:rPr>
        <w:t>54</w:t>
      </w:r>
      <w:r>
        <w:t>.</w:t>
      </w:r>
      <w:r>
        <w:tab/>
        <w:t>Amendment or revocation of order establishing DAP: transitional provisions</w:t>
      </w:r>
      <w:bookmarkEnd w:id="130"/>
      <w:bookmarkEnd w:id="131"/>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32" w:name="_Toc377108775"/>
      <w:bookmarkStart w:id="133" w:name="_Toc413148115"/>
      <w:r>
        <w:rPr>
          <w:rStyle w:val="CharSectno"/>
        </w:rPr>
        <w:t>55</w:t>
      </w:r>
      <w:r>
        <w:t>.</w:t>
      </w:r>
      <w:r>
        <w:tab/>
        <w:t>Review of fees</w:t>
      </w:r>
      <w:bookmarkEnd w:id="132"/>
      <w:bookmarkEnd w:id="133"/>
    </w:p>
    <w:p>
      <w:pPr>
        <w:pStyle w:val="Subsection"/>
      </w:pPr>
      <w:r>
        <w:tab/>
      </w:r>
      <w:r>
        <w:tab/>
        <w:t xml:space="preserve">The Planning CEO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w:t>
      </w:r>
    </w:p>
    <w:p>
      <w:pPr>
        <w:pStyle w:val="ByCommand"/>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4" w:name="_Toc377108776"/>
      <w:bookmarkStart w:id="135" w:name="_Toc413148116"/>
      <w:r>
        <w:rPr>
          <w:rStyle w:val="CharSchNo"/>
        </w:rPr>
        <w:t>Schedule 1</w:t>
      </w:r>
      <w:r>
        <w:rPr>
          <w:rStyle w:val="CharSDivNo"/>
        </w:rPr>
        <w:t> </w:t>
      </w:r>
      <w:r>
        <w:t>—</w:t>
      </w:r>
      <w:r>
        <w:rPr>
          <w:rStyle w:val="CharSDivText"/>
        </w:rPr>
        <w:t> </w:t>
      </w:r>
      <w:r>
        <w:rPr>
          <w:rStyle w:val="CharSchText"/>
        </w:rPr>
        <w:t>Fees for applications</w:t>
      </w:r>
      <w:bookmarkEnd w:id="134"/>
      <w:bookmarkEnd w:id="135"/>
    </w:p>
    <w:p>
      <w:pPr>
        <w:pStyle w:val="yShoulderClause"/>
        <w:spacing w:after="120"/>
      </w:pPr>
      <w:r>
        <w:t>[r. 10 and 17]</w:t>
      </w:r>
    </w:p>
    <w:p>
      <w:pPr>
        <w:pStyle w:val="yFootnoteheading"/>
        <w:spacing w:after="120"/>
      </w:pPr>
      <w:r>
        <w:tab/>
        <w:t>[Heading inserted in Gazette 16 Jul 2013 p. 3249.]</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Application</w:t>
            </w:r>
          </w:p>
        </w:tc>
        <w:tc>
          <w:tcPr>
            <w:tcW w:w="2501" w:type="dxa"/>
            <w:tcBorders>
              <w:top w:val="single" w:sz="4" w:space="0" w:color="auto"/>
              <w:bottom w:val="single" w:sz="4" w:space="0" w:color="auto"/>
            </w:tcBorders>
          </w:tcPr>
          <w:p>
            <w:pPr>
              <w:pStyle w:val="yTableNAm"/>
            </w:pPr>
            <w:r>
              <w:rPr>
                <w:b/>
              </w:rPr>
              <w:t>Fee</w:t>
            </w:r>
          </w:p>
        </w:tc>
      </w:tr>
      <w:t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A DAP application where the estimated cost of the development is —</w:t>
            </w:r>
          </w:p>
        </w:tc>
        <w:tc>
          <w:tcPr>
            <w:tcW w:w="2501" w:type="dxa"/>
            <w:tcBorders>
              <w:top w:val="single" w:sz="4" w:space="0" w:color="auto"/>
            </w:tcBorders>
          </w:tcPr>
          <w:p>
            <w:pPr>
              <w:pStyle w:val="yTableNAm"/>
            </w:pPr>
          </w:p>
        </w:tc>
      </w:tr>
      <w:tr>
        <w:tc>
          <w:tcPr>
            <w:tcW w:w="567" w:type="dxa"/>
          </w:tcPr>
          <w:p>
            <w:pPr>
              <w:pStyle w:val="zyTableNAm"/>
            </w:pPr>
          </w:p>
        </w:tc>
        <w:tc>
          <w:tcPr>
            <w:tcW w:w="3969" w:type="dxa"/>
          </w:tcPr>
          <w:p>
            <w:pPr>
              <w:pStyle w:val="yTableNAm"/>
              <w:tabs>
                <w:tab w:val="clear" w:pos="567"/>
                <w:tab w:val="left" w:pos="601"/>
              </w:tabs>
              <w:ind w:left="601" w:hanging="601"/>
            </w:pPr>
            <w:r>
              <w:t>(a)</w:t>
            </w:r>
            <w:r>
              <w:tab/>
              <w:t>not less than $3 million and less than $7 million</w:t>
            </w:r>
          </w:p>
        </w:tc>
        <w:tc>
          <w:tcPr>
            <w:tcW w:w="2501" w:type="dxa"/>
          </w:tcPr>
          <w:p>
            <w:pPr>
              <w:pStyle w:val="yTableNAm"/>
            </w:pPr>
            <w:r>
              <w:br/>
              <w:t>$3 503</w:t>
            </w:r>
          </w:p>
        </w:tc>
      </w:tr>
      <w:tr>
        <w:tc>
          <w:tcPr>
            <w:tcW w:w="567" w:type="dxa"/>
          </w:tcPr>
          <w:p>
            <w:pPr>
              <w:pStyle w:val="zyTableNAm"/>
            </w:pPr>
          </w:p>
        </w:tc>
        <w:tc>
          <w:tcPr>
            <w:tcW w:w="3969" w:type="dxa"/>
          </w:tcPr>
          <w:p>
            <w:pPr>
              <w:pStyle w:val="yTableNAm"/>
              <w:tabs>
                <w:tab w:val="clear" w:pos="567"/>
                <w:tab w:val="left" w:pos="601"/>
              </w:tabs>
              <w:ind w:left="601" w:hanging="601"/>
            </w:pPr>
            <w:r>
              <w:t>(b)</w:t>
            </w:r>
            <w:r>
              <w:tab/>
              <w:t>not less than $7 million and less than $10 million</w:t>
            </w:r>
          </w:p>
        </w:tc>
        <w:tc>
          <w:tcPr>
            <w:tcW w:w="2501" w:type="dxa"/>
          </w:tcPr>
          <w:p>
            <w:pPr>
              <w:pStyle w:val="yTableNAm"/>
            </w:pPr>
            <w:r>
              <w:br/>
              <w:t>$5 409</w:t>
            </w:r>
          </w:p>
        </w:tc>
      </w:tr>
      <w:tr>
        <w:tc>
          <w:tcPr>
            <w:tcW w:w="567" w:type="dxa"/>
          </w:tcPr>
          <w:p>
            <w:pPr>
              <w:pStyle w:val="zyTableNAm"/>
            </w:pPr>
          </w:p>
        </w:tc>
        <w:tc>
          <w:tcPr>
            <w:tcW w:w="3969" w:type="dxa"/>
          </w:tcPr>
          <w:p>
            <w:pPr>
              <w:pStyle w:val="yTableNAm"/>
              <w:tabs>
                <w:tab w:val="clear" w:pos="567"/>
                <w:tab w:val="left" w:pos="601"/>
              </w:tabs>
              <w:ind w:left="601" w:hanging="601"/>
            </w:pPr>
            <w:r>
              <w:t>(c)</w:t>
            </w:r>
            <w:r>
              <w:tab/>
              <w:t>not less than $10 million and less than $12.5 million</w:t>
            </w:r>
          </w:p>
        </w:tc>
        <w:tc>
          <w:tcPr>
            <w:tcW w:w="2501" w:type="dxa"/>
          </w:tcPr>
          <w:p>
            <w:pPr>
              <w:pStyle w:val="yTableNAm"/>
            </w:pPr>
            <w:r>
              <w:br/>
              <w:t>$5 885</w:t>
            </w:r>
          </w:p>
        </w:tc>
      </w:tr>
      <w:tr>
        <w:tc>
          <w:tcPr>
            <w:tcW w:w="567" w:type="dxa"/>
          </w:tcPr>
          <w:p>
            <w:pPr>
              <w:pStyle w:val="zyTableNAm"/>
            </w:pPr>
          </w:p>
        </w:tc>
        <w:tc>
          <w:tcPr>
            <w:tcW w:w="3969" w:type="dxa"/>
          </w:tcPr>
          <w:p>
            <w:pPr>
              <w:pStyle w:val="yTableNAm"/>
              <w:tabs>
                <w:tab w:val="clear" w:pos="567"/>
                <w:tab w:val="left" w:pos="601"/>
              </w:tabs>
              <w:ind w:left="601" w:hanging="601"/>
            </w:pPr>
            <w:r>
              <w:t>(d)</w:t>
            </w:r>
            <w:r>
              <w:tab/>
              <w:t>not less than $12.5 million and less than $15 million</w:t>
            </w:r>
          </w:p>
        </w:tc>
        <w:tc>
          <w:tcPr>
            <w:tcW w:w="2501" w:type="dxa"/>
          </w:tcPr>
          <w:p>
            <w:pPr>
              <w:pStyle w:val="yTableNAm"/>
            </w:pPr>
            <w:r>
              <w:br/>
              <w:t>$6 053</w:t>
            </w:r>
          </w:p>
        </w:tc>
      </w:tr>
      <w:tr>
        <w:tc>
          <w:tcPr>
            <w:tcW w:w="567" w:type="dxa"/>
          </w:tcPr>
          <w:p>
            <w:pPr>
              <w:pStyle w:val="zyTableNAm"/>
            </w:pPr>
          </w:p>
        </w:tc>
        <w:tc>
          <w:tcPr>
            <w:tcW w:w="3969" w:type="dxa"/>
          </w:tcPr>
          <w:p>
            <w:pPr>
              <w:pStyle w:val="yTableNAm"/>
              <w:tabs>
                <w:tab w:val="clear" w:pos="567"/>
                <w:tab w:val="left" w:pos="601"/>
              </w:tabs>
              <w:ind w:left="601" w:hanging="601"/>
            </w:pPr>
            <w:r>
              <w:t>(e)</w:t>
            </w:r>
            <w:r>
              <w:tab/>
              <w:t>not less than $15 million and less than $17.5 million</w:t>
            </w:r>
          </w:p>
        </w:tc>
        <w:tc>
          <w:tcPr>
            <w:tcW w:w="2501" w:type="dxa"/>
          </w:tcPr>
          <w:p>
            <w:pPr>
              <w:pStyle w:val="yTableNAm"/>
            </w:pPr>
            <w:r>
              <w:br/>
              <w:t>$6 221</w:t>
            </w:r>
          </w:p>
        </w:tc>
      </w:tr>
      <w:tr>
        <w:tc>
          <w:tcPr>
            <w:tcW w:w="567" w:type="dxa"/>
          </w:tcPr>
          <w:p>
            <w:pPr>
              <w:pStyle w:val="zyTableNAm"/>
            </w:pPr>
          </w:p>
        </w:tc>
        <w:tc>
          <w:tcPr>
            <w:tcW w:w="3969" w:type="dxa"/>
          </w:tcPr>
          <w:p>
            <w:pPr>
              <w:pStyle w:val="yTableNAm"/>
              <w:tabs>
                <w:tab w:val="clear" w:pos="567"/>
                <w:tab w:val="left" w:pos="601"/>
              </w:tabs>
              <w:ind w:left="601" w:hanging="601"/>
            </w:pPr>
            <w:r>
              <w:t>(f)</w:t>
            </w:r>
            <w:r>
              <w:tab/>
              <w:t>not less than $17.5 million and less than $20 million</w:t>
            </w:r>
          </w:p>
        </w:tc>
        <w:tc>
          <w:tcPr>
            <w:tcW w:w="2501" w:type="dxa"/>
          </w:tcPr>
          <w:p>
            <w:pPr>
              <w:pStyle w:val="yTableNAm"/>
            </w:pPr>
            <w:r>
              <w:br/>
              <w:t>$6 390</w:t>
            </w:r>
          </w:p>
        </w:tc>
      </w:tr>
      <w:tr>
        <w:tc>
          <w:tcPr>
            <w:tcW w:w="567" w:type="dxa"/>
          </w:tcPr>
          <w:p>
            <w:pPr>
              <w:pStyle w:val="zyTableNAm"/>
            </w:pPr>
          </w:p>
        </w:tc>
        <w:tc>
          <w:tcPr>
            <w:tcW w:w="3969" w:type="dxa"/>
          </w:tcPr>
          <w:p>
            <w:pPr>
              <w:pStyle w:val="yTableNAm"/>
              <w:tabs>
                <w:tab w:val="clear" w:pos="567"/>
                <w:tab w:val="left" w:pos="601"/>
              </w:tabs>
              <w:ind w:left="601" w:hanging="601"/>
            </w:pPr>
            <w:r>
              <w:t>(g)</w:t>
            </w:r>
            <w:r>
              <w:tab/>
              <w:t>$20 million or more</w:t>
            </w:r>
          </w:p>
        </w:tc>
        <w:tc>
          <w:tcPr>
            <w:tcW w:w="2501" w:type="dxa"/>
          </w:tcPr>
          <w:p>
            <w:pPr>
              <w:pStyle w:val="yTableNAm"/>
            </w:pPr>
            <w:r>
              <w:t>$6 557</w:t>
            </w:r>
          </w:p>
        </w:tc>
      </w:tr>
      <w:t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An application under r. 17</w:t>
            </w:r>
          </w:p>
        </w:tc>
        <w:tc>
          <w:tcPr>
            <w:tcW w:w="2501" w:type="dxa"/>
            <w:tcBorders>
              <w:bottom w:val="single" w:sz="4" w:space="0" w:color="auto"/>
            </w:tcBorders>
          </w:tcPr>
          <w:p>
            <w:pPr>
              <w:pStyle w:val="yTableNAm"/>
            </w:pPr>
            <w:r>
              <w:t>$150</w:t>
            </w:r>
          </w:p>
        </w:tc>
      </w:tr>
    </w:tbl>
    <w:p>
      <w:pPr>
        <w:pStyle w:val="yFootnotesection"/>
      </w:pPr>
      <w:r>
        <w:tab/>
        <w:t>[Schedule 1 inserted in Gazette 16 Jul 2013 p. 3249-50.]</w:t>
      </w:r>
    </w:p>
    <w:p>
      <w:pPr>
        <w:pStyle w:val="yScheduleHeading"/>
      </w:pPr>
      <w:bookmarkStart w:id="136" w:name="_Toc377108777"/>
      <w:bookmarkStart w:id="137" w:name="_Toc413148117"/>
      <w:r>
        <w:rPr>
          <w:rStyle w:val="CharSchNo"/>
        </w:rPr>
        <w:t>Schedule 2</w:t>
      </w:r>
      <w:r>
        <w:rPr>
          <w:rStyle w:val="CharSDivNo"/>
        </w:rPr>
        <w:t> </w:t>
      </w:r>
      <w:r>
        <w:t>—</w:t>
      </w:r>
      <w:r>
        <w:rPr>
          <w:rStyle w:val="CharSDivText"/>
        </w:rPr>
        <w:t> </w:t>
      </w:r>
      <w:r>
        <w:rPr>
          <w:rStyle w:val="CharSchText"/>
        </w:rPr>
        <w:t>Fees for DAP members</w:t>
      </w:r>
      <w:bookmarkEnd w:id="136"/>
      <w:bookmarkEnd w:id="137"/>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39" w:name="_Toc377108778"/>
      <w:bookmarkStart w:id="140" w:name="_Toc413148118"/>
      <w:r>
        <w:rPr>
          <w:rStyle w:val="CharSchNo"/>
        </w:rPr>
        <w:t>Schedule 3</w:t>
      </w:r>
      <w:r>
        <w:t> — </w:t>
      </w:r>
      <w:r>
        <w:rPr>
          <w:rStyle w:val="CharSchText"/>
        </w:rPr>
        <w:t>Forms</w:t>
      </w:r>
      <w:bookmarkEnd w:id="139"/>
      <w:bookmarkEnd w:id="140"/>
    </w:p>
    <w:p>
      <w:pPr>
        <w:pStyle w:val="yFootnoteheading"/>
        <w:spacing w:after="60"/>
      </w:pPr>
      <w:r>
        <w:tab/>
        <w:t>[Heading inserted in Gazette 25 Jan 2013 p. 273.]</w:t>
      </w:r>
    </w:p>
    <w:p>
      <w:pPr>
        <w:pStyle w:val="yHeading5"/>
      </w:pPr>
      <w:bookmarkStart w:id="141" w:name="_Toc377108779"/>
      <w:bookmarkStart w:id="142" w:name="_Toc413148119"/>
      <w:r>
        <w:rPr>
          <w:rStyle w:val="CharSClsNo"/>
        </w:rPr>
        <w:t>1</w:t>
      </w:r>
      <w:r>
        <w:t>.</w:t>
      </w:r>
      <w:r>
        <w:tab/>
        <w:t>Notice of development application to be determined by DAP (r. 7, 10, 21)</w:t>
      </w:r>
      <w:bookmarkEnd w:id="141"/>
      <w:bookmarkEnd w:id="142"/>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keepNext/>
        <w:jc w:val="center"/>
        <w:rPr>
          <w:b/>
        </w:rPr>
      </w:pPr>
      <w:r>
        <w:rPr>
          <w:b/>
        </w:rPr>
        <w:t>Part B</w:t>
      </w:r>
    </w:p>
    <w:p>
      <w:pPr>
        <w:pStyle w:val="yMiscellaneousBody"/>
        <w:keepNext/>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keepNext/>
        <w:jc w:val="center"/>
        <w:rPr>
          <w:b/>
        </w:rPr>
      </w:pPr>
      <w:r>
        <w:rPr>
          <w:b/>
        </w:rPr>
        <w:t>Part C</w:t>
      </w:r>
    </w:p>
    <w:p>
      <w:pPr>
        <w:pStyle w:val="yMiscellaneousBody"/>
        <w:keepNext/>
        <w:jc w:val="center"/>
        <w:rPr>
          <w:b/>
          <w:szCs w:val="16"/>
        </w:rPr>
      </w:pPr>
      <w:r>
        <w:rPr>
          <w:b/>
          <w:szCs w:val="16"/>
        </w:rPr>
        <w:t>Acknowledgment by local government</w:t>
      </w:r>
    </w:p>
    <w:p>
      <w:pPr>
        <w:pStyle w:val="yMiscellaneousBody"/>
        <w:keepNext/>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143" w:name="_Toc377108780"/>
      <w:bookmarkStart w:id="144" w:name="_Toc413148120"/>
      <w:r>
        <w:rPr>
          <w:rStyle w:val="CharSClsNo"/>
        </w:rPr>
        <w:t>2</w:t>
      </w:r>
      <w:r>
        <w:t>.</w:t>
      </w:r>
      <w:r>
        <w:tab/>
        <w:t>Application for amendment or cancellation of development approval (r. 17, 21)</w:t>
      </w:r>
      <w:bookmarkEnd w:id="143"/>
      <w:bookmarkEnd w:id="144"/>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45" w:name="_Toc377108781"/>
      <w:bookmarkStart w:id="146" w:name="_Toc413148121"/>
      <w:r>
        <w:t>Notes</w:t>
      </w:r>
      <w:bookmarkEnd w:id="145"/>
      <w:bookmarkEnd w:id="146"/>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147" w:name="_Toc377108782"/>
      <w:bookmarkStart w:id="148" w:name="_Toc413148122"/>
      <w:r>
        <w:t>Compilation table</w:t>
      </w:r>
      <w:bookmarkEnd w:id="147"/>
      <w:bookmarkEnd w:id="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single" w:sz="8" w:space="0" w:color="auto"/>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single" w:sz="8" w:space="0" w:color="auto"/>
            </w:tcBorders>
            <w:shd w:val="clear" w:color="auto" w:fill="auto"/>
          </w:tcPr>
          <w:p>
            <w:pPr>
              <w:pStyle w:val="nTable"/>
              <w:spacing w:after="40"/>
            </w:pPr>
            <w:r>
              <w:t>16 Jul 2013 p. 3249</w:t>
            </w:r>
            <w:r>
              <w:noBreakHyphen/>
              <w:t>50</w:t>
            </w:r>
          </w:p>
        </w:tc>
        <w:tc>
          <w:tcPr>
            <w:tcW w:w="2693" w:type="dxa"/>
            <w:tcBorders>
              <w:top w:val="nil"/>
              <w:bottom w:val="single" w:sz="8" w:space="0" w:color="auto"/>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CEO</w:t>
      </w:r>
      <w:r>
        <w:tab/>
        <w:t>3(1)</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local government</w:t>
      </w:r>
      <w:r>
        <w:tab/>
        <w:t>25(2)</w:t>
      </w:r>
    </w:p>
    <w:p>
      <w:pPr>
        <w:pStyle w:val="DefinedTerms"/>
      </w:pPr>
      <w:r>
        <w:t>single house</w:t>
      </w:r>
      <w:r>
        <w:tab/>
        <w:t>3(2)</w:t>
      </w:r>
    </w:p>
    <w:p>
      <w:pPr>
        <w:pStyle w:val="DefinedTerms"/>
      </w:pPr>
      <w:r>
        <w:t>specialist member</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265C0"/>
    <w:multiLevelType w:val="hybridMultilevel"/>
    <w:tmpl w:val="ED2EAEB0"/>
    <w:lvl w:ilvl="0" w:tplc="04090001">
      <w:start w:val="1"/>
      <w:numFmt w:val="bullet"/>
      <w:lvlText w:val=""/>
      <w:lvlJc w:val="left"/>
      <w:pPr>
        <w:tabs>
          <w:tab w:val="num" w:pos="1208"/>
        </w:tabs>
        <w:ind w:left="1208" w:hanging="360"/>
      </w:pPr>
      <w:rPr>
        <w:rFonts w:ascii="Symbol" w:hAnsi="Symbol"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9005D8"/>
    <w:multiLevelType w:val="hybridMultilevel"/>
    <w:tmpl w:val="B1047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7A7C67"/>
    <w:multiLevelType w:val="hybridMultilevel"/>
    <w:tmpl w:val="8B4AF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17"/>
  </w:num>
  <w:num w:numId="17">
    <w:abstractNumId w:val="26"/>
  </w:num>
  <w:num w:numId="18">
    <w:abstractNumId w:val="15"/>
  </w:num>
  <w:num w:numId="19">
    <w:abstractNumId w:val="32"/>
  </w:num>
  <w:num w:numId="20">
    <w:abstractNumId w:val="10"/>
  </w:num>
  <w:num w:numId="21">
    <w:abstractNumId w:val="24"/>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126"/>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208160126" w:val="RemoveTrackChanges"/>
    <w:docVar w:name="WAFER_20151208160126_GUID" w:val="991c1b21-4a65-4fdc-a03a-b9eeb8c97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2780-F4A0-460E-A753-5C0CAEB0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11310</Words>
  <Characters>56100</Characters>
  <Application>Microsoft Office Word</Application>
  <DocSecurity>0</DocSecurity>
  <Lines>1753</Lines>
  <Paragraphs>1069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2011 - 00-d0-03</dc:title>
  <dc:subject/>
  <dc:creator/>
  <cp:keywords/>
  <dc:description/>
  <cp:lastModifiedBy>svcMRProcess</cp:lastModifiedBy>
  <cp:revision>4</cp:revision>
  <cp:lastPrinted>2013-01-30T01:18:00Z</cp:lastPrinted>
  <dcterms:created xsi:type="dcterms:W3CDTF">2018-09-18T16:26:00Z</dcterms:created>
  <dcterms:modified xsi:type="dcterms:W3CDTF">2018-09-18T16:26:00Z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20130801</vt:lpwstr>
  </property>
  <property fmtid="{D5CDD505-2E9C-101B-9397-08002B2CF9AE}" pid="4" name="DocumentType">
    <vt:lpwstr>Reg</vt:lpwstr>
  </property>
  <property fmtid="{D5CDD505-2E9C-101B-9397-08002B2CF9AE}" pid="5" name="AsAtDate">
    <vt:lpwstr>01 Aug 2013</vt:lpwstr>
  </property>
  <property fmtid="{D5CDD505-2E9C-101B-9397-08002B2CF9AE}" pid="6" name="Suffix">
    <vt:lpwstr>00-d0-03</vt:lpwstr>
  </property>
</Properties>
</file>