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Women’s Legal Status Act 1923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Women’s Legal Status Act 1923</w:t>
      </w:r>
      <w:r>
        <w:fldChar w:fldCharType="end"/>
      </w:r>
    </w:p>
    <w:p>
      <w:pPr>
        <w:pStyle w:val="Arrangement"/>
      </w:pPr>
      <w:r>
        <w:t>CONTENTS</w:t>
      </w:r>
    </w:p>
    <w:p>
      <w:pPr>
        <w:pStyle w:val="TOC4"/>
        <w:tabs>
          <w:tab w:val="left" w:pos="1701"/>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_Toc61172225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2</w:t>
      </w:r>
      <w:r>
        <w:rPr>
          <w:noProof/>
          <w:snapToGrid w:val="0"/>
        </w:rPr>
        <w:t>.</w:t>
      </w:r>
      <w:r>
        <w:rPr>
          <w:noProof/>
        </w:rPr>
        <w:tab/>
      </w:r>
      <w:r>
        <w:rPr>
          <w:noProof/>
          <w:snapToGrid w:val="0"/>
        </w:rPr>
        <w:t>Removal of disqualification on grounds of sex</w:t>
      </w:r>
      <w:r>
        <w:rPr>
          <w:noProof/>
        </w:rPr>
        <w:tab/>
      </w:r>
      <w:r>
        <w:rPr>
          <w:noProof/>
        </w:rPr>
        <w:fldChar w:fldCharType="begin"/>
      </w:r>
      <w:r>
        <w:rPr>
          <w:noProof/>
        </w:rPr>
        <w:instrText xml:space="preserve"> PAGEREF _Toc61172226 \h </w:instrText>
      </w:r>
      <w:r>
        <w:rPr>
          <w:noProof/>
        </w:rPr>
      </w:r>
      <w:r>
        <w:rPr>
          <w:noProof/>
        </w:rPr>
        <w:fldChar w:fldCharType="separate"/>
      </w:r>
      <w:r>
        <w:rPr>
          <w:noProof/>
        </w:rPr>
        <w:t>1</w:t>
      </w:r>
      <w:r>
        <w:rPr>
          <w:noProof/>
        </w:rPr>
        <w:fldChar w:fldCharType="end"/>
      </w:r>
    </w:p>
    <w:p>
      <w:pPr>
        <w:pStyle w:val="TOC2"/>
        <w:tabs>
          <w:tab w:val="right" w:pos="7086"/>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_Toc61172227 \h </w:instrText>
      </w:r>
      <w:r>
        <w:rPr>
          <w:noProof/>
        </w:rPr>
      </w:r>
      <w:r>
        <w:rPr>
          <w:noProof/>
        </w:rPr>
        <w:fldChar w:fldCharType="separate"/>
      </w:r>
      <w:r>
        <w:rPr>
          <w:noProof/>
        </w:rPr>
        <w:t>2</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Women’s Legal Status Act 1923 </w:t>
      </w:r>
    </w:p>
    <w:p>
      <w:pPr>
        <w:pStyle w:val="LongTitle"/>
        <w:rPr>
          <w:snapToGrid w:val="0"/>
        </w:rPr>
      </w:pPr>
      <w:r>
        <w:rPr>
          <w:snapToGrid w:val="0"/>
        </w:rPr>
        <w:t xml:space="preserve">An Act to amend the Law with respect to Disqualifications on account of Sex. </w:t>
      </w:r>
    </w:p>
    <w:p>
      <w:pPr>
        <w:pStyle w:val="AssentNote"/>
      </w:pPr>
      <w:r>
        <w:t xml:space="preserve">[Assented to 22 December 1923.]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1" w:name="_Toc61172167"/>
      <w:bookmarkStart w:id="2" w:name="_Toc61172225"/>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Women’s Legal Status Act 1923</w:t>
      </w:r>
      <w:r>
        <w:rPr>
          <w:snapToGrid w:val="0"/>
        </w:rPr>
        <w:t>.</w:t>
      </w:r>
    </w:p>
    <w:p>
      <w:pPr>
        <w:pStyle w:val="Heading5"/>
        <w:rPr>
          <w:snapToGrid w:val="0"/>
        </w:rPr>
      </w:pPr>
      <w:bookmarkStart w:id="3" w:name="_Toc61172168"/>
      <w:bookmarkStart w:id="4" w:name="_Toc61172226"/>
      <w:r>
        <w:rPr>
          <w:rStyle w:val="CharSectno"/>
        </w:rPr>
        <w:t>2</w:t>
      </w:r>
      <w:r>
        <w:rPr>
          <w:snapToGrid w:val="0"/>
        </w:rPr>
        <w:t>.</w:t>
      </w:r>
      <w:r>
        <w:rPr>
          <w:snapToGrid w:val="0"/>
        </w:rPr>
        <w:tab/>
        <w:t>Removal of disqualification on grounds of sex</w:t>
      </w:r>
      <w:bookmarkEnd w:id="3"/>
      <w:bookmarkEnd w:id="4"/>
      <w:r>
        <w:rPr>
          <w:snapToGrid w:val="0"/>
        </w:rPr>
        <w:t xml:space="preserve"> </w:t>
      </w:r>
    </w:p>
    <w:p>
      <w:pPr>
        <w:pStyle w:val="Subsection"/>
        <w:rPr>
          <w:snapToGrid w:val="0"/>
        </w:rPr>
      </w:pPr>
      <w:r>
        <w:rPr>
          <w:snapToGrid w:val="0"/>
        </w:rPr>
        <w:tab/>
      </w:r>
      <w:r>
        <w:rPr>
          <w:snapToGrid w:val="0"/>
        </w:rPr>
        <w:tab/>
        <w:t>A person shall not be disqualified by sex from the exercise of any public function, or from being appointed to or holding any civil or judicial office or post, or from being admitted and entitled to practise as a</w:t>
      </w:r>
      <w:r>
        <w:t xml:space="preserve"> legal practitioner (as defined in the </w:t>
      </w:r>
      <w:r>
        <w:rPr>
          <w:i/>
        </w:rPr>
        <w:t>Legal Practice Act 2003</w:t>
      </w:r>
      <w:r>
        <w:t>)</w:t>
      </w:r>
      <w:r>
        <w:rPr>
          <w:snapToGrid w:val="0"/>
        </w:rPr>
        <w:t>, or from entering or assuming or carrying on any other profession, any law or usage to the contrary notwithstanding.</w:t>
      </w:r>
    </w:p>
    <w:p>
      <w:pPr>
        <w:pStyle w:val="Footnotesection"/>
      </w:pPr>
      <w:r>
        <w:tab/>
        <w:t>[Section 2</w:t>
      </w:r>
      <w:bookmarkStart w:id="5" w:name="UpToHere"/>
      <w:bookmarkEnd w:id="5"/>
      <w:r>
        <w:t xml:space="preserve"> amended by No. 65 of 2003 s. 71.]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noProof/>
          <w:snapToGrid w:val="0"/>
        </w:rPr>
        <w:t>Women’s Legal Status Act 1923</w:t>
      </w:r>
      <w:r>
        <w:rPr>
          <w:snapToGrid w:val="0"/>
        </w:rPr>
        <w:t xml:space="preserve"> and includes the amendments made by the other written laws referred to in the following table.  </w:t>
      </w:r>
    </w:p>
    <w:p>
      <w:pPr>
        <w:pStyle w:val="nHeading3"/>
        <w:rPr>
          <w:snapToGrid w:val="0"/>
        </w:rPr>
      </w:pPr>
      <w:bookmarkStart w:id="6" w:name="_Toc61172227"/>
      <w:r>
        <w:rPr>
          <w:snapToGrid w:val="0"/>
        </w:rPr>
        <w:t>Compilation table</w:t>
      </w:r>
      <w:bookmarkEnd w:id="6"/>
    </w:p>
    <w:tbl>
      <w:tblPr>
        <w:tblW w:w="0" w:type="auto"/>
        <w:tblInd w:w="28" w:type="dxa"/>
        <w:tblLayout w:type="fixed"/>
        <w:tblCellMar>
          <w:left w:w="28" w:type="dxa"/>
          <w:right w:w="28" w:type="dxa"/>
        </w:tblCellMar>
        <w:tblLook w:val="0000" w:firstRow="0" w:lastRow="0" w:firstColumn="0" w:lastColumn="0" w:noHBand="0" w:noVBand="0"/>
      </w:tblPr>
      <w:tblGrid>
        <w:gridCol w:w="1701"/>
        <w:gridCol w:w="992"/>
        <w:gridCol w:w="1276"/>
        <w:gridCol w:w="1701"/>
        <w:gridCol w:w="1417"/>
      </w:tblGrid>
      <w:tr>
        <w:trPr>
          <w:tblHeader/>
        </w:trPr>
        <w:tc>
          <w:tcPr>
            <w:tcW w:w="1701" w:type="dxa"/>
            <w:tcBorders>
              <w:top w:val="single" w:sz="4" w:space="0" w:color="auto"/>
              <w:bottom w:val="single" w:sz="4" w:space="0" w:color="auto"/>
            </w:tcBorders>
          </w:tcPr>
          <w:p>
            <w:pPr>
              <w:pStyle w:val="nTable"/>
              <w:rPr>
                <w:b/>
              </w:rPr>
            </w:pPr>
            <w:r>
              <w:rPr>
                <w:b/>
              </w:rPr>
              <w:t>Act</w:t>
            </w:r>
          </w:p>
        </w:tc>
        <w:tc>
          <w:tcPr>
            <w:tcW w:w="992" w:type="dxa"/>
            <w:tcBorders>
              <w:top w:val="single" w:sz="4" w:space="0" w:color="auto"/>
              <w:bottom w:val="single" w:sz="4" w:space="0" w:color="auto"/>
            </w:tcBorders>
          </w:tcPr>
          <w:p>
            <w:pPr>
              <w:pStyle w:val="nTable"/>
              <w:rPr>
                <w:b/>
              </w:rPr>
            </w:pPr>
            <w:r>
              <w:rPr>
                <w:b/>
              </w:rPr>
              <w:t>Number and Year</w:t>
            </w:r>
          </w:p>
        </w:tc>
        <w:tc>
          <w:tcPr>
            <w:tcW w:w="1276" w:type="dxa"/>
            <w:tcBorders>
              <w:top w:val="single" w:sz="4" w:space="0" w:color="auto"/>
              <w:bottom w:val="single" w:sz="4" w:space="0" w:color="auto"/>
            </w:tcBorders>
          </w:tcPr>
          <w:p>
            <w:pPr>
              <w:pStyle w:val="nTable"/>
              <w:rPr>
                <w:b/>
              </w:rPr>
            </w:pPr>
            <w:r>
              <w:rPr>
                <w:b/>
              </w:rPr>
              <w:t>Assent</w:t>
            </w:r>
          </w:p>
        </w:tc>
        <w:tc>
          <w:tcPr>
            <w:tcW w:w="1701" w:type="dxa"/>
            <w:tcBorders>
              <w:top w:val="single" w:sz="4" w:space="0" w:color="auto"/>
              <w:bottom w:val="single" w:sz="4" w:space="0" w:color="auto"/>
            </w:tcBorders>
          </w:tcPr>
          <w:p>
            <w:pPr>
              <w:pStyle w:val="nTable"/>
              <w:rPr>
                <w:b/>
              </w:rPr>
            </w:pPr>
            <w:r>
              <w:rPr>
                <w:b/>
              </w:rPr>
              <w:t>Commencement</w:t>
            </w:r>
          </w:p>
        </w:tc>
        <w:tc>
          <w:tcPr>
            <w:tcW w:w="1417" w:type="dxa"/>
            <w:tcBorders>
              <w:top w:val="single" w:sz="4" w:space="0" w:color="auto"/>
              <w:bottom w:val="single" w:sz="4" w:space="0" w:color="auto"/>
            </w:tcBorders>
          </w:tcPr>
          <w:p>
            <w:pPr>
              <w:pStyle w:val="nTable"/>
              <w:rPr>
                <w:b/>
              </w:rPr>
            </w:pPr>
            <w:r>
              <w:rPr>
                <w:b/>
              </w:rPr>
              <w:t>Miscellaneous</w:t>
            </w:r>
          </w:p>
        </w:tc>
      </w:tr>
      <w:tr>
        <w:tc>
          <w:tcPr>
            <w:tcW w:w="1701" w:type="dxa"/>
          </w:tcPr>
          <w:p>
            <w:pPr>
              <w:pStyle w:val="nTable"/>
            </w:pPr>
            <w:r>
              <w:rPr>
                <w:i/>
              </w:rPr>
              <w:t>Women’s Legal Status Act 1923</w:t>
            </w:r>
          </w:p>
        </w:tc>
        <w:tc>
          <w:tcPr>
            <w:tcW w:w="992" w:type="dxa"/>
          </w:tcPr>
          <w:p>
            <w:pPr>
              <w:pStyle w:val="nTable"/>
            </w:pPr>
            <w:r>
              <w:t>56 of 1923</w:t>
            </w:r>
          </w:p>
        </w:tc>
        <w:tc>
          <w:tcPr>
            <w:tcW w:w="1276" w:type="dxa"/>
          </w:tcPr>
          <w:p>
            <w:pPr>
              <w:pStyle w:val="nTable"/>
            </w:pPr>
            <w:r>
              <w:t>22 December 1923</w:t>
            </w:r>
          </w:p>
        </w:tc>
        <w:tc>
          <w:tcPr>
            <w:tcW w:w="1701" w:type="dxa"/>
          </w:tcPr>
          <w:p>
            <w:pPr>
              <w:pStyle w:val="nTable"/>
            </w:pPr>
            <w:r>
              <w:t>22 December 1923</w:t>
            </w:r>
          </w:p>
        </w:tc>
        <w:tc>
          <w:tcPr>
            <w:tcW w:w="1417" w:type="dxa"/>
          </w:tcPr>
          <w:p>
            <w:pPr>
              <w:pStyle w:val="nTable"/>
            </w:pPr>
          </w:p>
        </w:tc>
      </w:tr>
      <w:tr>
        <w:tc>
          <w:tcPr>
            <w:tcW w:w="1701" w:type="dxa"/>
            <w:tcBorders>
              <w:bottom w:val="single" w:sz="4" w:space="0" w:color="auto"/>
            </w:tcBorders>
          </w:tcPr>
          <w:p>
            <w:pPr>
              <w:pStyle w:val="nTable"/>
            </w:pPr>
            <w:r>
              <w:rPr>
                <w:i/>
              </w:rPr>
              <w:t>Acts Amendment and Repeal (Courts and Legal Practice) Act 2003</w:t>
            </w:r>
            <w:r>
              <w:t xml:space="preserve"> s. 71</w:t>
            </w:r>
          </w:p>
        </w:tc>
        <w:tc>
          <w:tcPr>
            <w:tcW w:w="992" w:type="dxa"/>
            <w:tcBorders>
              <w:bottom w:val="single" w:sz="4" w:space="0" w:color="auto"/>
            </w:tcBorders>
          </w:tcPr>
          <w:p>
            <w:pPr>
              <w:pStyle w:val="nTable"/>
            </w:pPr>
            <w:r>
              <w:t>65 of 2003</w:t>
            </w:r>
          </w:p>
        </w:tc>
        <w:tc>
          <w:tcPr>
            <w:tcW w:w="1276" w:type="dxa"/>
            <w:tcBorders>
              <w:bottom w:val="single" w:sz="4" w:space="0" w:color="auto"/>
            </w:tcBorders>
          </w:tcPr>
          <w:p>
            <w:pPr>
              <w:pStyle w:val="nTable"/>
            </w:pPr>
            <w:r>
              <w:t>4 Dec 2003</w:t>
            </w:r>
          </w:p>
        </w:tc>
        <w:tc>
          <w:tcPr>
            <w:tcW w:w="1701" w:type="dxa"/>
            <w:tcBorders>
              <w:bottom w:val="single" w:sz="4" w:space="0" w:color="auto"/>
            </w:tcBorders>
          </w:tcPr>
          <w:p>
            <w:pPr>
              <w:pStyle w:val="nTable"/>
            </w:pPr>
            <w:r>
              <w:t xml:space="preserve">1 Jan 2004 (see s. 2 and </w:t>
            </w:r>
            <w:r>
              <w:rPr>
                <w:i/>
              </w:rPr>
              <w:t>Gazette</w:t>
            </w:r>
            <w:r>
              <w:t xml:space="preserve"> 30 Dec 2003 p. 5722)</w:t>
            </w:r>
          </w:p>
        </w:tc>
        <w:tc>
          <w:tcPr>
            <w:tcW w:w="1417" w:type="dxa"/>
            <w:tcBorders>
              <w:bottom w:val="single" w:sz="4" w:space="0" w:color="auto"/>
            </w:tcBorders>
          </w:tcPr>
          <w:p>
            <w:pPr>
              <w:pStyle w:val="nTable"/>
            </w:pPr>
          </w:p>
        </w:tc>
      </w:tr>
    </w:tbl>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Women’s Legal Status Act 1923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Women’s Legal Status Act 1923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Women’s Legal Status Act 1923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Women’s Legal Status Act 1923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Women’s Legal Status Act 1923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Women’s Legal Status Act 1923</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Women’s Legal Status Act 1923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Women’s Legal Status Act 1923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Women’s Legal Status Act 1923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AEDF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DB659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C32C8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EAA12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ADC2F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5427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F084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4E0688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FA2CEC2"/>
    <w:lvl w:ilvl="0">
      <w:start w:val="1"/>
      <w:numFmt w:val="decimal"/>
      <w:pStyle w:val="ListNumber"/>
      <w:lvlText w:val="%1."/>
      <w:lvlJc w:val="left"/>
      <w:pPr>
        <w:tabs>
          <w:tab w:val="num" w:pos="360"/>
        </w:tabs>
        <w:ind w:left="360" w:hanging="360"/>
      </w:pPr>
    </w:lvl>
  </w:abstractNum>
  <w:abstractNum w:abstractNumId="9">
    <w:nsid w:val="FFFFFF89"/>
    <w:multiLevelType w:val="singleLevel"/>
    <w:tmpl w:val="8A600B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0F8B94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456"/>
    <w:docVar w:name="WAFER_20151216150456" w:val="RemoveTrackChanges"/>
    <w:docVar w:name="WAFER_20151216150456_GUID" w:val="ea22e23c-3909-48bc-be43-ac987eef3a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keepNext w:val="0"/>
      <w:shd w:val="clear" w:color="808080" w:fill="auto"/>
      <w:ind w:left="567" w:right="284"/>
      <w:jc w:val="left"/>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keepNext w:val="0"/>
      <w:spacing w:line="240" w:lineRule="auto"/>
      <w:jc w:val="left"/>
    </w:pPr>
    <w:rPr>
      <w:sz w:val="22"/>
    </w:rPr>
  </w:style>
  <w:style w:type="paragraph" w:customStyle="1" w:styleId="yMiscellaneousFootnotes">
    <w:name w:val="yMiscellaneous Footnotes"/>
    <w:basedOn w:val="MiscellaneousFootnotes"/>
    <w:pPr>
      <w:keepNext w:val="0"/>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keepNext w:val="0"/>
      <w:shd w:val="clear" w:color="808080" w:fill="auto"/>
      <w:ind w:left="567" w:right="284"/>
      <w:jc w:val="left"/>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keepNext w:val="0"/>
      <w:spacing w:line="240" w:lineRule="auto"/>
      <w:jc w:val="left"/>
    </w:pPr>
    <w:rPr>
      <w:sz w:val="22"/>
    </w:rPr>
  </w:style>
  <w:style w:type="paragraph" w:customStyle="1" w:styleId="yMiscellaneousFootnotes">
    <w:name w:val="yMiscellaneous Footnotes"/>
    <w:basedOn w:val="MiscellaneousFootnotes"/>
    <w:pPr>
      <w:keepNext w:val="0"/>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350</Words>
  <Characters>1661</Characters>
  <Application>Microsoft Office Word</Application>
  <DocSecurity>0</DocSecurity>
  <Lines>79</Lines>
  <Paragraphs>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Legal Status Act 1923 - 00-a0-05</dc:title>
  <dc:subject/>
  <dc:creator/>
  <cp:keywords/>
  <dc:description/>
  <cp:lastModifiedBy>svcMRProcess</cp:lastModifiedBy>
  <cp:revision>4</cp:revision>
  <cp:lastPrinted>1997-12-20T06:01:00Z</cp:lastPrinted>
  <dcterms:created xsi:type="dcterms:W3CDTF">2015-12-18T00:00:00Z</dcterms:created>
  <dcterms:modified xsi:type="dcterms:W3CDTF">2015-12-18T00:00:00Z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1923</vt:lpwstr>
  </property>
  <property fmtid="{D5CDD505-2E9C-101B-9397-08002B2CF9AE}" pid="3" name="CommencementDate">
    <vt:lpwstr>20040101</vt:lpwstr>
  </property>
  <property fmtid="{D5CDD505-2E9C-101B-9397-08002B2CF9AE}" pid="4" name="DocumentType">
    <vt:lpwstr>Act</vt:lpwstr>
  </property>
  <property fmtid="{D5CDD505-2E9C-101B-9397-08002B2CF9AE}" pid="5" name="AsAtDate">
    <vt:lpwstr>01 Jan 2004</vt:lpwstr>
  </property>
  <property fmtid="{D5CDD505-2E9C-101B-9397-08002B2CF9AE}" pid="6" name="Suffix">
    <vt:lpwstr>00-a0-05</vt:lpwstr>
  </property>
</Properties>
</file>