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Juries Act 1957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Juries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Juries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_Toc420504667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_Toc420504668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2A — Jury pools</w:t>
      </w:r>
    </w:p>
    <w:p>
      <w:pPr>
        <w:pStyle w:val="TOC8"/>
        <w:rPr>
          <w:rFonts w:asciiTheme="minorHAnsi" w:eastAsiaTheme="minorEastAsia" w:hAnsiTheme="minorHAnsi" w:cstheme="minorBidi"/>
          <w:szCs w:val="22"/>
        </w:rPr>
      </w:pPr>
      <w:r>
        <w:t>3A.</w:t>
      </w:r>
      <w:r>
        <w:tab/>
        <w:t>Jury pool summons, form of (Act s. 32D)</w:t>
      </w:r>
      <w:r>
        <w:tab/>
      </w:r>
      <w:r>
        <w:fldChar w:fldCharType="begin"/>
      </w:r>
      <w:r>
        <w:instrText xml:space="preserve"> PAGEREF _Toc420504670 \h </w:instrText>
      </w:r>
      <w:r>
        <w:fldChar w:fldCharType="separate"/>
      </w:r>
      <w:r>
        <w:t>2</w:t>
      </w:r>
      <w:r>
        <w:fldChar w:fldCharType="end"/>
      </w:r>
    </w:p>
    <w:p>
      <w:pPr>
        <w:pStyle w:val="TOC8"/>
        <w:rPr>
          <w:rFonts w:asciiTheme="minorHAnsi" w:eastAsiaTheme="minorEastAsia" w:hAnsiTheme="minorHAnsi" w:cstheme="minorBidi"/>
          <w:szCs w:val="22"/>
        </w:rPr>
      </w:pPr>
      <w:r>
        <w:t>3B.</w:t>
      </w:r>
      <w:r>
        <w:tab/>
        <w:t>Pool precept, form of (Act s. 32G)</w:t>
      </w:r>
      <w:r>
        <w:tab/>
      </w:r>
      <w:r>
        <w:fldChar w:fldCharType="begin"/>
      </w:r>
      <w:r>
        <w:instrText xml:space="preserve"> PAGEREF _Toc420504671 \h </w:instrText>
      </w:r>
      <w:r>
        <w:fldChar w:fldCharType="separate"/>
      </w:r>
      <w:r>
        <w:t>2</w:t>
      </w:r>
      <w:r>
        <w:fldChar w:fldCharType="end"/>
      </w:r>
    </w:p>
    <w:p>
      <w:pPr>
        <w:pStyle w:val="TOC8"/>
        <w:rPr>
          <w:rFonts w:asciiTheme="minorHAnsi" w:eastAsiaTheme="minorEastAsia" w:hAnsiTheme="minorHAnsi" w:cstheme="minorBidi"/>
          <w:szCs w:val="22"/>
        </w:rPr>
      </w:pPr>
      <w:r>
        <w:t>3C.</w:t>
      </w:r>
      <w:r>
        <w:tab/>
        <w:t>Failure to obey summons to be reported to sheriff (Act s. 32D)</w:t>
      </w:r>
      <w:r>
        <w:tab/>
      </w:r>
      <w:r>
        <w:fldChar w:fldCharType="begin"/>
      </w:r>
      <w:r>
        <w:instrText xml:space="preserve"> PAGEREF _Toc420504672 \h </w:instrText>
      </w:r>
      <w:r>
        <w:fldChar w:fldCharType="separate"/>
      </w:r>
      <w:r>
        <w:t>2</w:t>
      </w:r>
      <w:r>
        <w:fldChar w:fldCharType="end"/>
      </w:r>
    </w:p>
    <w:p>
      <w:pPr>
        <w:pStyle w:val="TOC8"/>
        <w:rPr>
          <w:rFonts w:asciiTheme="minorHAnsi" w:eastAsiaTheme="minorEastAsia" w:hAnsiTheme="minorHAnsi" w:cstheme="minorBidi"/>
          <w:szCs w:val="22"/>
        </w:rPr>
      </w:pPr>
      <w:r>
        <w:t>3D.</w:t>
      </w:r>
      <w:r>
        <w:tab/>
        <w:t>Selection of jurors by ballot, time for (Act s. 32H)</w:t>
      </w:r>
      <w:r>
        <w:tab/>
      </w:r>
      <w:r>
        <w:fldChar w:fldCharType="begin"/>
      </w:r>
      <w:r>
        <w:instrText xml:space="preserve"> PAGEREF _Toc420504673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Payments for juries in civil trials</w:t>
      </w:r>
    </w:p>
    <w:p>
      <w:pPr>
        <w:pStyle w:val="TOC8"/>
        <w:rPr>
          <w:rFonts w:asciiTheme="minorHAnsi" w:eastAsiaTheme="minorEastAsia" w:hAnsiTheme="minorHAnsi" w:cstheme="minorBidi"/>
          <w:szCs w:val="22"/>
        </w:rPr>
      </w:pPr>
      <w:r>
        <w:t>3.</w:t>
      </w:r>
      <w:r>
        <w:tab/>
        <w:t>Time and amounts prescribed (Act s. 44(1) and (3))</w:t>
      </w:r>
      <w:r>
        <w:tab/>
      </w:r>
      <w:r>
        <w:fldChar w:fldCharType="begin"/>
      </w:r>
      <w:r>
        <w:instrText xml:space="preserve"> PAGEREF _Toc420504675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Fees, allowances and expenses</w:t>
      </w:r>
    </w:p>
    <w:p>
      <w:pPr>
        <w:pStyle w:val="TOC8"/>
        <w:rPr>
          <w:rFonts w:asciiTheme="minorHAnsi" w:eastAsiaTheme="minorEastAsia" w:hAnsiTheme="minorHAnsi" w:cstheme="minorBidi"/>
          <w:szCs w:val="22"/>
        </w:rPr>
      </w:pPr>
      <w:r>
        <w:t>4.</w:t>
      </w:r>
      <w:r>
        <w:tab/>
        <w:t>Fees for doing jury service (Act s. 58B(4) and (5))</w:t>
      </w:r>
      <w:r>
        <w:tab/>
      </w:r>
      <w:r>
        <w:fldChar w:fldCharType="begin"/>
      </w:r>
      <w:r>
        <w:instrText xml:space="preserve"> PAGEREF _Toc420504677 \h </w:instrText>
      </w:r>
      <w:r>
        <w:fldChar w:fldCharType="separate"/>
      </w:r>
      <w:r>
        <w:t>4</w:t>
      </w:r>
      <w:r>
        <w:fldChar w:fldCharType="end"/>
      </w:r>
    </w:p>
    <w:p>
      <w:pPr>
        <w:pStyle w:val="TOC8"/>
        <w:rPr>
          <w:rFonts w:asciiTheme="minorHAnsi" w:eastAsiaTheme="minorEastAsia" w:hAnsiTheme="minorHAnsi" w:cstheme="minorBidi"/>
          <w:szCs w:val="22"/>
        </w:rPr>
      </w:pPr>
      <w:r>
        <w:t>5.</w:t>
      </w:r>
      <w:r>
        <w:tab/>
        <w:t>Travel expense and allowance prescribed (Act s. 58B(2))</w:t>
      </w:r>
      <w:r>
        <w:tab/>
      </w:r>
      <w:r>
        <w:fldChar w:fldCharType="begin"/>
      </w:r>
      <w:r>
        <w:instrText xml:space="preserve"> PAGEREF _Toc420504678 \h </w:instrText>
      </w:r>
      <w:r>
        <w:fldChar w:fldCharType="separate"/>
      </w:r>
      <w:r>
        <w:t>4</w:t>
      </w:r>
      <w:r>
        <w:fldChar w:fldCharType="end"/>
      </w:r>
    </w:p>
    <w:p>
      <w:pPr>
        <w:pStyle w:val="TOC8"/>
        <w:rPr>
          <w:rFonts w:asciiTheme="minorHAnsi" w:eastAsiaTheme="minorEastAsia" w:hAnsiTheme="minorHAnsi" w:cstheme="minorBidi"/>
          <w:szCs w:val="22"/>
        </w:rPr>
      </w:pPr>
      <w:r>
        <w:t>6.</w:t>
      </w:r>
      <w:r>
        <w:tab/>
        <w:t>Class of employer prescribed (Act s. 58B(3))</w:t>
      </w:r>
      <w:r>
        <w:tab/>
      </w:r>
      <w:r>
        <w:fldChar w:fldCharType="begin"/>
      </w:r>
      <w:r>
        <w:instrText xml:space="preserve"> PAGEREF _Toc420504679 \h </w:instrText>
      </w:r>
      <w:r>
        <w:fldChar w:fldCharType="separate"/>
      </w:r>
      <w:r>
        <w:t>5</w:t>
      </w:r>
      <w:r>
        <w:fldChar w:fldCharType="end"/>
      </w:r>
    </w:p>
    <w:p>
      <w:pPr>
        <w:pStyle w:val="TOC8"/>
        <w:rPr>
          <w:rFonts w:asciiTheme="minorHAnsi" w:eastAsiaTheme="minorEastAsia" w:hAnsiTheme="minorHAnsi" w:cstheme="minorBidi"/>
          <w:szCs w:val="22"/>
        </w:rPr>
      </w:pPr>
      <w:r>
        <w:t>7.</w:t>
      </w:r>
      <w:r>
        <w:tab/>
        <w:t>Juror employed under contract of service to give certain information</w:t>
      </w:r>
      <w:r>
        <w:tab/>
      </w:r>
      <w:r>
        <w:fldChar w:fldCharType="begin"/>
      </w:r>
      <w:r>
        <w:instrText xml:space="preserve"> PAGEREF _Toc420504680 \h </w:instrText>
      </w:r>
      <w:r>
        <w:fldChar w:fldCharType="separate"/>
      </w:r>
      <w:r>
        <w:t>5</w:t>
      </w:r>
      <w:r>
        <w:fldChar w:fldCharType="end"/>
      </w:r>
    </w:p>
    <w:p>
      <w:pPr>
        <w:pStyle w:val="TOC8"/>
        <w:rPr>
          <w:rFonts w:asciiTheme="minorHAnsi" w:eastAsiaTheme="minorEastAsia" w:hAnsiTheme="minorHAnsi" w:cstheme="minorBidi"/>
          <w:szCs w:val="22"/>
        </w:rPr>
      </w:pPr>
      <w:r>
        <w:t>8.</w:t>
      </w:r>
      <w:r>
        <w:tab/>
        <w:t>Reimbursement of employer (Act s. 58B(3))</w:t>
      </w:r>
      <w:r>
        <w:tab/>
      </w:r>
      <w:r>
        <w:fldChar w:fldCharType="begin"/>
      </w:r>
      <w:r>
        <w:instrText xml:space="preserve"> PAGEREF _Toc420504681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9.</w:t>
      </w:r>
      <w:r>
        <w:tab/>
        <w:t>Offences and modified penalties prescribed; designation etc. of officers (Sch. 2)</w:t>
      </w:r>
      <w:r>
        <w:tab/>
      </w:r>
      <w:r>
        <w:fldChar w:fldCharType="begin"/>
      </w:r>
      <w:r>
        <w:instrText xml:space="preserve"> PAGEREF _Toc420504683 \h </w:instrText>
      </w:r>
      <w:r>
        <w:fldChar w:fldCharType="separate"/>
      </w:r>
      <w:r>
        <w:t>7</w:t>
      </w:r>
      <w:r>
        <w:fldChar w:fldCharType="end"/>
      </w:r>
    </w:p>
    <w:p>
      <w:pPr>
        <w:pStyle w:val="TOC8"/>
        <w:rPr>
          <w:rFonts w:asciiTheme="minorHAnsi" w:eastAsiaTheme="minorEastAsia" w:hAnsiTheme="minorHAnsi" w:cstheme="minorBidi"/>
          <w:szCs w:val="22"/>
        </w:rPr>
      </w:pPr>
      <w:r>
        <w:t>10.</w:t>
      </w:r>
      <w:r>
        <w:tab/>
        <w:t>Forms prescribed (Sch. 3)</w:t>
      </w:r>
      <w:r>
        <w:tab/>
      </w:r>
      <w:r>
        <w:fldChar w:fldCharType="begin"/>
      </w:r>
      <w:r>
        <w:instrText xml:space="preserve"> PAGEREF _Toc420504684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concerning jury pools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 concerning prescribed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_Toc420504689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Juries Act 1957</w:t>
      </w:r>
    </w:p>
    <w:p>
      <w:pPr>
        <w:pStyle w:val="NameofActReg"/>
      </w:pPr>
      <w:r>
        <w:t>Juries Regulations 2008</w:t>
      </w:r>
    </w:p>
    <w:p>
      <w:pPr>
        <w:pStyle w:val="Heading2"/>
        <w:keepNext w:val="0"/>
        <w:pageBreakBefore w:val="0"/>
        <w:spacing w:before="240"/>
      </w:pPr>
      <w:bookmarkStart w:id="3" w:name="_Toc377550475"/>
      <w:bookmarkStart w:id="4" w:name="_Toc420504543"/>
      <w:bookmarkStart w:id="5" w:name="_Toc420504631"/>
      <w:bookmarkStart w:id="6" w:name="_Toc4205046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550476"/>
      <w:bookmarkStart w:id="8" w:name="_Toc420504667"/>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Juries Regulations 2008</w:t>
      </w:r>
      <w:r>
        <w:rPr>
          <w:vertAlign w:val="superscript"/>
        </w:rPr>
        <w:t> 1</w:t>
      </w:r>
      <w:r>
        <w:t>.</w:t>
      </w:r>
    </w:p>
    <w:p>
      <w:pPr>
        <w:pStyle w:val="Heading5"/>
        <w:rPr>
          <w:spacing w:val="-2"/>
        </w:rPr>
      </w:pPr>
      <w:bookmarkStart w:id="10" w:name="_Toc377550477"/>
      <w:bookmarkStart w:id="11" w:name="_Toc420504668"/>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on the day on which the </w:t>
      </w:r>
      <w:r>
        <w:rPr>
          <w:i/>
          <w:iCs/>
        </w:rPr>
        <w:t>Acts Amendment (Justice) Act 2008</w:t>
      </w:r>
      <w:r>
        <w:t xml:space="preserve"> Part 14 comes into operation</w:t>
      </w:r>
      <w:r>
        <w:rPr>
          <w:vertAlign w:val="superscript"/>
        </w:rPr>
        <w:t> 1</w:t>
      </w:r>
      <w:r>
        <w:t>.</w:t>
      </w:r>
    </w:p>
    <w:p>
      <w:pPr>
        <w:pStyle w:val="Heading2"/>
      </w:pPr>
      <w:bookmarkStart w:id="12" w:name="_Toc377550478"/>
      <w:bookmarkStart w:id="13" w:name="_Toc420504546"/>
      <w:bookmarkStart w:id="14" w:name="_Toc420504634"/>
      <w:bookmarkStart w:id="15" w:name="_Toc420504669"/>
      <w:r>
        <w:rPr>
          <w:rStyle w:val="CharPartNo"/>
        </w:rPr>
        <w:t>Part 2A</w:t>
      </w:r>
      <w:r>
        <w:rPr>
          <w:rStyle w:val="CharDivNo"/>
        </w:rPr>
        <w:t> </w:t>
      </w:r>
      <w:r>
        <w:t>—</w:t>
      </w:r>
      <w:r>
        <w:rPr>
          <w:rStyle w:val="CharDivText"/>
        </w:rPr>
        <w:t> </w:t>
      </w:r>
      <w:r>
        <w:rPr>
          <w:rStyle w:val="CharPartText"/>
        </w:rPr>
        <w:t>Jury pools</w:t>
      </w:r>
      <w:bookmarkEnd w:id="12"/>
      <w:bookmarkEnd w:id="13"/>
      <w:bookmarkEnd w:id="14"/>
      <w:bookmarkEnd w:id="15"/>
    </w:p>
    <w:p>
      <w:pPr>
        <w:pStyle w:val="Footnoteheading"/>
      </w:pPr>
      <w:r>
        <w:tab/>
        <w:t>[Heading inserted: Gazette 30 Jun 2011 p. 2616.]</w:t>
      </w:r>
    </w:p>
    <w:p>
      <w:pPr>
        <w:pStyle w:val="Heading5"/>
        <w:tabs>
          <w:tab w:val="center" w:pos="3548"/>
        </w:tabs>
      </w:pPr>
      <w:bookmarkStart w:id="16" w:name="_Toc377550479"/>
      <w:bookmarkStart w:id="17" w:name="_Toc420504670"/>
      <w:r>
        <w:rPr>
          <w:rStyle w:val="CharSectno"/>
        </w:rPr>
        <w:t>3A</w:t>
      </w:r>
      <w:r>
        <w:t>.</w:t>
      </w:r>
      <w:r>
        <w:tab/>
        <w:t>Jury pool summons, form of (Act s. 32D)</w:t>
      </w:r>
      <w:bookmarkEnd w:id="16"/>
      <w:bookmarkEnd w:id="17"/>
    </w:p>
    <w:p>
      <w:pPr>
        <w:pStyle w:val="Subsection"/>
      </w:pPr>
      <w:r>
        <w:tab/>
      </w:r>
      <w:r>
        <w:tab/>
        <w:t>A summons issued under section 32D of the Act is to be in the form of Form 1 in Schedule 1.</w:t>
      </w:r>
    </w:p>
    <w:p>
      <w:pPr>
        <w:pStyle w:val="Footnotesection"/>
      </w:pPr>
      <w:r>
        <w:tab/>
        <w:t>[Regulation 3A inserted: Gazette 30 Jun 2011 p. 2616.]</w:t>
      </w:r>
    </w:p>
    <w:p>
      <w:pPr>
        <w:pStyle w:val="Heading5"/>
      </w:pPr>
      <w:bookmarkStart w:id="18" w:name="_Toc377550480"/>
      <w:bookmarkStart w:id="19" w:name="_Toc420504671"/>
      <w:r>
        <w:rPr>
          <w:rStyle w:val="CharSectno"/>
        </w:rPr>
        <w:t>3B</w:t>
      </w:r>
      <w:r>
        <w:t>.</w:t>
      </w:r>
      <w:r>
        <w:tab/>
        <w:t>Pool precept, form of (Act s. 32G)</w:t>
      </w:r>
      <w:bookmarkEnd w:id="18"/>
      <w:bookmarkEnd w:id="19"/>
    </w:p>
    <w:p>
      <w:pPr>
        <w:pStyle w:val="Subsection"/>
      </w:pPr>
      <w:r>
        <w:tab/>
      </w:r>
      <w:r>
        <w:tab/>
        <w:t>A pool precept issued under section 32G of the Act is to be in the form of Form 2 in Schedule 1.</w:t>
      </w:r>
    </w:p>
    <w:p>
      <w:pPr>
        <w:pStyle w:val="Footnotesection"/>
      </w:pPr>
      <w:r>
        <w:tab/>
        <w:t>[Regulation 3B inserted: Gazette 30 Jun 2011 p. 2616.]</w:t>
      </w:r>
    </w:p>
    <w:p>
      <w:pPr>
        <w:pStyle w:val="Heading5"/>
      </w:pPr>
      <w:bookmarkStart w:id="20" w:name="_Toc377550481"/>
      <w:bookmarkStart w:id="21" w:name="_Toc420504672"/>
      <w:r>
        <w:rPr>
          <w:rStyle w:val="CharSectno"/>
        </w:rPr>
        <w:t>3C</w:t>
      </w:r>
      <w:r>
        <w:t>.</w:t>
      </w:r>
      <w:r>
        <w:tab/>
        <w:t>Failure to obey summons to be reported to sheriff (Act s. 32D)</w:t>
      </w:r>
      <w:bookmarkEnd w:id="20"/>
      <w:bookmarkEnd w:id="21"/>
    </w:p>
    <w:p>
      <w:pPr>
        <w:pStyle w:val="Subsection"/>
      </w:pPr>
      <w:r>
        <w:tab/>
      </w:r>
      <w:r>
        <w:tab/>
        <w:t>A jury pool supervisor is to report to the sheriff as soon as practicable the name of every person who fails to obey a summons issued under section 32D of the Act.</w:t>
      </w:r>
    </w:p>
    <w:p>
      <w:pPr>
        <w:pStyle w:val="Footnotesection"/>
      </w:pPr>
      <w:r>
        <w:tab/>
        <w:t>[Regulation 3C inserted: Gazette 30 Jun 2011 p. 2616.]</w:t>
      </w:r>
    </w:p>
    <w:p>
      <w:pPr>
        <w:pStyle w:val="Heading5"/>
      </w:pPr>
      <w:bookmarkStart w:id="22" w:name="_Toc377550482"/>
      <w:bookmarkStart w:id="23" w:name="_Toc420504673"/>
      <w:r>
        <w:rPr>
          <w:rStyle w:val="CharSectno"/>
        </w:rPr>
        <w:t>3D</w:t>
      </w:r>
      <w:r>
        <w:t>.</w:t>
      </w:r>
      <w:r>
        <w:tab/>
        <w:t>Selection of jurors by ballot, time for (Act s. 32H)</w:t>
      </w:r>
      <w:bookmarkEnd w:id="22"/>
      <w:bookmarkEnd w:id="23"/>
    </w:p>
    <w:p>
      <w:pPr>
        <w:pStyle w:val="Subsection"/>
      </w:pPr>
      <w:r>
        <w:tab/>
      </w:r>
      <w:r>
        <w:tab/>
        <w:t>The selection of jurors by ballot pursuant to section 32H(1) of the Act is to take place before the time specified in the pool precept and in sufficient time to ensure compliance with section 32H(2) of the Act.</w:t>
      </w:r>
    </w:p>
    <w:p>
      <w:pPr>
        <w:pStyle w:val="Footnotesection"/>
      </w:pPr>
      <w:r>
        <w:tab/>
        <w:t>[Regulation 3D inserted: Gazette 30 Jun 2011 p. 2616.]</w:t>
      </w:r>
    </w:p>
    <w:p>
      <w:pPr>
        <w:pStyle w:val="Heading2"/>
      </w:pPr>
      <w:bookmarkStart w:id="24" w:name="_Toc377550483"/>
      <w:bookmarkStart w:id="25" w:name="_Toc420504551"/>
      <w:bookmarkStart w:id="26" w:name="_Toc420504639"/>
      <w:bookmarkStart w:id="27" w:name="_Toc420504674"/>
      <w:r>
        <w:rPr>
          <w:rStyle w:val="CharPartNo"/>
        </w:rPr>
        <w:t>Part 2</w:t>
      </w:r>
      <w:r>
        <w:rPr>
          <w:rStyle w:val="CharDivNo"/>
        </w:rPr>
        <w:t> </w:t>
      </w:r>
      <w:r>
        <w:t>—</w:t>
      </w:r>
      <w:r>
        <w:rPr>
          <w:rStyle w:val="CharDivText"/>
        </w:rPr>
        <w:t> </w:t>
      </w:r>
      <w:r>
        <w:rPr>
          <w:rStyle w:val="CharPartText"/>
        </w:rPr>
        <w:t>Payments for juries in civil trials</w:t>
      </w:r>
      <w:bookmarkEnd w:id="24"/>
      <w:bookmarkEnd w:id="25"/>
      <w:bookmarkEnd w:id="26"/>
      <w:bookmarkEnd w:id="27"/>
    </w:p>
    <w:p>
      <w:pPr>
        <w:pStyle w:val="Heading5"/>
      </w:pPr>
      <w:bookmarkStart w:id="28" w:name="_Toc377550484"/>
      <w:bookmarkStart w:id="29" w:name="_Toc420504675"/>
      <w:r>
        <w:rPr>
          <w:rStyle w:val="CharSectno"/>
        </w:rPr>
        <w:t>3</w:t>
      </w:r>
      <w:r>
        <w:t>.</w:t>
      </w:r>
      <w:r>
        <w:tab/>
        <w:t>Time and amounts prescribed (Act s. 44(1) and (3))</w:t>
      </w:r>
      <w:bookmarkEnd w:id="28"/>
      <w:bookmarkEnd w:id="29"/>
    </w:p>
    <w:p>
      <w:pPr>
        <w:pStyle w:val="Subsection"/>
      </w:pPr>
      <w:r>
        <w:tab/>
        <w:t>(1)</w:t>
      </w:r>
      <w:r>
        <w:tab/>
        <w:t>For the purposes of section 44(1) of the Act, the prescribed time is 10.00 a.m. on each day of the civil trial.</w:t>
      </w:r>
    </w:p>
    <w:p>
      <w:pPr>
        <w:pStyle w:val="Subsection"/>
      </w:pPr>
      <w:r>
        <w:tab/>
        <w:t>(2)</w:t>
      </w:r>
      <w:r>
        <w:tab/>
        <w:t>For the purposes of section 44(1)(a) of the Act, the prescribed amount is $1 195.</w:t>
      </w:r>
    </w:p>
    <w:p>
      <w:pPr>
        <w:pStyle w:val="Subsection"/>
      </w:pPr>
      <w:r>
        <w:tab/>
        <w:t>(3)</w:t>
      </w:r>
      <w:r>
        <w:tab/>
        <w:t>For the purposes of section 44(1)(b) of the Act, the prescribed amount is $147.</w:t>
      </w:r>
    </w:p>
    <w:p>
      <w:pPr>
        <w:pStyle w:val="Subsection"/>
      </w:pPr>
      <w:r>
        <w:tab/>
        <w:t>(4)</w:t>
      </w:r>
      <w:r>
        <w:tab/>
        <w:t>For the purposes of section 44(3)(a) of the Act, the prescribed amount is $147.</w:t>
      </w:r>
    </w:p>
    <w:p>
      <w:pPr>
        <w:pStyle w:val="Heading2"/>
      </w:pPr>
      <w:bookmarkStart w:id="30" w:name="_Toc377550485"/>
      <w:bookmarkStart w:id="31" w:name="_Toc420504553"/>
      <w:bookmarkStart w:id="32" w:name="_Toc420504641"/>
      <w:bookmarkStart w:id="33" w:name="_Toc420504676"/>
      <w:r>
        <w:rPr>
          <w:rStyle w:val="CharPartNo"/>
        </w:rPr>
        <w:t>Part 3</w:t>
      </w:r>
      <w:r>
        <w:rPr>
          <w:rStyle w:val="CharDivNo"/>
        </w:rPr>
        <w:t> </w:t>
      </w:r>
      <w:r>
        <w:t>—</w:t>
      </w:r>
      <w:r>
        <w:rPr>
          <w:rStyle w:val="CharDivText"/>
        </w:rPr>
        <w:t> </w:t>
      </w:r>
      <w:r>
        <w:rPr>
          <w:rStyle w:val="CharPartText"/>
        </w:rPr>
        <w:t>Fees, allowances and expenses</w:t>
      </w:r>
      <w:bookmarkEnd w:id="30"/>
      <w:bookmarkEnd w:id="31"/>
      <w:bookmarkEnd w:id="32"/>
      <w:bookmarkEnd w:id="33"/>
    </w:p>
    <w:p>
      <w:pPr>
        <w:pStyle w:val="Heading5"/>
        <w:tabs>
          <w:tab w:val="left" w:pos="4080"/>
        </w:tabs>
      </w:pPr>
      <w:bookmarkStart w:id="34" w:name="_Toc377550486"/>
      <w:bookmarkStart w:id="35" w:name="_Toc420504677"/>
      <w:r>
        <w:rPr>
          <w:rStyle w:val="CharSectno"/>
        </w:rPr>
        <w:t>4</w:t>
      </w:r>
      <w:r>
        <w:t>.</w:t>
      </w:r>
      <w:r>
        <w:tab/>
        <w:t>Fees for doing jury service (Act s. 58B(4) and (5))</w:t>
      </w:r>
      <w:bookmarkEnd w:id="34"/>
      <w:bookmarkEnd w:id="35"/>
    </w:p>
    <w:p>
      <w:pPr>
        <w:pStyle w:val="Subsection"/>
      </w:pPr>
      <w:r>
        <w:tab/>
        <w:t>(1)</w:t>
      </w:r>
      <w:r>
        <w:tab/>
        <w:t>Subject to these regulations, for the purposes of section 58B(4) and (5) of the Act, the sums set out in the Table to this subregulation are prescribed as a fee in respect of doing jury service.</w:t>
      </w:r>
    </w:p>
    <w:p>
      <w:pPr>
        <w:pStyle w:val="THeading"/>
      </w:pPr>
      <w:r>
        <w:t>Table of allowances for doing jury service</w:t>
      </w:r>
    </w:p>
    <w:tbl>
      <w:tblPr>
        <w:tblW w:w="0" w:type="auto"/>
        <w:tblInd w:w="1101" w:type="dxa"/>
        <w:tblLayout w:type="fixed"/>
        <w:tblLook w:val="0000" w:firstRow="0" w:lastRow="0" w:firstColumn="0" w:lastColumn="0" w:noHBand="0" w:noVBand="0"/>
      </w:tblPr>
      <w:tblGrid>
        <w:gridCol w:w="5244"/>
        <w:gridCol w:w="851"/>
      </w:tblGrid>
      <w:tr>
        <w:trPr>
          <w:tblHeader/>
        </w:trPr>
        <w:tc>
          <w:tcPr>
            <w:tcW w:w="5244" w:type="dxa"/>
            <w:tcBorders>
              <w:top w:val="single" w:sz="4" w:space="0" w:color="auto"/>
              <w:bottom w:val="single" w:sz="4" w:space="0" w:color="auto"/>
            </w:tcBorders>
          </w:tcPr>
          <w:p>
            <w:pPr>
              <w:pStyle w:val="TableNAm"/>
            </w:pPr>
          </w:p>
        </w:tc>
        <w:tc>
          <w:tcPr>
            <w:tcW w:w="851" w:type="dxa"/>
            <w:tcBorders>
              <w:top w:val="single" w:sz="4" w:space="0" w:color="auto"/>
              <w:bottom w:val="single" w:sz="4" w:space="0" w:color="auto"/>
            </w:tcBorders>
          </w:tcPr>
          <w:p>
            <w:pPr>
              <w:pStyle w:val="TableNAm"/>
              <w:jc w:val="center"/>
            </w:pPr>
            <w:r>
              <w:t>$</w:t>
            </w:r>
          </w:p>
        </w:tc>
      </w:tr>
      <w:tr>
        <w:tc>
          <w:tcPr>
            <w:tcW w:w="5244" w:type="dxa"/>
          </w:tcPr>
          <w:p>
            <w:pPr>
              <w:pStyle w:val="TableNAm"/>
              <w:tabs>
                <w:tab w:val="right" w:leader="dot" w:pos="5028"/>
              </w:tabs>
            </w:pPr>
            <w:r>
              <w:br w:type="page"/>
              <w:t>If the time of attendance does not exceed one half</w:t>
            </w:r>
            <w:r>
              <w:noBreakHyphen/>
              <w:t xml:space="preserve">day </w:t>
            </w:r>
            <w:r>
              <w:tab/>
            </w:r>
          </w:p>
        </w:tc>
        <w:tc>
          <w:tcPr>
            <w:tcW w:w="851" w:type="dxa"/>
          </w:tcPr>
          <w:p>
            <w:pPr>
              <w:pStyle w:val="TableNAm"/>
            </w:pPr>
            <w:r>
              <w:br/>
              <w:t>10.00</w:t>
            </w:r>
          </w:p>
        </w:tc>
      </w:tr>
      <w:tr>
        <w:tc>
          <w:tcPr>
            <w:tcW w:w="5244" w:type="dxa"/>
          </w:tcPr>
          <w:p>
            <w:pPr>
              <w:pStyle w:val="TableNAm"/>
              <w:tabs>
                <w:tab w:val="right" w:leader="dot" w:pos="5028"/>
              </w:tabs>
            </w:pPr>
            <w:r>
              <w:t>If the time of attendance exceeds one half</w:t>
            </w:r>
            <w:r>
              <w:noBreakHyphen/>
              <w:t xml:space="preserve">day but does not exceed 3 days, for each day </w:t>
            </w:r>
            <w:r>
              <w:tab/>
            </w:r>
          </w:p>
        </w:tc>
        <w:tc>
          <w:tcPr>
            <w:tcW w:w="851" w:type="dxa"/>
          </w:tcPr>
          <w:p>
            <w:pPr>
              <w:pStyle w:val="TableNAm"/>
            </w:pPr>
            <w:r>
              <w:br/>
              <w:t>15.00</w:t>
            </w:r>
          </w:p>
        </w:tc>
      </w:tr>
      <w:tr>
        <w:tc>
          <w:tcPr>
            <w:tcW w:w="5244" w:type="dxa"/>
            <w:tcBorders>
              <w:bottom w:val="single" w:sz="4" w:space="0" w:color="auto"/>
            </w:tcBorders>
          </w:tcPr>
          <w:p>
            <w:pPr>
              <w:pStyle w:val="TableNAm"/>
              <w:tabs>
                <w:tab w:val="right" w:leader="dot" w:pos="5028"/>
              </w:tabs>
            </w:pPr>
            <w:r>
              <w:t xml:space="preserve">If the time of attendance exceeds 3 days, for each day after the third day </w:t>
            </w:r>
            <w:r>
              <w:tab/>
            </w:r>
          </w:p>
        </w:tc>
        <w:tc>
          <w:tcPr>
            <w:tcW w:w="851" w:type="dxa"/>
            <w:tcBorders>
              <w:bottom w:val="single" w:sz="4" w:space="0" w:color="auto"/>
            </w:tcBorders>
          </w:tcPr>
          <w:p>
            <w:pPr>
              <w:pStyle w:val="TableNAm"/>
            </w:pPr>
            <w:r>
              <w:br/>
              <w:t>20.00</w:t>
            </w:r>
          </w:p>
        </w:tc>
      </w:tr>
    </w:tbl>
    <w:p>
      <w:pPr>
        <w:pStyle w:val="Subsection"/>
      </w:pPr>
      <w:r>
        <w:tab/>
        <w:t>(2)</w:t>
      </w:r>
      <w:r>
        <w:tab/>
        <w:t>If the summoning officer is satisfied that a person doing jury service has by reason of so serving lost income in an amount greater than a fee prescribed under subregulation (1), the summoning officer may pay the person a fee that equals that loss.</w:t>
      </w:r>
    </w:p>
    <w:p>
      <w:pPr>
        <w:pStyle w:val="Footnotesection"/>
      </w:pPr>
      <w:r>
        <w:tab/>
        <w:t>[Regulation 4 amended: Gazette 30 Jun 2011 p. 2617.]</w:t>
      </w:r>
    </w:p>
    <w:p>
      <w:pPr>
        <w:pStyle w:val="Heading5"/>
      </w:pPr>
      <w:bookmarkStart w:id="36" w:name="_Toc377550487"/>
      <w:bookmarkStart w:id="37" w:name="_Toc420504678"/>
      <w:r>
        <w:rPr>
          <w:rStyle w:val="CharSectno"/>
        </w:rPr>
        <w:t>5</w:t>
      </w:r>
      <w:r>
        <w:t>.</w:t>
      </w:r>
      <w:r>
        <w:tab/>
        <w:t>Travel expense and allowance prescribed (Act s. 58B(2))</w:t>
      </w:r>
      <w:bookmarkEnd w:id="36"/>
      <w:bookmarkEnd w:id="37"/>
    </w:p>
    <w:p>
      <w:pPr>
        <w:pStyle w:val="Subsection"/>
      </w:pPr>
      <w:r>
        <w:tab/>
        <w:t>(1)</w:t>
      </w:r>
      <w:r>
        <w:tab/>
        <w:t>For the purposes of section 58B(2) of the Act, the fee paid by a person doing jury service for travelling on a public conveyance each way between the person’s usual residence and the court is prescribed as an expense.</w:t>
      </w:r>
    </w:p>
    <w:p>
      <w:pPr>
        <w:pStyle w:val="Subsection"/>
      </w:pPr>
      <w:r>
        <w:tab/>
        <w:t>(2)</w:t>
      </w:r>
      <w:r>
        <w:tab/>
        <w:t>For the purposes of section 58B(2) of the Act, when a public conveyance is not available for travel each way by a person doing jury service between the person’s usual residence and the court, the prescribed allowance for road travel each way between the person’s usual residence and the court is 37.5 cents per kilometre.</w:t>
      </w:r>
    </w:p>
    <w:p>
      <w:pPr>
        <w:pStyle w:val="Heading5"/>
      </w:pPr>
      <w:bookmarkStart w:id="38" w:name="_Toc377550488"/>
      <w:bookmarkStart w:id="39" w:name="_Toc420504679"/>
      <w:r>
        <w:rPr>
          <w:rStyle w:val="CharSectno"/>
        </w:rPr>
        <w:t>6</w:t>
      </w:r>
      <w:r>
        <w:t>.</w:t>
      </w:r>
      <w:r>
        <w:tab/>
        <w:t>Class of employer prescribed (Act s. 58B(3))</w:t>
      </w:r>
      <w:bookmarkEnd w:id="38"/>
      <w:bookmarkEnd w:id="39"/>
    </w:p>
    <w:p>
      <w:pPr>
        <w:pStyle w:val="Subsection"/>
      </w:pPr>
      <w:r>
        <w:tab/>
      </w:r>
      <w:r>
        <w:tab/>
        <w:t xml:space="preserve">For the purposes of section 58B(3) of the Act, the following are prescribed as a class of employer — </w:t>
      </w:r>
    </w:p>
    <w:p>
      <w:pPr>
        <w:pStyle w:val="Indenta"/>
      </w:pPr>
      <w:r>
        <w:tab/>
        <w:t>(a)</w:t>
      </w:r>
      <w:r>
        <w:tab/>
        <w:t>a Government department;</w:t>
      </w:r>
    </w:p>
    <w:p>
      <w:pPr>
        <w:pStyle w:val="Indenta"/>
      </w:pPr>
      <w:r>
        <w:tab/>
        <w:t>(b)</w:t>
      </w:r>
      <w:r>
        <w:tab/>
        <w:t>a State instrumentality;</w:t>
      </w:r>
    </w:p>
    <w:p>
      <w:pPr>
        <w:pStyle w:val="Indenta"/>
      </w:pPr>
      <w:r>
        <w:tab/>
        <w:t>(c)</w:t>
      </w:r>
      <w:r>
        <w:tab/>
        <w:t>a State trading concern.</w:t>
      </w:r>
    </w:p>
    <w:p>
      <w:pPr>
        <w:pStyle w:val="Footnotesection"/>
      </w:pPr>
      <w:r>
        <w:tab/>
        <w:t>[Regulation 6 amended: Gazette 30 Jun 2011 p. 2617.]</w:t>
      </w:r>
    </w:p>
    <w:p>
      <w:pPr>
        <w:pStyle w:val="Heading5"/>
      </w:pPr>
      <w:bookmarkStart w:id="40" w:name="_Toc377550489"/>
      <w:bookmarkStart w:id="41" w:name="_Toc420504680"/>
      <w:r>
        <w:rPr>
          <w:rStyle w:val="CharSectno"/>
        </w:rPr>
        <w:t>7</w:t>
      </w:r>
      <w:r>
        <w:t>.</w:t>
      </w:r>
      <w:r>
        <w:tab/>
        <w:t>Juror employed under contract of service to give certain information</w:t>
      </w:r>
      <w:bookmarkEnd w:id="40"/>
      <w:bookmarkEnd w:id="41"/>
    </w:p>
    <w:p>
      <w:pPr>
        <w:pStyle w:val="Subsection"/>
      </w:pPr>
      <w:r>
        <w:tab/>
        <w:t>(1)</w:t>
      </w:r>
      <w:r>
        <w:tab/>
        <w:t>A person doing jury service who is employed by an employer under a contract of service other than an employer in a class prescribed under regulation 6 must give the summoning officer written advice of the name and business address of his or her employer.</w:t>
      </w:r>
    </w:p>
    <w:p>
      <w:pPr>
        <w:pStyle w:val="Penstart"/>
      </w:pPr>
      <w:r>
        <w:tab/>
        <w:t>Penalty: a fine of $1 000.</w:t>
      </w:r>
    </w:p>
    <w:p>
      <w:pPr>
        <w:pStyle w:val="Subsection"/>
      </w:pPr>
      <w:r>
        <w:tab/>
        <w:t>(2)</w:t>
      </w:r>
      <w:r>
        <w:tab/>
        <w:t>The advice referred to in subregulation (1) must be given no later than 14 days after completing the service.</w:t>
      </w:r>
    </w:p>
    <w:p>
      <w:pPr>
        <w:pStyle w:val="Heading5"/>
      </w:pPr>
      <w:bookmarkStart w:id="42" w:name="_Toc377550490"/>
      <w:bookmarkStart w:id="43" w:name="_Toc420504681"/>
      <w:r>
        <w:rPr>
          <w:rStyle w:val="CharSectno"/>
        </w:rPr>
        <w:t>8</w:t>
      </w:r>
      <w:r>
        <w:t>.</w:t>
      </w:r>
      <w:r>
        <w:tab/>
        <w:t>Reimbursement of employer (Act s. 58B(3))</w:t>
      </w:r>
      <w:bookmarkEnd w:id="42"/>
      <w:bookmarkEnd w:id="43"/>
    </w:p>
    <w:p>
      <w:pPr>
        <w:pStyle w:val="Subsection"/>
      </w:pPr>
      <w:r>
        <w:tab/>
        <w:t>(1)</w:t>
      </w:r>
      <w:r>
        <w:tab/>
        <w:t xml:space="preserve">If the employer under a contract of service of a person who does jury service (the </w:t>
      </w:r>
      <w:r>
        <w:rPr>
          <w:rStyle w:val="CharDefText"/>
        </w:rPr>
        <w:t>juror</w:t>
      </w:r>
      <w:r>
        <w:t>) applies to the summoning officer under section 58B(3) of the Act, the summoning officer is to pay to the employer any fee otherwise payable to the juror under these regulations for the juror’s service.</w:t>
      </w:r>
    </w:p>
    <w:p>
      <w:pPr>
        <w:pStyle w:val="Subsection"/>
      </w:pPr>
      <w:r>
        <w:tab/>
        <w:t>(2)</w:t>
      </w:r>
      <w:r>
        <w:tab/>
        <w:t xml:space="preserve">An application under subregulation (1), verified by a statutory declaration, must provide the following information in support of the claim — </w:t>
      </w:r>
    </w:p>
    <w:p>
      <w:pPr>
        <w:pStyle w:val="Indenta"/>
      </w:pPr>
      <w:r>
        <w:tab/>
        <w:t>(a)</w:t>
      </w:r>
      <w:r>
        <w:tab/>
        <w:t xml:space="preserve">the employer’s Australian Business Number; </w:t>
      </w:r>
    </w:p>
    <w:p>
      <w:pPr>
        <w:pStyle w:val="Indenta"/>
      </w:pPr>
      <w:r>
        <w:tab/>
        <w:t>(b)</w:t>
      </w:r>
      <w:r>
        <w:tab/>
        <w:t xml:space="preserve">the earnings paid by the employer to the juror for any period that the juror did jury service; </w:t>
      </w:r>
    </w:p>
    <w:p>
      <w:pPr>
        <w:pStyle w:val="Indenta"/>
      </w:pPr>
      <w:r>
        <w:tab/>
        <w:t>(c)</w:t>
      </w:r>
      <w:r>
        <w:tab/>
        <w:t xml:space="preserve">the name of the juror; </w:t>
      </w:r>
    </w:p>
    <w:p>
      <w:pPr>
        <w:pStyle w:val="Indenta"/>
      </w:pPr>
      <w:r>
        <w:tab/>
        <w:t>(d)</w:t>
      </w:r>
      <w:r>
        <w:tab/>
        <w:t xml:space="preserve">the juror’s occupation with the employer; </w:t>
      </w:r>
    </w:p>
    <w:p>
      <w:pPr>
        <w:pStyle w:val="Indenta"/>
      </w:pPr>
      <w:r>
        <w:tab/>
        <w:t>(e)</w:t>
      </w:r>
      <w:r>
        <w:tab/>
        <w:t xml:space="preserve">the hourly rate paid by the employer to the juror; </w:t>
      </w:r>
    </w:p>
    <w:p>
      <w:pPr>
        <w:pStyle w:val="Indenta"/>
      </w:pPr>
      <w:r>
        <w:tab/>
        <w:t>(f)</w:t>
      </w:r>
      <w:r>
        <w:tab/>
        <w:t>the number of hours of service of the juror lost by the employer as a result of the juror doing jury service.</w:t>
      </w:r>
    </w:p>
    <w:p>
      <w:pPr>
        <w:pStyle w:val="Footnotesection"/>
      </w:pPr>
      <w:r>
        <w:tab/>
        <w:t>[Regulation 8 amended: Gazette 30 Jun 2011 p. 2617.]</w:t>
      </w:r>
    </w:p>
    <w:p>
      <w:pPr>
        <w:pStyle w:val="Heading2"/>
      </w:pPr>
      <w:bookmarkStart w:id="44" w:name="_Toc377550491"/>
      <w:bookmarkStart w:id="45" w:name="_Toc420504559"/>
      <w:bookmarkStart w:id="46" w:name="_Toc420504647"/>
      <w:bookmarkStart w:id="47" w:name="_Toc420504682"/>
      <w:r>
        <w:rPr>
          <w:rStyle w:val="CharPartNo"/>
        </w:rPr>
        <w:t>Part 4</w:t>
      </w:r>
      <w:r>
        <w:rPr>
          <w:rStyle w:val="CharDivNo"/>
        </w:rPr>
        <w:t> </w:t>
      </w:r>
      <w:r>
        <w:t>—</w:t>
      </w:r>
      <w:r>
        <w:rPr>
          <w:rStyle w:val="CharDivText"/>
        </w:rPr>
        <w:t> </w:t>
      </w:r>
      <w:r>
        <w:rPr>
          <w:rStyle w:val="CharPartText"/>
        </w:rPr>
        <w:t>Infringement notices</w:t>
      </w:r>
      <w:bookmarkEnd w:id="44"/>
      <w:bookmarkEnd w:id="45"/>
      <w:bookmarkEnd w:id="46"/>
      <w:bookmarkEnd w:id="47"/>
    </w:p>
    <w:p>
      <w:pPr>
        <w:pStyle w:val="Footnoteheading"/>
      </w:pPr>
      <w:r>
        <w:tab/>
        <w:t>[Heading inserted: Gazette 27 Oct 2011 p. 4553.]</w:t>
      </w:r>
    </w:p>
    <w:p>
      <w:pPr>
        <w:pStyle w:val="Heading5"/>
      </w:pPr>
      <w:bookmarkStart w:id="48" w:name="_Toc377550492"/>
      <w:bookmarkStart w:id="49" w:name="_Toc420504683"/>
      <w:r>
        <w:rPr>
          <w:rStyle w:val="CharSectno"/>
        </w:rPr>
        <w:t>9</w:t>
      </w:r>
      <w:r>
        <w:t>.</w:t>
      </w:r>
      <w:r>
        <w:tab/>
        <w:t>Offences and modified penalties prescribed; designation etc. of officers (Sch. 2)</w:t>
      </w:r>
      <w:bookmarkEnd w:id="48"/>
      <w:bookmarkEnd w:id="49"/>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Subsection"/>
        <w:rPr>
          <w:i/>
        </w:rPr>
      </w:pPr>
      <w:r>
        <w:tab/>
        <w:t>(3)</w:t>
      </w:r>
      <w:r>
        <w:tab/>
        <w:t xml:space="preserve">The Sheriff of Western Australia may appoint in writing persons or classes of persons to be authorised officers or approved officers for the purposes of the </w:t>
      </w:r>
      <w:r>
        <w:rPr>
          <w:i/>
        </w:rPr>
        <w:t>Criminal Procedure Act 2004</w:t>
      </w:r>
      <w:r>
        <w:t xml:space="preserve"> Part 2</w:t>
      </w:r>
      <w:r>
        <w:rPr>
          <w:i/>
        </w:rPr>
        <w:t>.</w:t>
      </w:r>
    </w:p>
    <w:p>
      <w:pPr>
        <w:pStyle w:val="Subsection"/>
      </w:pPr>
      <w:r>
        <w:tab/>
        <w:t>(4)</w:t>
      </w:r>
      <w:r>
        <w:tab/>
        <w:t>The Sheriff of Western Australia is to issue to each authorised officer a certificate, badge or identity card identifying the officer as a person authorised to issue infringement notices.</w:t>
      </w:r>
    </w:p>
    <w:p>
      <w:pPr>
        <w:pStyle w:val="Footnotesection"/>
      </w:pPr>
      <w:r>
        <w:tab/>
        <w:t>[Regulation 9 inserted: Gazette 27 Oct 2011 p. 4553.]</w:t>
      </w:r>
    </w:p>
    <w:p>
      <w:pPr>
        <w:pStyle w:val="Heading5"/>
      </w:pPr>
      <w:bookmarkStart w:id="50" w:name="_Toc377550493"/>
      <w:bookmarkStart w:id="51" w:name="_Toc420504684"/>
      <w:r>
        <w:rPr>
          <w:rStyle w:val="CharSectno"/>
        </w:rPr>
        <w:t>10</w:t>
      </w:r>
      <w:r>
        <w:t>.</w:t>
      </w:r>
      <w:r>
        <w:tab/>
        <w:t>Forms prescribed (Sch. 3)</w:t>
      </w:r>
      <w:bookmarkEnd w:id="50"/>
      <w:bookmarkEnd w:id="51"/>
    </w:p>
    <w:p>
      <w:pPr>
        <w:pStyle w:val="Subsection"/>
      </w:pPr>
      <w:r>
        <w:tab/>
      </w:r>
      <w:r>
        <w:tab/>
        <w:t>The forms set out in Schedule 3 are prescribed in relation to the matters set out in those forms.</w:t>
      </w:r>
    </w:p>
    <w:p>
      <w:pPr>
        <w:pStyle w:val="Footnotesection"/>
      </w:pPr>
      <w:r>
        <w:tab/>
        <w:t>[Regulation 10 inserted: Gazette 27 Oct 2011 p. 4553.]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2" w:name="_Toc377550494"/>
      <w:bookmarkStart w:id="53" w:name="_Toc420504562"/>
      <w:bookmarkStart w:id="54" w:name="_Toc420504650"/>
      <w:bookmarkStart w:id="55" w:name="_Toc420504685"/>
      <w:r>
        <w:rPr>
          <w:rStyle w:val="CharSchNo"/>
        </w:rPr>
        <w:t>Schedule 1</w:t>
      </w:r>
      <w:r>
        <w:rPr>
          <w:rStyle w:val="CharSDivNo"/>
        </w:rPr>
        <w:t> </w:t>
      </w:r>
      <w:r>
        <w:t>—</w:t>
      </w:r>
      <w:r>
        <w:rPr>
          <w:rStyle w:val="CharSDivText"/>
        </w:rPr>
        <w:t> </w:t>
      </w:r>
      <w:r>
        <w:rPr>
          <w:rStyle w:val="CharSchText"/>
        </w:rPr>
        <w:t>Forms concerning jury pools</w:t>
      </w:r>
      <w:bookmarkEnd w:id="52"/>
      <w:bookmarkEnd w:id="53"/>
      <w:bookmarkEnd w:id="54"/>
      <w:bookmarkEnd w:id="55"/>
    </w:p>
    <w:p>
      <w:pPr>
        <w:pStyle w:val="yShoulderClause"/>
      </w:pPr>
      <w:r>
        <w:t>[r. 3A and 3B]</w:t>
      </w:r>
    </w:p>
    <w:p>
      <w:pPr>
        <w:pStyle w:val="yFootnoteheading"/>
        <w:spacing w:after="60"/>
      </w:pPr>
      <w:r>
        <w:tab/>
        <w:t>[Heading inserted: Gazette 30 Jun 2011 p. 2618; amended: Gazette 27 Oct 2011 p. 4553.]</w:t>
      </w:r>
    </w:p>
    <w:p>
      <w:pPr>
        <w:pStyle w:val="yMiscellaneousHeading"/>
        <w:rPr>
          <w:b/>
          <w:snapToGrid w:val="0"/>
        </w:rPr>
      </w:pPr>
      <w:r>
        <w:rPr>
          <w:b/>
          <w:snapToGrid w:val="0"/>
        </w:rPr>
        <w:t>Form 1 — Summons to Juror</w:t>
      </w:r>
    </w:p>
    <w:p>
      <w:pPr>
        <w:pStyle w:val="yMiscellaneousHeading"/>
        <w:rPr>
          <w:b/>
          <w:i/>
          <w:snapToGrid w:val="0"/>
        </w:rPr>
      </w:pPr>
      <w:r>
        <w:rPr>
          <w:b/>
          <w:i/>
          <w:snapToGrid w:val="0"/>
        </w:rPr>
        <w:t>Juries Act 1957</w:t>
      </w:r>
    </w:p>
    <w:p>
      <w:pPr>
        <w:pStyle w:val="yMiscellaneousBody"/>
        <w:rPr>
          <w:snapToGrid w:val="0"/>
        </w:rPr>
      </w:pPr>
      <w:r>
        <w:rPr>
          <w:snapToGrid w:val="0"/>
        </w:rPr>
        <w:t>To</w:t>
      </w:r>
    </w:p>
    <w:p>
      <w:pPr>
        <w:pStyle w:val="yMiscellaneousBody"/>
        <w:rPr>
          <w:snapToGrid w:val="0"/>
        </w:rPr>
      </w:pPr>
      <w:r>
        <w:rPr>
          <w:snapToGrid w:val="0"/>
        </w:rPr>
        <w:t>You are hereby summoned to attend at the Jury Assembly Room on the</w:t>
      </w:r>
      <w:r>
        <w:rPr>
          <w:snapToGrid w:val="0"/>
        </w:rPr>
        <w:br/>
        <w:t xml:space="preserve">                         day of                                   20         at               a.m. to serve as a juror at the Criminal Sittings of the Supreme Court and of the District Court and there to attend from day to day until you shall be discharged.</w:t>
      </w:r>
    </w:p>
    <w:p>
      <w:pPr>
        <w:pStyle w:val="yMiscellaneousBody"/>
        <w:tabs>
          <w:tab w:val="left" w:pos="1596"/>
          <w:tab w:val="left" w:pos="4200"/>
          <w:tab w:val="left" w:pos="4800"/>
        </w:tabs>
        <w:rPr>
          <w:snapToGrid w:val="0"/>
        </w:rPr>
      </w:pPr>
      <w:r>
        <w:rPr>
          <w:snapToGrid w:val="0"/>
        </w:rPr>
        <w:t>Dated the</w:t>
      </w:r>
      <w:r>
        <w:rPr>
          <w:snapToGrid w:val="0"/>
        </w:rPr>
        <w:tab/>
        <w:t xml:space="preserve">day of </w:t>
      </w:r>
      <w:r>
        <w:rPr>
          <w:snapToGrid w:val="0"/>
        </w:rPr>
        <w:tab/>
        <w:t xml:space="preserve">20 </w:t>
      </w:r>
      <w:r>
        <w:rPr>
          <w:snapToGrid w:val="0"/>
        </w:rPr>
        <w:tab/>
        <w:t>.</w:t>
      </w:r>
    </w:p>
    <w:p>
      <w:pPr>
        <w:pStyle w:val="yMiscellaneousBody"/>
        <w:jc w:val="right"/>
        <w:rPr>
          <w:snapToGrid w:val="0"/>
        </w:rPr>
      </w:pPr>
      <w:r>
        <w:rPr>
          <w:snapToGrid w:val="0"/>
        </w:rPr>
        <w:t>Sheriff.</w:t>
      </w:r>
    </w:p>
    <w:p>
      <w:pPr>
        <w:pStyle w:val="yFootnotesection"/>
      </w:pPr>
      <w:r>
        <w:tab/>
        <w:t>[Form 1 inserted: Gazette 30 Jun 2011 p. 2618.]</w:t>
      </w:r>
    </w:p>
    <w:p>
      <w:pPr>
        <w:pStyle w:val="yMiscellaneousHeading"/>
        <w:pageBreakBefore/>
        <w:rPr>
          <w:b/>
          <w:snapToGrid w:val="0"/>
        </w:rPr>
      </w:pPr>
      <w:r>
        <w:rPr>
          <w:b/>
          <w:snapToGrid w:val="0"/>
        </w:rPr>
        <w:t>Form 2 — Jury Pool Precept</w:t>
      </w:r>
    </w:p>
    <w:p>
      <w:pPr>
        <w:pStyle w:val="yMiscellaneousHeading"/>
        <w:rPr>
          <w:b/>
          <w:i/>
          <w:snapToGrid w:val="0"/>
        </w:rPr>
      </w:pPr>
      <w:r>
        <w:rPr>
          <w:b/>
          <w:i/>
          <w:snapToGrid w:val="0"/>
        </w:rPr>
        <w:t>Juries Act 1957</w:t>
      </w:r>
    </w:p>
    <w:p>
      <w:pPr>
        <w:pStyle w:val="yMiscellaneousBody"/>
        <w:rPr>
          <w:snapToGrid w:val="0"/>
        </w:rPr>
      </w:pPr>
      <w:r>
        <w:rPr>
          <w:snapToGrid w:val="0"/>
        </w:rPr>
        <w:t>TO THE JURY POOL SUPERVISOR.</w:t>
      </w:r>
    </w:p>
    <w:p>
      <w:pPr>
        <w:pStyle w:val="yMiscellaneousBody"/>
        <w:rPr>
          <w:snapToGrid w:val="0"/>
        </w:rPr>
      </w:pPr>
      <w:r>
        <w:rPr>
          <w:snapToGrid w:val="0"/>
        </w:rPr>
        <w:t>You are hereby required to allocate the undermentioned number of jurors from the pool of jurors in accordance with the information contained in this precept.</w:t>
      </w:r>
    </w:p>
    <w:p>
      <w:pPr>
        <w:pStyle w:val="yMiscellaneousBody"/>
        <w:rPr>
          <w:snapToGrid w:val="0"/>
        </w:rPr>
      </w:pPr>
      <w:r>
        <w:rPr>
          <w:snapToGrid w:val="0"/>
        </w:rPr>
        <w:t>Court</w:t>
      </w:r>
    </w:p>
    <w:p>
      <w:pPr>
        <w:pStyle w:val="yMiscellaneousBody"/>
        <w:rPr>
          <w:snapToGrid w:val="0"/>
        </w:rPr>
      </w:pPr>
      <w:r>
        <w:rPr>
          <w:snapToGrid w:val="0"/>
        </w:rPr>
        <w:tab/>
        <w:t>(insert here Supreme Court or District Court)</w:t>
      </w:r>
    </w:p>
    <w:p>
      <w:pPr>
        <w:pStyle w:val="yMiscellaneousBody"/>
        <w:rPr>
          <w:snapToGrid w:val="0"/>
        </w:rPr>
      </w:pPr>
      <w:r>
        <w:rPr>
          <w:snapToGrid w:val="0"/>
        </w:rPr>
        <w:t>No. of jurors required</w:t>
      </w:r>
    </w:p>
    <w:p>
      <w:pPr>
        <w:pStyle w:val="yMiscellaneousBody"/>
        <w:rPr>
          <w:snapToGrid w:val="0"/>
        </w:rPr>
      </w:pPr>
      <w:r>
        <w:rPr>
          <w:snapToGrid w:val="0"/>
        </w:rPr>
        <w:t>Date and time required</w:t>
      </w:r>
    </w:p>
    <w:p>
      <w:pPr>
        <w:pStyle w:val="yMiscellaneousBody"/>
        <w:rPr>
          <w:snapToGrid w:val="0"/>
        </w:rPr>
      </w:pPr>
      <w:r>
        <w:rPr>
          <w:snapToGrid w:val="0"/>
        </w:rPr>
        <w:t>Place of attendance</w:t>
      </w:r>
    </w:p>
    <w:p>
      <w:pPr>
        <w:pStyle w:val="yMiscellaneousBody"/>
        <w:tabs>
          <w:tab w:val="left" w:pos="3840"/>
          <w:tab w:val="left" w:pos="6000"/>
        </w:tabs>
        <w:rPr>
          <w:snapToGrid w:val="0"/>
        </w:rPr>
      </w:pPr>
      <w:r>
        <w:rPr>
          <w:snapToGrid w:val="0"/>
        </w:rPr>
        <w:t xml:space="preserve">Dated at .............................. this </w:t>
      </w:r>
      <w:r>
        <w:rPr>
          <w:snapToGrid w:val="0"/>
        </w:rPr>
        <w:tab/>
        <w:t>day of</w:t>
      </w:r>
      <w:r>
        <w:rPr>
          <w:snapToGrid w:val="0"/>
        </w:rPr>
        <w:tab/>
        <w:t>20     .</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Judge or person appointed by</w:t>
      </w:r>
      <w:r>
        <w:rPr>
          <w:snapToGrid w:val="0"/>
        </w:rPr>
        <w:br/>
        <w:t>judge under section 32G(1)</w:t>
      </w:r>
    </w:p>
    <w:p>
      <w:pPr>
        <w:pStyle w:val="yFootnotesection"/>
      </w:pPr>
      <w:r>
        <w:tab/>
        <w:t>[Form 2 inserted: Gazette 30 Jun 2011 p. 2619.]</w:t>
      </w:r>
    </w:p>
    <w:p>
      <w:pPr>
        <w:pStyle w:val="yScheduleHeading"/>
      </w:pPr>
      <w:bookmarkStart w:id="56" w:name="_Toc377550495"/>
      <w:bookmarkStart w:id="57" w:name="_Toc420504563"/>
      <w:bookmarkStart w:id="58" w:name="_Toc420504651"/>
      <w:bookmarkStart w:id="59" w:name="_Toc420504686"/>
      <w:r>
        <w:rPr>
          <w:rStyle w:val="CharSchNo"/>
        </w:rPr>
        <w:t>Schedule 2</w:t>
      </w:r>
      <w:r>
        <w:t> — </w:t>
      </w:r>
      <w:r>
        <w:rPr>
          <w:rStyle w:val="CharSchText"/>
        </w:rPr>
        <w:t>Prescribed offences and modified penalties</w:t>
      </w:r>
      <w:bookmarkEnd w:id="56"/>
      <w:bookmarkEnd w:id="57"/>
      <w:bookmarkEnd w:id="58"/>
      <w:bookmarkEnd w:id="59"/>
    </w:p>
    <w:p>
      <w:pPr>
        <w:pStyle w:val="yShoulderClause"/>
      </w:pPr>
      <w:r>
        <w:t>[r. 9]</w:t>
      </w:r>
    </w:p>
    <w:p>
      <w:pPr>
        <w:pStyle w:val="yFootnoteheading"/>
        <w:spacing w:after="120"/>
      </w:pPr>
      <w:r>
        <w:tab/>
        <w:t>[Heading inserted: Gazette 27 Oct 2011 p. 4554.]</w:t>
      </w:r>
    </w:p>
    <w:tbl>
      <w:tblPr>
        <w:tblW w:w="0" w:type="auto"/>
        <w:tblInd w:w="57" w:type="dxa"/>
        <w:tblLayout w:type="fixed"/>
        <w:tblCellMar>
          <w:left w:w="57" w:type="dxa"/>
          <w:right w:w="57" w:type="dxa"/>
        </w:tblCellMar>
        <w:tblLook w:val="0000" w:firstRow="0" w:lastRow="0" w:firstColumn="0" w:lastColumn="0" w:noHBand="0" w:noVBand="0"/>
      </w:tblPr>
      <w:tblGrid>
        <w:gridCol w:w="1140"/>
        <w:gridCol w:w="4845"/>
        <w:gridCol w:w="1083"/>
      </w:tblGrid>
      <w:tr>
        <w:trPr>
          <w:cantSplit/>
          <w:trHeight w:val="28"/>
          <w:tblHeader/>
        </w:trPr>
        <w:tc>
          <w:tcPr>
            <w:tcW w:w="5985" w:type="dxa"/>
            <w:gridSpan w:val="2"/>
            <w:tcBorders>
              <w:top w:val="single" w:sz="4" w:space="0" w:color="auto"/>
              <w:bottom w:val="single" w:sz="4" w:space="0" w:color="auto"/>
            </w:tcBorders>
          </w:tcPr>
          <w:p>
            <w:pPr>
              <w:pStyle w:val="yTableNAm"/>
              <w:rPr>
                <w:b/>
              </w:rPr>
            </w:pPr>
            <w:r>
              <w:rPr>
                <w:b/>
              </w:rPr>
              <w:t xml:space="preserve">Offences under </w:t>
            </w:r>
            <w:r>
              <w:rPr>
                <w:b/>
                <w:i/>
              </w:rPr>
              <w:t>Juries Act 1957</w:t>
            </w:r>
          </w:p>
        </w:tc>
        <w:tc>
          <w:tcPr>
            <w:tcW w:w="1083"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40" w:type="dxa"/>
          </w:tcPr>
          <w:p>
            <w:pPr>
              <w:pStyle w:val="yTableNAm"/>
            </w:pPr>
            <w:r>
              <w:t>s. 55(1)</w:t>
            </w:r>
          </w:p>
        </w:tc>
        <w:tc>
          <w:tcPr>
            <w:tcW w:w="4845" w:type="dxa"/>
          </w:tcPr>
          <w:p>
            <w:pPr>
              <w:pStyle w:val="yTableNAm"/>
              <w:tabs>
                <w:tab w:val="left" w:leader="dot" w:pos="5330"/>
              </w:tabs>
            </w:pPr>
            <w:r>
              <w:t xml:space="preserve">Failing without reasonable excuse to obey summons that has been served </w:t>
            </w:r>
            <w:r>
              <w:tab/>
            </w:r>
          </w:p>
        </w:tc>
        <w:tc>
          <w:tcPr>
            <w:tcW w:w="1083" w:type="dxa"/>
          </w:tcPr>
          <w:p>
            <w:pPr>
              <w:pStyle w:val="yTableNAm"/>
            </w:pPr>
            <w:r>
              <w:br/>
              <w:t>$800</w:t>
            </w:r>
          </w:p>
        </w:tc>
      </w:tr>
      <w:tr>
        <w:trPr>
          <w:cantSplit/>
          <w:trHeight w:val="21"/>
        </w:trPr>
        <w:tc>
          <w:tcPr>
            <w:tcW w:w="1140" w:type="dxa"/>
            <w:tcBorders>
              <w:bottom w:val="single" w:sz="4" w:space="0" w:color="auto"/>
            </w:tcBorders>
          </w:tcPr>
          <w:p>
            <w:pPr>
              <w:pStyle w:val="yTableNAm"/>
            </w:pPr>
            <w:r>
              <w:t>s. 55(2)</w:t>
            </w:r>
          </w:p>
        </w:tc>
        <w:tc>
          <w:tcPr>
            <w:tcW w:w="4845" w:type="dxa"/>
            <w:tcBorders>
              <w:bottom w:val="single" w:sz="4" w:space="0" w:color="auto"/>
            </w:tcBorders>
          </w:tcPr>
          <w:p>
            <w:pPr>
              <w:pStyle w:val="yTableNAm"/>
              <w:tabs>
                <w:tab w:val="left" w:leader="dot" w:pos="5330"/>
              </w:tabs>
            </w:pPr>
            <w:r>
              <w:t xml:space="preserve">Failing without reasonable excuse to obey direction given under section 32H(4) </w:t>
            </w:r>
            <w:r>
              <w:tab/>
            </w:r>
          </w:p>
        </w:tc>
        <w:tc>
          <w:tcPr>
            <w:tcW w:w="1083" w:type="dxa"/>
            <w:tcBorders>
              <w:bottom w:val="single" w:sz="4" w:space="0" w:color="auto"/>
            </w:tcBorders>
          </w:tcPr>
          <w:p>
            <w:pPr>
              <w:pStyle w:val="yTableNAm"/>
            </w:pPr>
            <w:r>
              <w:br/>
              <w:t>$800</w:t>
            </w:r>
          </w:p>
        </w:tc>
      </w:tr>
    </w:tbl>
    <w:p>
      <w:pPr>
        <w:pStyle w:val="yFootnotesection"/>
      </w:pPr>
      <w:r>
        <w:tab/>
        <w:t>[Schedule 2 inserted: Gazette 27 Oct 2011 p. 4554.]</w:t>
      </w:r>
    </w:p>
    <w:p>
      <w:pPr>
        <w:pStyle w:val="yScheduleHeading"/>
      </w:pPr>
      <w:bookmarkStart w:id="60" w:name="_Toc377550496"/>
      <w:bookmarkStart w:id="61" w:name="_Toc420504564"/>
      <w:bookmarkStart w:id="62" w:name="_Toc420504652"/>
      <w:bookmarkStart w:id="63" w:name="_Toc420504687"/>
      <w:r>
        <w:rPr>
          <w:rStyle w:val="CharSchNo"/>
        </w:rPr>
        <w:t>Schedule 3</w:t>
      </w:r>
      <w:r>
        <w:t> — </w:t>
      </w:r>
      <w:r>
        <w:rPr>
          <w:rStyle w:val="CharSchText"/>
        </w:rPr>
        <w:t>Forms concerning prescribed offences</w:t>
      </w:r>
      <w:bookmarkEnd w:id="60"/>
      <w:bookmarkEnd w:id="61"/>
      <w:bookmarkEnd w:id="62"/>
      <w:bookmarkEnd w:id="63"/>
    </w:p>
    <w:p>
      <w:pPr>
        <w:pStyle w:val="yShoulderClause"/>
      </w:pPr>
      <w:r>
        <w:t>[r. 10]</w:t>
      </w:r>
    </w:p>
    <w:p>
      <w:pPr>
        <w:pStyle w:val="yFootnoteheading"/>
        <w:spacing w:before="40"/>
      </w:pPr>
      <w:r>
        <w:tab/>
        <w:t>[Heading inserted: Gazette 27 Oct 2011 p. 4554.]</w:t>
      </w:r>
    </w:p>
    <w:p>
      <w:pPr>
        <w:pStyle w:val="yMiscellaneousHeading"/>
        <w:spacing w:before="120"/>
        <w:rPr>
          <w:b/>
          <w:bCs/>
        </w:rPr>
      </w:pPr>
      <w:r>
        <w:rPr>
          <w:b/>
          <w:bCs/>
        </w:rPr>
        <w:t>Form 3 — Infringement Notice</w:t>
      </w:r>
    </w:p>
    <w:p>
      <w:pPr>
        <w:pStyle w:val="yMiscellaneousHeading"/>
        <w:spacing w:before="120" w:after="160"/>
      </w:pPr>
      <w:r>
        <w:rPr>
          <w:i/>
        </w:rPr>
        <w:t>Juries Act 1957</w:t>
      </w:r>
      <w:r>
        <w:t xml:space="preserve"> section 55</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vAlign w:val="center"/>
          </w:tcPr>
          <w:p>
            <w:pPr>
              <w:pStyle w:val="zyTableNAm"/>
              <w:spacing w:before="0"/>
              <w:rPr>
                <w:b/>
                <w:bCs/>
              </w:rPr>
            </w:pPr>
            <w:r>
              <w:rPr>
                <w:b/>
                <w:bCs/>
              </w:rPr>
              <w:t>Name:</w:t>
            </w:r>
          </w:p>
          <w:p>
            <w:pPr>
              <w:pStyle w:val="zyTableNAm"/>
              <w:spacing w:before="0"/>
              <w:rPr>
                <w:b/>
                <w:bCs/>
              </w:rPr>
            </w:pPr>
          </w:p>
          <w:p>
            <w:pPr>
              <w:pStyle w:val="zyTableNAm"/>
              <w:spacing w:before="0"/>
              <w:rPr>
                <w:b/>
                <w:bCs/>
              </w:rPr>
            </w:pPr>
            <w:r>
              <w:rPr>
                <w:b/>
                <w:bCs/>
              </w:rPr>
              <w:t>Address:</w:t>
            </w:r>
          </w:p>
          <w:p>
            <w:pPr>
              <w:pStyle w:val="zyTableNAm"/>
              <w:spacing w:before="0"/>
              <w:rPr>
                <w:b/>
                <w:bCs/>
              </w:rPr>
            </w:pPr>
          </w:p>
        </w:tc>
      </w:tr>
    </w:tbl>
    <w:p>
      <w:pPr>
        <w:pStyle w:val="yMiscellaneousBody"/>
        <w:spacing w:before="0"/>
        <w:rPr>
          <w:sz w:val="18"/>
          <w:szCs w:val="18"/>
        </w:rPr>
      </w:pPr>
    </w:p>
    <w:tbl>
      <w:tblPr>
        <w:tblStyle w:val="TableGrid"/>
        <w:tblW w:w="70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44"/>
        <w:gridCol w:w="3524"/>
      </w:tblGrid>
      <w:tr>
        <w:trPr>
          <w:trHeight w:val="345"/>
        </w:trPr>
        <w:tc>
          <w:tcPr>
            <w:tcW w:w="3544" w:type="dxa"/>
            <w:vMerge w:val="restart"/>
          </w:tcPr>
          <w:p>
            <w:pPr>
              <w:pStyle w:val="zyTableNAm"/>
              <w:spacing w:before="0"/>
              <w:rPr>
                <w:b/>
                <w:bCs/>
              </w:rPr>
            </w:pPr>
            <w:r>
              <w:rPr>
                <w:b/>
                <w:bCs/>
              </w:rPr>
              <w:t>Infringement Number:</w:t>
            </w:r>
          </w:p>
          <w:p>
            <w:pPr>
              <w:pStyle w:val="zyTableNAm"/>
              <w:spacing w:before="0"/>
              <w:rPr>
                <w:b/>
                <w:bCs/>
              </w:rPr>
            </w:pPr>
          </w:p>
        </w:tc>
        <w:tc>
          <w:tcPr>
            <w:tcW w:w="3524" w:type="dxa"/>
            <w:vAlign w:val="center"/>
          </w:tcPr>
          <w:p>
            <w:pPr>
              <w:pStyle w:val="zyTableNAm"/>
              <w:spacing w:before="0"/>
              <w:rPr>
                <w:b/>
                <w:bCs/>
              </w:rPr>
            </w:pPr>
            <w:r>
              <w:rPr>
                <w:b/>
                <w:bCs/>
              </w:rPr>
              <w:t>Modified Penalty: $800</w:t>
            </w:r>
          </w:p>
        </w:tc>
      </w:tr>
      <w:tr>
        <w:trPr>
          <w:trHeight w:val="345"/>
        </w:trPr>
        <w:tc>
          <w:tcPr>
            <w:tcW w:w="3544" w:type="dxa"/>
            <w:vMerge/>
            <w:vAlign w:val="center"/>
          </w:tcPr>
          <w:p>
            <w:pPr>
              <w:pStyle w:val="zyTableNAm"/>
              <w:spacing w:before="0"/>
              <w:rPr>
                <w:b/>
                <w:bCs/>
              </w:rPr>
            </w:pPr>
          </w:p>
        </w:tc>
        <w:tc>
          <w:tcPr>
            <w:tcW w:w="3524" w:type="dxa"/>
            <w:shd w:val="clear" w:color="auto" w:fill="E0E0E0"/>
            <w:vAlign w:val="center"/>
          </w:tcPr>
          <w:p>
            <w:pPr>
              <w:pStyle w:val="zyTableNAm"/>
              <w:spacing w:before="0"/>
              <w:rPr>
                <w:b/>
                <w:bCs/>
              </w:rPr>
            </w:pPr>
            <w:r>
              <w:rPr>
                <w:b/>
                <w:bCs/>
              </w:rPr>
              <w:t>Due Date:</w:t>
            </w:r>
          </w:p>
        </w:tc>
      </w:tr>
    </w:tbl>
    <w:p>
      <w:pPr>
        <w:pStyle w:val="yMiscellaneousBody"/>
        <w:spacing w:before="0"/>
        <w:rPr>
          <w:sz w:val="18"/>
          <w:szCs w:val="18"/>
        </w:rPr>
      </w:pPr>
    </w:p>
    <w:p>
      <w:pPr>
        <w:pStyle w:val="yMiscellaneousBody"/>
        <w:spacing w:before="0"/>
      </w:pPr>
      <w:r>
        <w:rPr>
          <w:b/>
        </w:rPr>
        <w:t xml:space="preserve">It is alleged that you failed without reasonable excuse to obey a summons served upon you /a direction given under </w:t>
      </w:r>
      <w:r>
        <w:rPr>
          <w:b/>
          <w:i/>
        </w:rPr>
        <w:t xml:space="preserve">Juries Act 1957 </w:t>
      </w:r>
      <w:r>
        <w:rPr>
          <w:b/>
        </w:rPr>
        <w:t>section 23H(4) that required you to attend at ............................. on ...................................... at ...................... a.m./p.m.</w:t>
      </w:r>
    </w:p>
    <w:p>
      <w:pPr>
        <w:pStyle w:val="yMiscellaneousBody"/>
        <w:spacing w:before="120"/>
        <w:rPr>
          <w:i/>
        </w:rPr>
      </w:pPr>
      <w:r>
        <w:rPr>
          <w:i/>
        </w:rPr>
        <w:t>Section 55(1) states: “A person who, without a reasonable excuse, does not obey a summons that has been served on the person under this Act commits an offence.”</w:t>
      </w:r>
    </w:p>
    <w:p>
      <w:pPr>
        <w:pStyle w:val="yMiscellaneousBody"/>
        <w:spacing w:before="120"/>
        <w:rPr>
          <w:i/>
        </w:rPr>
      </w:pPr>
      <w:r>
        <w:rPr>
          <w:i/>
        </w:rPr>
        <w:t>OR</w:t>
      </w:r>
    </w:p>
    <w:p>
      <w:pPr>
        <w:pStyle w:val="yMiscellaneousBody"/>
        <w:spacing w:before="120"/>
        <w:rPr>
          <w:i/>
        </w:rPr>
      </w:pPr>
      <w:r>
        <w:rPr>
          <w:i/>
        </w:rPr>
        <w:t>Section 55(2) states: “A person who, without a reasonable excuse, does not obey a direction given under section 32H(4) commits an offence.”</w:t>
      </w:r>
    </w:p>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spacing w:before="40"/>
              <w:rPr>
                <w:b/>
              </w:rPr>
            </w:pPr>
            <w:r>
              <w:rPr>
                <w:b/>
              </w:rPr>
              <w:t>PAYMENT OPTIONS</w:t>
            </w:r>
          </w:p>
        </w:tc>
      </w:tr>
      <w:tr>
        <w:tblPrEx>
          <w:tblLook w:val="0000" w:firstRow="0" w:lastRow="0" w:firstColumn="0" w:lastColumn="0" w:noHBand="0" w:noVBand="0"/>
        </w:tblPrEx>
        <w:trPr>
          <w:trHeight w:val="1143"/>
        </w:trPr>
        <w:tc>
          <w:tcPr>
            <w:tcW w:w="7068" w:type="dxa"/>
          </w:tcPr>
          <w:p>
            <w:pPr>
              <w:pStyle w:val="yTableNAm"/>
            </w:pPr>
            <w:r>
              <w:t>Payment can be made:</w:t>
            </w:r>
          </w:p>
          <w:p>
            <w:pPr>
              <w:pStyle w:val="yTableNAm"/>
              <w:numPr>
                <w:ilvl w:val="0"/>
                <w:numId w:val="2"/>
              </w:numPr>
              <w:tabs>
                <w:tab w:val="clear" w:pos="567"/>
              </w:tabs>
              <w:spacing w:before="80"/>
              <w:ind w:left="601"/>
            </w:pPr>
            <w:r>
              <w:t xml:space="preserve">In person at any magistrate courthouse in the state of Western Australia. </w:t>
            </w:r>
          </w:p>
          <w:p>
            <w:pPr>
              <w:pStyle w:val="yTableNAm"/>
              <w:numPr>
                <w:ilvl w:val="0"/>
                <w:numId w:val="2"/>
              </w:numPr>
              <w:tabs>
                <w:tab w:val="clear" w:pos="567"/>
              </w:tabs>
              <w:spacing w:before="80"/>
              <w:ind w:left="601"/>
            </w:pPr>
            <w:r>
              <w:t xml:space="preserve">A cheque or money order made payable to: </w:t>
            </w:r>
            <w:r>
              <w:rPr>
                <w:b/>
              </w:rPr>
              <w:t>Jury Services</w:t>
            </w:r>
            <w:r>
              <w:t xml:space="preserve"> posted to:</w:t>
            </w:r>
          </w:p>
          <w:p>
            <w:pPr>
              <w:pStyle w:val="yTableNAm"/>
              <w:spacing w:before="80"/>
            </w:pPr>
            <w:r>
              <w:tab/>
            </w:r>
            <w:r>
              <w:tab/>
              <w:t>Sheriffs Office</w:t>
            </w:r>
          </w:p>
          <w:p>
            <w:pPr>
              <w:pStyle w:val="yTableNAm"/>
              <w:spacing w:before="0"/>
            </w:pPr>
            <w:r>
              <w:tab/>
            </w:r>
            <w:r>
              <w:tab/>
              <w:t xml:space="preserve">Level 2, </w:t>
            </w:r>
            <w:smartTag w:uri="urn:schemas-microsoft-com:office:smarttags" w:element="Street">
              <w:smartTag w:uri="urn:schemas-microsoft-com:office:smarttags" w:element="address">
                <w:r>
                  <w:t>500 Hay Street</w:t>
                </w:r>
              </w:smartTag>
            </w:smartTag>
          </w:p>
          <w:p>
            <w:pPr>
              <w:pStyle w:val="yTableNAm"/>
              <w:spacing w:before="0"/>
            </w:pPr>
            <w:r>
              <w:tab/>
            </w:r>
            <w:r>
              <w:tab/>
            </w:r>
            <w:smartTag w:uri="urn:schemas-microsoft-com:office:smarttags" w:element="City">
              <w:smartTag w:uri="urn:schemas-microsoft-com:office:smarttags" w:element="place">
                <w:r>
                  <w:t>PERTH</w:t>
                </w:r>
              </w:smartTag>
            </w:smartTag>
            <w:r>
              <w:t xml:space="preserve"> WA 6000</w:t>
            </w:r>
          </w:p>
          <w:p>
            <w:pPr>
              <w:pStyle w:val="yTableNAm"/>
              <w:spacing w:before="80"/>
            </w:pPr>
            <w:r>
              <w:rPr>
                <w:szCs w:val="22"/>
              </w:rPr>
              <w:t xml:space="preserve">If you do not pay the modified penalty by the due date, you may be prosecuted or enforcement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MiscellaneousBody"/>
        <w:spacing w:before="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68"/>
      </w:tblGrid>
      <w:tr>
        <w:tc>
          <w:tcPr>
            <w:tcW w:w="7068" w:type="dxa"/>
          </w:tcPr>
          <w:p>
            <w:pPr>
              <w:pStyle w:val="yTableNAm"/>
              <w:rPr>
                <w:b/>
              </w:rPr>
            </w:pPr>
            <w:r>
              <w:rPr>
                <w:b/>
              </w:rPr>
              <w:t>DISPUTING THE ALLEGATION</w:t>
            </w:r>
          </w:p>
        </w:tc>
      </w:tr>
      <w:tr>
        <w:tblPrEx>
          <w:tblLook w:val="0000" w:firstRow="0" w:lastRow="0" w:firstColumn="0" w:lastColumn="0" w:noHBand="0" w:noVBand="0"/>
        </w:tblPrEx>
        <w:trPr>
          <w:trHeight w:val="1143"/>
        </w:trPr>
        <w:tc>
          <w:tcPr>
            <w:tcW w:w="7068" w:type="dxa"/>
          </w:tcPr>
          <w:p>
            <w:pPr>
              <w:pStyle w:val="yTableNAm"/>
            </w:pPr>
            <w:r>
              <w:t>If you wish the matter to be dealt with by a court, do not pay the Infringement Notice.</w:t>
            </w:r>
          </w:p>
          <w:p>
            <w:pPr>
              <w:pStyle w:val="yTableNAm"/>
            </w:pPr>
            <w:r>
              <w:t>You should advise Jury Services of your intentions in writing to the address below before the due date.</w:t>
            </w:r>
          </w:p>
          <w:p>
            <w:pPr>
              <w:pStyle w:val="yTableNAm"/>
            </w:pPr>
            <w:r>
              <w:t>If you wish to discuss this further, please contact Jury Services as stated below.</w:t>
            </w:r>
          </w:p>
          <w:p>
            <w:pPr>
              <w:pStyle w:val="yTableNAm"/>
            </w:pPr>
            <w:r>
              <w:rPr>
                <w:i/>
              </w:rPr>
              <w:t>Under the Juries Act 1957 section 55, the maximum penalty is $5 000</w:t>
            </w:r>
            <w:r>
              <w:t>.</w:t>
            </w:r>
          </w:p>
        </w:tc>
      </w:tr>
    </w:tbl>
    <w:p>
      <w:pPr>
        <w:pStyle w:val="yMiscellaneousBody"/>
        <w:spacing w:before="0"/>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68"/>
      </w:tblGrid>
      <w:tr>
        <w:tc>
          <w:tcPr>
            <w:tcW w:w="7068" w:type="dxa"/>
          </w:tcPr>
          <w:p>
            <w:pPr>
              <w:pStyle w:val="yTableNAm"/>
              <w:rPr>
                <w:b/>
              </w:rPr>
            </w:pPr>
            <w:r>
              <w:rPr>
                <w:b/>
              </w:rPr>
              <w:t>JURY SERVICES CONTACT DETAILS</w:t>
            </w:r>
          </w:p>
        </w:tc>
      </w:tr>
      <w:tr>
        <w:tblPrEx>
          <w:tblLook w:val="0000" w:firstRow="0" w:lastRow="0" w:firstColumn="0" w:lastColumn="0" w:noHBand="0" w:noVBand="0"/>
        </w:tblPrEx>
        <w:trPr>
          <w:trHeight w:val="1143"/>
        </w:trPr>
        <w:tc>
          <w:tcPr>
            <w:tcW w:w="7068" w:type="dxa"/>
            <w:vAlign w:val="center"/>
          </w:tcPr>
          <w:p>
            <w:pPr>
              <w:pStyle w:val="yTableNAm"/>
              <w:tabs>
                <w:tab w:val="left" w:pos="1408"/>
                <w:tab w:val="left" w:pos="3617"/>
                <w:tab w:val="left" w:pos="4122"/>
              </w:tabs>
              <w:spacing w:before="0"/>
              <w:rPr>
                <w:sz w:val="18"/>
                <w:szCs w:val="18"/>
              </w:rPr>
            </w:pPr>
            <w:r>
              <w:rPr>
                <w:b/>
                <w:sz w:val="18"/>
                <w:szCs w:val="18"/>
              </w:rPr>
              <w:t>Address:</w:t>
            </w:r>
            <w:r>
              <w:rPr>
                <w:sz w:val="18"/>
                <w:szCs w:val="18"/>
              </w:rPr>
              <w:t xml:space="preserve"> </w:t>
            </w:r>
            <w:r>
              <w:rPr>
                <w:sz w:val="18"/>
                <w:szCs w:val="18"/>
              </w:rPr>
              <w:tab/>
              <w:t xml:space="preserve">Level 2, </w:t>
            </w:r>
            <w:smartTag w:uri="urn:schemas-microsoft-com:office:smarttags" w:element="Street">
              <w:smartTag w:uri="urn:schemas-microsoft-com:office:smarttags" w:element="address">
                <w:r>
                  <w:rPr>
                    <w:sz w:val="18"/>
                    <w:szCs w:val="18"/>
                  </w:rPr>
                  <w:t>500 Hay Street</w:t>
                </w:r>
              </w:smartTag>
            </w:smartTag>
            <w:r>
              <w:rPr>
                <w:sz w:val="18"/>
                <w:szCs w:val="18"/>
              </w:rPr>
              <w:tab/>
            </w:r>
            <w:r>
              <w:rPr>
                <w:b/>
                <w:sz w:val="18"/>
                <w:szCs w:val="18"/>
              </w:rPr>
              <w:t>Email:</w:t>
            </w:r>
            <w:r>
              <w:rPr>
                <w:sz w:val="18"/>
                <w:szCs w:val="18"/>
              </w:rPr>
              <w:tab/>
              <w:t>jurors@justice.wa.gov.au</w:t>
            </w:r>
          </w:p>
          <w:p>
            <w:pPr>
              <w:pStyle w:val="yTableNAm"/>
              <w:tabs>
                <w:tab w:val="left" w:pos="1408"/>
                <w:tab w:val="left" w:pos="3617"/>
                <w:tab w:val="left" w:pos="4122"/>
              </w:tabs>
              <w:spacing w:before="0"/>
              <w:rPr>
                <w:sz w:val="18"/>
                <w:szCs w:val="18"/>
              </w:rPr>
            </w:pPr>
            <w:r>
              <w:rPr>
                <w:sz w:val="18"/>
                <w:szCs w:val="18"/>
              </w:rPr>
              <w:tab/>
            </w:r>
            <w:r>
              <w:rPr>
                <w:sz w:val="18"/>
                <w:szCs w:val="18"/>
              </w:rPr>
              <w:tab/>
            </w:r>
            <w:smartTag w:uri="urn:schemas-microsoft-com:office:smarttags" w:element="place">
              <w:smartTag w:uri="urn:schemas-microsoft-com:office:smarttags" w:element="City">
                <w:r>
                  <w:rPr>
                    <w:sz w:val="18"/>
                    <w:szCs w:val="18"/>
                  </w:rPr>
                  <w:t>PERTH</w:t>
                </w:r>
              </w:smartTag>
              <w:r>
                <w:rPr>
                  <w:sz w:val="18"/>
                  <w:szCs w:val="18"/>
                </w:rPr>
                <w:t xml:space="preserve"> </w:t>
              </w:r>
              <w:smartTag w:uri="urn:schemas-microsoft-com:office:smarttags" w:element="State">
                <w:r>
                  <w:rPr>
                    <w:sz w:val="18"/>
                    <w:szCs w:val="18"/>
                  </w:rPr>
                  <w:t>WA</w:t>
                </w:r>
              </w:smartTag>
            </w:smartTag>
            <w:r>
              <w:rPr>
                <w:sz w:val="18"/>
                <w:szCs w:val="18"/>
              </w:rPr>
              <w:t xml:space="preserve"> 6000</w:t>
            </w:r>
            <w:r>
              <w:rPr>
                <w:sz w:val="18"/>
                <w:szCs w:val="18"/>
              </w:rPr>
              <w:tab/>
            </w:r>
            <w:r>
              <w:rPr>
                <w:b/>
                <w:sz w:val="18"/>
                <w:szCs w:val="18"/>
              </w:rPr>
              <w:t>Website:</w:t>
            </w:r>
            <w:r>
              <w:rPr>
                <w:sz w:val="18"/>
                <w:szCs w:val="18"/>
              </w:rPr>
              <w:tab/>
              <w:t>www.dotag.wa.gov.au</w:t>
            </w:r>
          </w:p>
          <w:p>
            <w:pPr>
              <w:pStyle w:val="yTableNAm"/>
              <w:tabs>
                <w:tab w:val="left" w:pos="1408"/>
                <w:tab w:val="left" w:pos="3617"/>
                <w:tab w:val="left" w:pos="4122"/>
              </w:tabs>
              <w:spacing w:before="0"/>
              <w:rPr>
                <w:sz w:val="18"/>
                <w:szCs w:val="18"/>
              </w:rPr>
            </w:pPr>
            <w:r>
              <w:rPr>
                <w:b/>
                <w:sz w:val="18"/>
                <w:szCs w:val="18"/>
              </w:rPr>
              <w:t>Telephone:</w:t>
            </w:r>
            <w:r>
              <w:rPr>
                <w:sz w:val="18"/>
                <w:szCs w:val="18"/>
              </w:rPr>
              <w:t xml:space="preserve"> </w:t>
            </w:r>
            <w:r>
              <w:rPr>
                <w:sz w:val="18"/>
                <w:szCs w:val="18"/>
              </w:rPr>
              <w:tab/>
              <w:t>9425 2481</w:t>
            </w:r>
            <w:r>
              <w:rPr>
                <w:sz w:val="18"/>
                <w:szCs w:val="18"/>
              </w:rPr>
              <w:tab/>
            </w:r>
            <w:r>
              <w:rPr>
                <w:b/>
                <w:sz w:val="18"/>
                <w:szCs w:val="18"/>
              </w:rPr>
              <w:t>Fax:</w:t>
            </w:r>
            <w:r>
              <w:rPr>
                <w:sz w:val="18"/>
                <w:szCs w:val="18"/>
              </w:rPr>
              <w:t xml:space="preserve"> </w:t>
            </w:r>
            <w:r>
              <w:rPr>
                <w:sz w:val="18"/>
                <w:szCs w:val="18"/>
              </w:rPr>
              <w:tab/>
            </w:r>
            <w:r>
              <w:rPr>
                <w:sz w:val="18"/>
                <w:szCs w:val="18"/>
              </w:rPr>
              <w:tab/>
              <w:t>9425 4406</w:t>
            </w:r>
          </w:p>
          <w:p>
            <w:pPr>
              <w:pStyle w:val="yTableNAm"/>
              <w:tabs>
                <w:tab w:val="left" w:pos="1408"/>
              </w:tabs>
              <w:spacing w:before="0"/>
              <w:rPr>
                <w:sz w:val="20"/>
              </w:rPr>
            </w:pPr>
            <w:r>
              <w:rPr>
                <w:b/>
                <w:sz w:val="18"/>
                <w:szCs w:val="18"/>
              </w:rPr>
              <w:t>Office Hours:</w:t>
            </w:r>
            <w:r>
              <w:rPr>
                <w:sz w:val="18"/>
                <w:szCs w:val="18"/>
              </w:rPr>
              <w:tab/>
              <w:t xml:space="preserve">8:30 a.m. </w:t>
            </w:r>
            <w:r>
              <w:rPr>
                <w:sz w:val="18"/>
                <w:szCs w:val="18"/>
              </w:rPr>
              <w:noBreakHyphen/>
              <w:t xml:space="preserve"> 4:30 p.m.</w:t>
            </w:r>
          </w:p>
        </w:tc>
      </w:tr>
    </w:tbl>
    <w:p>
      <w:pPr>
        <w:pStyle w:val="yMiscellaneousBody"/>
      </w:pPr>
      <w:r>
        <w:t>Authorising Officer: ________________</w:t>
      </w:r>
      <w:r>
        <w:tab/>
        <w:t>Issue Date: __________</w:t>
      </w:r>
    </w:p>
    <w:p>
      <w:pPr>
        <w:pStyle w:val="yMiscellaneousBody"/>
      </w:pPr>
      <w:r>
        <w:t>Signature: ________________________</w:t>
      </w:r>
      <w:r>
        <w:tab/>
        <w:t>Issue Location: _________</w:t>
      </w:r>
    </w:p>
    <w:p>
      <w:pPr>
        <w:pStyle w:val="yFootnotesection"/>
      </w:pPr>
      <w:r>
        <w:tab/>
        <w:t>[Form 3 inserted: Gazette 27 Oct 2011 p. 4554</w:t>
      </w:r>
      <w:r>
        <w:noBreakHyphen/>
        <w:t>5; amended: Gazette 20 Aug 2013 p. 3859.]</w:t>
      </w:r>
    </w:p>
    <w:p>
      <w:pPr>
        <w:pStyle w:val="yMiscellaneousBody"/>
        <w:pageBreakBefore/>
        <w:ind w:left="357"/>
        <w:jc w:val="center"/>
        <w:rPr>
          <w:b/>
          <w:bCs/>
        </w:rPr>
      </w:pPr>
      <w:r>
        <w:rPr>
          <w:b/>
          <w:bCs/>
        </w:rPr>
        <w:t>Form 4 — Notice Of Withdrawal</w:t>
      </w:r>
    </w:p>
    <w:p>
      <w:pPr>
        <w:pStyle w:val="yMiscellaneousBody"/>
        <w:ind w:left="360"/>
        <w:jc w:val="center"/>
        <w:rPr>
          <w:i/>
          <w:szCs w:val="22"/>
        </w:rPr>
      </w:pPr>
      <w:r>
        <w:rPr>
          <w:i/>
          <w:szCs w:val="22"/>
        </w:rPr>
        <w:t>Juries Act 1957</w:t>
      </w:r>
    </w:p>
    <w:p>
      <w:pPr>
        <w:pStyle w:val="yMiscellaneousBody"/>
        <w:ind w:left="360"/>
        <w:jc w:val="center"/>
        <w:rPr>
          <w:i/>
          <w:szCs w:val="22"/>
        </w:rPr>
      </w:pPr>
      <w:r>
        <w:rPr>
          <w:i/>
          <w:szCs w:val="22"/>
        </w:rPr>
        <w:t xml:space="preserve">Criminal Procedure Act 2004 </w:t>
      </w:r>
      <w:r>
        <w:rPr>
          <w:szCs w:val="22"/>
        </w:rPr>
        <w:t>section 15</w:t>
      </w:r>
    </w:p>
    <w:p>
      <w:pPr>
        <w:pStyle w:val="yMiscellaneousBody"/>
        <w:rPr>
          <w:b/>
          <w:bCs/>
          <w:szCs w:val="22"/>
        </w:rPr>
      </w:pPr>
      <w:r>
        <w:rPr>
          <w:b/>
          <w:bCs/>
          <w:szCs w:val="22"/>
        </w:rPr>
        <w:t>Infringement Notice Number: _____________</w:t>
      </w:r>
    </w:p>
    <w:p>
      <w:pPr>
        <w:pStyle w:val="yMiscellaneousBody"/>
        <w:spacing w:before="240"/>
        <w:rPr>
          <w:bCs/>
          <w:szCs w:val="22"/>
        </w:rPr>
      </w:pPr>
      <w:r>
        <w:rPr>
          <w:bCs/>
          <w:szCs w:val="22"/>
        </w:rPr>
        <w:t>(Name)</w:t>
      </w:r>
      <w:r>
        <w:rPr>
          <w:bCs/>
          <w:szCs w:val="22"/>
        </w:rPr>
        <w:br/>
        <w:t>(Address)</w:t>
      </w:r>
    </w:p>
    <w:p>
      <w:pPr>
        <w:pStyle w:val="yMiscellaneousBody"/>
        <w:spacing w:before="0"/>
      </w:pPr>
    </w:p>
    <w:tbl>
      <w:tblPr>
        <w:tblStyle w:val="TableGrid"/>
        <w:tblW w:w="0" w:type="auto"/>
        <w:tblInd w:w="108" w:type="dxa"/>
        <w:tblLook w:val="01E0" w:firstRow="1" w:lastRow="1" w:firstColumn="1" w:lastColumn="1" w:noHBand="0" w:noVBand="0"/>
      </w:tblPr>
      <w:tblGrid>
        <w:gridCol w:w="2280"/>
        <w:gridCol w:w="4788"/>
      </w:tblGrid>
      <w:tr>
        <w:tc>
          <w:tcPr>
            <w:tcW w:w="7068" w:type="dxa"/>
            <w:gridSpan w:val="2"/>
          </w:tcPr>
          <w:p>
            <w:pPr>
              <w:pStyle w:val="yTableNAm"/>
              <w:rPr>
                <w:b/>
              </w:rPr>
            </w:pPr>
            <w:r>
              <w:rPr>
                <w:b/>
              </w:rPr>
              <w:t>DETAILS OF INFRINGEMENT NOTICE AND ALLEGED OFFENCE</w:t>
            </w:r>
          </w:p>
        </w:tc>
      </w:tr>
      <w:tr>
        <w:tc>
          <w:tcPr>
            <w:tcW w:w="2280" w:type="dxa"/>
          </w:tcPr>
          <w:p>
            <w:pPr>
              <w:pStyle w:val="yTableNAm"/>
            </w:pPr>
            <w:r>
              <w:t>Infringement Notice Number:</w:t>
            </w:r>
          </w:p>
        </w:tc>
        <w:tc>
          <w:tcPr>
            <w:tcW w:w="4788" w:type="dxa"/>
          </w:tcPr>
          <w:p>
            <w:pPr>
              <w:pStyle w:val="yTableNAm"/>
            </w:pPr>
          </w:p>
        </w:tc>
      </w:tr>
      <w:tr>
        <w:tc>
          <w:tcPr>
            <w:tcW w:w="2280" w:type="dxa"/>
          </w:tcPr>
          <w:p>
            <w:pPr>
              <w:pStyle w:val="yTableNAm"/>
            </w:pPr>
            <w:r>
              <w:t>Date of Issue:</w:t>
            </w:r>
          </w:p>
        </w:tc>
        <w:tc>
          <w:tcPr>
            <w:tcW w:w="4788" w:type="dxa"/>
          </w:tcPr>
          <w:p>
            <w:pPr>
              <w:pStyle w:val="yTableNAm"/>
            </w:pPr>
          </w:p>
        </w:tc>
      </w:tr>
      <w:tr>
        <w:trPr>
          <w:trHeight w:val="686"/>
        </w:trPr>
        <w:tc>
          <w:tcPr>
            <w:tcW w:w="2280" w:type="dxa"/>
          </w:tcPr>
          <w:p>
            <w:pPr>
              <w:pStyle w:val="yTableNAm"/>
            </w:pPr>
            <w:r>
              <w:t>Alleged Offence:</w:t>
            </w:r>
          </w:p>
        </w:tc>
        <w:tc>
          <w:tcPr>
            <w:tcW w:w="4788" w:type="dxa"/>
          </w:tcPr>
          <w:p>
            <w:pPr>
              <w:pStyle w:val="yTableNAm"/>
            </w:pPr>
            <w:r>
              <w:t xml:space="preserve">Failure to obey summons for jury duty/direction under </w:t>
            </w:r>
            <w:r>
              <w:rPr>
                <w:i/>
              </w:rPr>
              <w:t xml:space="preserve">Juries Act 1957 </w:t>
            </w:r>
            <w:r>
              <w:t>section 32H(4)</w:t>
            </w:r>
          </w:p>
        </w:tc>
      </w:tr>
    </w:tbl>
    <w:p>
      <w:pPr>
        <w:pStyle w:val="yMiscellaneousBody"/>
      </w:pPr>
      <w:r>
        <w:t xml:space="preserve">As the approving officer I withdraw proceedings under the </w:t>
      </w:r>
      <w:r>
        <w:rPr>
          <w:i/>
        </w:rPr>
        <w:t>Criminal Procedure Act 2004</w:t>
      </w:r>
      <w:r>
        <w:t xml:space="preserve"> section 15 in relation to the Infringement Notice issued for the above offence.  Any payments made will be refunded.  No further action will be taken.</w:t>
      </w:r>
    </w:p>
    <w:p>
      <w:pPr>
        <w:pStyle w:val="yMiscellaneousBody"/>
        <w:tabs>
          <w:tab w:val="left" w:pos="3960"/>
        </w:tabs>
      </w:pPr>
      <w:r>
        <w:t>...................................................</w:t>
      </w:r>
      <w:r>
        <w:tab/>
        <w:t>....................................................</w:t>
      </w:r>
    </w:p>
    <w:p>
      <w:pPr>
        <w:pStyle w:val="yMiscellaneousBody"/>
        <w:tabs>
          <w:tab w:val="left" w:pos="3960"/>
        </w:tabs>
        <w:spacing w:before="0"/>
      </w:pPr>
      <w:r>
        <w:t>Approving Officer (</w:t>
      </w:r>
      <w:r>
        <w:rPr>
          <w:i/>
        </w:rPr>
        <w:t>name</w:t>
      </w:r>
      <w:r>
        <w:t>)</w:t>
      </w:r>
      <w:r>
        <w:tab/>
        <w:t xml:space="preserve">Signature </w:t>
      </w:r>
    </w:p>
    <w:p>
      <w:pPr>
        <w:pStyle w:val="yMiscellaneousBody"/>
        <w:tabs>
          <w:tab w:val="left" w:pos="3960"/>
        </w:tabs>
        <w:rPr>
          <w:rFonts w:ascii="Arial" w:hAnsi="Arial" w:cs="Arial"/>
          <w:sz w:val="20"/>
        </w:rPr>
      </w:pPr>
      <w:r>
        <w:rPr>
          <w:rFonts w:ascii="Arial" w:hAnsi="Arial" w:cs="Arial"/>
          <w:sz w:val="20"/>
        </w:rPr>
        <w:tab/>
        <w:t>....................................................</w:t>
      </w:r>
    </w:p>
    <w:p>
      <w:pPr>
        <w:pStyle w:val="yMiscellaneousBody"/>
        <w:tabs>
          <w:tab w:val="left" w:pos="3960"/>
        </w:tabs>
        <w:spacing w:before="0"/>
      </w:pPr>
      <w:r>
        <w:tab/>
        <w:t>Issue Date</w:t>
      </w:r>
    </w:p>
    <w:p>
      <w:pPr>
        <w:pStyle w:val="yFootnotesection"/>
      </w:pPr>
      <w:r>
        <w:tab/>
        <w:t>[Form 4 inserted: Gazette 27 Oct 2011 p. 4555</w:t>
      </w:r>
      <w:r>
        <w:noBreakHyphen/>
        <w:t>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5" w:name="_Toc377550497"/>
      <w:bookmarkStart w:id="66" w:name="_Toc420504565"/>
      <w:bookmarkStart w:id="67" w:name="_Toc420504653"/>
      <w:bookmarkStart w:id="68" w:name="_Toc420504688"/>
      <w:r>
        <w:t>Notes</w:t>
      </w:r>
      <w:bookmarkEnd w:id="65"/>
      <w:bookmarkEnd w:id="66"/>
      <w:bookmarkEnd w:id="67"/>
      <w:bookmarkEnd w:id="68"/>
    </w:p>
    <w:p>
      <w:pPr>
        <w:pStyle w:val="nSubsection"/>
        <w:rPr>
          <w:snapToGrid w:val="0"/>
        </w:rPr>
      </w:pPr>
      <w:r>
        <w:rPr>
          <w:snapToGrid w:val="0"/>
          <w:vertAlign w:val="superscript"/>
        </w:rPr>
        <w:t>1</w:t>
      </w:r>
      <w:r>
        <w:rPr>
          <w:snapToGrid w:val="0"/>
        </w:rPr>
        <w:tab/>
        <w:t xml:space="preserve">This is a compilation of the </w:t>
      </w:r>
      <w:r>
        <w:rPr>
          <w:i/>
          <w:noProof/>
          <w:snapToGrid w:val="0"/>
        </w:rPr>
        <w:t>Juries Regulations 2008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77550498"/>
      <w:bookmarkStart w:id="70" w:name="_Toc420504689"/>
      <w:r>
        <w:rPr>
          <w:snapToGrid w:val="0"/>
        </w:rPr>
        <w:t>Compilation table</w:t>
      </w:r>
      <w:bookmarkEnd w:id="69"/>
      <w:bookmarkEnd w:id="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Juries Regulations 2008</w:t>
            </w:r>
          </w:p>
        </w:tc>
        <w:tc>
          <w:tcPr>
            <w:tcW w:w="1276" w:type="dxa"/>
            <w:tcBorders>
              <w:top w:val="single" w:sz="8" w:space="0" w:color="auto"/>
              <w:bottom w:val="nil"/>
            </w:tcBorders>
          </w:tcPr>
          <w:p>
            <w:pPr>
              <w:pStyle w:val="nTable"/>
              <w:spacing w:after="40"/>
            </w:pPr>
            <w:r>
              <w:t>26 Sep 2008 p. 4393-401</w:t>
            </w:r>
          </w:p>
        </w:tc>
        <w:tc>
          <w:tcPr>
            <w:tcW w:w="2693" w:type="dxa"/>
            <w:tcBorders>
              <w:top w:val="single" w:sz="8" w:space="0" w:color="auto"/>
              <w:bottom w:val="nil"/>
            </w:tcBorders>
          </w:tcPr>
          <w:p>
            <w:pPr>
              <w:pStyle w:val="nTable"/>
              <w:spacing w:after="40"/>
            </w:pPr>
            <w:r>
              <w:t>Pt. 1: 26 Sep 2008 (see r. 2(a));</w:t>
            </w:r>
            <w:r>
              <w:br/>
              <w:t xml:space="preserve">Regulations other than Pt. 1: 30 Sep 2008 (see r. 2(b) and </w:t>
            </w:r>
            <w:r>
              <w:rPr>
                <w:i/>
                <w:iCs/>
              </w:rPr>
              <w:t>Gazette</w:t>
            </w:r>
            <w:r>
              <w:t xml:space="preserve"> 11 Jul 2008 p. 3253)</w:t>
            </w:r>
          </w:p>
        </w:tc>
      </w:tr>
      <w:tr>
        <w:tc>
          <w:tcPr>
            <w:tcW w:w="3118" w:type="dxa"/>
            <w:tcBorders>
              <w:top w:val="nil"/>
              <w:bottom w:val="nil"/>
            </w:tcBorders>
          </w:tcPr>
          <w:p>
            <w:pPr>
              <w:pStyle w:val="nTable"/>
              <w:spacing w:after="40"/>
              <w:rPr>
                <w:i/>
              </w:rPr>
            </w:pPr>
            <w:r>
              <w:rPr>
                <w:i/>
              </w:rPr>
              <w:t>Juries Amendment Regulations 2011</w:t>
            </w:r>
          </w:p>
        </w:tc>
        <w:tc>
          <w:tcPr>
            <w:tcW w:w="1276" w:type="dxa"/>
            <w:tcBorders>
              <w:top w:val="nil"/>
              <w:bottom w:val="nil"/>
            </w:tcBorders>
          </w:tcPr>
          <w:p>
            <w:pPr>
              <w:pStyle w:val="nTable"/>
              <w:spacing w:after="40"/>
            </w:pPr>
            <w:r>
              <w:t>30 Jun 2011 p. 2615</w:t>
            </w:r>
            <w:r>
              <w:noBreakHyphen/>
              <w:t>20</w:t>
            </w:r>
          </w:p>
        </w:tc>
        <w:tc>
          <w:tcPr>
            <w:tcW w:w="2693" w:type="dxa"/>
            <w:tcBorders>
              <w:top w:val="nil"/>
              <w:bottom w:val="nil"/>
            </w:tcBorders>
          </w:tcPr>
          <w:p>
            <w:pPr>
              <w:pStyle w:val="nTable"/>
              <w:spacing w:after="40"/>
              <w:rPr>
                <w:i/>
              </w:rPr>
            </w:pPr>
            <w:r>
              <w:rPr>
                <w:snapToGrid w:val="0"/>
                <w:spacing w:val="-2"/>
              </w:rPr>
              <w:t>r. 1-3: 30 Jun 2011 (see r. 2(a));</w:t>
            </w:r>
            <w:r>
              <w:rPr>
                <w:snapToGrid w:val="0"/>
                <w:spacing w:val="-2"/>
              </w:rPr>
              <w:br/>
              <w:t>r. 4, 8 and 9: 1 Jul 2011 (see r. 2(b));</w:t>
            </w:r>
            <w:r>
              <w:rPr>
                <w:snapToGrid w:val="0"/>
                <w:spacing w:val="-2"/>
              </w:rPr>
              <w:br/>
              <w:t>r. 5</w:t>
            </w:r>
            <w:r>
              <w:rPr>
                <w:snapToGrid w:val="0"/>
                <w:spacing w:val="-2"/>
              </w:rPr>
              <w:noBreakHyphen/>
              <w:t xml:space="preserve">7: 28 Oct 2011 (see r. 2(c) and </w:t>
            </w:r>
            <w:r>
              <w:rPr>
                <w:i/>
                <w:snapToGrid w:val="0"/>
                <w:spacing w:val="-2"/>
              </w:rPr>
              <w:t xml:space="preserve">Gazette </w:t>
            </w:r>
            <w:r>
              <w:rPr>
                <w:snapToGrid w:val="0"/>
                <w:spacing w:val="-2"/>
              </w:rPr>
              <w:t>27 Oct 2011</w:t>
            </w:r>
            <w:r>
              <w:rPr>
                <w:i/>
                <w:snapToGrid w:val="0"/>
                <w:spacing w:val="-2"/>
              </w:rPr>
              <w:t xml:space="preserve"> </w:t>
            </w:r>
            <w:r>
              <w:rPr>
                <w:snapToGrid w:val="0"/>
                <w:spacing w:val="-2"/>
              </w:rPr>
              <w:t>p. 4551)</w:t>
            </w:r>
          </w:p>
        </w:tc>
      </w:tr>
      <w:tr>
        <w:tc>
          <w:tcPr>
            <w:tcW w:w="3118" w:type="dxa"/>
            <w:tcBorders>
              <w:top w:val="nil"/>
              <w:bottom w:val="nil"/>
            </w:tcBorders>
            <w:shd w:val="clear" w:color="auto" w:fill="auto"/>
          </w:tcPr>
          <w:p>
            <w:pPr>
              <w:pStyle w:val="nTable"/>
              <w:spacing w:after="40"/>
              <w:rPr>
                <w:i/>
              </w:rPr>
            </w:pPr>
            <w:r>
              <w:rPr>
                <w:i/>
              </w:rPr>
              <w:t xml:space="preserve">Juries Amendment Regulations (No. 2) 2011 </w:t>
            </w:r>
          </w:p>
        </w:tc>
        <w:tc>
          <w:tcPr>
            <w:tcW w:w="1276" w:type="dxa"/>
            <w:tcBorders>
              <w:top w:val="nil"/>
              <w:bottom w:val="nil"/>
            </w:tcBorders>
            <w:shd w:val="clear" w:color="auto" w:fill="auto"/>
          </w:tcPr>
          <w:p>
            <w:pPr>
              <w:pStyle w:val="nTable"/>
              <w:spacing w:after="40"/>
            </w:pPr>
            <w:r>
              <w:t>27 Oct 2011 p. 4552</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Oct 2011 (see r. 2(a));</w:t>
            </w:r>
            <w:r>
              <w:rPr>
                <w:snapToGrid w:val="0"/>
                <w:spacing w:val="-2"/>
              </w:rPr>
              <w:br/>
              <w:t>Regulations other than r. 1 and 2: 28 Oct 2011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Juries Regulations 2008</w:t>
            </w:r>
            <w:r>
              <w:rPr>
                <w:b/>
                <w:snapToGrid w:val="0"/>
                <w:spacing w:val="-2"/>
              </w:rPr>
              <w:t xml:space="preserve"> as at 16 Mar 2012</w:t>
            </w:r>
            <w:r>
              <w:rPr>
                <w:snapToGrid w:val="0"/>
                <w:spacing w:val="-2"/>
              </w:rPr>
              <w:t xml:space="preserve"> (includes amendments listed above)</w:t>
            </w:r>
          </w:p>
        </w:tc>
      </w:tr>
      <w:tr>
        <w:tc>
          <w:tcPr>
            <w:tcW w:w="3118" w:type="dxa"/>
            <w:tcBorders>
              <w:top w:val="nil"/>
              <w:bottom w:val="single" w:sz="4" w:space="0" w:color="auto"/>
            </w:tcBorders>
            <w:shd w:val="clear" w:color="auto" w:fill="auto"/>
          </w:tcPr>
          <w:p>
            <w:pPr>
              <w:pStyle w:val="nTable"/>
              <w:spacing w:after="40"/>
            </w:pPr>
            <w:r>
              <w:rPr>
                <w:i/>
              </w:rPr>
              <w:t>Juries Amendment Regulations 2013</w:t>
            </w:r>
          </w:p>
        </w:tc>
        <w:tc>
          <w:tcPr>
            <w:tcW w:w="1276" w:type="dxa"/>
            <w:tcBorders>
              <w:top w:val="nil"/>
              <w:bottom w:val="single" w:sz="4" w:space="0" w:color="auto"/>
            </w:tcBorders>
            <w:shd w:val="clear" w:color="auto" w:fill="auto"/>
          </w:tcPr>
          <w:p>
            <w:pPr>
              <w:pStyle w:val="nTable"/>
              <w:spacing w:after="40"/>
            </w:pPr>
            <w:r>
              <w:t>20 Aug 2013 p. 3858</w:t>
            </w:r>
            <w:r>
              <w:noBreakHyphen/>
              <w:t>9</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2" w:name="_Toc420504655"/>
      <w:bookmarkStart w:id="73" w:name="_Toc420504690"/>
      <w:r>
        <w:rPr>
          <w:sz w:val="28"/>
        </w:rPr>
        <w:t>Defined terms</w:t>
      </w:r>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juror</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Juries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59B3678"/>
    <w:multiLevelType w:val="hybridMultilevel"/>
    <w:tmpl w:val="FF947E38"/>
    <w:lvl w:ilvl="0" w:tplc="D58CFA1E">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DB2F12"/>
    <w:multiLevelType w:val="multilevel"/>
    <w:tmpl w:val="F6EE8C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1C565B"/>
    <w:multiLevelType w:val="hybridMultilevel"/>
    <w:tmpl w:val="3592B1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3"/>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64835"/>
    <w:docVar w:name="WAFER_20140115113236" w:val="RemoveTocBookmarks,RemoveUnusedBookmarks,RemoveLanguageTags,UsedStyles,ResetPageSize,UpdateArrangement"/>
    <w:docVar w:name="WAFER_20140115113236_GUID" w:val="15395219-3fdb-4014-b860-0bea600c90a8"/>
    <w:docVar w:name="WAFER_20140115114032" w:val="RemoveTocBookmarks,RunningHeaders"/>
    <w:docVar w:name="WAFER_20140115114032_GUID" w:val="dfe22093-9c32-428e-973a-fd8a2d0ddc39"/>
    <w:docVar w:name="WAFER_20150527152501" w:val="ResetPageSize,UpdateArrangement,UpdateNTable"/>
    <w:docVar w:name="WAFER_20150527152501_GUID" w:val="fcb5effb-95f1-435a-bf99-b17fc73fda39"/>
    <w:docVar w:name="WAFER_20151106090405" w:val="UpdateStyles,UsedStyles"/>
    <w:docVar w:name="WAFER_20151106090405_GUID" w:val="4404921f-f7ac-4709-ae28-718a0d971e01"/>
    <w:docVar w:name="WAFER_20151112164835" w:val="UpdateStyles"/>
    <w:docVar w:name="WAFER_20151112164835_GUID" w:val="b3de0433-8d60-4eca-a0fe-826d88e354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TableNAm">
    <w:name w:val="zyTableNAm"/>
    <w:basedOn w:val="TableAm"/>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2443</Words>
  <Characters>11951</Characters>
  <Application>Microsoft Office Word</Application>
  <DocSecurity>0</DocSecurity>
  <Lines>412</Lines>
  <Paragraphs>282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Regulations 2008 - 01-b0-06</dc:title>
  <dc:subject/>
  <dc:creator/>
  <cp:keywords/>
  <dc:description/>
  <cp:lastModifiedBy>svcMRProcess</cp:lastModifiedBy>
  <cp:revision>4</cp:revision>
  <cp:lastPrinted>2012-03-29T03:39:00Z</cp:lastPrinted>
  <dcterms:created xsi:type="dcterms:W3CDTF">2019-01-16T07:58:00Z</dcterms:created>
  <dcterms:modified xsi:type="dcterms:W3CDTF">2019-01-16T07:58:00Z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 2008 p 4393-401</vt:lpwstr>
  </property>
  <property fmtid="{D5CDD505-2E9C-101B-9397-08002B2CF9AE}" pid="3" name="CommencementDate">
    <vt:lpwstr>20130821</vt:lpwstr>
  </property>
  <property fmtid="{D5CDD505-2E9C-101B-9397-08002B2CF9AE}" pid="4" name="OwlsUID">
    <vt:i4>40269</vt:i4>
  </property>
  <property fmtid="{D5CDD505-2E9C-101B-9397-08002B2CF9AE}" pid="5" name="ReprintNo">
    <vt:lpwstr>1</vt:lpwstr>
  </property>
  <property fmtid="{D5CDD505-2E9C-101B-9397-08002B2CF9AE}" pid="6" name="ReprintedAsAt">
    <vt:filetime>2012-03-15T16:00:00Z</vt:filetime>
  </property>
  <property fmtid="{D5CDD505-2E9C-101B-9397-08002B2CF9AE}" pid="7" name="DocumentType">
    <vt:lpwstr>Reg</vt:lpwstr>
  </property>
  <property fmtid="{D5CDD505-2E9C-101B-9397-08002B2CF9AE}" pid="8" name="AsAtDate">
    <vt:lpwstr>21 Aug 2013</vt:lpwstr>
  </property>
  <property fmtid="{D5CDD505-2E9C-101B-9397-08002B2CF9AE}" pid="9" name="Suffix">
    <vt:lpwstr>01-b0-06</vt:lpwstr>
  </property>
</Properties>
</file>