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Chattel Securities Act 1987</w:t>
      </w:r>
    </w:p>
    <w:p>
      <w:pPr>
        <w:pStyle w:val="NameofActRegPage1"/>
        <w:tabs>
          <w:tab w:val="left" w:pos="6480"/>
        </w:tabs>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Chattel Securities Regulations 1988</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Chattel Securities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_Toc378073692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_Toc378073693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_Toc378073694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The register (s. 14)</w:t>
      </w:r>
      <w:r>
        <w:tab/>
      </w:r>
      <w:r>
        <w:fldChar w:fldCharType="begin"/>
      </w:r>
      <w:r>
        <w:instrText xml:space="preserve"> PAGEREF _Toc378073695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of making application</w:t>
      </w:r>
      <w:r>
        <w:tab/>
      </w:r>
      <w:r>
        <w:fldChar w:fldCharType="begin"/>
      </w:r>
      <w:r>
        <w:instrText xml:space="preserve"> PAGEREF _Toc378073696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fees</w:t>
      </w:r>
      <w:r>
        <w:tab/>
      </w:r>
      <w:r>
        <w:fldChar w:fldCharType="begin"/>
      </w:r>
      <w:r>
        <w:instrText xml:space="preserve"> PAGEREF _Toc378073697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changes (s. 21)</w:t>
      </w:r>
      <w:r>
        <w:tab/>
      </w:r>
      <w:r>
        <w:fldChar w:fldCharType="begin"/>
      </w:r>
      <w:r>
        <w:instrText xml:space="preserve"> PAGEREF _Toc378073698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Prescribed goods (s. 13)</w:t>
      </w:r>
      <w:r>
        <w:tab/>
      </w:r>
      <w:r>
        <w:fldChar w:fldCharType="begin"/>
      </w:r>
      <w:r>
        <w:instrText xml:space="preserve"> PAGEREF _Toc378073699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_Toc378073702 \h </w:instrText>
      </w:r>
      <w:r>
        <w:fldChar w:fldCharType="separate"/>
      </w:r>
      <w:r>
        <w:t>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1" w:name="_Toc378073692"/>
      <w:r>
        <w:rPr>
          <w:rStyle w:val="CharSectno"/>
        </w:rPr>
        <w:t>1</w:t>
      </w:r>
      <w:r>
        <w:rPr>
          <w:snapToGrid w:val="0"/>
        </w:rPr>
        <w:t>.</w:t>
      </w:r>
      <w:r>
        <w:rPr>
          <w:snapToGrid w:val="0"/>
        </w:rPr>
        <w:tab/>
        <w:t>Citation</w:t>
      </w:r>
      <w:bookmarkEnd w:id="1"/>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2" w:name="_Toc378073693"/>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3" w:name="_Toc378073694"/>
      <w:r>
        <w:rPr>
          <w:rStyle w:val="CharSectno"/>
        </w:rPr>
        <w:t>3</w:t>
      </w:r>
      <w:r>
        <w:rPr>
          <w:snapToGrid w:val="0"/>
        </w:rPr>
        <w:t>.</w:t>
      </w:r>
      <w:r>
        <w:rPr>
          <w:snapToGrid w:val="0"/>
        </w:rPr>
        <w:tab/>
        <w:t>Interpretation</w:t>
      </w:r>
      <w:bookmarkEnd w:id="3"/>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account customer</w:t>
      </w:r>
      <w:r>
        <w:t xml:space="preserve"> means a person who is permitted by the Commissioner to pay prescribed fees on account;</w:t>
      </w:r>
    </w:p>
    <w:p>
      <w:pPr>
        <w:pStyle w:val="Defstart"/>
      </w:pPr>
      <w:r>
        <w:rPr>
          <w:b/>
        </w:rPr>
        <w:tab/>
      </w:r>
      <w:r>
        <w:rPr>
          <w:rStyle w:val="CharDefText"/>
        </w:rPr>
        <w:t>financier’s reference number</w:t>
      </w:r>
      <w:r>
        <w:t xml:space="preserve"> means a number (comprising letters or numbers or both) in such format as the Commissioner approves for the purpose assigned by a creditor to identify the creditor’s interest in goods;</w:t>
      </w:r>
    </w:p>
    <w:p>
      <w:pPr>
        <w:pStyle w:val="Defstart"/>
      </w:pPr>
      <w:r>
        <w:tab/>
      </w:r>
      <w:r>
        <w:rPr>
          <w:rStyle w:val="CharDefText"/>
        </w:rPr>
        <w:t>hull identification number</w:t>
      </w:r>
      <w:r>
        <w:t xml:space="preserve"> has the meaning given in regulation 45A(2) of the </w:t>
      </w:r>
      <w:r>
        <w:rPr>
          <w:i/>
        </w:rPr>
        <w:t>Navigable Waters Regulations 1958</w:t>
      </w:r>
      <w:r>
        <w:rPr>
          <w:iCs/>
          <w:vertAlign w:val="superscript"/>
        </w:rPr>
        <w:t> 2</w:t>
      </w:r>
      <w:r>
        <w:t>;</w:t>
      </w:r>
    </w:p>
    <w:p>
      <w:pPr>
        <w:pStyle w:val="Defstart"/>
        <w:keepNext/>
        <w:keepLines/>
      </w:pPr>
      <w:r>
        <w:rPr>
          <w:b/>
        </w:rPr>
        <w:tab/>
      </w:r>
      <w:r>
        <w:rPr>
          <w:rStyle w:val="CharDefText"/>
        </w:rPr>
        <w:t>interest</w:t>
      </w:r>
      <w:r>
        <w:t xml:space="preserve"> means a security interest or other interest in relation to goods to which Part III of the Act applies;</w:t>
      </w:r>
    </w:p>
    <w:p>
      <w:pPr>
        <w:pStyle w:val="Defstart"/>
      </w:pPr>
      <w:r>
        <w:tab/>
      </w:r>
      <w:r>
        <w:rPr>
          <w:rStyle w:val="CharDefText"/>
        </w:rPr>
        <w:t>pleasure vessel</w:t>
      </w:r>
      <w:r>
        <w:t xml:space="preserve"> has the meaning given in section 98(1) of the </w:t>
      </w:r>
      <w:r>
        <w:rPr>
          <w:i/>
        </w:rPr>
        <w:t>Western Australian Marine Act 1982</w:t>
      </w:r>
      <w:r>
        <w:t>;</w:t>
      </w:r>
    </w:p>
    <w:p>
      <w:pPr>
        <w:pStyle w:val="Defstart"/>
      </w:pPr>
      <w:r>
        <w:tab/>
      </w:r>
      <w:r>
        <w:rPr>
          <w:rStyle w:val="CharDefText"/>
        </w:rPr>
        <w:t>registration number</w:t>
      </w:r>
      <w:r>
        <w:t xml:space="preserve"> means  —</w:t>
      </w:r>
    </w:p>
    <w:p>
      <w:pPr>
        <w:pStyle w:val="Defpara"/>
      </w:pPr>
      <w:r>
        <w:tab/>
        <w:t>(a)</w:t>
      </w:r>
      <w:r>
        <w:tab/>
        <w:t>the identifying number on the number plate issued in relation to goods under the —</w:t>
      </w:r>
    </w:p>
    <w:p>
      <w:pPr>
        <w:pStyle w:val="Defsubpara"/>
      </w:pPr>
      <w:r>
        <w:tab/>
        <w:t>(i)</w:t>
      </w:r>
      <w:r>
        <w:tab/>
      </w:r>
      <w:r>
        <w:rPr>
          <w:i/>
        </w:rPr>
        <w:t>Road Traffic Act 1974</w:t>
      </w:r>
      <w:r>
        <w:t>;</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t>whichever applies;</w:t>
      </w:r>
    </w:p>
    <w:p>
      <w:pPr>
        <w:pStyle w:val="Defstart"/>
      </w:pPr>
      <w:r>
        <w:rPr>
          <w:b/>
        </w:rPr>
        <w:tab/>
      </w:r>
      <w:r>
        <w:rPr>
          <w:rStyle w:val="CharDefText"/>
        </w:rPr>
        <w:t>serial number</w:t>
      </w:r>
      <w:r>
        <w:t xml:space="preserve"> means the number stamped on an item of farm machinery for the purpose of identifying the whole of that item of farm machinery;</w:t>
      </w:r>
    </w:p>
    <w:p>
      <w:pPr>
        <w:pStyle w:val="Defstart"/>
      </w:pPr>
      <w:r>
        <w:rPr>
          <w:b/>
        </w:rPr>
        <w:tab/>
      </w:r>
      <w:r>
        <w:rPr>
          <w:rStyle w:val="CharDefText"/>
        </w:rPr>
        <w:t>vehicle identification number</w:t>
      </w:r>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r>
        <w:rPr>
          <w:rStyle w:val="CharDefText"/>
        </w:rPr>
        <w:t>vessel</w:t>
      </w:r>
      <w:r>
        <w:t xml:space="preserve"> has the meaning given in section 3(1) of the </w:t>
      </w:r>
      <w:r>
        <w:rPr>
          <w:i/>
        </w:rPr>
        <w:t>Western Australian Marine Act 1982.</w:t>
      </w:r>
    </w:p>
    <w:p>
      <w:pPr>
        <w:pStyle w:val="Footnotesection"/>
      </w:pPr>
      <w:r>
        <w:tab/>
        <w:t>[Regulation 3 amended in Gazette 20 Jan 1989 p. 132; 26 Jan 1990 p. 654; 29 Oct 1996 p. 5720; 8 May 2001 p. 2270; 14 Feb 2003 p. 467.]</w:t>
      </w:r>
    </w:p>
    <w:p>
      <w:pPr>
        <w:pStyle w:val="Heading5"/>
        <w:rPr>
          <w:snapToGrid w:val="0"/>
        </w:rPr>
      </w:pPr>
      <w:bookmarkStart w:id="4" w:name="_Toc378073695"/>
      <w:r>
        <w:rPr>
          <w:rStyle w:val="CharSectno"/>
        </w:rPr>
        <w:t>4</w:t>
      </w:r>
      <w:r>
        <w:rPr>
          <w:snapToGrid w:val="0"/>
        </w:rPr>
        <w:t>.</w:t>
      </w:r>
      <w:r>
        <w:rPr>
          <w:snapToGrid w:val="0"/>
        </w:rPr>
        <w:tab/>
        <w:t>The register (s. 14)</w:t>
      </w:r>
      <w:bookmarkEnd w:id="4"/>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Jan 1989 p. 132; 26 Jan 1990 p. 654; 29 Oct 1996 p. 5720; 8 May 2001 p. 2270</w:t>
      </w:r>
      <w:r>
        <w:noBreakHyphen/>
        <w:t>1.]</w:t>
      </w:r>
    </w:p>
    <w:p>
      <w:pPr>
        <w:pStyle w:val="Heading5"/>
        <w:spacing w:before="120"/>
        <w:rPr>
          <w:snapToGrid w:val="0"/>
        </w:rPr>
      </w:pPr>
      <w:bookmarkStart w:id="5" w:name="_Toc378073696"/>
      <w:r>
        <w:rPr>
          <w:rStyle w:val="CharSectno"/>
        </w:rPr>
        <w:t>5</w:t>
      </w:r>
      <w:r>
        <w:rPr>
          <w:snapToGrid w:val="0"/>
        </w:rPr>
        <w:t>.</w:t>
      </w:r>
      <w:r>
        <w:rPr>
          <w:snapToGrid w:val="0"/>
        </w:rPr>
        <w:tab/>
        <w:t>Time of making application</w:t>
      </w:r>
      <w:bookmarkEnd w:id="5"/>
    </w:p>
    <w:p>
      <w:pPr>
        <w:pStyle w:val="Subsection"/>
        <w:keepNext/>
        <w:keepLines/>
        <w:spacing w:before="10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Jan 1990 p. 654.]</w:t>
      </w:r>
    </w:p>
    <w:p>
      <w:pPr>
        <w:pStyle w:val="Heading5"/>
        <w:rPr>
          <w:snapToGrid w:val="0"/>
        </w:rPr>
      </w:pPr>
      <w:bookmarkStart w:id="6" w:name="_Toc378073697"/>
      <w:r>
        <w:rPr>
          <w:rStyle w:val="CharSectno"/>
        </w:rPr>
        <w:t>6</w:t>
      </w:r>
      <w:r>
        <w:rPr>
          <w:snapToGrid w:val="0"/>
        </w:rPr>
        <w:t>.</w:t>
      </w:r>
      <w:r>
        <w:rPr>
          <w:snapToGrid w:val="0"/>
        </w:rPr>
        <w:tab/>
        <w:t>Prescribed fees</w:t>
      </w:r>
      <w:bookmarkEnd w:id="6"/>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Oct 1996 p. 5720.]</w:t>
      </w:r>
    </w:p>
    <w:p>
      <w:pPr>
        <w:pStyle w:val="Heading5"/>
        <w:rPr>
          <w:snapToGrid w:val="0"/>
        </w:rPr>
      </w:pPr>
      <w:bookmarkStart w:id="7" w:name="_Toc378073698"/>
      <w:r>
        <w:rPr>
          <w:rStyle w:val="CharSectno"/>
        </w:rPr>
        <w:t>7</w:t>
      </w:r>
      <w:r>
        <w:rPr>
          <w:snapToGrid w:val="0"/>
        </w:rPr>
        <w:t>.</w:t>
      </w:r>
      <w:r>
        <w:rPr>
          <w:snapToGrid w:val="0"/>
        </w:rPr>
        <w:tab/>
        <w:t>Prescribed changes (s. 21)</w:t>
      </w:r>
      <w:bookmarkEnd w:id="7"/>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w:t>
      </w:r>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 1958</w:t>
      </w:r>
      <w:r>
        <w:rPr>
          <w:iCs/>
          <w:vertAlign w:val="superscript"/>
        </w:rPr>
        <w:t> 2</w:t>
      </w:r>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r>
        <w:rPr>
          <w:vertAlign w:val="superscript"/>
        </w:rPr>
        <w:t>3</w:t>
      </w:r>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 2271.]</w:t>
      </w:r>
    </w:p>
    <w:p>
      <w:pPr>
        <w:pStyle w:val="Heading5"/>
        <w:rPr>
          <w:snapToGrid w:val="0"/>
        </w:rPr>
      </w:pPr>
      <w:bookmarkStart w:id="8" w:name="_Toc378073699"/>
      <w:r>
        <w:rPr>
          <w:rStyle w:val="CharSectno"/>
        </w:rPr>
        <w:t>8</w:t>
      </w:r>
      <w:r>
        <w:rPr>
          <w:snapToGrid w:val="0"/>
        </w:rPr>
        <w:t>.</w:t>
      </w:r>
      <w:r>
        <w:rPr>
          <w:snapToGrid w:val="0"/>
        </w:rPr>
        <w:tab/>
        <w:t>Prescribed goods (s. 13)</w:t>
      </w:r>
      <w:bookmarkEnd w:id="8"/>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4</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4</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w:t>
      </w:r>
    </w:p>
    <w:p>
      <w:pPr>
        <w:pStyle w:val="Indenta"/>
      </w:pPr>
      <w:r>
        <w:tab/>
        <w:t>(b)</w:t>
      </w:r>
      <w:r>
        <w:tab/>
        <w:t xml:space="preserve">have a hull identification number affixed to the hull in accordance with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Navigable Waters Regulations 1958</w:t>
      </w:r>
      <w:r>
        <w:rPr>
          <w:iCs/>
          <w:vertAlign w:val="superscript"/>
        </w:rPr>
        <w:t> 2</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in Gazette 26 Jan 1990 p. 655; amended in Gazette 8 May 2001 p. 2272.]</w:t>
      </w:r>
    </w:p>
    <w:p>
      <w:pPr>
        <w:pStyle w:val="Ednotesection"/>
      </w:pPr>
      <w:r>
        <w:t>[</w:t>
      </w:r>
      <w:r>
        <w:rPr>
          <w:b/>
        </w:rPr>
        <w:t>9, 10.</w:t>
      </w:r>
      <w:r>
        <w:tab/>
        <w:t>Deleted in Gazette 20 Aug 2013 p. 3825.]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 w:name="_Toc378073700"/>
      <w:r>
        <w:rPr>
          <w:rStyle w:val="CharSchNo"/>
        </w:rPr>
        <w:t>Schedule 1</w:t>
      </w:r>
      <w:r>
        <w:rPr>
          <w:rStyle w:val="CharSDivNo"/>
        </w:rPr>
        <w:t> </w:t>
      </w:r>
      <w:r>
        <w:t>—</w:t>
      </w:r>
      <w:r>
        <w:rPr>
          <w:rStyle w:val="CharSDivText"/>
        </w:rPr>
        <w:t> </w:t>
      </w:r>
      <w:r>
        <w:rPr>
          <w:rStyle w:val="CharSchText"/>
        </w:rPr>
        <w:t>Prescribed fees</w:t>
      </w:r>
      <w:bookmarkEnd w:id="9"/>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$5.50</w:t>
            </w:r>
          </w:p>
          <w:p>
            <w:pPr>
              <w:pStyle w:val="yTable"/>
            </w:pPr>
            <w:r>
              <w:t>6.20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$1.50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$3.95</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$2.80</w:t>
            </w:r>
          </w:p>
        </w:tc>
      </w:tr>
    </w:tbl>
    <w:p>
      <w:pPr>
        <w:pStyle w:val="yFootnotesection"/>
      </w:pPr>
      <w:r>
        <w:tab/>
        <w:t>[Schedule 1 inserted in Gazette 28 Jun 2005 p. 2906; amended in Gazette 27 Jun 2006 p. 2252; 22 Jun 2011 p. 2337</w:t>
      </w:r>
      <w:r>
        <w:noBreakHyphen/>
        <w:t>8; 15 Jun 2012 p. 2583.]</w:t>
      </w:r>
    </w:p>
    <w:p>
      <w:pPr>
        <w:pStyle w:val="yEdnoteschedule"/>
      </w:pPr>
      <w:r>
        <w:t>[Schedules 2 and 3 deleted in Gazette 20 Aug 2013 p. 3825.]</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 w:name="_Toc378073701"/>
      <w:r>
        <w:t>Notes</w:t>
      </w:r>
      <w:bookmarkEnd w:id="10"/>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Regulations 1988</w:t>
      </w:r>
      <w:r>
        <w:rPr>
          <w:snapToGrid w:val="0"/>
        </w:rPr>
        <w:t xml:space="preserve"> and includes the amendments made by the other written laws referred to in the following table.  The table also contains information about any reprint.</w:t>
      </w:r>
    </w:p>
    <w:p>
      <w:pPr>
        <w:pStyle w:val="nHeading3"/>
        <w:spacing w:before="180"/>
        <w:rPr>
          <w:snapToGrid w:val="0"/>
        </w:rPr>
      </w:pPr>
      <w:bookmarkStart w:id="11" w:name="_Toc378073702"/>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20"/>
              <w:ind w:right="113"/>
              <w:rPr>
                <w:sz w:val="19"/>
              </w:rPr>
            </w:pPr>
            <w:r>
              <w:rPr>
                <w:i/>
                <w:sz w:val="19"/>
              </w:rPr>
              <w:t>Chattel Securities Regulations 1988</w:t>
            </w:r>
          </w:p>
        </w:tc>
        <w:tc>
          <w:tcPr>
            <w:tcW w:w="1276" w:type="dxa"/>
            <w:tcBorders>
              <w:top w:val="single" w:sz="8" w:space="0" w:color="auto"/>
            </w:tcBorders>
          </w:tcPr>
          <w:p>
            <w:pPr>
              <w:pStyle w:val="nTable"/>
              <w:spacing w:after="20"/>
              <w:rPr>
                <w:sz w:val="19"/>
              </w:rPr>
            </w:pPr>
            <w:r>
              <w:rPr>
                <w:sz w:val="19"/>
              </w:rPr>
              <w:t>5 Aug 1988 p. 2630</w:t>
            </w:r>
            <w:r>
              <w:rPr>
                <w:sz w:val="19"/>
              </w:rPr>
              <w:noBreakHyphen/>
              <w:t>1</w:t>
            </w:r>
          </w:p>
        </w:tc>
        <w:tc>
          <w:tcPr>
            <w:tcW w:w="2693" w:type="dxa"/>
            <w:tcBorders>
              <w:top w:val="single" w:sz="8" w:space="0" w:color="auto"/>
            </w:tcBorders>
          </w:tcPr>
          <w:p>
            <w:pPr>
              <w:pStyle w:val="nTable"/>
              <w:spacing w:after="20"/>
              <w:rPr>
                <w:sz w:val="19"/>
              </w:rPr>
            </w:pPr>
            <w:r>
              <w:rPr>
                <w:sz w:val="19"/>
              </w:rPr>
              <w:t>29 Aug 1988 (see r. 2)</w:t>
            </w:r>
          </w:p>
        </w:tc>
      </w:tr>
      <w:tr>
        <w:trPr>
          <w:cantSplit/>
        </w:trPr>
        <w:tc>
          <w:tcPr>
            <w:tcW w:w="3119" w:type="dxa"/>
          </w:tcPr>
          <w:p>
            <w:pPr>
              <w:pStyle w:val="nTable"/>
              <w:spacing w:after="20"/>
              <w:ind w:right="113"/>
              <w:rPr>
                <w:sz w:val="19"/>
              </w:rPr>
            </w:pPr>
            <w:r>
              <w:rPr>
                <w:i/>
                <w:sz w:val="19"/>
              </w:rPr>
              <w:t>Chattel Securities Amendment Regulations (No. 2) 1989</w:t>
            </w:r>
          </w:p>
        </w:tc>
        <w:tc>
          <w:tcPr>
            <w:tcW w:w="1276" w:type="dxa"/>
          </w:tcPr>
          <w:p>
            <w:pPr>
              <w:pStyle w:val="nTable"/>
              <w:spacing w:after="20"/>
              <w:rPr>
                <w:sz w:val="19"/>
              </w:rPr>
            </w:pPr>
            <w:r>
              <w:rPr>
                <w:sz w:val="19"/>
              </w:rPr>
              <w:t>20 Jan 1989 p. 132</w:t>
            </w:r>
          </w:p>
        </w:tc>
        <w:tc>
          <w:tcPr>
            <w:tcW w:w="2693" w:type="dxa"/>
          </w:tcPr>
          <w:p>
            <w:pPr>
              <w:pStyle w:val="nTable"/>
              <w:spacing w:after="20"/>
              <w:rPr>
                <w:sz w:val="19"/>
              </w:rPr>
            </w:pPr>
            <w:r>
              <w:rPr>
                <w:sz w:val="19"/>
              </w:rPr>
              <w:t>20 Jan 1989</w:t>
            </w:r>
          </w:p>
        </w:tc>
      </w:tr>
      <w:tr>
        <w:trPr>
          <w:cantSplit/>
        </w:trPr>
        <w:tc>
          <w:tcPr>
            <w:tcW w:w="3119" w:type="dxa"/>
          </w:tcPr>
          <w:p>
            <w:pPr>
              <w:pStyle w:val="nTable"/>
              <w:spacing w:after="20"/>
              <w:ind w:right="113"/>
              <w:rPr>
                <w:sz w:val="19"/>
              </w:rPr>
            </w:pPr>
            <w:r>
              <w:rPr>
                <w:i/>
                <w:sz w:val="19"/>
              </w:rPr>
              <w:t>Chattel Securities Amendment Regulations (No. 3) 1989</w:t>
            </w:r>
          </w:p>
        </w:tc>
        <w:tc>
          <w:tcPr>
            <w:tcW w:w="1276" w:type="dxa"/>
          </w:tcPr>
          <w:p>
            <w:pPr>
              <w:pStyle w:val="nTable"/>
              <w:spacing w:after="20"/>
              <w:rPr>
                <w:sz w:val="19"/>
              </w:rPr>
            </w:pPr>
            <w:r>
              <w:rPr>
                <w:sz w:val="19"/>
              </w:rPr>
              <w:t>30 Jun 1989 p. 1975</w:t>
            </w:r>
          </w:p>
        </w:tc>
        <w:tc>
          <w:tcPr>
            <w:tcW w:w="2693" w:type="dxa"/>
          </w:tcPr>
          <w:p>
            <w:pPr>
              <w:pStyle w:val="nTable"/>
              <w:spacing w:after="20"/>
              <w:rPr>
                <w:sz w:val="19"/>
              </w:rPr>
            </w:pPr>
            <w:r>
              <w:rPr>
                <w:sz w:val="19"/>
              </w:rPr>
              <w:t>1 Jul 1989 (see r. 2)</w:t>
            </w:r>
          </w:p>
        </w:tc>
      </w:tr>
      <w:tr>
        <w:trPr>
          <w:cantSplit/>
        </w:trPr>
        <w:tc>
          <w:tcPr>
            <w:tcW w:w="3119" w:type="dxa"/>
          </w:tcPr>
          <w:p>
            <w:pPr>
              <w:pStyle w:val="nTable"/>
              <w:spacing w:after="20"/>
              <w:ind w:right="113"/>
              <w:rPr>
                <w:sz w:val="19"/>
              </w:rPr>
            </w:pPr>
            <w:r>
              <w:rPr>
                <w:i/>
                <w:sz w:val="19"/>
              </w:rPr>
              <w:t>Chattel Securities Amendment Regulations 1989</w:t>
            </w:r>
          </w:p>
        </w:tc>
        <w:tc>
          <w:tcPr>
            <w:tcW w:w="1276" w:type="dxa"/>
          </w:tcPr>
          <w:p>
            <w:pPr>
              <w:pStyle w:val="nTable"/>
              <w:spacing w:after="20"/>
              <w:rPr>
                <w:sz w:val="19"/>
              </w:rPr>
            </w:pPr>
            <w:r>
              <w:rPr>
                <w:sz w:val="19"/>
              </w:rPr>
              <w:t>26 Jan 1990 p. 654</w:t>
            </w:r>
            <w:r>
              <w:rPr>
                <w:sz w:val="19"/>
              </w:rPr>
              <w:noBreakHyphen/>
              <w:t>5</w:t>
            </w:r>
          </w:p>
        </w:tc>
        <w:tc>
          <w:tcPr>
            <w:tcW w:w="2693" w:type="dxa"/>
          </w:tcPr>
          <w:p>
            <w:pPr>
              <w:pStyle w:val="nTable"/>
              <w:spacing w:after="20"/>
              <w:rPr>
                <w:sz w:val="19"/>
              </w:rPr>
            </w:pPr>
            <w:r>
              <w:rPr>
                <w:sz w:val="19"/>
              </w:rPr>
              <w:t>16 Apr 1990 (see r. 2)</w:t>
            </w:r>
          </w:p>
        </w:tc>
      </w:tr>
      <w:tr>
        <w:trPr>
          <w:cantSplit/>
        </w:trPr>
        <w:tc>
          <w:tcPr>
            <w:tcW w:w="3119" w:type="dxa"/>
          </w:tcPr>
          <w:p>
            <w:pPr>
              <w:pStyle w:val="nTable"/>
              <w:spacing w:after="20"/>
              <w:ind w:right="113"/>
              <w:rPr>
                <w:sz w:val="19"/>
              </w:rPr>
            </w:pPr>
            <w:r>
              <w:rPr>
                <w:i/>
                <w:sz w:val="19"/>
              </w:rPr>
              <w:t>Chattel Securities Amendment Regulations 1990</w:t>
            </w:r>
          </w:p>
        </w:tc>
        <w:tc>
          <w:tcPr>
            <w:tcW w:w="1276" w:type="dxa"/>
          </w:tcPr>
          <w:p>
            <w:pPr>
              <w:pStyle w:val="nTable"/>
              <w:spacing w:after="20"/>
              <w:rPr>
                <w:sz w:val="19"/>
              </w:rPr>
            </w:pPr>
            <w:r>
              <w:rPr>
                <w:sz w:val="19"/>
              </w:rPr>
              <w:t>8 Aug 1990 p. 3819</w:t>
            </w:r>
          </w:p>
        </w:tc>
        <w:tc>
          <w:tcPr>
            <w:tcW w:w="2693" w:type="dxa"/>
          </w:tcPr>
          <w:p>
            <w:pPr>
              <w:pStyle w:val="nTable"/>
              <w:spacing w:after="20"/>
              <w:rPr>
                <w:sz w:val="19"/>
              </w:rPr>
            </w:pPr>
            <w:r>
              <w:rPr>
                <w:sz w:val="19"/>
              </w:rPr>
              <w:t>8 Aug 1990</w:t>
            </w:r>
          </w:p>
        </w:tc>
      </w:tr>
      <w:tr>
        <w:trPr>
          <w:cantSplit/>
        </w:trPr>
        <w:tc>
          <w:tcPr>
            <w:tcW w:w="3119" w:type="dxa"/>
          </w:tcPr>
          <w:p>
            <w:pPr>
              <w:pStyle w:val="nTable"/>
              <w:spacing w:after="20"/>
              <w:ind w:right="113"/>
              <w:rPr>
                <w:sz w:val="19"/>
              </w:rPr>
            </w:pPr>
            <w:r>
              <w:rPr>
                <w:i/>
                <w:sz w:val="19"/>
              </w:rPr>
              <w:t>Chattel Securities Amendment Regulations (No. 2) 1990</w:t>
            </w:r>
          </w:p>
        </w:tc>
        <w:tc>
          <w:tcPr>
            <w:tcW w:w="1276" w:type="dxa"/>
          </w:tcPr>
          <w:p>
            <w:pPr>
              <w:pStyle w:val="nTable"/>
              <w:spacing w:after="20"/>
              <w:rPr>
                <w:sz w:val="19"/>
              </w:rPr>
            </w:pPr>
            <w:r>
              <w:rPr>
                <w:sz w:val="19"/>
              </w:rPr>
              <w:t>1 Mar 1991 p. 969</w:t>
            </w:r>
            <w:r>
              <w:rPr>
                <w:sz w:val="19"/>
              </w:rPr>
              <w:noBreakHyphen/>
              <w:t>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(No. 3) 1990</w:t>
            </w:r>
          </w:p>
        </w:tc>
        <w:tc>
          <w:tcPr>
            <w:tcW w:w="1276" w:type="dxa"/>
          </w:tcPr>
          <w:p>
            <w:pPr>
              <w:pStyle w:val="nTable"/>
              <w:spacing w:after="20"/>
              <w:rPr>
                <w:sz w:val="19"/>
              </w:rPr>
            </w:pPr>
            <w:r>
              <w:rPr>
                <w:sz w:val="19"/>
              </w:rPr>
              <w:t>1 Mar 1991 p. 970</w:t>
            </w:r>
          </w:p>
        </w:tc>
        <w:tc>
          <w:tcPr>
            <w:tcW w:w="2693" w:type="dxa"/>
          </w:tcPr>
          <w:p>
            <w:pPr>
              <w:pStyle w:val="nTable"/>
              <w:spacing w:after="20"/>
              <w:rPr>
                <w:sz w:val="19"/>
              </w:rPr>
            </w:pPr>
            <w:r>
              <w:rPr>
                <w:sz w:val="19"/>
              </w:rPr>
              <w:t>1 Mar 1991</w:t>
            </w:r>
          </w:p>
        </w:tc>
      </w:tr>
      <w:tr>
        <w:trPr>
          <w:cantSplit/>
        </w:trPr>
        <w:tc>
          <w:tcPr>
            <w:tcW w:w="3119" w:type="dxa"/>
          </w:tcPr>
          <w:p>
            <w:pPr>
              <w:pStyle w:val="nTable"/>
              <w:spacing w:after="20"/>
              <w:ind w:right="113"/>
              <w:rPr>
                <w:sz w:val="19"/>
              </w:rPr>
            </w:pPr>
            <w:r>
              <w:rPr>
                <w:i/>
                <w:sz w:val="19"/>
              </w:rPr>
              <w:t>Chattel Securities Amendment Regulations 1996</w:t>
            </w:r>
          </w:p>
        </w:tc>
        <w:tc>
          <w:tcPr>
            <w:tcW w:w="1276" w:type="dxa"/>
          </w:tcPr>
          <w:p>
            <w:pPr>
              <w:pStyle w:val="nTable"/>
              <w:spacing w:after="20"/>
              <w:rPr>
                <w:sz w:val="19"/>
              </w:rPr>
            </w:pPr>
            <w:r>
              <w:rPr>
                <w:sz w:val="19"/>
              </w:rPr>
              <w:t>29 Oct 1996 p. 5719</w:t>
            </w:r>
            <w:r>
              <w:rPr>
                <w:sz w:val="19"/>
              </w:rPr>
              <w:noBreakHyphen/>
              <w:t>21</w:t>
            </w:r>
          </w:p>
        </w:tc>
        <w:tc>
          <w:tcPr>
            <w:tcW w:w="2693" w:type="dxa"/>
          </w:tcPr>
          <w:p>
            <w:pPr>
              <w:pStyle w:val="nTable"/>
              <w:spacing w:after="20"/>
              <w:rPr>
                <w:sz w:val="19"/>
              </w:rPr>
            </w:pPr>
            <w:r>
              <w:rPr>
                <w:sz w:val="19"/>
              </w:rPr>
              <w:t>4 Nov 1996 (see r. 2 and </w:t>
            </w:r>
            <w:r>
              <w:rPr>
                <w:i/>
                <w:sz w:val="19"/>
              </w:rPr>
              <w:t>Gazette</w:t>
            </w:r>
            <w:r>
              <w:rPr>
                <w:sz w:val="19"/>
              </w:rPr>
              <w:t xml:space="preserve"> 29 Oct 1996 p. 5715)</w:t>
            </w:r>
          </w:p>
        </w:tc>
      </w:tr>
      <w:tr>
        <w:trPr>
          <w:cantSplit/>
        </w:trPr>
        <w:tc>
          <w:tcPr>
            <w:tcW w:w="7088" w:type="dxa"/>
            <w:gridSpan w:val="3"/>
          </w:tcPr>
          <w:p>
            <w:pPr>
              <w:pStyle w:val="nTable"/>
              <w:spacing w:after="20"/>
              <w:rPr>
                <w:sz w:val="19"/>
              </w:rPr>
            </w:pPr>
            <w:r>
              <w:rPr>
                <w:b/>
                <w:bCs/>
                <w:sz w:val="19"/>
              </w:rPr>
              <w:t xml:space="preserve">Reprint of the </w:t>
            </w:r>
            <w:r>
              <w:rPr>
                <w:b/>
                <w:bCs/>
                <w:i/>
                <w:sz w:val="19"/>
              </w:rPr>
              <w:t>Chattel Securities Regulations 1988</w:t>
            </w:r>
            <w:r>
              <w:rPr>
                <w:b/>
                <w:bCs/>
                <w:sz w:val="19"/>
              </w:rPr>
              <w:t xml:space="preserve"> as at 3 Oct 2000</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2001</w:t>
            </w:r>
          </w:p>
        </w:tc>
        <w:tc>
          <w:tcPr>
            <w:tcW w:w="1276" w:type="dxa"/>
          </w:tcPr>
          <w:p>
            <w:pPr>
              <w:pStyle w:val="nTable"/>
              <w:spacing w:after="20"/>
              <w:rPr>
                <w:sz w:val="19"/>
              </w:rPr>
            </w:pPr>
            <w:r>
              <w:rPr>
                <w:sz w:val="19"/>
              </w:rPr>
              <w:t>8 May 2001 p. 2269</w:t>
            </w:r>
            <w:r>
              <w:rPr>
                <w:sz w:val="19"/>
              </w:rPr>
              <w:noBreakHyphen/>
              <w:t>72</w:t>
            </w:r>
          </w:p>
        </w:tc>
        <w:tc>
          <w:tcPr>
            <w:tcW w:w="2693" w:type="dxa"/>
          </w:tcPr>
          <w:p>
            <w:pPr>
              <w:pStyle w:val="nTable"/>
              <w:spacing w:after="20"/>
              <w:rPr>
                <w:sz w:val="19"/>
              </w:rPr>
            </w:pPr>
            <w:r>
              <w:rPr>
                <w:sz w:val="19"/>
              </w:rPr>
              <w:t>14 May 2001 (see r. 2)</w:t>
            </w:r>
          </w:p>
        </w:tc>
      </w:tr>
      <w:tr>
        <w:trPr>
          <w:cantSplit/>
        </w:trPr>
        <w:tc>
          <w:tcPr>
            <w:tcW w:w="3119" w:type="dxa"/>
          </w:tcPr>
          <w:p>
            <w:pPr>
              <w:pStyle w:val="nTable"/>
              <w:spacing w:after="20"/>
              <w:ind w:right="113"/>
              <w:rPr>
                <w:i/>
                <w:sz w:val="19"/>
              </w:rPr>
            </w:pPr>
            <w:r>
              <w:rPr>
                <w:i/>
                <w:sz w:val="19"/>
              </w:rPr>
              <w:t>Chattel Securities Amendment Regulations 2002</w:t>
            </w:r>
          </w:p>
        </w:tc>
        <w:tc>
          <w:tcPr>
            <w:tcW w:w="1276" w:type="dxa"/>
          </w:tcPr>
          <w:p>
            <w:pPr>
              <w:pStyle w:val="nTable"/>
              <w:spacing w:after="20"/>
              <w:rPr>
                <w:sz w:val="19"/>
              </w:rPr>
            </w:pPr>
            <w:r>
              <w:rPr>
                <w:sz w:val="19"/>
              </w:rPr>
              <w:t>14 Feb 2003 p. 467</w:t>
            </w:r>
          </w:p>
        </w:tc>
        <w:tc>
          <w:tcPr>
            <w:tcW w:w="2693" w:type="dxa"/>
          </w:tcPr>
          <w:p>
            <w:pPr>
              <w:pStyle w:val="nTable"/>
              <w:spacing w:after="20"/>
              <w:rPr>
                <w:sz w:val="19"/>
              </w:rPr>
            </w:pPr>
            <w:r>
              <w:rPr>
                <w:sz w:val="19"/>
              </w:rPr>
              <w:t>14 Feb 2003</w:t>
            </w:r>
          </w:p>
        </w:tc>
      </w:tr>
      <w:tr>
        <w:trPr>
          <w:cantSplit/>
        </w:trPr>
        <w:tc>
          <w:tcPr>
            <w:tcW w:w="3119" w:type="dxa"/>
          </w:tcPr>
          <w:p>
            <w:pPr>
              <w:pStyle w:val="nTable"/>
              <w:spacing w:after="20"/>
              <w:ind w:right="113"/>
              <w:rPr>
                <w:i/>
                <w:sz w:val="19"/>
              </w:rPr>
            </w:pPr>
            <w:r>
              <w:rPr>
                <w:i/>
                <w:sz w:val="19"/>
              </w:rPr>
              <w:t>Chattel Securities Amendment Regulations 2003</w:t>
            </w:r>
          </w:p>
        </w:tc>
        <w:tc>
          <w:tcPr>
            <w:tcW w:w="1276" w:type="dxa"/>
          </w:tcPr>
          <w:p>
            <w:pPr>
              <w:pStyle w:val="nTable"/>
              <w:spacing w:after="20"/>
              <w:rPr>
                <w:sz w:val="19"/>
              </w:rPr>
            </w:pPr>
            <w:r>
              <w:rPr>
                <w:sz w:val="19"/>
              </w:rPr>
              <w:t>27 Jun 2003 p. 2544</w:t>
            </w:r>
          </w:p>
        </w:tc>
        <w:tc>
          <w:tcPr>
            <w:tcW w:w="2693" w:type="dxa"/>
          </w:tcPr>
          <w:p>
            <w:pPr>
              <w:pStyle w:val="nTable"/>
              <w:spacing w:after="20"/>
              <w:rPr>
                <w:sz w:val="19"/>
              </w:rPr>
            </w:pPr>
            <w:r>
              <w:rPr>
                <w:sz w:val="19"/>
              </w:rPr>
              <w:t>1 Jul 2003 (see r. 2)</w:t>
            </w:r>
          </w:p>
        </w:tc>
      </w:tr>
      <w:tr>
        <w:trPr>
          <w:cantSplit/>
        </w:trPr>
        <w:tc>
          <w:tcPr>
            <w:tcW w:w="3119" w:type="dxa"/>
          </w:tcPr>
          <w:p>
            <w:pPr>
              <w:pStyle w:val="nTable"/>
              <w:spacing w:after="20"/>
              <w:ind w:right="113"/>
              <w:rPr>
                <w:i/>
                <w:sz w:val="19"/>
              </w:rPr>
            </w:pPr>
            <w:r>
              <w:rPr>
                <w:i/>
                <w:sz w:val="19"/>
              </w:rPr>
              <w:t>Chattel Securities Amendment Regulations 2005</w:t>
            </w:r>
          </w:p>
        </w:tc>
        <w:tc>
          <w:tcPr>
            <w:tcW w:w="1276" w:type="dxa"/>
          </w:tcPr>
          <w:p>
            <w:pPr>
              <w:pStyle w:val="nTable"/>
              <w:spacing w:after="20"/>
              <w:rPr>
                <w:sz w:val="19"/>
              </w:rPr>
            </w:pPr>
            <w:r>
              <w:rPr>
                <w:sz w:val="19"/>
              </w:rPr>
              <w:t>28 Jun 2005 p. 2905</w:t>
            </w:r>
            <w:r>
              <w:rPr>
                <w:sz w:val="19"/>
              </w:rPr>
              <w:noBreakHyphen/>
              <w:t>6</w:t>
            </w:r>
          </w:p>
        </w:tc>
        <w:tc>
          <w:tcPr>
            <w:tcW w:w="2693" w:type="dxa"/>
          </w:tcPr>
          <w:p>
            <w:pPr>
              <w:pStyle w:val="nTable"/>
              <w:spacing w:after="20"/>
              <w:rPr>
                <w:sz w:val="19"/>
              </w:rPr>
            </w:pPr>
            <w:r>
              <w:rPr>
                <w:sz w:val="19"/>
              </w:rPr>
              <w:t>1 Jul 2005 (see r. 2)</w:t>
            </w:r>
          </w:p>
        </w:tc>
      </w:tr>
      <w:tr>
        <w:trPr>
          <w:cantSplit/>
        </w:trPr>
        <w:tc>
          <w:tcPr>
            <w:tcW w:w="3119" w:type="dxa"/>
          </w:tcPr>
          <w:p>
            <w:pPr>
              <w:pStyle w:val="nTable"/>
              <w:spacing w:after="20"/>
              <w:ind w:right="113"/>
              <w:rPr>
                <w:i/>
                <w:sz w:val="19"/>
              </w:rPr>
            </w:pPr>
            <w:r>
              <w:rPr>
                <w:i/>
                <w:sz w:val="19"/>
              </w:rPr>
              <w:t>Chattel Securities Amendment Regulations (No. 2) 2006</w:t>
            </w:r>
          </w:p>
        </w:tc>
        <w:tc>
          <w:tcPr>
            <w:tcW w:w="1276" w:type="dxa"/>
          </w:tcPr>
          <w:p>
            <w:pPr>
              <w:pStyle w:val="nTable"/>
              <w:spacing w:after="20"/>
              <w:rPr>
                <w:sz w:val="19"/>
              </w:rPr>
            </w:pPr>
            <w:r>
              <w:rPr>
                <w:sz w:val="19"/>
              </w:rPr>
              <w:t>27 Jun 2006 p. 2252</w:t>
            </w:r>
          </w:p>
        </w:tc>
        <w:tc>
          <w:tcPr>
            <w:tcW w:w="2693" w:type="dxa"/>
          </w:tcPr>
          <w:p>
            <w:pPr>
              <w:pStyle w:val="nTable"/>
              <w:spacing w:after="20"/>
              <w:rPr>
                <w:sz w:val="19"/>
              </w:rPr>
            </w:pPr>
            <w:r>
              <w:rPr>
                <w:sz w:val="19"/>
              </w:rPr>
              <w:t>1 Jul 2006 (see r. 2)</w:t>
            </w:r>
          </w:p>
        </w:tc>
      </w:tr>
      <w:tr>
        <w:trPr>
          <w:cantSplit/>
        </w:trPr>
        <w:tc>
          <w:tcPr>
            <w:tcW w:w="7088" w:type="dxa"/>
            <w:gridSpan w:val="3"/>
          </w:tcPr>
          <w:p>
            <w:pPr>
              <w:pStyle w:val="nTable"/>
              <w:spacing w:after="20"/>
              <w:rPr>
                <w:sz w:val="19"/>
              </w:rPr>
            </w:pPr>
            <w:r>
              <w:rPr>
                <w:b/>
                <w:bCs/>
                <w:sz w:val="19"/>
              </w:rPr>
              <w:t xml:space="preserve">Reprint 2: The </w:t>
            </w:r>
            <w:r>
              <w:rPr>
                <w:b/>
                <w:bCs/>
                <w:i/>
                <w:sz w:val="19"/>
              </w:rPr>
              <w:t>Chattel Securities Regulations 1988</w:t>
            </w:r>
            <w:r>
              <w:rPr>
                <w:b/>
                <w:bCs/>
                <w:sz w:val="19"/>
              </w:rPr>
              <w:t xml:space="preserve"> as at 25 Aug 2006</w:t>
            </w:r>
            <w:r>
              <w:rPr>
                <w:sz w:val="19"/>
              </w:rPr>
              <w:t xml:space="preserve"> (includes amendments listed above)</w:t>
            </w:r>
          </w:p>
        </w:tc>
      </w:tr>
      <w:tr>
        <w:trPr>
          <w:cantSplit/>
        </w:trPr>
        <w:tc>
          <w:tcPr>
            <w:tcW w:w="3119" w:type="dxa"/>
          </w:tcPr>
          <w:p>
            <w:pPr>
              <w:pStyle w:val="nTable"/>
              <w:spacing w:after="20"/>
              <w:ind w:right="113"/>
              <w:rPr>
                <w:i/>
                <w:sz w:val="19"/>
              </w:rPr>
            </w:pPr>
            <w:r>
              <w:rPr>
                <w:i/>
                <w:sz w:val="19"/>
              </w:rPr>
              <w:t>Chattel Securities Amendment Regulations 2006</w:t>
            </w:r>
          </w:p>
        </w:tc>
        <w:tc>
          <w:tcPr>
            <w:tcW w:w="1276" w:type="dxa"/>
          </w:tcPr>
          <w:p>
            <w:pPr>
              <w:pStyle w:val="nTable"/>
              <w:spacing w:after="20"/>
              <w:rPr>
                <w:sz w:val="19"/>
              </w:rPr>
            </w:pPr>
            <w:r>
              <w:rPr>
                <w:sz w:val="19"/>
              </w:rPr>
              <w:t>22 Sep 2006 p. 4081-4</w:t>
            </w:r>
          </w:p>
        </w:tc>
        <w:tc>
          <w:tcPr>
            <w:tcW w:w="2693" w:type="dxa"/>
          </w:tcPr>
          <w:p>
            <w:pPr>
              <w:pStyle w:val="nTable"/>
              <w:spacing w:after="20"/>
              <w:rPr>
                <w:sz w:val="19"/>
              </w:rPr>
            </w:pPr>
            <w:r>
              <w:rPr>
                <w:sz w:val="19"/>
              </w:rPr>
              <w:t>22 Sep 2006 (see r. 2(a))</w:t>
            </w:r>
          </w:p>
        </w:tc>
      </w:tr>
      <w:tr>
        <w:trPr>
          <w:cantSplit/>
        </w:trPr>
        <w:tc>
          <w:tcPr>
            <w:tcW w:w="3119" w:type="dxa"/>
          </w:tcPr>
          <w:p>
            <w:pPr>
              <w:pStyle w:val="nTable"/>
              <w:spacing w:after="20"/>
              <w:ind w:right="113"/>
              <w:rPr>
                <w:i/>
                <w:sz w:val="19"/>
              </w:rPr>
            </w:pPr>
            <w:r>
              <w:rPr>
                <w:i/>
                <w:sz w:val="19"/>
              </w:rPr>
              <w:t>Chattel Securities Amendment Regulations 2011</w:t>
            </w:r>
          </w:p>
        </w:tc>
        <w:tc>
          <w:tcPr>
            <w:tcW w:w="1276" w:type="dxa"/>
          </w:tcPr>
          <w:p>
            <w:pPr>
              <w:pStyle w:val="nTable"/>
              <w:spacing w:after="20"/>
              <w:rPr>
                <w:sz w:val="19"/>
              </w:rPr>
            </w:pPr>
            <w:r>
              <w:rPr>
                <w:sz w:val="19"/>
              </w:rPr>
              <w:t>22 Jun 2011 p. 2337</w:t>
            </w:r>
            <w:r>
              <w:rPr>
                <w:sz w:val="19"/>
              </w:rPr>
              <w:noBreakHyphen/>
              <w:t>8</w:t>
            </w:r>
          </w:p>
        </w:tc>
        <w:tc>
          <w:tcPr>
            <w:tcW w:w="2693" w:type="dxa"/>
          </w:tcPr>
          <w:p>
            <w:pPr>
              <w:pStyle w:val="nTable"/>
              <w:spacing w:after="20"/>
              <w:rPr>
                <w:sz w:val="19"/>
              </w:rPr>
            </w:pPr>
            <w:r>
              <w:rPr>
                <w:sz w:val="19"/>
              </w:rPr>
              <w:t>r. 1 and 2: 22 Jun 2011 (see r. 2(a));</w:t>
            </w:r>
            <w:r>
              <w:rPr>
                <w:sz w:val="19"/>
              </w:rPr>
              <w:br/>
              <w:t>Regulations other than r. 1 and 2: 1 Jul 2011 (see r. 2(b))</w:t>
            </w:r>
          </w:p>
        </w:tc>
      </w:tr>
      <w:tr>
        <w:trPr>
          <w:cantSplit/>
        </w:trPr>
        <w:tc>
          <w:tcPr>
            <w:tcW w:w="3119" w:type="dxa"/>
          </w:tcPr>
          <w:p>
            <w:pPr>
              <w:pStyle w:val="nTable"/>
              <w:spacing w:after="20"/>
              <w:ind w:right="113"/>
              <w:rPr>
                <w:i/>
                <w:sz w:val="19"/>
              </w:rPr>
            </w:pPr>
            <w:r>
              <w:rPr>
                <w:i/>
                <w:sz w:val="19"/>
              </w:rPr>
              <w:t>Chattel Securities Amendment Regulations 2012</w:t>
            </w:r>
          </w:p>
        </w:tc>
        <w:tc>
          <w:tcPr>
            <w:tcW w:w="1276" w:type="dxa"/>
          </w:tcPr>
          <w:p>
            <w:pPr>
              <w:pStyle w:val="nTable"/>
              <w:spacing w:after="20"/>
              <w:rPr>
                <w:sz w:val="19"/>
              </w:rPr>
            </w:pPr>
            <w:r>
              <w:rPr>
                <w:sz w:val="19"/>
              </w:rPr>
              <w:t>15 Jun 2012 p. 2583</w:t>
            </w:r>
          </w:p>
        </w:tc>
        <w:tc>
          <w:tcPr>
            <w:tcW w:w="2693" w:type="dxa"/>
          </w:tcPr>
          <w:p>
            <w:pPr>
              <w:pStyle w:val="nTable"/>
              <w:spacing w:after="20"/>
              <w:rPr>
                <w:sz w:val="19"/>
              </w:rPr>
            </w:pPr>
            <w:r>
              <w:rPr>
                <w:sz w:val="19"/>
              </w:rPr>
              <w:t>r. 1 and 2: 15 Jun 2012 (see r. 2(a));</w:t>
            </w:r>
            <w:r>
              <w:rPr>
                <w:sz w:val="19"/>
              </w:rPr>
              <w:br/>
              <w:t>Regulations other than r. 1 and 2: 1 Jul 2012 (see r. 2(b))</w:t>
            </w:r>
          </w:p>
        </w:tc>
      </w:tr>
      <w:tr>
        <w:trPr>
          <w:cantSplit/>
        </w:trPr>
        <w:tc>
          <w:tcPr>
            <w:tcW w:w="3119" w:type="dxa"/>
            <w:tcBorders>
              <w:bottom w:val="single" w:sz="4" w:space="0" w:color="auto"/>
            </w:tcBorders>
          </w:tcPr>
          <w:p>
            <w:pPr>
              <w:pStyle w:val="nTable"/>
              <w:spacing w:after="20"/>
              <w:ind w:right="113"/>
              <w:rPr>
                <w:i/>
                <w:sz w:val="19"/>
              </w:rPr>
            </w:pPr>
            <w:r>
              <w:rPr>
                <w:i/>
                <w:sz w:val="19"/>
              </w:rPr>
              <w:t>Chattel Securities Amendment Regulations 2013</w:t>
            </w:r>
          </w:p>
        </w:tc>
        <w:tc>
          <w:tcPr>
            <w:tcW w:w="1276" w:type="dxa"/>
            <w:tcBorders>
              <w:bottom w:val="single" w:sz="4" w:space="0" w:color="auto"/>
            </w:tcBorders>
          </w:tcPr>
          <w:p>
            <w:pPr>
              <w:pStyle w:val="nTable"/>
              <w:spacing w:after="20"/>
              <w:rPr>
                <w:sz w:val="19"/>
              </w:rPr>
            </w:pPr>
            <w:r>
              <w:rPr>
                <w:sz w:val="19"/>
              </w:rPr>
              <w:t>20 Aug 2013 p. 3825</w:t>
            </w:r>
          </w:p>
        </w:tc>
        <w:tc>
          <w:tcPr>
            <w:tcW w:w="2693" w:type="dxa"/>
            <w:tcBorders>
              <w:bottom w:val="single" w:sz="4" w:space="0" w:color="auto"/>
            </w:tcBorders>
          </w:tcPr>
          <w:p>
            <w:pPr>
              <w:pStyle w:val="nTable"/>
              <w:spacing w:after="20"/>
              <w:rPr>
                <w:sz w:val="19"/>
              </w:rPr>
            </w:pPr>
            <w:r>
              <w:rPr>
                <w:sz w:val="19"/>
              </w:rPr>
              <w:t>r. 1 and 2: 20 Aug 2013 (see r. 2(a));</w:t>
            </w:r>
            <w:r>
              <w:rPr>
                <w:sz w:val="19"/>
              </w:rPr>
              <w:br/>
              <w:t xml:space="preserve">Regulations other than r. 1 and 2: 21 Aug 2013 (see r. 2(b) and </w:t>
            </w:r>
            <w:r>
              <w:rPr>
                <w:i/>
                <w:sz w:val="19"/>
              </w:rPr>
              <w:t>Gazette</w:t>
            </w:r>
            <w:r>
              <w:rPr>
                <w:sz w:val="19"/>
              </w:rPr>
              <w:t xml:space="preserve"> 20 Aug 2013 p. 3815)</w:t>
            </w:r>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w:t>
      </w:r>
      <w:r>
        <w:t xml:space="preserve">epealed by the </w:t>
      </w:r>
      <w:r>
        <w:rPr>
          <w:i/>
        </w:rPr>
        <w:t>Taxi Act 1994</w:t>
      </w:r>
      <w:r>
        <w:t>.</w:t>
      </w:r>
    </w:p>
    <w:p>
      <w:pPr>
        <w:pStyle w:val="nSubsection"/>
      </w:pPr>
      <w:r>
        <w:rPr>
          <w:vertAlign w:val="superscript"/>
        </w:rPr>
        <w:t>4</w:t>
      </w:r>
      <w:r>
        <w:tab/>
      </w:r>
      <w:r>
        <w:rPr>
          <w:iCs/>
        </w:rPr>
        <w:t>Re</w:t>
      </w:r>
      <w:r>
        <w:t xml:space="preserve">pealed by the </w:t>
      </w:r>
      <w:r>
        <w:rPr>
          <w:i/>
        </w:rPr>
        <w:t>Fish Resources Management Act 1994</w:t>
      </w: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Chattel Securities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Chattel Securities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122"/>
    <w:docVar w:name="WAFER_20140121131614" w:val="RemoveTocBookmarks,RemoveUnusedBookmarks,RemoveLanguageTags,UsedStyles,ResetPageSize,UpdateArrangement"/>
    <w:docVar w:name="WAFER_20140121131614_GUID" w:val="1af2d8bb-9a31-4d2b-b596-83090a4b72c8"/>
    <w:docVar w:name="WAFER_20140121131747" w:val="RemoveTocBookmarks,RunningHeaders"/>
    <w:docVar w:name="WAFER_20140121131747_GUID" w:val="60a6eace-c374-44ca-b657-1f5fbcda4a4e"/>
    <w:docVar w:name="WAFER_20151207155122" w:val="RemoveTrackChanges"/>
    <w:docVar w:name="WAFER_20151207155122_GUID" w:val="b997446c-adc9-4e78-a43d-7ed413ff48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2121</Words>
  <Characters>10057</Characters>
  <Application>Microsoft Office Word</Application>
  <DocSecurity>0</DocSecurity>
  <Lines>372</Lines>
  <Paragraphs>248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1988 - 02-e0-04</dc:title>
  <dc:subject/>
  <dc:creator/>
  <cp:keywords/>
  <dc:description/>
  <cp:lastModifiedBy>svcMRProcess</cp:lastModifiedBy>
  <cp:revision>4</cp:revision>
  <cp:lastPrinted>2006-09-04T01:01:00Z</cp:lastPrinted>
  <dcterms:created xsi:type="dcterms:W3CDTF">2015-12-08T17:09:00Z</dcterms:created>
  <dcterms:modified xsi:type="dcterms:W3CDTF">2015-12-08T17:09:00Z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4345</vt:i4>
  </property>
  <property fmtid="{D5CDD505-2E9C-101B-9397-08002B2CF9AE}" pid="6" name="ReprintNo">
    <vt:lpwstr>2</vt:lpwstr>
  </property>
  <property fmtid="{D5CDD505-2E9C-101B-9397-08002B2CF9AE}" pid="7" name="AsAtDate">
    <vt:lpwstr>21 Aug 2013</vt:lpwstr>
  </property>
  <property fmtid="{D5CDD505-2E9C-101B-9397-08002B2CF9AE}" pid="8" name="Suffix">
    <vt:lpwstr>02-e0-04</vt:lpwstr>
  </property>
</Properties>
</file>