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_Toc342313612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_Toc342313613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_Toc342313614 \h </w:instrText>
      </w:r>
      <w:r>
        <w:fldChar w:fldCharType="separate"/>
      </w:r>
      <w:r>
        <w:t>1</w:t>
      </w:r>
      <w:r>
        <w:fldChar w:fldCharType="end"/>
      </w:r>
    </w:p>
    <w:p>
      <w:pPr>
        <w:pStyle w:val="TOC8"/>
        <w:rPr>
          <w:sz w:val="24"/>
          <w:szCs w:val="24"/>
          <w:lang w:val="en-US"/>
        </w:rPr>
      </w:pPr>
      <w:r>
        <w:t>4.</w:t>
      </w:r>
      <w:r>
        <w:tab/>
      </w:r>
      <w:r>
        <w:rPr>
          <w:snapToGrid w:val="0"/>
        </w:rPr>
        <w:t>Fees to be charged (Act s. 42)</w:t>
      </w:r>
      <w:r>
        <w:tab/>
      </w:r>
      <w:r>
        <w:fldChar w:fldCharType="begin"/>
      </w:r>
      <w:r>
        <w:instrText xml:space="preserve"> PAGEREF _Toc342313615 \h </w:instrText>
      </w:r>
      <w:r>
        <w:fldChar w:fldCharType="separate"/>
      </w:r>
      <w:r>
        <w:t>3</w:t>
      </w:r>
      <w:r>
        <w:fldChar w:fldCharType="end"/>
      </w:r>
    </w:p>
    <w:p>
      <w:pPr>
        <w:pStyle w:val="TOC8"/>
        <w:rPr>
          <w:sz w:val="24"/>
          <w:szCs w:val="24"/>
          <w:lang w:val="en-US"/>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_Toc342313616 \h </w:instrText>
      </w:r>
      <w:r>
        <w:fldChar w:fldCharType="separate"/>
      </w:r>
      <w:r>
        <w:t>5</w:t>
      </w:r>
      <w:r>
        <w:fldChar w:fldCharType="end"/>
      </w:r>
    </w:p>
    <w:p>
      <w:pPr>
        <w:pStyle w:val="TOC8"/>
        <w:rPr>
          <w:sz w:val="24"/>
          <w:szCs w:val="24"/>
          <w:lang w:val="en-US"/>
        </w:rPr>
      </w:pPr>
      <w:r>
        <w:t>6.</w:t>
      </w:r>
      <w:r>
        <w:tab/>
        <w:t>Some fees subject to conditions or must be waived</w:t>
      </w:r>
      <w:r>
        <w:tab/>
      </w:r>
      <w:r>
        <w:fldChar w:fldCharType="begin"/>
      </w:r>
      <w:r>
        <w:instrText xml:space="preserve"> PAGEREF _Toc342313617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_Toc342313618 \h </w:instrText>
      </w:r>
      <w:r>
        <w:fldChar w:fldCharType="separate"/>
      </w:r>
      <w:r>
        <w:t>6</w:t>
      </w:r>
      <w:r>
        <w:fldChar w:fldCharType="end"/>
      </w:r>
    </w:p>
    <w:p>
      <w:pPr>
        <w:pStyle w:val="TOC8"/>
        <w:rPr>
          <w:sz w:val="24"/>
          <w:szCs w:val="24"/>
          <w:lang w:val="en-US"/>
        </w:rPr>
      </w:pPr>
      <w:r>
        <w:t>8.</w:t>
      </w:r>
      <w:r>
        <w:tab/>
        <w:t>Financial hardship etc., waiving etc. fees in cases of</w:t>
      </w:r>
      <w:r>
        <w:tab/>
      </w:r>
      <w:r>
        <w:fldChar w:fldCharType="begin"/>
      </w:r>
      <w:r>
        <w:instrText xml:space="preserve"> PAGEREF _Toc342313619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_Toc342313620 \h </w:instrText>
      </w:r>
      <w:r>
        <w:fldChar w:fldCharType="separate"/>
      </w:r>
      <w:r>
        <w:t>9</w:t>
      </w:r>
      <w:r>
        <w:fldChar w:fldCharType="end"/>
      </w:r>
    </w:p>
    <w:p>
      <w:pPr>
        <w:pStyle w:val="TOC8"/>
        <w:rPr>
          <w:sz w:val="24"/>
          <w:szCs w:val="24"/>
          <w:lang w:val="en-US"/>
        </w:rPr>
      </w:pPr>
      <w:r>
        <w:t>10.</w:t>
      </w:r>
      <w:r>
        <w:tab/>
        <w:t>Fee for allocation of hearing dates etc. (Sch. 1 Div. 2 it. 5), when to be paid</w:t>
      </w:r>
      <w:r>
        <w:tab/>
      </w:r>
      <w:r>
        <w:fldChar w:fldCharType="begin"/>
      </w:r>
      <w:r>
        <w:instrText xml:space="preserve"> PAGEREF _Toc342313621 \h </w:instrText>
      </w:r>
      <w:r>
        <w:fldChar w:fldCharType="separate"/>
      </w:r>
      <w:r>
        <w:t>10</w:t>
      </w:r>
      <w:r>
        <w:fldChar w:fldCharType="end"/>
      </w:r>
    </w:p>
    <w:p>
      <w:pPr>
        <w:pStyle w:val="TOC8"/>
        <w:rPr>
          <w:sz w:val="24"/>
          <w:szCs w:val="24"/>
          <w:lang w:val="en-US"/>
        </w:rPr>
      </w:pPr>
      <w:r>
        <w:t>11.</w:t>
      </w:r>
      <w:r>
        <w:tab/>
        <w:t>Half daily hearing fee (Sch. 1 Div. 2 it. 6)</w:t>
      </w:r>
      <w:r>
        <w:tab/>
      </w:r>
      <w:r>
        <w:fldChar w:fldCharType="begin"/>
      </w:r>
      <w:r>
        <w:instrText xml:space="preserve"> PAGEREF _Toc342313622 \h </w:instrText>
      </w:r>
      <w:r>
        <w:fldChar w:fldCharType="separate"/>
      </w:r>
      <w:r>
        <w:t>10</w:t>
      </w:r>
      <w:r>
        <w:fldChar w:fldCharType="end"/>
      </w:r>
    </w:p>
    <w:p>
      <w:pPr>
        <w:pStyle w:val="TOC8"/>
        <w:rPr>
          <w:sz w:val="24"/>
          <w:szCs w:val="24"/>
          <w:lang w:val="en-US"/>
        </w:rPr>
      </w:pPr>
      <w:r>
        <w:t>12.</w:t>
      </w:r>
      <w:r>
        <w:tab/>
        <w:t>Court information, fees for</w:t>
      </w:r>
      <w:r>
        <w:tab/>
      </w:r>
      <w:r>
        <w:fldChar w:fldCharType="begin"/>
      </w:r>
      <w:r>
        <w:instrText xml:space="preserve"> PAGEREF _Toc342313623 \h </w:instrText>
      </w:r>
      <w:r>
        <w:fldChar w:fldCharType="separate"/>
      </w:r>
      <w:r>
        <w:t>10</w:t>
      </w:r>
      <w:r>
        <w:fldChar w:fldCharType="end"/>
      </w:r>
    </w:p>
    <w:p>
      <w:pPr>
        <w:pStyle w:val="TOC8"/>
        <w:rPr>
          <w:sz w:val="24"/>
          <w:szCs w:val="24"/>
          <w:lang w:val="en-US"/>
        </w:rPr>
      </w:pPr>
      <w:r>
        <w:t>13.</w:t>
      </w:r>
      <w:r>
        <w:tab/>
        <w:t>Disputes as to fees, determination of</w:t>
      </w:r>
      <w:r>
        <w:tab/>
      </w:r>
      <w:r>
        <w:fldChar w:fldCharType="begin"/>
      </w:r>
      <w:r>
        <w:instrText xml:space="preserve"> PAGEREF _Toc342313624 \h </w:instrText>
      </w:r>
      <w:r>
        <w:fldChar w:fldCharType="separate"/>
      </w:r>
      <w:r>
        <w:t>10</w:t>
      </w:r>
      <w:r>
        <w:fldChar w:fldCharType="end"/>
      </w:r>
    </w:p>
    <w:p>
      <w:pPr>
        <w:pStyle w:val="TOC8"/>
        <w:rPr>
          <w:sz w:val="24"/>
          <w:szCs w:val="24"/>
          <w:lang w:val="en-US"/>
        </w:rPr>
      </w:pPr>
      <w:r>
        <w:t>14.</w:t>
      </w:r>
      <w:r>
        <w:tab/>
        <w:t>Unpaid fees, recovery of</w:t>
      </w:r>
      <w:r>
        <w:tab/>
      </w:r>
      <w:r>
        <w:fldChar w:fldCharType="begin"/>
      </w:r>
      <w:r>
        <w:instrText xml:space="preserve"> PAGEREF _Toc342313625 \h </w:instrText>
      </w:r>
      <w:r>
        <w:fldChar w:fldCharType="separate"/>
      </w:r>
      <w:r>
        <w:t>11</w:t>
      </w:r>
      <w:r>
        <w:fldChar w:fldCharType="end"/>
      </w:r>
    </w:p>
    <w:p>
      <w:pPr>
        <w:pStyle w:val="TOC8"/>
        <w:rPr>
          <w:sz w:val="24"/>
          <w:szCs w:val="24"/>
          <w:lang w:val="en-US"/>
        </w:rPr>
      </w:pPr>
      <w:r>
        <w:t>15.</w:t>
      </w:r>
      <w:r>
        <w:tab/>
        <w:t>Transitional provisions</w:t>
      </w:r>
      <w:r>
        <w:tab/>
      </w:r>
      <w:r>
        <w:fldChar w:fldCharType="begin"/>
      </w:r>
      <w:r>
        <w:instrText xml:space="preserve"> PAGEREF _Toc342313626 \h </w:instrText>
      </w:r>
      <w:r>
        <w:fldChar w:fldCharType="separate"/>
      </w:r>
      <w:r>
        <w:t>11</w:t>
      </w:r>
      <w:r>
        <w:fldChar w:fldCharType="end"/>
      </w:r>
    </w:p>
    <w:p>
      <w:pPr>
        <w:pStyle w:val="TOC2"/>
        <w:keepNext w:val="0"/>
        <w:tabs>
          <w:tab w:val="right" w:leader="dot" w:pos="7086"/>
        </w:tabs>
        <w:rPr>
          <w:b w:val="0"/>
          <w:sz w:val="24"/>
          <w:szCs w:val="24"/>
          <w:lang w:val="en-US"/>
        </w:rPr>
      </w:pPr>
      <w:r>
        <w:t>Schedule 1 — Fees</w:t>
      </w:r>
    </w:p>
    <w:p>
      <w:pPr>
        <w:pStyle w:val="TOC4"/>
        <w:keepNext w:val="0"/>
        <w:tabs>
          <w:tab w:val="right" w:leader="dot" w:pos="7086"/>
        </w:tabs>
        <w:rPr>
          <w:b w:val="0"/>
          <w:sz w:val="24"/>
          <w:szCs w:val="24"/>
          <w:lang w:val="en-US"/>
        </w:rPr>
      </w:pPr>
      <w:r>
        <w:t>Division 1 — General</w:t>
      </w:r>
    </w:p>
    <w:p>
      <w:pPr>
        <w:pStyle w:val="TOC4"/>
        <w:keepNext w:val="0"/>
        <w:tabs>
          <w:tab w:val="right" w:leader="dot" w:pos="7086"/>
        </w:tabs>
        <w:rPr>
          <w:b w:val="0"/>
          <w:sz w:val="24"/>
          <w:szCs w:val="24"/>
          <w:lang w:val="en-US"/>
        </w:rPr>
      </w:pPr>
      <w:r>
        <w:t>Division 2</w:t>
      </w:r>
      <w:r>
        <w:rPr>
          <w:b w:val="0"/>
        </w:rPr>
        <w:t> — </w:t>
      </w:r>
      <w:r>
        <w:t>Civil jurisdiction</w:t>
      </w:r>
    </w:p>
    <w:p>
      <w:pPr>
        <w:pStyle w:val="TOC4"/>
        <w:keepNext w:val="0"/>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_Toc342313632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_Toc342313633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_Toc342313634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_Toc342313636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4231361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4231361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42313614"/>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4231361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42)</w:t>
      </w:r>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42313616"/>
      <w:r>
        <w:rPr>
          <w:rStyle w:val="CharSectno"/>
        </w:rPr>
        <w:t>5</w:t>
      </w:r>
      <w:r>
        <w:t>.</w:t>
      </w:r>
      <w:r>
        <w:tab/>
      </w:r>
      <w:bookmarkEnd w:id="34"/>
      <w:bookmarkEnd w:id="35"/>
      <w:bookmarkEnd w:id="36"/>
      <w:bookmarkEnd w:id="37"/>
      <w:bookmarkEnd w:id="38"/>
      <w:bookmarkEnd w:id="39"/>
      <w:bookmarkEnd w:id="40"/>
      <w:bookmarkEnd w:id="41"/>
      <w:bookmarkEnd w:id="42"/>
      <w:bookmarkEnd w:id="43"/>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44"/>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45" w:name="_Toc100631321"/>
      <w:bookmarkStart w:id="46" w:name="_Toc102451450"/>
      <w:bookmarkStart w:id="47" w:name="_Toc342313617"/>
      <w:r>
        <w:rPr>
          <w:rStyle w:val="CharSectno"/>
        </w:rPr>
        <w:t>6</w:t>
      </w:r>
      <w:r>
        <w:t>.</w:t>
      </w:r>
      <w:r>
        <w:tab/>
        <w:t>Some fees subject to conditions or must be waived</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4231361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42313619"/>
      <w:r>
        <w:rPr>
          <w:rStyle w:val="CharSectno"/>
        </w:rPr>
        <w:t>8</w:t>
      </w:r>
      <w:r>
        <w:t>.</w:t>
      </w:r>
      <w:r>
        <w:tab/>
        <w:t>Financial hardship etc., waiving etc. fees in cases of</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4231362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42313621"/>
      <w:r>
        <w:rPr>
          <w:rStyle w:val="CharSectno"/>
        </w:rPr>
        <w:t>10</w:t>
      </w:r>
      <w:r>
        <w:t>.</w:t>
      </w:r>
      <w:r>
        <w:tab/>
        <w:t>Fee for allocation of hearing dates etc. (Sch. 1 Div. 2 it. 5), when to be paid</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42313622"/>
      <w:r>
        <w:rPr>
          <w:rStyle w:val="CharSectno"/>
        </w:rPr>
        <w:t>11</w:t>
      </w:r>
      <w:r>
        <w:t>.</w:t>
      </w:r>
      <w:r>
        <w:tab/>
        <w:t>Half daily hearing fee (Sch. 1 Div. 2 it. 6)</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42313623"/>
      <w:bookmarkStart w:id="94" w:name="_Toc96398500"/>
      <w:bookmarkStart w:id="95" w:name="_Toc100631328"/>
      <w:bookmarkStart w:id="96" w:name="_Toc102451457"/>
      <w:r>
        <w:rPr>
          <w:rStyle w:val="CharSectno"/>
        </w:rPr>
        <w:t>12</w:t>
      </w:r>
      <w:r>
        <w:t>.</w:t>
      </w:r>
      <w:r>
        <w:tab/>
        <w:t>Court information, fees for</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42313624"/>
      <w:r>
        <w:rPr>
          <w:rStyle w:val="CharSectno"/>
        </w:rPr>
        <w:t>13</w:t>
      </w:r>
      <w:r>
        <w:t>.</w:t>
      </w:r>
      <w:r>
        <w:tab/>
        <w:t>Disputes as to fees</w:t>
      </w:r>
      <w:bookmarkEnd w:id="94"/>
      <w:bookmarkEnd w:id="95"/>
      <w:bookmarkEnd w:id="96"/>
      <w:r>
        <w:t>, determination of</w:t>
      </w:r>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42313625"/>
      <w:r>
        <w:rPr>
          <w:rStyle w:val="CharSectno"/>
        </w:rPr>
        <w:t>14</w:t>
      </w:r>
      <w:r>
        <w:t>.</w:t>
      </w:r>
      <w:r>
        <w:tab/>
        <w:t>Unpaid fees, recovery of</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42313626"/>
      <w:r>
        <w:rPr>
          <w:rStyle w:val="CharSectno"/>
        </w:rPr>
        <w:t>15</w:t>
      </w:r>
      <w:r>
        <w:t>.</w:t>
      </w:r>
      <w:r>
        <w:tab/>
        <w:t>Transitional</w:t>
      </w:r>
      <w:bookmarkEnd w:id="101"/>
      <w:bookmarkEnd w:id="102"/>
      <w:bookmarkEnd w:id="103"/>
      <w:bookmarkEnd w:id="104"/>
      <w:bookmarkEnd w:id="105"/>
      <w:r>
        <w:t xml:space="preserve"> provisions</w:t>
      </w:r>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316565218"/>
      <w:bookmarkStart w:id="118" w:name="_Toc316566738"/>
      <w:bookmarkStart w:id="119" w:name="_Toc318787008"/>
      <w:bookmarkStart w:id="120" w:name="_Toc318881524"/>
      <w:bookmarkStart w:id="121" w:name="_Toc320605519"/>
      <w:bookmarkStart w:id="122" w:name="_Toc320786576"/>
      <w:bookmarkStart w:id="123" w:name="_Toc321143274"/>
      <w:bookmarkStart w:id="124" w:name="_Toc321210448"/>
      <w:bookmarkStart w:id="125" w:name="_Toc321211977"/>
      <w:bookmarkStart w:id="126" w:name="_Toc341967620"/>
      <w:bookmarkStart w:id="127" w:name="_Toc342313627"/>
      <w:bookmarkStart w:id="128" w:name="_Toc100631335"/>
      <w:bookmarkStart w:id="129" w:name="_Toc102451464"/>
      <w:bookmarkStart w:id="130" w:name="_Toc139104719"/>
      <w:bookmarkStart w:id="131" w:name="_Toc139276717"/>
      <w:bookmarkStart w:id="132" w:name="_Toc171051736"/>
      <w:bookmarkStart w:id="133" w:name="_Toc198631556"/>
      <w:bookmarkStart w:id="134" w:name="_Toc202521836"/>
      <w:bookmarkStart w:id="135" w:name="_Toc203535231"/>
      <w:bookmarkStart w:id="136" w:name="_Toc207168616"/>
      <w:bookmarkStart w:id="137" w:name="_Toc210114992"/>
      <w:bookmarkStart w:id="138" w:name="_Toc210119120"/>
      <w:bookmarkStart w:id="139" w:name="_Toc219794096"/>
      <w:bookmarkStart w:id="140" w:name="_Toc219794293"/>
      <w:bookmarkStart w:id="141" w:name="_Toc222114926"/>
      <w:bookmarkStart w:id="142" w:name="_Toc222212438"/>
      <w:bookmarkStart w:id="143" w:name="_Toc224024223"/>
      <w:bookmarkStart w:id="144" w:name="_Toc224024308"/>
      <w:bookmarkStart w:id="145"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Footnoteheading"/>
      </w:pPr>
      <w:r>
        <w:tab/>
        <w:t>[Heading inserted in Gazette 4 Sep 2009 p. 3473.]</w:t>
      </w:r>
    </w:p>
    <w:p>
      <w:pPr>
        <w:pStyle w:val="yHeading3"/>
        <w:rPr>
          <w:rStyle w:val="yHeading2Char"/>
        </w:rPr>
      </w:pPr>
      <w:bookmarkStart w:id="146" w:name="_Toc239746325"/>
      <w:bookmarkStart w:id="147" w:name="_Toc239759648"/>
      <w:bookmarkStart w:id="148" w:name="_Toc268173414"/>
      <w:bookmarkStart w:id="149" w:name="_Toc287428423"/>
      <w:bookmarkStart w:id="150" w:name="_Toc312142994"/>
      <w:bookmarkStart w:id="151" w:name="_Toc312419383"/>
      <w:bookmarkStart w:id="152" w:name="_Toc314494929"/>
      <w:bookmarkStart w:id="153" w:name="_Toc314495170"/>
      <w:bookmarkStart w:id="154" w:name="_Toc316565219"/>
      <w:bookmarkStart w:id="155" w:name="_Toc316566739"/>
      <w:bookmarkStart w:id="156" w:name="_Toc318787009"/>
      <w:bookmarkStart w:id="157" w:name="_Toc318881525"/>
      <w:bookmarkStart w:id="158" w:name="_Toc320605520"/>
      <w:bookmarkStart w:id="159" w:name="_Toc320786577"/>
      <w:bookmarkStart w:id="160" w:name="_Toc321143275"/>
      <w:bookmarkStart w:id="161" w:name="_Toc321210449"/>
      <w:bookmarkStart w:id="162" w:name="_Toc321211978"/>
      <w:bookmarkStart w:id="163" w:name="_Toc341967621"/>
      <w:bookmarkStart w:id="164" w:name="_Toc342313628"/>
      <w:r>
        <w:rPr>
          <w:rStyle w:val="CharSDivNo"/>
        </w:rPr>
        <w:t>Division 1</w:t>
      </w:r>
      <w:r>
        <w:t> — </w:t>
      </w:r>
      <w:r>
        <w:rPr>
          <w:rStyle w:val="CharS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t>48.20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1.25</w:t>
            </w:r>
          </w:p>
          <w:p>
            <w:pPr>
              <w:pStyle w:val="yTableNAm"/>
              <w:tabs>
                <w:tab w:val="clear" w:pos="567"/>
                <w:tab w:val="decimal" w:pos="585"/>
              </w:tabs>
            </w:pPr>
            <w:r>
              <w:br/>
            </w:r>
            <w:r>
              <w:rPr>
                <w:szCs w:val="22"/>
              </w:rPr>
              <w:t>1.35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28.10</w:t>
            </w:r>
          </w:p>
          <w:p>
            <w:pPr>
              <w:pStyle w:val="yTableNAm"/>
              <w:tabs>
                <w:tab w:val="clear" w:pos="567"/>
                <w:tab w:val="decimal" w:pos="585"/>
              </w:tabs>
              <w:rPr>
                <w:szCs w:val="22"/>
              </w:rPr>
            </w:pPr>
            <w:r>
              <w:rPr>
                <w:szCs w:val="22"/>
              </w:rPr>
              <w:br/>
            </w:r>
            <w:r>
              <w:rPr>
                <w:szCs w:val="22"/>
              </w:rPr>
              <w:br/>
              <w:t>28.10</w:t>
            </w:r>
          </w:p>
          <w:p>
            <w:pPr>
              <w:pStyle w:val="yTableNAm"/>
              <w:tabs>
                <w:tab w:val="clear" w:pos="567"/>
                <w:tab w:val="decimal" w:pos="585"/>
              </w:tabs>
            </w:pPr>
            <w:r>
              <w:rPr>
                <w:szCs w:val="22"/>
              </w:rPr>
              <w:br/>
              <w:t>69.50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1.25</w:t>
            </w:r>
          </w:p>
          <w:p>
            <w:pPr>
              <w:pStyle w:val="yTableNAm"/>
              <w:tabs>
                <w:tab w:val="clear" w:pos="567"/>
                <w:tab w:val="left" w:pos="252"/>
                <w:tab w:val="decimal" w:pos="585"/>
              </w:tabs>
              <w:ind w:left="-99" w:right="-30"/>
            </w:pPr>
            <w:r>
              <w:rPr>
                <w:szCs w:val="22"/>
              </w:rPr>
              <w:br/>
              <w:t>40 374.00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41.30</w:t>
            </w:r>
          </w:p>
          <w:p>
            <w:pPr>
              <w:pStyle w:val="yTableNAm"/>
              <w:tabs>
                <w:tab w:val="clear" w:pos="567"/>
                <w:tab w:val="decimal" w:pos="585"/>
              </w:tabs>
            </w:pPr>
            <w:r>
              <w:br/>
            </w:r>
            <w:r>
              <w:br/>
            </w:r>
            <w:r>
              <w:br/>
            </w:r>
            <w:r>
              <w:br/>
            </w:r>
            <w:r>
              <w:br/>
            </w:r>
            <w:r>
              <w:rPr>
                <w:szCs w:val="22"/>
              </w:rPr>
              <w:t>69.50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9.75</w:t>
            </w:r>
          </w:p>
          <w:p>
            <w:pPr>
              <w:pStyle w:val="yTableNAm"/>
              <w:tabs>
                <w:tab w:val="clear" w:pos="567"/>
                <w:tab w:val="decimal" w:pos="585"/>
              </w:tabs>
              <w:rPr>
                <w:szCs w:val="22"/>
              </w:rPr>
            </w:pPr>
            <w:r>
              <w:rPr>
                <w:szCs w:val="22"/>
              </w:rPr>
              <w:br/>
              <w:t>1.25</w:t>
            </w:r>
          </w:p>
          <w:p>
            <w:pPr>
              <w:pStyle w:val="yTableNAm"/>
              <w:tabs>
                <w:tab w:val="clear" w:pos="567"/>
                <w:tab w:val="decimal" w:pos="585"/>
              </w:tabs>
            </w:pPr>
            <w:r>
              <w:rPr>
                <w:szCs w:val="22"/>
              </w:rPr>
              <w:br/>
              <w:t>13.50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5.45</w:t>
            </w:r>
          </w:p>
          <w:p>
            <w:pPr>
              <w:pStyle w:val="yTableNAm"/>
              <w:tabs>
                <w:tab w:val="clear" w:pos="567"/>
                <w:tab w:val="decimal" w:pos="585"/>
              </w:tabs>
              <w:rPr>
                <w:szCs w:val="22"/>
              </w:rPr>
            </w:pPr>
            <w:r>
              <w:rPr>
                <w:szCs w:val="22"/>
              </w:rPr>
              <w:br/>
            </w:r>
            <w:r>
              <w:rPr>
                <w:szCs w:val="22"/>
              </w:rPr>
              <w:br/>
            </w:r>
            <w:r>
              <w:rPr>
                <w:szCs w:val="22"/>
              </w:rPr>
              <w:br/>
            </w:r>
            <w:r>
              <w:rPr>
                <w:szCs w:val="22"/>
              </w:rPr>
              <w:br/>
              <w:t>13.50</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 xml:space="preserve">$19.40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w:t>
      </w:r>
    </w:p>
    <w:p>
      <w:pPr>
        <w:pStyle w:val="yHeading3"/>
        <w:keepLines/>
      </w:pPr>
      <w:bookmarkStart w:id="165" w:name="_Toc239746326"/>
      <w:bookmarkStart w:id="166" w:name="_Toc239759649"/>
      <w:bookmarkStart w:id="167" w:name="_Toc268173415"/>
      <w:bookmarkStart w:id="168" w:name="_Toc287428424"/>
      <w:bookmarkStart w:id="169" w:name="_Toc312142995"/>
      <w:bookmarkStart w:id="170" w:name="_Toc312419384"/>
      <w:bookmarkStart w:id="171" w:name="_Toc314494930"/>
      <w:bookmarkStart w:id="172" w:name="_Toc314495171"/>
      <w:bookmarkStart w:id="173" w:name="_Toc316565220"/>
      <w:bookmarkStart w:id="174" w:name="_Toc316566740"/>
      <w:bookmarkStart w:id="175" w:name="_Toc318787010"/>
      <w:bookmarkStart w:id="176" w:name="_Toc318881526"/>
      <w:bookmarkStart w:id="177" w:name="_Toc320605521"/>
      <w:bookmarkStart w:id="178" w:name="_Toc320786578"/>
      <w:bookmarkStart w:id="179" w:name="_Toc321143276"/>
      <w:bookmarkStart w:id="180" w:name="_Toc321210450"/>
      <w:bookmarkStart w:id="181" w:name="_Toc321211979"/>
      <w:bookmarkStart w:id="182" w:name="_Toc341967622"/>
      <w:bookmarkStart w:id="183" w:name="_Toc342313629"/>
      <w:r>
        <w:rPr>
          <w:rStyle w:val="CharSDivNo"/>
        </w:rPr>
        <w:t>Division 2</w:t>
      </w:r>
      <w:r>
        <w:rPr>
          <w:b w:val="0"/>
        </w:rPr>
        <w:t> — </w:t>
      </w:r>
      <w:r>
        <w:rPr>
          <w:rStyle w:val="CharSDivText"/>
        </w:rPr>
        <w:t>Civil jurisdiction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81.00</w:t>
            </w:r>
          </w:p>
        </w:tc>
        <w:tc>
          <w:tcPr>
            <w:tcW w:w="806" w:type="dxa"/>
            <w:tcBorders>
              <w:top w:val="single" w:sz="4" w:space="0" w:color="auto"/>
            </w:tcBorders>
            <w:vAlign w:val="bottom"/>
          </w:tcPr>
          <w:p>
            <w:pPr>
              <w:pStyle w:val="yTableNAm"/>
              <w:keepNext/>
              <w:keepLines/>
              <w:jc w:val="center"/>
              <w:rPr>
                <w:sz w:val="18"/>
                <w:szCs w:val="18"/>
              </w:rPr>
            </w:pPr>
            <w:r>
              <w:rPr>
                <w:sz w:val="18"/>
                <w:szCs w:val="18"/>
              </w:rPr>
              <w:t>158.00</w:t>
            </w:r>
          </w:p>
        </w:tc>
        <w:tc>
          <w:tcPr>
            <w:tcW w:w="850" w:type="dxa"/>
            <w:tcBorders>
              <w:top w:val="single" w:sz="4" w:space="0" w:color="auto"/>
            </w:tcBorders>
            <w:vAlign w:val="bottom"/>
          </w:tcPr>
          <w:p>
            <w:pPr>
              <w:pStyle w:val="yTableNAm"/>
              <w:keepNext/>
              <w:keepLines/>
              <w:jc w:val="center"/>
              <w:rPr>
                <w:sz w:val="18"/>
                <w:szCs w:val="18"/>
              </w:rPr>
            </w:pPr>
            <w:r>
              <w:rPr>
                <w:sz w:val="18"/>
                <w:szCs w:val="18"/>
              </w:rPr>
              <w:t>206.00</w:t>
            </w:r>
          </w:p>
        </w:tc>
        <w:tc>
          <w:tcPr>
            <w:tcW w:w="851" w:type="dxa"/>
            <w:tcBorders>
              <w:top w:val="single" w:sz="4" w:space="0" w:color="auto"/>
            </w:tcBorders>
            <w:vAlign w:val="bottom"/>
          </w:tcPr>
          <w:p>
            <w:pPr>
              <w:pStyle w:val="yTableNAm"/>
              <w:keepNext/>
              <w:keepLines/>
              <w:jc w:val="center"/>
              <w:rPr>
                <w:sz w:val="18"/>
                <w:szCs w:val="18"/>
              </w:rPr>
            </w:pPr>
            <w:r>
              <w:rPr>
                <w:sz w:val="18"/>
                <w:szCs w:val="18"/>
              </w:rPr>
              <w:t>403.00</w:t>
            </w:r>
          </w:p>
        </w:tc>
        <w:tc>
          <w:tcPr>
            <w:tcW w:w="850" w:type="dxa"/>
            <w:tcBorders>
              <w:top w:val="single" w:sz="4" w:space="0" w:color="auto"/>
            </w:tcBorders>
            <w:vAlign w:val="bottom"/>
          </w:tcPr>
          <w:p>
            <w:pPr>
              <w:pStyle w:val="yTableNAm"/>
              <w:keepNext/>
              <w:keepLines/>
              <w:jc w:val="center"/>
              <w:rPr>
                <w:sz w:val="18"/>
                <w:szCs w:val="18"/>
              </w:rPr>
            </w:pPr>
            <w:r>
              <w:rPr>
                <w:sz w:val="18"/>
                <w:szCs w:val="18"/>
              </w:rPr>
              <w:t>328.00</w:t>
            </w:r>
          </w:p>
        </w:tc>
        <w:tc>
          <w:tcPr>
            <w:tcW w:w="851" w:type="dxa"/>
            <w:tcBorders>
              <w:top w:val="single" w:sz="4" w:space="0" w:color="auto"/>
            </w:tcBorders>
            <w:vAlign w:val="bottom"/>
          </w:tcPr>
          <w:p>
            <w:pPr>
              <w:pStyle w:val="yTableNAm"/>
              <w:keepNext/>
              <w:keepLines/>
              <w:jc w:val="center"/>
              <w:rPr>
                <w:sz w:val="18"/>
                <w:szCs w:val="18"/>
              </w:rPr>
            </w:pPr>
            <w:r>
              <w:rPr>
                <w:sz w:val="18"/>
                <w:szCs w:val="18"/>
              </w:rPr>
              <w:t>639.00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52.50</w:t>
            </w:r>
          </w:p>
        </w:tc>
        <w:tc>
          <w:tcPr>
            <w:tcW w:w="851" w:type="dxa"/>
            <w:gridSpan w:val="2"/>
            <w:vAlign w:val="bottom"/>
          </w:tcPr>
          <w:p>
            <w:pPr>
              <w:pStyle w:val="yTableNAm"/>
              <w:jc w:val="center"/>
              <w:rPr>
                <w:sz w:val="18"/>
                <w:szCs w:val="18"/>
              </w:rPr>
            </w:pPr>
            <w:r>
              <w:rPr>
                <w:sz w:val="18"/>
                <w:szCs w:val="18"/>
              </w:rPr>
              <w:t>102.50</w:t>
            </w:r>
          </w:p>
        </w:tc>
        <w:tc>
          <w:tcPr>
            <w:tcW w:w="850" w:type="dxa"/>
            <w:vAlign w:val="bottom"/>
          </w:tcPr>
          <w:p>
            <w:pPr>
              <w:pStyle w:val="yTableNAm"/>
              <w:jc w:val="center"/>
              <w:rPr>
                <w:sz w:val="18"/>
                <w:szCs w:val="18"/>
              </w:rPr>
            </w:pPr>
            <w:r>
              <w:rPr>
                <w:sz w:val="18"/>
                <w:szCs w:val="18"/>
              </w:rPr>
              <w:t>96.00</w:t>
            </w:r>
          </w:p>
        </w:tc>
        <w:tc>
          <w:tcPr>
            <w:tcW w:w="851" w:type="dxa"/>
            <w:vAlign w:val="bottom"/>
          </w:tcPr>
          <w:p>
            <w:pPr>
              <w:pStyle w:val="yTableNAm"/>
              <w:jc w:val="center"/>
              <w:rPr>
                <w:sz w:val="18"/>
                <w:szCs w:val="18"/>
              </w:rPr>
            </w:pPr>
            <w:r>
              <w:rPr>
                <w:sz w:val="18"/>
                <w:szCs w:val="18"/>
              </w:rPr>
              <w:t>160.00</w:t>
            </w:r>
          </w:p>
        </w:tc>
        <w:tc>
          <w:tcPr>
            <w:tcW w:w="850" w:type="dxa"/>
            <w:vAlign w:val="bottom"/>
          </w:tcPr>
          <w:p>
            <w:pPr>
              <w:pStyle w:val="yTableNAm"/>
              <w:jc w:val="center"/>
              <w:rPr>
                <w:sz w:val="18"/>
                <w:szCs w:val="18"/>
              </w:rPr>
            </w:pPr>
            <w:r>
              <w:rPr>
                <w:sz w:val="18"/>
                <w:szCs w:val="18"/>
              </w:rPr>
              <w:t>153.00</w:t>
            </w:r>
          </w:p>
        </w:tc>
        <w:tc>
          <w:tcPr>
            <w:tcW w:w="851" w:type="dxa"/>
            <w:vAlign w:val="bottom"/>
          </w:tcPr>
          <w:p>
            <w:pPr>
              <w:pStyle w:val="yTableNAm"/>
              <w:jc w:val="center"/>
              <w:rPr>
                <w:sz w:val="18"/>
                <w:szCs w:val="18"/>
              </w:rPr>
            </w:pPr>
            <w:r>
              <w:rPr>
                <w:sz w:val="18"/>
                <w:szCs w:val="18"/>
              </w:rPr>
              <w:t>255.00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27.00</w:t>
            </w:r>
          </w:p>
        </w:tc>
        <w:tc>
          <w:tcPr>
            <w:tcW w:w="851" w:type="dxa"/>
            <w:gridSpan w:val="2"/>
          </w:tcPr>
          <w:p>
            <w:pPr>
              <w:pStyle w:val="yTableNAm"/>
              <w:jc w:val="center"/>
              <w:rPr>
                <w:sz w:val="18"/>
              </w:rPr>
            </w:pPr>
            <w:r>
              <w:rPr>
                <w:sz w:val="18"/>
              </w:rPr>
              <w:br/>
            </w:r>
            <w:r>
              <w:rPr>
                <w:sz w:val="18"/>
                <w:szCs w:val="18"/>
              </w:rPr>
              <w:t>69.50</w:t>
            </w:r>
          </w:p>
        </w:tc>
        <w:tc>
          <w:tcPr>
            <w:tcW w:w="850" w:type="dxa"/>
          </w:tcPr>
          <w:p>
            <w:pPr>
              <w:pStyle w:val="yTableNAm"/>
              <w:jc w:val="center"/>
              <w:rPr>
                <w:sz w:val="18"/>
              </w:rPr>
            </w:pPr>
            <w:r>
              <w:rPr>
                <w:sz w:val="18"/>
              </w:rPr>
              <w:br/>
            </w:r>
            <w:r>
              <w:rPr>
                <w:sz w:val="18"/>
                <w:szCs w:val="18"/>
              </w:rPr>
              <w:t>40.80</w:t>
            </w:r>
          </w:p>
        </w:tc>
        <w:tc>
          <w:tcPr>
            <w:tcW w:w="851" w:type="dxa"/>
          </w:tcPr>
          <w:p>
            <w:pPr>
              <w:pStyle w:val="yTableNAm"/>
              <w:jc w:val="center"/>
              <w:rPr>
                <w:sz w:val="18"/>
              </w:rPr>
            </w:pPr>
            <w:r>
              <w:rPr>
                <w:sz w:val="18"/>
              </w:rPr>
              <w:br/>
            </w:r>
            <w:r>
              <w:rPr>
                <w:sz w:val="18"/>
                <w:szCs w:val="18"/>
              </w:rPr>
              <w:t>106.00</w:t>
            </w:r>
          </w:p>
        </w:tc>
        <w:tc>
          <w:tcPr>
            <w:tcW w:w="850" w:type="dxa"/>
          </w:tcPr>
          <w:p>
            <w:pPr>
              <w:pStyle w:val="yTableNAm"/>
              <w:jc w:val="center"/>
              <w:rPr>
                <w:sz w:val="18"/>
              </w:rPr>
            </w:pPr>
            <w:r>
              <w:rPr>
                <w:sz w:val="18"/>
              </w:rPr>
              <w:br/>
            </w:r>
            <w:r>
              <w:rPr>
                <w:sz w:val="18"/>
                <w:szCs w:val="18"/>
              </w:rPr>
              <w:t>54.50</w:t>
            </w:r>
          </w:p>
        </w:tc>
        <w:tc>
          <w:tcPr>
            <w:tcW w:w="851" w:type="dxa"/>
          </w:tcPr>
          <w:p>
            <w:pPr>
              <w:pStyle w:val="yTableNAm"/>
              <w:jc w:val="center"/>
              <w:rPr>
                <w:sz w:val="18"/>
              </w:rPr>
            </w:pPr>
            <w:r>
              <w:rPr>
                <w:sz w:val="18"/>
              </w:rPr>
              <w:br/>
            </w:r>
            <w:r>
              <w:rPr>
                <w:sz w:val="18"/>
                <w:szCs w:val="18"/>
              </w:rPr>
              <w:t>142.00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128.00</w:t>
            </w:r>
          </w:p>
        </w:tc>
        <w:tc>
          <w:tcPr>
            <w:tcW w:w="851" w:type="dxa"/>
            <w:gridSpan w:val="2"/>
          </w:tcPr>
          <w:p>
            <w:pPr>
              <w:pStyle w:val="yTableNAm"/>
              <w:jc w:val="center"/>
              <w:rPr>
                <w:sz w:val="18"/>
              </w:rPr>
            </w:pPr>
            <w:r>
              <w:rPr>
                <w:sz w:val="18"/>
              </w:rPr>
              <w:br/>
            </w:r>
            <w:r>
              <w:rPr>
                <w:sz w:val="18"/>
                <w:szCs w:val="18"/>
              </w:rPr>
              <w:t>249.00</w:t>
            </w:r>
          </w:p>
        </w:tc>
        <w:tc>
          <w:tcPr>
            <w:tcW w:w="850" w:type="dxa"/>
          </w:tcPr>
          <w:p>
            <w:pPr>
              <w:pStyle w:val="yTableNAm"/>
              <w:jc w:val="center"/>
              <w:rPr>
                <w:sz w:val="18"/>
              </w:rPr>
            </w:pPr>
            <w:r>
              <w:rPr>
                <w:sz w:val="18"/>
              </w:rPr>
              <w:br/>
            </w:r>
            <w:r>
              <w:rPr>
                <w:sz w:val="18"/>
                <w:szCs w:val="18"/>
              </w:rPr>
              <w:t>233.00</w:t>
            </w:r>
          </w:p>
        </w:tc>
        <w:tc>
          <w:tcPr>
            <w:tcW w:w="851" w:type="dxa"/>
          </w:tcPr>
          <w:p>
            <w:pPr>
              <w:pStyle w:val="yTableNAm"/>
              <w:jc w:val="center"/>
              <w:rPr>
                <w:sz w:val="18"/>
              </w:rPr>
            </w:pPr>
            <w:r>
              <w:rPr>
                <w:sz w:val="18"/>
              </w:rPr>
              <w:br/>
            </w:r>
            <w:r>
              <w:rPr>
                <w:sz w:val="18"/>
                <w:szCs w:val="18"/>
              </w:rPr>
              <w:t>451.00</w:t>
            </w:r>
          </w:p>
        </w:tc>
        <w:tc>
          <w:tcPr>
            <w:tcW w:w="850" w:type="dxa"/>
          </w:tcPr>
          <w:p>
            <w:pPr>
              <w:pStyle w:val="yTableNAm"/>
              <w:jc w:val="center"/>
              <w:rPr>
                <w:sz w:val="18"/>
              </w:rPr>
            </w:pPr>
            <w:r>
              <w:rPr>
                <w:sz w:val="18"/>
              </w:rPr>
              <w:br/>
            </w:r>
            <w:r>
              <w:rPr>
                <w:sz w:val="18"/>
                <w:szCs w:val="18"/>
              </w:rPr>
              <w:t>259.00</w:t>
            </w:r>
          </w:p>
        </w:tc>
        <w:tc>
          <w:tcPr>
            <w:tcW w:w="851" w:type="dxa"/>
          </w:tcPr>
          <w:p>
            <w:pPr>
              <w:pStyle w:val="yTableNAm"/>
              <w:jc w:val="center"/>
              <w:rPr>
                <w:sz w:val="18"/>
              </w:rPr>
            </w:pPr>
            <w:r>
              <w:rPr>
                <w:sz w:val="18"/>
              </w:rPr>
              <w:br/>
            </w:r>
            <w:r>
              <w:rPr>
                <w:sz w:val="18"/>
                <w:szCs w:val="18"/>
              </w:rPr>
              <w:t>503.00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74.00</w:t>
            </w:r>
          </w:p>
        </w:tc>
        <w:tc>
          <w:tcPr>
            <w:tcW w:w="851" w:type="dxa"/>
            <w:gridSpan w:val="2"/>
            <w:vAlign w:val="bottom"/>
          </w:tcPr>
          <w:p>
            <w:pPr>
              <w:pStyle w:val="yTableNAm"/>
              <w:jc w:val="center"/>
              <w:rPr>
                <w:sz w:val="18"/>
              </w:rPr>
            </w:pPr>
            <w:r>
              <w:rPr>
                <w:sz w:val="18"/>
                <w:szCs w:val="18"/>
              </w:rPr>
              <w:t>193.00</w:t>
            </w:r>
          </w:p>
        </w:tc>
        <w:tc>
          <w:tcPr>
            <w:tcW w:w="850" w:type="dxa"/>
            <w:vAlign w:val="bottom"/>
          </w:tcPr>
          <w:p>
            <w:pPr>
              <w:pStyle w:val="yTableNAm"/>
              <w:jc w:val="center"/>
              <w:rPr>
                <w:sz w:val="18"/>
              </w:rPr>
            </w:pPr>
            <w:r>
              <w:rPr>
                <w:sz w:val="18"/>
                <w:szCs w:val="18"/>
              </w:rPr>
              <w:t>130.00</w:t>
            </w:r>
          </w:p>
        </w:tc>
        <w:tc>
          <w:tcPr>
            <w:tcW w:w="851" w:type="dxa"/>
            <w:vAlign w:val="bottom"/>
          </w:tcPr>
          <w:p>
            <w:pPr>
              <w:pStyle w:val="yTableNAm"/>
              <w:jc w:val="center"/>
              <w:rPr>
                <w:sz w:val="18"/>
              </w:rPr>
            </w:pPr>
            <w:r>
              <w:rPr>
                <w:sz w:val="18"/>
                <w:szCs w:val="18"/>
              </w:rPr>
              <w:t>337.00</w:t>
            </w:r>
          </w:p>
        </w:tc>
        <w:tc>
          <w:tcPr>
            <w:tcW w:w="850" w:type="dxa"/>
            <w:vAlign w:val="bottom"/>
          </w:tcPr>
          <w:p>
            <w:pPr>
              <w:pStyle w:val="yTableNAm"/>
              <w:jc w:val="center"/>
              <w:rPr>
                <w:sz w:val="18"/>
              </w:rPr>
            </w:pPr>
            <w:r>
              <w:rPr>
                <w:sz w:val="18"/>
                <w:szCs w:val="18"/>
              </w:rPr>
              <w:t>185.50</w:t>
            </w:r>
          </w:p>
        </w:tc>
        <w:tc>
          <w:tcPr>
            <w:tcW w:w="851" w:type="dxa"/>
            <w:vAlign w:val="bottom"/>
          </w:tcPr>
          <w:p>
            <w:pPr>
              <w:pStyle w:val="yTableNAm"/>
              <w:jc w:val="center"/>
              <w:rPr>
                <w:sz w:val="18"/>
              </w:rPr>
            </w:pPr>
            <w:r>
              <w:rPr>
                <w:sz w:val="18"/>
                <w:szCs w:val="18"/>
              </w:rPr>
              <w:t>481.00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74.00</w:t>
            </w:r>
          </w:p>
        </w:tc>
        <w:tc>
          <w:tcPr>
            <w:tcW w:w="851" w:type="dxa"/>
            <w:gridSpan w:val="2"/>
            <w:vAlign w:val="bottom"/>
          </w:tcPr>
          <w:p>
            <w:pPr>
              <w:pStyle w:val="yTableNAm"/>
              <w:keepNext/>
              <w:jc w:val="center"/>
              <w:rPr>
                <w:sz w:val="18"/>
              </w:rPr>
            </w:pPr>
            <w:r>
              <w:rPr>
                <w:sz w:val="18"/>
                <w:szCs w:val="18"/>
              </w:rPr>
              <w:t>193.00</w:t>
            </w:r>
          </w:p>
        </w:tc>
        <w:tc>
          <w:tcPr>
            <w:tcW w:w="850" w:type="dxa"/>
            <w:vAlign w:val="bottom"/>
          </w:tcPr>
          <w:p>
            <w:pPr>
              <w:pStyle w:val="yTableNAm"/>
              <w:keepNext/>
              <w:jc w:val="center"/>
              <w:rPr>
                <w:sz w:val="18"/>
              </w:rPr>
            </w:pPr>
            <w:r>
              <w:rPr>
                <w:sz w:val="18"/>
                <w:szCs w:val="18"/>
              </w:rPr>
              <w:t>130.00</w:t>
            </w:r>
          </w:p>
        </w:tc>
        <w:tc>
          <w:tcPr>
            <w:tcW w:w="851" w:type="dxa"/>
            <w:vAlign w:val="bottom"/>
          </w:tcPr>
          <w:p>
            <w:pPr>
              <w:pStyle w:val="yTableNAm"/>
              <w:keepNext/>
              <w:jc w:val="center"/>
              <w:rPr>
                <w:sz w:val="18"/>
              </w:rPr>
            </w:pPr>
            <w:r>
              <w:rPr>
                <w:sz w:val="18"/>
                <w:szCs w:val="18"/>
              </w:rPr>
              <w:t>337.00</w:t>
            </w:r>
          </w:p>
        </w:tc>
        <w:tc>
          <w:tcPr>
            <w:tcW w:w="850" w:type="dxa"/>
            <w:vAlign w:val="bottom"/>
          </w:tcPr>
          <w:p>
            <w:pPr>
              <w:pStyle w:val="yTableNAm"/>
              <w:keepNext/>
              <w:jc w:val="center"/>
              <w:rPr>
                <w:sz w:val="18"/>
              </w:rPr>
            </w:pPr>
            <w:r>
              <w:rPr>
                <w:sz w:val="18"/>
                <w:szCs w:val="18"/>
              </w:rPr>
              <w:t>185.50</w:t>
            </w:r>
          </w:p>
        </w:tc>
        <w:tc>
          <w:tcPr>
            <w:tcW w:w="851" w:type="dxa"/>
            <w:vAlign w:val="bottom"/>
          </w:tcPr>
          <w:p>
            <w:pPr>
              <w:pStyle w:val="yTableNAm"/>
              <w:keepNext/>
              <w:jc w:val="center"/>
              <w:rPr>
                <w:sz w:val="18"/>
              </w:rPr>
            </w:pPr>
            <w:r>
              <w:rPr>
                <w:sz w:val="18"/>
                <w:szCs w:val="18"/>
              </w:rPr>
              <w:t>481.00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68.00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131.00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82.00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158.00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216.00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68.00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131.00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82.00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158.00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216.00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23.30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80.50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w:t>
      </w:r>
    </w:p>
    <w:p>
      <w:pPr>
        <w:pStyle w:val="yHeading3"/>
      </w:pPr>
      <w:bookmarkStart w:id="184" w:name="_Toc239746327"/>
      <w:bookmarkStart w:id="185" w:name="_Toc239759650"/>
      <w:bookmarkStart w:id="186" w:name="_Toc268173416"/>
      <w:bookmarkStart w:id="187" w:name="_Toc287428425"/>
      <w:bookmarkStart w:id="188" w:name="_Toc312142996"/>
      <w:bookmarkStart w:id="189" w:name="_Toc312419385"/>
      <w:bookmarkStart w:id="190" w:name="_Toc314494931"/>
      <w:bookmarkStart w:id="191" w:name="_Toc314495172"/>
      <w:bookmarkStart w:id="192" w:name="_Toc316565221"/>
      <w:bookmarkStart w:id="193" w:name="_Toc316566741"/>
      <w:bookmarkStart w:id="194" w:name="_Toc318787011"/>
      <w:bookmarkStart w:id="195" w:name="_Toc318881527"/>
      <w:bookmarkStart w:id="196" w:name="_Toc320605522"/>
      <w:bookmarkStart w:id="197" w:name="_Toc320786579"/>
      <w:bookmarkStart w:id="198" w:name="_Toc321143277"/>
      <w:bookmarkStart w:id="199" w:name="_Toc321210451"/>
      <w:bookmarkStart w:id="200" w:name="_Toc321211980"/>
      <w:bookmarkStart w:id="201" w:name="_Toc341967623"/>
      <w:bookmarkStart w:id="202" w:name="_Toc342313630"/>
      <w:r>
        <w:rPr>
          <w:rStyle w:val="CharSDivNo"/>
        </w:rPr>
        <w:t>Division 3</w:t>
      </w:r>
      <w:r>
        <w:rPr>
          <w:b w:val="0"/>
        </w:rPr>
        <w:t> — </w:t>
      </w:r>
      <w:r>
        <w:rPr>
          <w:rStyle w:val="CharSDivText"/>
        </w:rPr>
        <w:t>Criminal jurisdiction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68.00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12.95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68.00</w:t>
            </w:r>
          </w:p>
          <w:p>
            <w:pPr>
              <w:pStyle w:val="yTableNAm"/>
              <w:jc w:val="center"/>
            </w:pPr>
            <w:r>
              <w:rPr>
                <w:szCs w:val="22"/>
              </w:rPr>
              <w:t>88.00</w:t>
            </w:r>
          </w:p>
        </w:tc>
      </w:tr>
    </w:tbl>
    <w:p>
      <w:pPr>
        <w:pStyle w:val="yFootnotesection"/>
      </w:pPr>
      <w:r>
        <w:tab/>
        <w:t>[Division 3 inserted in Gazette 4 Sep 2009 p. 3478</w:t>
      </w:r>
      <w:r>
        <w:noBreakHyphen/>
        <w:t>9; amended in Gazette 8 Mar 2011 p. 790; 17 Jan 2012 p. 465; 30 Nov 2012 p. 5793.]</w:t>
      </w:r>
    </w:p>
    <w:p>
      <w:pPr>
        <w:sectPr>
          <w:headerReference w:type="even" r:id="rId26"/>
          <w:headerReference w:type="default" r:id="rId27"/>
          <w:endnotePr>
            <w:numFmt w:val="decimal"/>
          </w:endnotePr>
          <w:pgSz w:w="11906" w:h="16838" w:code="9"/>
          <w:pgMar w:top="1809" w:right="2405" w:bottom="3542" w:left="2405" w:header="706" w:footer="3380" w:gutter="0"/>
          <w:cols w:space="720"/>
          <w:noEndnote/>
          <w:docGrid w:linePitch="326"/>
        </w:sectPr>
      </w:pPr>
      <w:bookmarkStart w:id="203" w:name="_Toc239746328"/>
      <w:bookmarkStart w:id="204" w:name="_Toc239759651"/>
      <w:bookmarkStart w:id="205" w:name="_Toc268173417"/>
      <w:bookmarkStart w:id="206" w:name="_Toc287428426"/>
      <w:bookmarkStart w:id="207" w:name="_Toc312142997"/>
      <w:bookmarkStart w:id="208" w:name="_Toc312419386"/>
      <w:bookmarkStart w:id="209" w:name="_Toc314494932"/>
      <w:bookmarkStart w:id="210" w:name="_Toc314495173"/>
      <w:bookmarkStart w:id="211" w:name="_Toc316565222"/>
      <w:bookmarkStart w:id="212" w:name="_Toc316566742"/>
      <w:bookmarkStart w:id="213" w:name="_Toc318787012"/>
    </w:p>
    <w:p>
      <w:pPr>
        <w:pStyle w:val="yScheduleHeading"/>
      </w:pPr>
      <w:bookmarkStart w:id="214" w:name="_Toc318881528"/>
      <w:bookmarkStart w:id="215" w:name="_Toc320605523"/>
      <w:bookmarkStart w:id="216" w:name="_Toc320786580"/>
      <w:bookmarkStart w:id="217" w:name="_Toc321143278"/>
      <w:bookmarkStart w:id="218" w:name="_Toc321210452"/>
      <w:bookmarkStart w:id="219" w:name="_Toc321211981"/>
      <w:bookmarkStart w:id="220" w:name="_Toc341967624"/>
      <w:bookmarkStart w:id="221" w:name="_Toc342313631"/>
      <w:r>
        <w:rPr>
          <w:rStyle w:val="CharSchNo"/>
        </w:rPr>
        <w:t>Schedule 2</w:t>
      </w:r>
      <w:r>
        <w:rPr>
          <w:rStyle w:val="CharSDivNo"/>
        </w:rPr>
        <w:t> </w:t>
      </w:r>
      <w:r>
        <w:t>—</w:t>
      </w:r>
      <w:r>
        <w:rPr>
          <w:rStyle w:val="CharSDivText"/>
        </w:rPr>
        <w:t> </w:t>
      </w:r>
      <w:r>
        <w:rPr>
          <w:rStyle w:val="CharSchText"/>
        </w:rPr>
        <w:t>Forms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 4(6), 8(6), 13(2)]</w:t>
      </w:r>
    </w:p>
    <w:p>
      <w:pPr>
        <w:pStyle w:val="yHeading5"/>
        <w:spacing w:after="120"/>
      </w:pPr>
      <w:bookmarkStart w:id="222" w:name="_Toc96398510"/>
      <w:bookmarkStart w:id="223" w:name="_Toc96417044"/>
      <w:bookmarkStart w:id="224" w:name="_Toc100631336"/>
      <w:bookmarkStart w:id="225" w:name="_Toc102451465"/>
      <w:bookmarkStart w:id="226" w:name="_Toc222114927"/>
      <w:bookmarkStart w:id="227" w:name="_Toc342313632"/>
      <w:r>
        <w:rPr>
          <w:rStyle w:val="CharSClsNo"/>
        </w:rPr>
        <w:t>1</w:t>
      </w:r>
      <w:r>
        <w:t>.</w:t>
      </w:r>
      <w:r>
        <w:tab/>
        <w:t>Declaration that a person is a small business or a non</w:t>
      </w:r>
      <w:r>
        <w:noBreakHyphen/>
        <w:t>profit association</w:t>
      </w:r>
      <w:bookmarkEnd w:id="222"/>
      <w:bookmarkEnd w:id="223"/>
      <w:bookmarkEnd w:id="224"/>
      <w:bookmarkEnd w:id="225"/>
      <w:bookmarkEnd w:id="226"/>
      <w:bookmarkEnd w:id="2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28" w:name="_Toc96398511"/>
      <w:bookmarkStart w:id="229" w:name="_Toc96417045"/>
      <w:bookmarkStart w:id="230" w:name="_Toc100631337"/>
      <w:bookmarkStart w:id="231" w:name="_Toc102451466"/>
      <w:bookmarkStart w:id="232" w:name="_Toc222114928"/>
      <w:bookmarkStart w:id="233" w:name="_Toc342313633"/>
      <w:r>
        <w:rPr>
          <w:rStyle w:val="CharSClsNo"/>
        </w:rPr>
        <w:t>2</w:t>
      </w:r>
      <w:r>
        <w:t>.</w:t>
      </w:r>
      <w:r>
        <w:tab/>
        <w:t>Application to remit fees</w:t>
      </w:r>
      <w:bookmarkEnd w:id="228"/>
      <w:bookmarkEnd w:id="229"/>
      <w:bookmarkEnd w:id="230"/>
      <w:bookmarkEnd w:id="231"/>
      <w:bookmarkEnd w:id="232"/>
      <w:bookmarkEnd w:id="2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34" w:name="_Toc100631338"/>
      <w:bookmarkStart w:id="235" w:name="_Toc102451467"/>
      <w:bookmarkStart w:id="236" w:name="_Toc222114929"/>
      <w:bookmarkStart w:id="237" w:name="_Toc342313634"/>
      <w:r>
        <w:rPr>
          <w:rStyle w:val="CharSClsNo"/>
        </w:rPr>
        <w:t>3</w:t>
      </w:r>
      <w:r>
        <w:t>.</w:t>
      </w:r>
      <w:r>
        <w:tab/>
        <w:t>Application for determination of dispute about fees</w:t>
      </w:r>
      <w:bookmarkEnd w:id="234"/>
      <w:bookmarkEnd w:id="235"/>
      <w:bookmarkEnd w:id="236"/>
      <w:bookmarkEnd w:id="2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1809" w:right="2405" w:bottom="3542" w:left="2405" w:header="706" w:footer="3380" w:gutter="0"/>
          <w:cols w:space="720"/>
          <w:noEndnote/>
          <w:docGrid w:linePitch="326"/>
        </w:sectPr>
      </w:pPr>
    </w:p>
    <w:p>
      <w:pPr>
        <w:pStyle w:val="nHeading2"/>
      </w:pPr>
      <w:bookmarkStart w:id="238" w:name="_Toc102451468"/>
      <w:bookmarkStart w:id="239" w:name="_Toc139104723"/>
      <w:bookmarkStart w:id="240" w:name="_Toc139276721"/>
      <w:bookmarkStart w:id="241" w:name="_Toc171051740"/>
      <w:bookmarkStart w:id="242" w:name="_Toc198631560"/>
      <w:bookmarkStart w:id="243" w:name="_Toc202521840"/>
      <w:bookmarkStart w:id="244" w:name="_Toc203535235"/>
      <w:bookmarkStart w:id="245" w:name="_Toc207168620"/>
      <w:bookmarkStart w:id="246" w:name="_Toc210114996"/>
      <w:bookmarkStart w:id="247" w:name="_Toc210119124"/>
      <w:bookmarkStart w:id="248" w:name="_Toc219794100"/>
      <w:bookmarkStart w:id="249" w:name="_Toc219794297"/>
      <w:bookmarkStart w:id="250" w:name="_Toc222114930"/>
      <w:bookmarkStart w:id="251" w:name="_Toc222212442"/>
      <w:bookmarkStart w:id="252" w:name="_Toc224024227"/>
      <w:bookmarkStart w:id="253" w:name="_Toc224024312"/>
      <w:bookmarkStart w:id="254" w:name="_Toc232310095"/>
      <w:bookmarkStart w:id="255" w:name="_Toc239746332"/>
      <w:bookmarkStart w:id="256" w:name="_Toc239759655"/>
      <w:bookmarkStart w:id="257" w:name="_Toc268173421"/>
      <w:bookmarkStart w:id="258" w:name="_Toc287428430"/>
      <w:bookmarkStart w:id="259" w:name="_Toc312143001"/>
      <w:bookmarkStart w:id="260" w:name="_Toc312419390"/>
      <w:bookmarkStart w:id="261" w:name="_Toc314494936"/>
      <w:bookmarkStart w:id="262" w:name="_Toc314495177"/>
      <w:bookmarkStart w:id="263" w:name="_Toc316565226"/>
      <w:bookmarkStart w:id="264" w:name="_Toc316566746"/>
      <w:bookmarkStart w:id="265" w:name="_Toc318787016"/>
      <w:bookmarkStart w:id="266" w:name="_Toc318881532"/>
      <w:bookmarkStart w:id="267" w:name="_Toc320605527"/>
      <w:bookmarkStart w:id="268" w:name="_Toc320786584"/>
      <w:bookmarkStart w:id="269" w:name="_Toc321143282"/>
      <w:bookmarkStart w:id="270" w:name="_Toc321210456"/>
      <w:bookmarkStart w:id="271" w:name="_Toc321211985"/>
      <w:bookmarkStart w:id="272" w:name="_Toc341967628"/>
      <w:bookmarkStart w:id="273" w:name="_Toc342313635"/>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74" w:name="_Toc342313636"/>
      <w:r>
        <w:t>Compilation table</w:t>
      </w:r>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Jan 2012 (see r. 2(a));</w:t>
            </w:r>
            <w:r>
              <w:rPr>
                <w:rFonts w:ascii="Times" w:hAnsi="Times"/>
                <w:snapToGrid w:val="0"/>
                <w:sz w:val="19"/>
                <w:lang w:val="en-US"/>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lang w:val="en-US"/>
              </w:rPr>
              <w:t>as at 6 Apr 2012</w:t>
            </w:r>
            <w:r>
              <w:rPr>
                <w:rFonts w:ascii="Times" w:hAnsi="Times"/>
                <w:snapToGrid w:val="0"/>
                <w:sz w:val="19"/>
                <w:lang w:val="en-US"/>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Magistrates Court (Fees) Amendment Regulations (No. 3) 2012</w:t>
            </w:r>
          </w:p>
        </w:tc>
        <w:tc>
          <w:tcPr>
            <w:tcW w:w="1276" w:type="dxa"/>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Magistrates Court (Fees) Amendment Regulations 2013</w:t>
            </w:r>
          </w:p>
        </w:tc>
        <w:tc>
          <w:tcPr>
            <w:tcW w:w="1276" w:type="dxa"/>
            <w:tcBorders>
              <w:bottom w:val="single" w:sz="4" w:space="0" w:color="auto"/>
            </w:tcBorders>
          </w:tcPr>
          <w:p>
            <w:pPr>
              <w:pStyle w:val="nTable"/>
              <w:spacing w:after="40"/>
              <w:rPr>
                <w:rFonts w:ascii="Times" w:hAnsi="Times"/>
                <w:sz w:val="19"/>
              </w:rPr>
            </w:pPr>
            <w:r>
              <w:rPr>
                <w:rFonts w:ascii="Times" w:hAnsi="Times"/>
                <w:sz w:val="19"/>
              </w:rPr>
              <w:t>20 Aug 2013 p. 3815-16</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20 Aug 2013 (see r. 2(a));</w:t>
            </w:r>
            <w:r>
              <w:rPr>
                <w:rFonts w:ascii="Times" w:hAnsi="Times"/>
                <w:snapToGrid w:val="0"/>
                <w:sz w:val="19"/>
                <w:lang w:val="en-US"/>
              </w:rPr>
              <w:br/>
              <w:t xml:space="preserve">Regulations other than r. 1 and 2: 21 Aug 2013 (see r. 2(b) and </w:t>
            </w:r>
            <w:r>
              <w:rPr>
                <w:rFonts w:ascii="Times" w:hAnsi="Times"/>
                <w:i/>
                <w:snapToGrid w:val="0"/>
                <w:sz w:val="19"/>
                <w:lang w:val="en-US"/>
              </w:rPr>
              <w:t>Gazette</w:t>
            </w:r>
            <w:r>
              <w:rPr>
                <w:rFonts w:ascii="Times" w:hAnsi="Times"/>
                <w:snapToGrid w:val="0"/>
                <w:sz w:val="19"/>
                <w:lang w:val="en-US"/>
              </w:rPr>
              <w:t xml:space="preserve"> 20 Aug 2013 p. 3815)</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5" w:name="_Toc219794299"/>
      <w:bookmarkStart w:id="276" w:name="_Toc222114932"/>
      <w:bookmarkStart w:id="277" w:name="_Toc222212444"/>
      <w:bookmarkStart w:id="278" w:name="_Toc224024229"/>
      <w:bookmarkStart w:id="279" w:name="_Toc224024314"/>
      <w:bookmarkStart w:id="280" w:name="_Toc232310097"/>
      <w:bookmarkStart w:id="281" w:name="_Toc239746334"/>
      <w:bookmarkStart w:id="282" w:name="_Toc239759657"/>
      <w:bookmarkStart w:id="283" w:name="_Toc268173423"/>
      <w:bookmarkStart w:id="284" w:name="_Toc287428432"/>
      <w:bookmarkStart w:id="285" w:name="_Toc312143003"/>
      <w:bookmarkStart w:id="286" w:name="_Toc312419392"/>
      <w:bookmarkStart w:id="287" w:name="_Toc314494938"/>
      <w:bookmarkStart w:id="288" w:name="_Toc314495179"/>
      <w:bookmarkStart w:id="289" w:name="_Toc316565228"/>
      <w:bookmarkStart w:id="290" w:name="_Toc316566748"/>
      <w:bookmarkStart w:id="291" w:name="_Toc318787018"/>
      <w:bookmarkStart w:id="292" w:name="_Toc318881534"/>
      <w:bookmarkStart w:id="293" w:name="_Toc320605529"/>
      <w:bookmarkStart w:id="294" w:name="_Toc320786586"/>
      <w:bookmarkStart w:id="295" w:name="_Toc321143284"/>
      <w:bookmarkStart w:id="296" w:name="_Toc321210458"/>
      <w:bookmarkStart w:id="297" w:name="_Toc321211987"/>
      <w:bookmarkStart w:id="298" w:name="_Toc341967630"/>
      <w:bookmarkStart w:id="299" w:name="_Toc342313637"/>
      <w:r>
        <w:rPr>
          <w:sz w:val="28"/>
        </w:rPr>
        <w:t>Defined Terms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0" w:name="DefinedTerms"/>
      <w:bookmarkEnd w:id="300"/>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6972</Words>
  <Characters>36398</Characters>
  <Application>Microsoft Office Word</Application>
  <DocSecurity>0</DocSecurity>
  <Lines>1516</Lines>
  <Paragraphs>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2005 - 02-c0-00</dc:title>
  <dc:subject/>
  <dc:creator/>
  <cp:keywords/>
  <dc:description/>
  <cp:lastModifiedBy>svcMRProcess</cp:lastModifiedBy>
  <cp:revision>4</cp:revision>
  <cp:lastPrinted>2012-04-04T08:07:00Z</cp:lastPrinted>
  <dcterms:created xsi:type="dcterms:W3CDTF">2018-09-12T18:43:00Z</dcterms:created>
  <dcterms:modified xsi:type="dcterms:W3CDTF">2018-09-12T18:43:00Z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20130821</vt:lpwstr>
  </property>
  <property fmtid="{D5CDD505-2E9C-101B-9397-08002B2CF9AE}" pid="4" name="OwlsUID">
    <vt:i4>37120</vt:i4>
  </property>
  <property fmtid="{D5CDD505-2E9C-101B-9397-08002B2CF9AE}" pid="5" name="AsAtDate">
    <vt:lpwstr>21 Aug 2013</vt:lpwstr>
  </property>
  <property fmtid="{D5CDD505-2E9C-101B-9397-08002B2CF9AE}" pid="6" name="Suffix">
    <vt:lpwstr>02-c0-00</vt:lpwstr>
  </property>
  <property fmtid="{D5CDD505-2E9C-101B-9397-08002B2CF9AE}" pid="7" name="ReprintNo">
    <vt:lpwstr>2</vt:lpwstr>
  </property>
  <property fmtid="{D5CDD505-2E9C-101B-9397-08002B2CF9AE}" pid="8" name="ReprintedAsAt">
    <vt:filetime>2012-04-05T16:00:00Z</vt:filetime>
  </property>
  <property fmtid="{D5CDD505-2E9C-101B-9397-08002B2CF9AE}" pid="9" name="DocumentType">
    <vt:lpwstr>Reg</vt:lpwstr>
  </property>
</Properties>
</file>