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Disability Services Act 1993</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August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_Toc381873566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_Toc381873567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_Toc381873568 \h </w:instrText>
      </w:r>
      <w:r>
        <w:fldChar w:fldCharType="separate"/>
      </w:r>
      <w:r>
        <w:t>2</w:t>
      </w:r>
      <w:r>
        <w:fldChar w:fldCharType="end"/>
      </w:r>
    </w:p>
    <w:p>
      <w:pPr>
        <w:pStyle w:val="TOC8"/>
        <w:rPr>
          <w:rFonts w:asciiTheme="minorHAnsi" w:eastAsiaTheme="minorEastAsia" w:hAnsiTheme="minorHAnsi" w:cstheme="minorBidi"/>
          <w:szCs w:val="22"/>
        </w:rPr>
      </w:pPr>
      <w:r>
        <w:t>3A.</w:t>
      </w:r>
      <w:r>
        <w:tab/>
        <w:t>Persons who are carers</w:t>
      </w:r>
      <w:r>
        <w:tab/>
      </w:r>
      <w:r>
        <w:fldChar w:fldCharType="begin"/>
      </w:r>
      <w:r>
        <w:instrText xml:space="preserve"> PAGEREF _Toc381873569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Legal proceedings to enforce provision of a service</w:t>
      </w:r>
      <w:r>
        <w:tab/>
      </w:r>
      <w:r>
        <w:fldChar w:fldCharType="begin"/>
      </w:r>
      <w:r>
        <w:instrText xml:space="preserve"> PAGEREF _Toc381873570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_Toc381873571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Disability Services Commission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and personnel</w:t>
      </w:r>
    </w:p>
    <w:p>
      <w:pPr>
        <w:pStyle w:val="TOC8"/>
        <w:rPr>
          <w:rFonts w:asciiTheme="minorHAnsi" w:eastAsiaTheme="minorEastAsia" w:hAnsiTheme="minorHAnsi" w:cstheme="minorBidi"/>
          <w:szCs w:val="22"/>
        </w:rPr>
      </w:pPr>
      <w:r>
        <w:t>6</w:t>
      </w:r>
      <w:r>
        <w:rPr>
          <w:snapToGrid w:val="0"/>
        </w:rPr>
        <w:t>.</w:t>
      </w:r>
      <w:r>
        <w:rPr>
          <w:snapToGrid w:val="0"/>
        </w:rPr>
        <w:tab/>
        <w:t>Commission a body corporate</w:t>
      </w:r>
      <w:r>
        <w:tab/>
      </w:r>
      <w:r>
        <w:fldChar w:fldCharType="begin"/>
      </w:r>
      <w:r>
        <w:instrText xml:space="preserve"> PAGEREF _Toc381873574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of Commission</w:t>
      </w:r>
      <w:r>
        <w:tab/>
      </w:r>
      <w:r>
        <w:fldChar w:fldCharType="begin"/>
      </w:r>
      <w:r>
        <w:instrText xml:space="preserve"> PAGEREF _Toc381873575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Chief executive officer</w:t>
      </w:r>
      <w:r>
        <w:tab/>
      </w:r>
      <w:r>
        <w:fldChar w:fldCharType="begin"/>
      </w:r>
      <w:r>
        <w:instrText xml:space="preserve"> PAGEREF _Toc381873576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Other personnel</w:t>
      </w:r>
      <w:r>
        <w:tab/>
      </w:r>
      <w:r>
        <w:fldChar w:fldCharType="begin"/>
      </w:r>
      <w:r>
        <w:instrText xml:space="preserve"> PAGEREF _Toc381873577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Use of other government staff and facilities</w:t>
      </w:r>
      <w:r>
        <w:tab/>
      </w:r>
      <w:r>
        <w:fldChar w:fldCharType="begin"/>
      </w:r>
      <w:r>
        <w:instrText xml:space="preserve"> PAGEREF _Toc381873578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Superannuation and leave entitlements</w:t>
      </w:r>
      <w:r>
        <w:tab/>
      </w:r>
      <w:r>
        <w:fldChar w:fldCharType="begin"/>
      </w:r>
      <w:r>
        <w:instrText xml:space="preserve"> PAGEREF _Toc381873579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_Toc381873581 \h </w:instrText>
      </w:r>
      <w:r>
        <w:fldChar w:fldCharType="separate"/>
      </w:r>
      <w:r>
        <w:t>9</w:t>
      </w:r>
      <w:r>
        <w:fldChar w:fldCharType="end"/>
      </w:r>
    </w:p>
    <w:p>
      <w:pPr>
        <w:pStyle w:val="TOC8"/>
        <w:rPr>
          <w:rFonts w:asciiTheme="minorHAnsi" w:eastAsiaTheme="minorEastAsia" w:hAnsiTheme="minorHAnsi" w:cstheme="minorBidi"/>
          <w:szCs w:val="22"/>
        </w:rPr>
      </w:pPr>
      <w:r>
        <w:t>12A.</w:t>
      </w:r>
      <w:r>
        <w:tab/>
        <w:t>Contracts to provide goods or services to Commission</w:t>
      </w:r>
      <w:r>
        <w:tab/>
      </w:r>
      <w:r>
        <w:fldChar w:fldCharType="begin"/>
      </w:r>
      <w:r>
        <w:instrText xml:space="preserve"> PAGEREF _Toc381873582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fix fees and charges</w:t>
      </w:r>
      <w:r>
        <w:tab/>
      </w:r>
      <w:r>
        <w:fldChar w:fldCharType="begin"/>
      </w:r>
      <w:r>
        <w:instrText xml:space="preserve"> PAGEREF _Toc381873583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Delegation</w:t>
      </w:r>
      <w:r>
        <w:tab/>
      </w:r>
      <w:r>
        <w:fldChar w:fldCharType="begin"/>
      </w:r>
      <w:r>
        <w:instrText xml:space="preserve"> PAGEREF _Toc381873584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15</w:t>
      </w:r>
      <w:r>
        <w:rPr>
          <w:snapToGrid w:val="0"/>
        </w:rPr>
        <w:t>.</w:t>
      </w:r>
      <w:r>
        <w:rPr>
          <w:snapToGrid w:val="0"/>
        </w:rPr>
        <w:tab/>
        <w:t>Funds of Commission</w:t>
      </w:r>
      <w:r>
        <w:tab/>
      </w:r>
      <w:r>
        <w:fldChar w:fldCharType="begin"/>
      </w:r>
      <w:r>
        <w:instrText xml:space="preserve"> PAGEREF _Toc381873586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Borrowing from Treasurer</w:t>
      </w:r>
      <w:r>
        <w:tab/>
      </w:r>
      <w:r>
        <w:fldChar w:fldCharType="begin"/>
      </w:r>
      <w:r>
        <w:instrText xml:space="preserve"> PAGEREF _Toc381873587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Borrowing generally</w:t>
      </w:r>
      <w:r>
        <w:tab/>
      </w:r>
      <w:r>
        <w:fldChar w:fldCharType="begin"/>
      </w:r>
      <w:r>
        <w:instrText xml:space="preserve"> PAGEREF _Toc381873588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Treasurer’s guarantee</w:t>
      </w:r>
      <w:r>
        <w:tab/>
      </w:r>
      <w:r>
        <w:fldChar w:fldCharType="begin"/>
      </w:r>
      <w:r>
        <w:instrText xml:space="preserve"> PAGEREF _Toc381873589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_Toc381873590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Relationship with the Minister</w:t>
      </w:r>
    </w:p>
    <w:p>
      <w:pPr>
        <w:pStyle w:val="TOC8"/>
        <w:rPr>
          <w:rFonts w:asciiTheme="minorHAnsi" w:eastAsiaTheme="minorEastAsia" w:hAnsiTheme="minorHAnsi" w:cstheme="minorBidi"/>
          <w:szCs w:val="22"/>
        </w:rPr>
      </w:pPr>
      <w:r>
        <w:t>20</w:t>
      </w:r>
      <w:r>
        <w:rPr>
          <w:snapToGrid w:val="0"/>
        </w:rPr>
        <w:t>.</w:t>
      </w:r>
      <w:r>
        <w:rPr>
          <w:snapToGrid w:val="0"/>
        </w:rPr>
        <w:tab/>
        <w:t>Minister may give directions</w:t>
      </w:r>
      <w:r>
        <w:tab/>
      </w:r>
      <w:r>
        <w:fldChar w:fldCharType="begin"/>
      </w:r>
      <w:r>
        <w:instrText xml:space="preserve"> PAGEREF _Toc381873592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Minister to have access to information</w:t>
      </w:r>
      <w:r>
        <w:tab/>
      </w:r>
      <w:r>
        <w:fldChar w:fldCharType="begin"/>
      </w:r>
      <w:r>
        <w:instrText xml:space="preserve"> PAGEREF _Toc381873593 \h </w:instrText>
      </w:r>
      <w:r>
        <w:fldChar w:fldCharType="separate"/>
      </w:r>
      <w:r>
        <w:t>15</w:t>
      </w:r>
      <w:r>
        <w:fldChar w:fldCharType="end"/>
      </w:r>
    </w:p>
    <w:p>
      <w:pPr>
        <w:pStyle w:val="TOC8"/>
        <w:rPr>
          <w:rFonts w:asciiTheme="minorHAnsi" w:eastAsiaTheme="minorEastAsia" w:hAnsiTheme="minorHAnsi" w:cstheme="minorBidi"/>
          <w:szCs w:val="22"/>
        </w:rPr>
      </w:pPr>
      <w:r>
        <w:t>21A.</w:t>
      </w:r>
      <w:r>
        <w:tab/>
        <w:t>Notification of general policies of Government</w:t>
      </w:r>
      <w:r>
        <w:tab/>
      </w:r>
      <w:r>
        <w:fldChar w:fldCharType="begin"/>
      </w:r>
      <w:r>
        <w:instrText xml:space="preserve"> PAGEREF _Toc381873594 \h </w:instrText>
      </w:r>
      <w:r>
        <w:fldChar w:fldCharType="separate"/>
      </w:r>
      <w:r>
        <w:t>16</w:t>
      </w:r>
      <w:r>
        <w:fldChar w:fldCharType="end"/>
      </w:r>
    </w:p>
    <w:p>
      <w:pPr>
        <w:pStyle w:val="TOC8"/>
        <w:rPr>
          <w:rFonts w:asciiTheme="minorHAnsi" w:eastAsiaTheme="minorEastAsia" w:hAnsiTheme="minorHAnsi" w:cstheme="minorBidi"/>
          <w:szCs w:val="22"/>
        </w:rPr>
      </w:pPr>
      <w:r>
        <w:t>21B.</w:t>
      </w:r>
      <w:r>
        <w:tab/>
        <w:t>Minister to be consulted on major initiatives</w:t>
      </w:r>
      <w:r>
        <w:tab/>
      </w:r>
      <w:r>
        <w:fldChar w:fldCharType="begin"/>
      </w:r>
      <w:r>
        <w:instrText xml:space="preserve"> PAGEREF _Toc381873595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Ministerial Advisory Council on Disability</w:t>
      </w:r>
    </w:p>
    <w:p>
      <w:pPr>
        <w:pStyle w:val="TOC8"/>
        <w:rPr>
          <w:rFonts w:asciiTheme="minorHAnsi" w:eastAsiaTheme="minorEastAsia" w:hAnsiTheme="minorHAnsi" w:cstheme="minorBidi"/>
          <w:szCs w:val="22"/>
        </w:rPr>
      </w:pPr>
      <w:r>
        <w:t>22.</w:t>
      </w:r>
      <w:r>
        <w:tab/>
        <w:t>Council established</w:t>
      </w:r>
      <w:r>
        <w:tab/>
      </w:r>
      <w:r>
        <w:fldChar w:fldCharType="begin"/>
      </w:r>
      <w:r>
        <w:instrText xml:space="preserve"> PAGEREF _Toc381873597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Council’s functions</w:t>
      </w:r>
      <w:r>
        <w:tab/>
      </w:r>
      <w:r>
        <w:fldChar w:fldCharType="begin"/>
      </w:r>
      <w:r>
        <w:instrText xml:space="preserve"> PAGEREF _Toc381873598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4 — Financial assistance for matters relating to people with disability</w:t>
      </w:r>
    </w:p>
    <w:p>
      <w:pPr>
        <w:pStyle w:val="TOC8"/>
        <w:rPr>
          <w:rFonts w:asciiTheme="minorHAnsi" w:eastAsiaTheme="minorEastAsia" w:hAnsiTheme="minorHAnsi" w:cstheme="minorBidi"/>
          <w:szCs w:val="22"/>
        </w:rPr>
      </w:pPr>
      <w:r>
        <w:t>24</w:t>
      </w:r>
      <w:r>
        <w:rPr>
          <w:snapToGrid w:val="0"/>
        </w:rPr>
        <w:t>.</w:t>
      </w:r>
      <w:r>
        <w:rPr>
          <w:snapToGrid w:val="0"/>
        </w:rPr>
        <w:tab/>
        <w:t>Grants of financial assistance</w:t>
      </w:r>
      <w:r>
        <w:tab/>
      </w:r>
      <w:r>
        <w:fldChar w:fldCharType="begin"/>
      </w:r>
      <w:r>
        <w:instrText xml:space="preserve"> PAGEREF _Toc381873600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Grant to be subject of agreement</w:t>
      </w:r>
      <w:r>
        <w:tab/>
      </w:r>
      <w:r>
        <w:fldChar w:fldCharType="begin"/>
      </w:r>
      <w:r>
        <w:instrText xml:space="preserve"> PAGEREF _Toc381873601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Minister may review Commission’s decisions</w:t>
      </w:r>
      <w:r>
        <w:tab/>
      </w:r>
      <w:r>
        <w:fldChar w:fldCharType="begin"/>
      </w:r>
      <w:r>
        <w:instrText xml:space="preserve"> PAGEREF _Toc381873602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4A — Contracts to provide some disability services</w:t>
      </w:r>
    </w:p>
    <w:p>
      <w:pPr>
        <w:pStyle w:val="TOC8"/>
        <w:rPr>
          <w:rFonts w:asciiTheme="minorHAnsi" w:eastAsiaTheme="minorEastAsia" w:hAnsiTheme="minorHAnsi" w:cstheme="minorBidi"/>
          <w:szCs w:val="22"/>
        </w:rPr>
      </w:pPr>
      <w:r>
        <w:t>26A.</w:t>
      </w:r>
      <w:r>
        <w:tab/>
        <w:t>Terms used</w:t>
      </w:r>
      <w:r>
        <w:tab/>
      </w:r>
      <w:r>
        <w:fldChar w:fldCharType="begin"/>
      </w:r>
      <w:r>
        <w:instrText xml:space="preserve"> PAGEREF _Toc381873604 \h </w:instrText>
      </w:r>
      <w:r>
        <w:fldChar w:fldCharType="separate"/>
      </w:r>
      <w:r>
        <w:t>22</w:t>
      </w:r>
      <w:r>
        <w:fldChar w:fldCharType="end"/>
      </w:r>
    </w:p>
    <w:p>
      <w:pPr>
        <w:pStyle w:val="TOC8"/>
        <w:rPr>
          <w:rFonts w:asciiTheme="minorHAnsi" w:eastAsiaTheme="minorEastAsia" w:hAnsiTheme="minorHAnsi" w:cstheme="minorBidi"/>
          <w:szCs w:val="22"/>
        </w:rPr>
      </w:pPr>
      <w:r>
        <w:t>26B.</w:t>
      </w:r>
      <w:r>
        <w:tab/>
        <w:t>Method of contracting to provide services for people with disability</w:t>
      </w:r>
      <w:r>
        <w:tab/>
      </w:r>
      <w:r>
        <w:fldChar w:fldCharType="begin"/>
      </w:r>
      <w:r>
        <w:instrText xml:space="preserve"> PAGEREF _Toc381873605 \h </w:instrText>
      </w:r>
      <w:r>
        <w:fldChar w:fldCharType="separate"/>
      </w:r>
      <w:r>
        <w:t>22</w:t>
      </w:r>
      <w:r>
        <w:fldChar w:fldCharType="end"/>
      </w:r>
    </w:p>
    <w:p>
      <w:pPr>
        <w:pStyle w:val="TOC8"/>
        <w:rPr>
          <w:rFonts w:asciiTheme="minorHAnsi" w:eastAsiaTheme="minorEastAsia" w:hAnsiTheme="minorHAnsi" w:cstheme="minorBidi"/>
          <w:szCs w:val="22"/>
        </w:rPr>
      </w:pPr>
      <w:r>
        <w:t>26C.</w:t>
      </w:r>
      <w:r>
        <w:tab/>
        <w:t>Assignment of benefit of contract</w:t>
      </w:r>
      <w:r>
        <w:tab/>
      </w:r>
      <w:r>
        <w:fldChar w:fldCharType="begin"/>
      </w:r>
      <w:r>
        <w:instrText xml:space="preserve"> PAGEREF _Toc381873606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Disability access and inclusion plans by public authorities</w:t>
      </w:r>
    </w:p>
    <w:p>
      <w:pPr>
        <w:pStyle w:val="TOC8"/>
        <w:rPr>
          <w:rFonts w:asciiTheme="minorHAnsi" w:eastAsiaTheme="minorEastAsia" w:hAnsiTheme="minorHAnsi" w:cstheme="minorBidi"/>
          <w:szCs w:val="22"/>
        </w:rPr>
      </w:pPr>
      <w:r>
        <w:t>27</w:t>
      </w:r>
      <w:r>
        <w:rPr>
          <w:snapToGrid w:val="0"/>
        </w:rPr>
        <w:t>.</w:t>
      </w:r>
      <w:r>
        <w:rPr>
          <w:snapToGrid w:val="0"/>
        </w:rPr>
        <w:tab/>
        <w:t>Application of Part</w:t>
      </w:r>
      <w:r>
        <w:tab/>
      </w:r>
      <w:r>
        <w:fldChar w:fldCharType="begin"/>
      </w:r>
      <w:r>
        <w:instrText xml:space="preserve"> PAGEREF _Toc381873608 \h </w:instrText>
      </w:r>
      <w:r>
        <w:fldChar w:fldCharType="separate"/>
      </w:r>
      <w:r>
        <w:t>24</w:t>
      </w:r>
      <w:r>
        <w:fldChar w:fldCharType="end"/>
      </w:r>
    </w:p>
    <w:p>
      <w:pPr>
        <w:pStyle w:val="TOC8"/>
        <w:rPr>
          <w:rFonts w:asciiTheme="minorHAnsi" w:eastAsiaTheme="minorEastAsia" w:hAnsiTheme="minorHAnsi" w:cstheme="minorBidi"/>
          <w:szCs w:val="22"/>
        </w:rPr>
      </w:pPr>
      <w:r>
        <w:t>28.</w:t>
      </w:r>
      <w:r>
        <w:tab/>
        <w:t>Disability access and inclusion plans</w:t>
      </w:r>
      <w:r>
        <w:tab/>
      </w:r>
      <w:r>
        <w:fldChar w:fldCharType="begin"/>
      </w:r>
      <w:r>
        <w:instrText xml:space="preserve"> PAGEREF _Toc381873609 \h </w:instrText>
      </w:r>
      <w:r>
        <w:fldChar w:fldCharType="separate"/>
      </w:r>
      <w:r>
        <w:t>24</w:t>
      </w:r>
      <w:r>
        <w:fldChar w:fldCharType="end"/>
      </w:r>
    </w:p>
    <w:p>
      <w:pPr>
        <w:pStyle w:val="TOC8"/>
        <w:rPr>
          <w:rFonts w:asciiTheme="minorHAnsi" w:eastAsiaTheme="minorEastAsia" w:hAnsiTheme="minorHAnsi" w:cstheme="minorBidi"/>
          <w:szCs w:val="22"/>
        </w:rPr>
      </w:pPr>
      <w:r>
        <w:t>29.</w:t>
      </w:r>
      <w:r>
        <w:tab/>
        <w:t>Report about disability access and inclusion plan</w:t>
      </w:r>
      <w:r>
        <w:tab/>
      </w:r>
      <w:r>
        <w:fldChar w:fldCharType="begin"/>
      </w:r>
      <w:r>
        <w:instrText xml:space="preserve"> PAGEREF _Toc381873610 \h </w:instrText>
      </w:r>
      <w:r>
        <w:fldChar w:fldCharType="separate"/>
      </w:r>
      <w:r>
        <w:t>25</w:t>
      </w:r>
      <w:r>
        <w:fldChar w:fldCharType="end"/>
      </w:r>
    </w:p>
    <w:p>
      <w:pPr>
        <w:pStyle w:val="TOC8"/>
        <w:rPr>
          <w:rFonts w:asciiTheme="minorHAnsi" w:eastAsiaTheme="minorEastAsia" w:hAnsiTheme="minorHAnsi" w:cstheme="minorBidi"/>
          <w:szCs w:val="22"/>
        </w:rPr>
      </w:pPr>
      <w:r>
        <w:t>29A.</w:t>
      </w:r>
      <w:r>
        <w:tab/>
        <w:t>Disability access and inclusion plans to be made available</w:t>
      </w:r>
      <w:r>
        <w:tab/>
      </w:r>
      <w:r>
        <w:fldChar w:fldCharType="begin"/>
      </w:r>
      <w:r>
        <w:instrText xml:space="preserve"> PAGEREF _Toc381873611 \h </w:instrText>
      </w:r>
      <w:r>
        <w:fldChar w:fldCharType="separate"/>
      </w:r>
      <w:r>
        <w:t>26</w:t>
      </w:r>
      <w:r>
        <w:fldChar w:fldCharType="end"/>
      </w:r>
    </w:p>
    <w:p>
      <w:pPr>
        <w:pStyle w:val="TOC8"/>
        <w:rPr>
          <w:rFonts w:asciiTheme="minorHAnsi" w:eastAsiaTheme="minorEastAsia" w:hAnsiTheme="minorHAnsi" w:cstheme="minorBidi"/>
          <w:szCs w:val="22"/>
        </w:rPr>
      </w:pPr>
      <w:r>
        <w:t>29B.</w:t>
      </w:r>
      <w:r>
        <w:tab/>
        <w:t>Public authorities to ensure implementation of disability access and inclusion plan</w:t>
      </w:r>
      <w:r>
        <w:tab/>
      </w:r>
      <w:r>
        <w:fldChar w:fldCharType="begin"/>
      </w:r>
      <w:r>
        <w:instrText xml:space="preserve"> PAGEREF _Toc381873612 \h </w:instrText>
      </w:r>
      <w:r>
        <w:fldChar w:fldCharType="separate"/>
      </w:r>
      <w:r>
        <w:t>26</w:t>
      </w:r>
      <w:r>
        <w:fldChar w:fldCharType="end"/>
      </w:r>
    </w:p>
    <w:p>
      <w:pPr>
        <w:pStyle w:val="TOC8"/>
        <w:rPr>
          <w:rFonts w:asciiTheme="minorHAnsi" w:eastAsiaTheme="minorEastAsia" w:hAnsiTheme="minorHAnsi" w:cstheme="minorBidi"/>
          <w:szCs w:val="22"/>
        </w:rPr>
      </w:pPr>
      <w:r>
        <w:t>29C.</w:t>
      </w:r>
      <w:r>
        <w:tab/>
        <w:t>Annual report by Commission about plans</w:t>
      </w:r>
      <w:r>
        <w:tab/>
      </w:r>
      <w:r>
        <w:fldChar w:fldCharType="begin"/>
      </w:r>
      <w:r>
        <w:instrText xml:space="preserve"> PAGEREF _Toc381873613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6 — Complaints about some disability services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30</w:t>
      </w:r>
      <w:r>
        <w:rPr>
          <w:snapToGrid w:val="0"/>
        </w:rPr>
        <w:t>.</w:t>
      </w:r>
      <w:r>
        <w:rPr>
          <w:snapToGrid w:val="0"/>
        </w:rPr>
        <w:tab/>
        <w:t>Terms used</w:t>
      </w:r>
      <w:r>
        <w:tab/>
      </w:r>
      <w:r>
        <w:fldChar w:fldCharType="begin"/>
      </w:r>
      <w:r>
        <w:instrText xml:space="preserve"> PAGEREF _Toc381873616 \h </w:instrText>
      </w:r>
      <w:r>
        <w:fldChar w:fldCharType="separate"/>
      </w:r>
      <w:r>
        <w:t>28</w:t>
      </w:r>
      <w:r>
        <w:fldChar w:fldCharType="end"/>
      </w:r>
    </w:p>
    <w:p>
      <w:pPr>
        <w:pStyle w:val="TOC8"/>
        <w:rPr>
          <w:rFonts w:asciiTheme="minorHAnsi" w:eastAsiaTheme="minorEastAsia" w:hAnsiTheme="minorHAnsi" w:cstheme="minorBidi"/>
          <w:szCs w:val="22"/>
        </w:rPr>
      </w:pPr>
      <w:r>
        <w:t>30AA.</w:t>
      </w:r>
      <w:r>
        <w:tab/>
        <w:t xml:space="preserve">This Part to be read with </w:t>
      </w:r>
      <w:r>
        <w:rPr>
          <w:i/>
          <w:iCs/>
        </w:rPr>
        <w:t>Health and Disability Services (Complaints) Act 1995</w:t>
      </w:r>
      <w:r>
        <w:tab/>
      </w:r>
      <w:r>
        <w:fldChar w:fldCharType="begin"/>
      </w:r>
      <w:r>
        <w:instrText xml:space="preserve"> PAGEREF _Toc381873617 \h </w:instrText>
      </w:r>
      <w:r>
        <w:fldChar w:fldCharType="separate"/>
      </w:r>
      <w:r>
        <w:t>29</w:t>
      </w:r>
      <w:r>
        <w:fldChar w:fldCharType="end"/>
      </w:r>
    </w:p>
    <w:p>
      <w:pPr>
        <w:pStyle w:val="TOC8"/>
        <w:rPr>
          <w:rFonts w:asciiTheme="minorHAnsi" w:eastAsiaTheme="minorEastAsia" w:hAnsiTheme="minorHAnsi" w:cstheme="minorBidi"/>
          <w:szCs w:val="22"/>
        </w:rPr>
      </w:pPr>
      <w:r>
        <w:t>30A.</w:t>
      </w:r>
      <w:r>
        <w:tab/>
        <w:t>Functions of Director</w:t>
      </w:r>
      <w:r>
        <w:tab/>
      </w:r>
      <w:r>
        <w:fldChar w:fldCharType="begin"/>
      </w:r>
      <w:r>
        <w:instrText xml:space="preserve"> PAGEREF _Toc381873618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Parties themselves may resolve complaint</w:t>
      </w:r>
      <w:r>
        <w:tab/>
      </w:r>
      <w:r>
        <w:fldChar w:fldCharType="begin"/>
      </w:r>
      <w:r>
        <w:instrText xml:space="preserve"> PAGEREF _Toc381873619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Complaints and conciliation</w:t>
      </w:r>
    </w:p>
    <w:p>
      <w:pPr>
        <w:pStyle w:val="TOC8"/>
        <w:rPr>
          <w:rFonts w:asciiTheme="minorHAnsi" w:eastAsiaTheme="minorEastAsia" w:hAnsiTheme="minorHAnsi" w:cstheme="minorBidi"/>
          <w:szCs w:val="22"/>
        </w:rPr>
      </w:pPr>
      <w:r>
        <w:t>32</w:t>
      </w:r>
      <w:r>
        <w:rPr>
          <w:snapToGrid w:val="0"/>
        </w:rPr>
        <w:t>.</w:t>
      </w:r>
      <w:r>
        <w:rPr>
          <w:snapToGrid w:val="0"/>
        </w:rPr>
        <w:tab/>
        <w:t>Who may complain</w:t>
      </w:r>
      <w:r>
        <w:tab/>
      </w:r>
      <w:r>
        <w:fldChar w:fldCharType="begin"/>
      </w:r>
      <w:r>
        <w:instrText xml:space="preserve"> PAGEREF _Toc381873621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 and what can be complained about</w:t>
      </w:r>
      <w:r>
        <w:tab/>
      </w:r>
      <w:r>
        <w:fldChar w:fldCharType="begin"/>
      </w:r>
      <w:r>
        <w:instrText xml:space="preserve"> PAGEREF _Toc381873622 \h </w:instrText>
      </w:r>
      <w:r>
        <w:fldChar w:fldCharType="separate"/>
      </w:r>
      <w:r>
        <w:t>32</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Health services complaints</w:t>
      </w:r>
      <w:r>
        <w:tab/>
      </w:r>
      <w:r>
        <w:fldChar w:fldCharType="begin"/>
      </w:r>
      <w:r>
        <w:instrText xml:space="preserve"> PAGEREF _Toc381873623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Time for complaining</w:t>
      </w:r>
      <w:r>
        <w:tab/>
      </w:r>
      <w:r>
        <w:fldChar w:fldCharType="begin"/>
      </w:r>
      <w:r>
        <w:instrText xml:space="preserve"> PAGEREF _Toc381873624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to complain</w:t>
      </w:r>
      <w:r>
        <w:tab/>
      </w:r>
      <w:r>
        <w:fldChar w:fldCharType="begin"/>
      </w:r>
      <w:r>
        <w:instrText xml:space="preserve"> PAGEREF _Toc381873625 \h </w:instrText>
      </w:r>
      <w:r>
        <w:fldChar w:fldCharType="separate"/>
      </w:r>
      <w:r>
        <w:t>34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Withdrawal of complaint</w:t>
      </w:r>
      <w:r>
        <w:tab/>
      </w:r>
      <w:r>
        <w:fldChar w:fldCharType="begin"/>
      </w:r>
      <w:r>
        <w:instrText xml:space="preserve"> PAGEREF _Toc381873626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Preliminary decision by Director</w:t>
      </w:r>
      <w:r>
        <w:tab/>
      </w:r>
      <w:r>
        <w:fldChar w:fldCharType="begin"/>
      </w:r>
      <w:r>
        <w:instrText xml:space="preserve"> PAGEREF _Toc381873627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Rejection, deferral or referral of complaints</w:t>
      </w:r>
      <w:r>
        <w:tab/>
      </w:r>
      <w:r>
        <w:fldChar w:fldCharType="begin"/>
      </w:r>
      <w:r>
        <w:instrText xml:space="preserve"> PAGEREF _Toc381873628 \h </w:instrText>
      </w:r>
      <w:r>
        <w:fldChar w:fldCharType="separate"/>
      </w:r>
      <w:r>
        <w:t>37</w:t>
      </w:r>
      <w:r>
        <w:fldChar w:fldCharType="end"/>
      </w:r>
    </w:p>
    <w:p>
      <w:pPr>
        <w:pStyle w:val="TOC8"/>
        <w:rPr>
          <w:rFonts w:asciiTheme="minorHAnsi" w:eastAsiaTheme="minorEastAsia" w:hAnsiTheme="minorHAnsi" w:cstheme="minorBidi"/>
          <w:szCs w:val="22"/>
        </w:rPr>
      </w:pPr>
      <w:r>
        <w:t>39A.</w:t>
      </w:r>
      <w:r>
        <w:tab/>
        <w:t>Response by respondent</w:t>
      </w:r>
      <w:r>
        <w:tab/>
      </w:r>
      <w:r>
        <w:fldChar w:fldCharType="begin"/>
      </w:r>
      <w:r>
        <w:instrText xml:space="preserve"> PAGEREF _Toc381873629 \h </w:instrText>
      </w:r>
      <w:r>
        <w:fldChar w:fldCharType="separate"/>
      </w:r>
      <w:r>
        <w:t>38</w:t>
      </w:r>
      <w:r>
        <w:fldChar w:fldCharType="end"/>
      </w:r>
    </w:p>
    <w:p>
      <w:pPr>
        <w:pStyle w:val="TOC8"/>
        <w:rPr>
          <w:rFonts w:asciiTheme="minorHAnsi" w:eastAsiaTheme="minorEastAsia" w:hAnsiTheme="minorHAnsi" w:cstheme="minorBidi"/>
          <w:szCs w:val="22"/>
        </w:rPr>
      </w:pPr>
      <w:r>
        <w:t>39B.</w:t>
      </w:r>
      <w:r>
        <w:tab/>
        <w:t>Resolving complaints by negotiation</w:t>
      </w:r>
      <w:r>
        <w:tab/>
      </w:r>
      <w:r>
        <w:fldChar w:fldCharType="begin"/>
      </w:r>
      <w:r>
        <w:instrText xml:space="preserve"> PAGEREF _Toc381873630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Conciliation of complaints</w:t>
      </w:r>
      <w:r>
        <w:tab/>
      </w:r>
      <w:r>
        <w:fldChar w:fldCharType="begin"/>
      </w:r>
      <w:r>
        <w:instrText xml:space="preserve"> PAGEREF _Toc381873631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Investigations</w:t>
      </w:r>
    </w:p>
    <w:p>
      <w:pPr>
        <w:pStyle w:val="TOC8"/>
        <w:rPr>
          <w:rFonts w:asciiTheme="minorHAnsi" w:eastAsiaTheme="minorEastAsia" w:hAnsiTheme="minorHAnsi" w:cstheme="minorBidi"/>
          <w:szCs w:val="22"/>
        </w:rPr>
      </w:pPr>
      <w:r>
        <w:t>40</w:t>
      </w:r>
      <w:r>
        <w:rPr>
          <w:snapToGrid w:val="0"/>
        </w:rPr>
        <w:t>.</w:t>
      </w:r>
      <w:r>
        <w:rPr>
          <w:snapToGrid w:val="0"/>
        </w:rPr>
        <w:tab/>
        <w:t>Investigation of complaints and referred matters</w:t>
      </w:r>
      <w:r>
        <w:tab/>
      </w:r>
      <w:r>
        <w:fldChar w:fldCharType="begin"/>
      </w:r>
      <w:r>
        <w:instrText xml:space="preserve"> PAGEREF _Toc381873633 \h </w:instrText>
      </w:r>
      <w:r>
        <w:fldChar w:fldCharType="separate"/>
      </w:r>
      <w:r>
        <w:t>41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Director’s powers on investigation</w:t>
      </w:r>
      <w:r>
        <w:tab/>
      </w:r>
      <w:r>
        <w:fldChar w:fldCharType="begin"/>
      </w:r>
      <w:r>
        <w:instrText xml:space="preserve"> PAGEREF _Toc381873634 \h </w:instrText>
      </w:r>
      <w:r>
        <w:fldChar w:fldCharType="separate"/>
      </w:r>
      <w:r>
        <w:t>42</w:t>
      </w:r>
      <w:r>
        <w:fldChar w:fldCharType="end"/>
      </w:r>
    </w:p>
    <w:p>
      <w:pPr>
        <w:pStyle w:val="TOC8"/>
        <w:rPr>
          <w:rFonts w:asciiTheme="minorHAnsi" w:eastAsiaTheme="minorEastAsia" w:hAnsiTheme="minorHAnsi" w:cstheme="minorBidi"/>
          <w:szCs w:val="22"/>
        </w:rPr>
      </w:pPr>
      <w:r>
        <w:t>42A.</w:t>
      </w:r>
      <w:r>
        <w:tab/>
        <w:t>Conciliator must not investigate</w:t>
      </w:r>
      <w:r>
        <w:tab/>
      </w:r>
      <w:r>
        <w:fldChar w:fldCharType="begin"/>
      </w:r>
      <w:r>
        <w:instrText xml:space="preserve"> PAGEREF _Toc381873635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Consequences of investigation</w:t>
      </w:r>
    </w:p>
    <w:p>
      <w:pPr>
        <w:pStyle w:val="TOC8"/>
        <w:rPr>
          <w:rFonts w:asciiTheme="minorHAnsi" w:eastAsiaTheme="minorEastAsia" w:hAnsiTheme="minorHAnsi" w:cstheme="minorBidi"/>
          <w:szCs w:val="22"/>
        </w:rPr>
      </w:pPr>
      <w:r>
        <w:t>42.</w:t>
      </w:r>
      <w:r>
        <w:tab/>
        <w:t>Director to decide, give reasons etc.</w:t>
      </w:r>
      <w:r>
        <w:tab/>
      </w:r>
      <w:r>
        <w:fldChar w:fldCharType="begin"/>
      </w:r>
      <w:r>
        <w:instrText xml:space="preserve"> PAGEREF _Toc381873637 \h </w:instrText>
      </w:r>
      <w:r>
        <w:fldChar w:fldCharType="separate"/>
      </w:r>
      <w:r>
        <w:t>44</w:t>
      </w:r>
      <w:r>
        <w:fldChar w:fldCharType="end"/>
      </w:r>
    </w:p>
    <w:p>
      <w:pPr>
        <w:pStyle w:val="TOC8"/>
        <w:rPr>
          <w:rFonts w:asciiTheme="minorHAnsi" w:eastAsiaTheme="minorEastAsia" w:hAnsiTheme="minorHAnsi" w:cstheme="minorBidi"/>
          <w:szCs w:val="22"/>
        </w:rPr>
      </w:pPr>
      <w:r>
        <w:t>43A.</w:t>
      </w:r>
      <w:r>
        <w:tab/>
        <w:t>Warrants</w:t>
      </w:r>
      <w:r>
        <w:tab/>
      </w:r>
      <w:r>
        <w:fldChar w:fldCharType="begin"/>
      </w:r>
      <w:r>
        <w:instrText xml:space="preserve"> PAGEREF _Toc381873638 \h </w:instrText>
      </w:r>
      <w:r>
        <w:fldChar w:fldCharType="separate"/>
      </w:r>
      <w:r>
        <w:t>45</w:t>
      </w:r>
      <w:r>
        <w:fldChar w:fldCharType="end"/>
      </w:r>
    </w:p>
    <w:p>
      <w:pPr>
        <w:pStyle w:val="TOC8"/>
        <w:rPr>
          <w:rFonts w:asciiTheme="minorHAnsi" w:eastAsiaTheme="minorEastAsia" w:hAnsiTheme="minorHAnsi" w:cstheme="minorBidi"/>
          <w:szCs w:val="22"/>
        </w:rPr>
      </w:pPr>
      <w:r>
        <w:t>43B.</w:t>
      </w:r>
      <w:r>
        <w:tab/>
        <w:t>Reports to Parliament</w:t>
      </w:r>
      <w:r>
        <w:tab/>
      </w:r>
      <w:r>
        <w:fldChar w:fldCharType="begin"/>
      </w:r>
      <w:r>
        <w:instrText xml:space="preserve"> PAGEREF _Toc381873639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Respondent to report on remedial action</w:t>
      </w:r>
      <w:r>
        <w:tab/>
      </w:r>
      <w:r>
        <w:fldChar w:fldCharType="begin"/>
      </w:r>
      <w:r>
        <w:instrText xml:space="preserve"> PAGEREF _Toc381873640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to Parliament where report not made or remedial action not taken</w:t>
      </w:r>
      <w:r>
        <w:tab/>
      </w:r>
      <w:r>
        <w:fldChar w:fldCharType="begin"/>
      </w:r>
      <w:r>
        <w:instrText xml:space="preserve"> PAGEREF _Toc381873641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4A — Director’s relationship with the Minister</w:t>
      </w:r>
    </w:p>
    <w:p>
      <w:pPr>
        <w:pStyle w:val="TOC8"/>
        <w:rPr>
          <w:rFonts w:asciiTheme="minorHAnsi" w:eastAsiaTheme="minorEastAsia" w:hAnsiTheme="minorHAnsi" w:cstheme="minorBidi"/>
          <w:szCs w:val="22"/>
        </w:rPr>
      </w:pPr>
      <w:r>
        <w:t>44A.</w:t>
      </w:r>
      <w:r>
        <w:tab/>
        <w:t>Minister may give directions</w:t>
      </w:r>
      <w:r>
        <w:tab/>
      </w:r>
      <w:r>
        <w:fldChar w:fldCharType="begin"/>
      </w:r>
      <w:r>
        <w:instrText xml:space="preserve"> PAGEREF _Toc381873643 \h </w:instrText>
      </w:r>
      <w:r>
        <w:fldChar w:fldCharType="separate"/>
      </w:r>
      <w:r>
        <w:t>47</w:t>
      </w:r>
      <w:r>
        <w:fldChar w:fldCharType="end"/>
      </w:r>
    </w:p>
    <w:p>
      <w:pPr>
        <w:pStyle w:val="TOC8"/>
        <w:rPr>
          <w:rFonts w:asciiTheme="minorHAnsi" w:eastAsiaTheme="minorEastAsia" w:hAnsiTheme="minorHAnsi" w:cstheme="minorBidi"/>
          <w:szCs w:val="22"/>
        </w:rPr>
      </w:pPr>
      <w:r>
        <w:t>44B.</w:t>
      </w:r>
      <w:r>
        <w:tab/>
        <w:t>Minister to have access to information</w:t>
      </w:r>
      <w:r>
        <w:tab/>
      </w:r>
      <w:r>
        <w:fldChar w:fldCharType="begin"/>
      </w:r>
      <w:r>
        <w:instrText xml:space="preserve"> PAGEREF _Toc381873644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45</w:t>
      </w:r>
      <w:r>
        <w:rPr>
          <w:snapToGrid w:val="0"/>
        </w:rPr>
        <w:t>.</w:t>
      </w:r>
      <w:r>
        <w:rPr>
          <w:snapToGrid w:val="0"/>
        </w:rPr>
        <w:tab/>
        <w:t>Proceedings to stop if court action etc.</w:t>
      </w:r>
      <w:r>
        <w:tab/>
      </w:r>
      <w:r>
        <w:fldChar w:fldCharType="begin"/>
      </w:r>
      <w:r>
        <w:instrText xml:space="preserve"> PAGEREF _Toc381873646 \h </w:instrText>
      </w:r>
      <w:r>
        <w:fldChar w:fldCharType="separate"/>
      </w:r>
      <w:r>
        <w:t>49</w:t>
      </w:r>
      <w:r>
        <w:fldChar w:fldCharType="end"/>
      </w:r>
    </w:p>
    <w:p>
      <w:pPr>
        <w:pStyle w:val="TOC8"/>
        <w:rPr>
          <w:rFonts w:asciiTheme="minorHAnsi" w:eastAsiaTheme="minorEastAsia" w:hAnsiTheme="minorHAnsi" w:cstheme="minorBidi"/>
          <w:szCs w:val="22"/>
        </w:rPr>
      </w:pPr>
      <w:r>
        <w:t>46.</w:t>
      </w:r>
      <w:r>
        <w:tab/>
        <w:t>Minister may refer matters for investigation</w:t>
      </w:r>
      <w:r>
        <w:tab/>
      </w:r>
      <w:r>
        <w:fldChar w:fldCharType="begin"/>
      </w:r>
      <w:r>
        <w:instrText xml:space="preserve"> PAGEREF _Toc381873647 \h </w:instrText>
      </w:r>
      <w:r>
        <w:fldChar w:fldCharType="separate"/>
      </w:r>
      <w:r>
        <w:t>50</w:t>
      </w:r>
      <w:r>
        <w:fldChar w:fldCharType="end"/>
      </w:r>
    </w:p>
    <w:p>
      <w:pPr>
        <w:pStyle w:val="TOC8"/>
        <w:rPr>
          <w:rFonts w:asciiTheme="minorHAnsi" w:eastAsiaTheme="minorEastAsia" w:hAnsiTheme="minorHAnsi" w:cstheme="minorBidi"/>
          <w:szCs w:val="22"/>
        </w:rPr>
      </w:pPr>
      <w:r>
        <w:t>46A.</w:t>
      </w:r>
      <w:r>
        <w:tab/>
        <w:t>Investigation at the request of Parliament</w:t>
      </w:r>
      <w:r>
        <w:tab/>
      </w:r>
      <w:r>
        <w:fldChar w:fldCharType="begin"/>
      </w:r>
      <w:r>
        <w:instrText xml:space="preserve"> PAGEREF _Toc381873648 \h </w:instrText>
      </w:r>
      <w:r>
        <w:fldChar w:fldCharType="separate"/>
      </w:r>
      <w:r>
        <w:t>50</w:t>
      </w:r>
      <w:r>
        <w:fldChar w:fldCharType="end"/>
      </w:r>
    </w:p>
    <w:p>
      <w:pPr>
        <w:pStyle w:val="TOC8"/>
        <w:rPr>
          <w:rFonts w:asciiTheme="minorHAnsi" w:eastAsiaTheme="minorEastAsia" w:hAnsiTheme="minorHAnsi" w:cstheme="minorBidi"/>
          <w:szCs w:val="22"/>
        </w:rPr>
      </w:pPr>
      <w:r>
        <w:t>46B.</w:t>
      </w:r>
      <w:r>
        <w:tab/>
        <w:t>False or misleading statements</w:t>
      </w:r>
      <w:r>
        <w:tab/>
      </w:r>
      <w:r>
        <w:fldChar w:fldCharType="begin"/>
      </w:r>
      <w:r>
        <w:instrText xml:space="preserve"> PAGEREF _Toc381873649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Person not to be penalised because of complaining</w:t>
      </w:r>
      <w:r>
        <w:tab/>
      </w:r>
      <w:r>
        <w:fldChar w:fldCharType="begin"/>
      </w:r>
      <w:r>
        <w:instrText xml:space="preserve"> PAGEREF _Toc381873650 \h </w:instrText>
      </w:r>
      <w:r>
        <w:fldChar w:fldCharType="separate"/>
      </w:r>
      <w:r>
        <w:t>51</w:t>
      </w:r>
      <w:r>
        <w:fldChar w:fldCharType="end"/>
      </w:r>
    </w:p>
    <w:p>
      <w:pPr>
        <w:pStyle w:val="TOC8"/>
        <w:rPr>
          <w:rFonts w:asciiTheme="minorHAnsi" w:eastAsiaTheme="minorEastAsia" w:hAnsiTheme="minorHAnsi" w:cstheme="minorBidi"/>
          <w:szCs w:val="22"/>
        </w:rPr>
      </w:pPr>
      <w:r>
        <w:t>48A.</w:t>
      </w:r>
      <w:r>
        <w:tab/>
        <w:t>Prescribed service provider must give certain information</w:t>
      </w:r>
      <w:r>
        <w:tab/>
      </w:r>
      <w:r>
        <w:fldChar w:fldCharType="begin"/>
      </w:r>
      <w:r>
        <w:instrText xml:space="preserve"> PAGEREF _Toc381873651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Registers of complaints</w:t>
      </w:r>
      <w:r>
        <w:tab/>
      </w:r>
      <w:r>
        <w:fldChar w:fldCharType="begin"/>
      </w:r>
      <w:r>
        <w:instrText xml:space="preserve"> PAGEREF _Toc381873652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Delegation</w:t>
      </w:r>
      <w:r>
        <w:tab/>
      </w:r>
      <w:r>
        <w:fldChar w:fldCharType="begin"/>
      </w:r>
      <w:r>
        <w:instrText xml:space="preserve"> PAGEREF _Toc381873653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Confidentiality</w:t>
      </w:r>
      <w:r>
        <w:tab/>
      </w:r>
      <w:r>
        <w:fldChar w:fldCharType="begin"/>
      </w:r>
      <w:r>
        <w:instrText xml:space="preserve"> PAGEREF _Toc381873654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Protection</w:t>
      </w:r>
      <w:r>
        <w:tab/>
      </w:r>
      <w:r>
        <w:fldChar w:fldCharType="begin"/>
      </w:r>
      <w:r>
        <w:instrText xml:space="preserve"> PAGEREF _Toc381873656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Confidentiality</w:t>
      </w:r>
      <w:r>
        <w:tab/>
      </w:r>
      <w:r>
        <w:fldChar w:fldCharType="begin"/>
      </w:r>
      <w:r>
        <w:instrText xml:space="preserve"> PAGEREF _Toc381873657 \h </w:instrText>
      </w:r>
      <w:r>
        <w:fldChar w:fldCharType="separate"/>
      </w:r>
      <w:r>
        <w:t>54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 of ill</w:t>
      </w:r>
      <w:r>
        <w:rPr>
          <w:snapToGrid w:val="0"/>
        </w:rPr>
        <w:noBreakHyphen/>
        <w:t>treatment</w:t>
      </w:r>
      <w:r>
        <w:tab/>
      </w:r>
      <w:r>
        <w:fldChar w:fldCharType="begin"/>
      </w:r>
      <w:r>
        <w:instrText xml:space="preserve"> PAGEREF _Toc381873658 \h </w:instrText>
      </w:r>
      <w:r>
        <w:fldChar w:fldCharType="separate"/>
      </w:r>
      <w:r>
        <w:t>55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Prosecution of offences</w:t>
      </w:r>
      <w:r>
        <w:tab/>
      </w:r>
      <w:r>
        <w:fldChar w:fldCharType="begin"/>
      </w:r>
      <w:r>
        <w:instrText xml:space="preserve"> PAGEREF _Toc381873659 \h </w:instrText>
      </w:r>
      <w:r>
        <w:fldChar w:fldCharType="separate"/>
      </w:r>
      <w:r>
        <w:t>56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Parliamentary Commissioner may conduct investigation</w:t>
      </w:r>
      <w:r>
        <w:tab/>
      </w:r>
      <w:r>
        <w:fldChar w:fldCharType="begin"/>
      </w:r>
      <w:r>
        <w:instrText xml:space="preserve"> PAGEREF _Toc381873660 \h </w:instrText>
      </w:r>
      <w:r>
        <w:fldChar w:fldCharType="separate"/>
      </w:r>
      <w:r>
        <w:t>56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_Toc381873661 \h </w:instrText>
      </w:r>
      <w:r>
        <w:fldChar w:fldCharType="separate"/>
      </w:r>
      <w:r>
        <w:t>56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_Toc381873662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Schedule 1 — Principles applicable to people with disability</w:t>
      </w:r>
    </w:p>
    <w:p>
      <w:pPr>
        <w:pStyle w:val="TOC2"/>
        <w:tabs>
          <w:tab w:val="right" w:leader="dot" w:pos="7086"/>
        </w:tabs>
        <w:rPr>
          <w:rFonts w:asciiTheme="minorHAnsi" w:eastAsiaTheme="minorEastAsia" w:hAnsiTheme="minorHAnsi" w:cstheme="minorBidi"/>
          <w:b w:val="0"/>
          <w:sz w:val="22"/>
          <w:szCs w:val="22"/>
        </w:rPr>
      </w:pPr>
      <w:r>
        <w:t>Schedule 2 — Objectives for services and programmes</w:t>
      </w:r>
    </w:p>
    <w:p>
      <w:pPr>
        <w:pStyle w:val="TOC2"/>
        <w:tabs>
          <w:tab w:val="right" w:leader="dot" w:pos="7086"/>
        </w:tabs>
        <w:rPr>
          <w:rFonts w:asciiTheme="minorHAnsi" w:eastAsiaTheme="minorEastAsia" w:hAnsiTheme="minorHAnsi" w:cstheme="minorBidi"/>
          <w:b w:val="0"/>
          <w:sz w:val="22"/>
          <w:szCs w:val="22"/>
        </w:rPr>
      </w:pPr>
      <w:r>
        <w:t>Schedule 3 — Provisions applicable to the Board of the Commission</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_Toc381873666 \h </w:instrText>
      </w:r>
      <w:r>
        <w:fldChar w:fldCharType="separate"/>
      </w:r>
      <w:r>
        <w:t>63</w:t>
      </w:r>
      <w:r>
        <w:fldChar w:fldCharType="end"/>
      </w:r>
    </w:p>
    <w:p>
      <w:pPr>
        <w:pStyle w:val="TOC8"/>
        <w:rPr>
          <w:rFonts w:asciiTheme="minorHAnsi" w:eastAsiaTheme="minorEastAsia" w:hAnsiTheme="minorHAnsi" w:cstheme="minorBidi"/>
          <w:szCs w:val="22"/>
        </w:rPr>
      </w:pPr>
      <w:r>
        <w:t>2.</w:t>
      </w:r>
      <w:r>
        <w:tab/>
        <w:t>Chairperson</w:t>
      </w:r>
      <w:r>
        <w:tab/>
      </w:r>
      <w:r>
        <w:fldChar w:fldCharType="begin"/>
      </w:r>
      <w:r>
        <w:instrText xml:space="preserve"> PAGEREF _Toc381873667 \h </w:instrText>
      </w:r>
      <w:r>
        <w:fldChar w:fldCharType="separate"/>
      </w:r>
      <w:r>
        <w:t>64</w:t>
      </w:r>
      <w:r>
        <w:fldChar w:fldCharType="end"/>
      </w:r>
    </w:p>
    <w:p>
      <w:pPr>
        <w:pStyle w:val="TOC8"/>
        <w:rPr>
          <w:rFonts w:asciiTheme="minorHAnsi" w:eastAsiaTheme="minorEastAsia" w:hAnsiTheme="minorHAnsi" w:cstheme="minorBidi"/>
          <w:szCs w:val="22"/>
        </w:rPr>
      </w:pPr>
      <w:r>
        <w:t>3.</w:t>
      </w:r>
      <w:r>
        <w:tab/>
        <w:t>Meetings</w:t>
      </w:r>
      <w:r>
        <w:tab/>
      </w:r>
      <w:r>
        <w:fldChar w:fldCharType="begin"/>
      </w:r>
      <w:r>
        <w:instrText xml:space="preserve"> PAGEREF _Toc381873668 \h </w:instrText>
      </w:r>
      <w:r>
        <w:fldChar w:fldCharType="separate"/>
      </w:r>
      <w:r>
        <w:t>64</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_Toc381873669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Schedule 4 — Provisions applicable to the Commission’s personnel</w:t>
      </w:r>
    </w:p>
    <w:p>
      <w:pPr>
        <w:pStyle w:val="TOC8"/>
        <w:rPr>
          <w:rFonts w:asciiTheme="minorHAnsi" w:eastAsiaTheme="minorEastAsia" w:hAnsiTheme="minorHAnsi" w:cstheme="minorBidi"/>
          <w:szCs w:val="22"/>
        </w:rPr>
      </w:pPr>
      <w:r>
        <w:t>1.</w:t>
      </w:r>
      <w:r>
        <w:tab/>
        <w:t>Superannuation</w:t>
      </w:r>
      <w:r>
        <w:tab/>
      </w:r>
      <w:r>
        <w:fldChar w:fldCharType="begin"/>
      </w:r>
      <w:r>
        <w:instrText xml:space="preserve"> PAGEREF _Toc381873671 \h </w:instrText>
      </w:r>
      <w:r>
        <w:fldChar w:fldCharType="separate"/>
      </w:r>
      <w:r>
        <w:t>65</w:t>
      </w:r>
      <w:r>
        <w:fldChar w:fldCharType="end"/>
      </w:r>
    </w:p>
    <w:p>
      <w:pPr>
        <w:pStyle w:val="TOC8"/>
        <w:rPr>
          <w:rFonts w:asciiTheme="minorHAnsi" w:eastAsiaTheme="minorEastAsia" w:hAnsiTheme="minorHAnsi" w:cstheme="minorBidi"/>
          <w:szCs w:val="22"/>
        </w:rPr>
      </w:pPr>
      <w:r>
        <w:t>2.</w:t>
      </w:r>
      <w:r>
        <w:tab/>
        <w:t>Saving of leave entitlements</w:t>
      </w:r>
      <w:r>
        <w:tab/>
      </w:r>
      <w:r>
        <w:fldChar w:fldCharType="begin"/>
      </w:r>
      <w:r>
        <w:instrText xml:space="preserve"> PAGEREF _Toc381873672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Schedule 5 — Provisions applicable to the Ministerial Advisory Council on Disability</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_Toc381873674 \h </w:instrText>
      </w:r>
      <w:r>
        <w:fldChar w:fldCharType="separate"/>
      </w:r>
      <w:r>
        <w:t>66</w:t>
      </w:r>
      <w:r>
        <w:fldChar w:fldCharType="end"/>
      </w:r>
    </w:p>
    <w:p>
      <w:pPr>
        <w:pStyle w:val="TOC8"/>
        <w:rPr>
          <w:rFonts w:asciiTheme="minorHAnsi" w:eastAsiaTheme="minorEastAsia" w:hAnsiTheme="minorHAnsi" w:cstheme="minorBidi"/>
          <w:szCs w:val="22"/>
        </w:rPr>
      </w:pPr>
      <w:r>
        <w:t>2.</w:t>
      </w:r>
      <w:r>
        <w:tab/>
        <w:t>Chairperson</w:t>
      </w:r>
      <w:r>
        <w:tab/>
      </w:r>
      <w:r>
        <w:fldChar w:fldCharType="begin"/>
      </w:r>
      <w:r>
        <w:instrText xml:space="preserve"> PAGEREF _Toc381873675 \h </w:instrText>
      </w:r>
      <w:r>
        <w:fldChar w:fldCharType="separate"/>
      </w:r>
      <w:r>
        <w:t>67</w:t>
      </w:r>
      <w:r>
        <w:fldChar w:fldCharType="end"/>
      </w:r>
    </w:p>
    <w:p>
      <w:pPr>
        <w:pStyle w:val="TOC8"/>
        <w:rPr>
          <w:rFonts w:asciiTheme="minorHAnsi" w:eastAsiaTheme="minorEastAsia" w:hAnsiTheme="minorHAnsi" w:cstheme="minorBidi"/>
          <w:szCs w:val="22"/>
        </w:rPr>
      </w:pPr>
      <w:r>
        <w:t>3.</w:t>
      </w:r>
      <w:r>
        <w:tab/>
        <w:t>Meetings</w:t>
      </w:r>
      <w:r>
        <w:tab/>
      </w:r>
      <w:r>
        <w:fldChar w:fldCharType="begin"/>
      </w:r>
      <w:r>
        <w:instrText xml:space="preserve"> PAGEREF _Toc381873676 \h </w:instrText>
      </w:r>
      <w:r>
        <w:fldChar w:fldCharType="separate"/>
      </w:r>
      <w:r>
        <w:t>67</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_Toc381873677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_Toc381873679 \h </w:instrText>
      </w:r>
      <w:r>
        <w:fldChar w:fldCharType="separate"/>
      </w:r>
      <w:r>
        <w:t>68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_Toc381873680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August 2013</w:t>
            </w:r>
          </w:p>
        </w:tc>
      </w:tr>
    </w:tbl>
    <w:p>
      <w:pPr>
        <w:pStyle w:val="WA"/>
        <w:spacing w:before="120"/>
      </w:pPr>
      <w:r>
        <w:t>Western Australia</w:t>
      </w:r>
    </w:p>
    <w:p>
      <w:pPr>
        <w:pStyle w:val="NameofActReg"/>
        <w:spacing w:after="840"/>
      </w:pPr>
      <w:r>
        <w:t xml:space="preserve">Disability Services Act 1993 </w:t>
      </w:r>
    </w:p>
    <w:p>
      <w:pPr>
        <w:pStyle w:val="LongTitle"/>
        <w:spacing w:before="240"/>
        <w:rPr>
          <w:snapToGrid w:val="0"/>
        </w:rPr>
      </w:pPr>
      <w:r>
        <w:rPr>
          <w:snapToGrid w:val="0"/>
        </w:rPr>
        <w:t xml:space="preserve">An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pPr>
        <w:pStyle w:val="Footnotelongtitle"/>
      </w:pPr>
      <w:r>
        <w:tab/>
        <w:t>[Long title amended by No. 44 of 1999 s. 4; No. 57 of 2004 s. 4; No. 40 of 2012 s. 24.]</w:t>
      </w:r>
    </w:p>
    <w:p>
      <w:pPr>
        <w:pStyle w:val="Heading2"/>
      </w:pPr>
      <w:bookmarkStart w:id="1" w:name="_Toc381872831"/>
      <w:bookmarkStart w:id="2" w:name="_Toc381873565"/>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8187356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 w:name="_Toc38187356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 w:name="_Toc381873568"/>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disability, whether by carers or others; or</w:t>
      </w:r>
    </w:p>
    <w:p>
      <w:pPr>
        <w:pStyle w:val="Defpara"/>
      </w:pPr>
      <w:r>
        <w:tab/>
        <w:t>(b)</w:t>
      </w:r>
      <w:r>
        <w:tab/>
        <w:t>a service provided specifically for carers;</w:t>
      </w:r>
    </w:p>
    <w:p>
      <w:pPr>
        <w:pStyle w:val="Defstart"/>
      </w:pPr>
      <w:r>
        <w:tab/>
      </w:r>
      <w:r>
        <w:rPr>
          <w:rStyle w:val="CharDefText"/>
        </w:rPr>
        <w:t>Disability Services Standards</w:t>
      </w:r>
      <w:r>
        <w:t xml:space="preserve"> are those standards prescribed in accordance with section 12(1)(i);</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 or</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 or</w:t>
      </w:r>
    </w:p>
    <w:p>
      <w:pPr>
        <w:pStyle w:val="Defpara"/>
      </w:pPr>
      <w:r>
        <w:tab/>
        <w:t>(b)</w:t>
      </w:r>
      <w:r>
        <w:tab/>
        <w:t>researches the provision of disability services other than disability services provided by carers; or</w:t>
      </w:r>
    </w:p>
    <w:p>
      <w:pPr>
        <w:pStyle w:val="Defpara"/>
      </w:pPr>
      <w:r>
        <w:tab/>
        <w:t>(c)</w:t>
      </w:r>
      <w:r>
        <w:tab/>
        <w:t>plans for the provision of disability services other than disability services provided by carers; or</w:t>
      </w:r>
    </w:p>
    <w:p>
      <w:pPr>
        <w:pStyle w:val="Defpara"/>
      </w:pPr>
      <w:r>
        <w:tab/>
        <w:t>(d)</w:t>
      </w:r>
      <w:r>
        <w:tab/>
        <w:t>develops proposals for the provision of disability services other than disability services provided by carers; or</w:t>
      </w:r>
    </w:p>
    <w:p>
      <w:pPr>
        <w:pStyle w:val="Defpara"/>
      </w:pPr>
      <w:r>
        <w:tab/>
        <w:t>(e)</w:t>
      </w:r>
      <w:r>
        <w:tab/>
        <w:t>initiates the provision of disability services other than disability services provided by carers; or</w:t>
      </w:r>
    </w:p>
    <w:p>
      <w:pPr>
        <w:pStyle w:val="Defpara"/>
      </w:pPr>
      <w:r>
        <w:tab/>
        <w:t>(f)</w:t>
      </w:r>
      <w:r>
        <w:tab/>
        <w:t>develops or implements training programmes for people who provide disability services other than disability services provided by carers; or</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32; No. 40 of 2012 s. 4 and 24.]</w:t>
      </w:r>
    </w:p>
    <w:p>
      <w:pPr>
        <w:pStyle w:val="Heading5"/>
      </w:pPr>
      <w:bookmarkStart w:id="6" w:name="_Toc381873569"/>
      <w:r>
        <w:rPr>
          <w:rStyle w:val="CharSectno"/>
        </w:rPr>
        <w:t>3A</w:t>
      </w:r>
      <w:r>
        <w:t>.</w:t>
      </w:r>
      <w:r>
        <w:tab/>
        <w:t>Persons who are carers</w:t>
      </w:r>
      <w:bookmarkEnd w:id="6"/>
    </w:p>
    <w:p>
      <w:pPr>
        <w:pStyle w:val="Subsection"/>
      </w:pPr>
      <w:r>
        <w:tab/>
        <w:t>(1)</w:t>
      </w:r>
      <w:r>
        <w:tab/>
        <w:t>Except as provided in subsection (2), a person is a carer for the purposes of this Act if he or she is an individual who provides ongoing care or assistance to a person with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keepNext/>
      </w:pPr>
      <w:r>
        <w:tab/>
        <w:t>(3)</w:t>
      </w:r>
      <w:r>
        <w:tab/>
        <w:t>A person is not a carer for the purposes of this Act only because —</w:t>
      </w:r>
    </w:p>
    <w:p>
      <w:pPr>
        <w:pStyle w:val="Indenta"/>
      </w:pPr>
      <w:r>
        <w:tab/>
        <w:t>(a)</w:t>
      </w:r>
      <w:r>
        <w:tab/>
        <w:t>the person is a spouse, de facto partner, parent or guardian of a person with disability; or</w:t>
      </w:r>
    </w:p>
    <w:p>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33; No. 40 of 2012 s. 24.]</w:t>
      </w:r>
    </w:p>
    <w:p>
      <w:pPr>
        <w:pStyle w:val="Heading5"/>
        <w:rPr>
          <w:snapToGrid w:val="0"/>
        </w:rPr>
      </w:pPr>
      <w:bookmarkStart w:id="7" w:name="_Toc381873570"/>
      <w:r>
        <w:rPr>
          <w:rStyle w:val="CharSectno"/>
        </w:rPr>
        <w:t>4</w:t>
      </w:r>
      <w:r>
        <w:rPr>
          <w:snapToGrid w:val="0"/>
        </w:rPr>
        <w:t>.</w:t>
      </w:r>
      <w:r>
        <w:rPr>
          <w:snapToGrid w:val="0"/>
        </w:rPr>
        <w:tab/>
        <w:t>Legal proceedings to enforce provision of a service</w:t>
      </w:r>
      <w:bookmarkEnd w:id="7"/>
      <w:r>
        <w:rPr>
          <w:snapToGrid w:val="0"/>
        </w:rPr>
        <w:t xml:space="preserve"> </w:t>
      </w:r>
    </w:p>
    <w:p>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Footnotesection"/>
      </w:pPr>
      <w:r>
        <w:tab/>
        <w:t>[Section 4 amended by No. 40 of 2012 s. 24.]</w:t>
      </w:r>
    </w:p>
    <w:p>
      <w:pPr>
        <w:pStyle w:val="Heading5"/>
        <w:rPr>
          <w:snapToGrid w:val="0"/>
        </w:rPr>
      </w:pPr>
      <w:bookmarkStart w:id="8" w:name="_Toc381873571"/>
      <w:r>
        <w:rPr>
          <w:rStyle w:val="CharSectno"/>
        </w:rPr>
        <w:t>5</w:t>
      </w:r>
      <w:r>
        <w:rPr>
          <w:snapToGrid w:val="0"/>
        </w:rPr>
        <w:t>.</w:t>
      </w:r>
      <w:r>
        <w:rPr>
          <w:snapToGrid w:val="0"/>
        </w:rPr>
        <w:tab/>
        <w:t>Crown bound</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9" w:name="_Toc381872838"/>
      <w:bookmarkStart w:id="10" w:name="_Toc381873572"/>
      <w:r>
        <w:rPr>
          <w:rStyle w:val="CharPartNo"/>
        </w:rPr>
        <w:t>Part 2</w:t>
      </w:r>
      <w:r>
        <w:t> — </w:t>
      </w:r>
      <w:r>
        <w:rPr>
          <w:rStyle w:val="CharPartText"/>
        </w:rPr>
        <w:t>Disability Services Commission</w:t>
      </w:r>
      <w:bookmarkEnd w:id="9"/>
      <w:bookmarkEnd w:id="10"/>
      <w:r>
        <w:rPr>
          <w:rStyle w:val="CharPartText"/>
        </w:rPr>
        <w:t xml:space="preserve"> </w:t>
      </w:r>
    </w:p>
    <w:p>
      <w:pPr>
        <w:pStyle w:val="Heading3"/>
        <w:rPr>
          <w:snapToGrid w:val="0"/>
        </w:rPr>
      </w:pPr>
      <w:bookmarkStart w:id="11" w:name="_Toc381872839"/>
      <w:bookmarkStart w:id="12" w:name="_Toc381873573"/>
      <w:r>
        <w:rPr>
          <w:rStyle w:val="CharDivNo"/>
        </w:rPr>
        <w:t>Division 1</w:t>
      </w:r>
      <w:r>
        <w:rPr>
          <w:snapToGrid w:val="0"/>
        </w:rPr>
        <w:t> — </w:t>
      </w:r>
      <w:r>
        <w:rPr>
          <w:rStyle w:val="CharDivText"/>
        </w:rPr>
        <w:t>Establishment and personnel</w:t>
      </w:r>
      <w:bookmarkEnd w:id="11"/>
      <w:bookmarkEnd w:id="12"/>
      <w:r>
        <w:rPr>
          <w:rStyle w:val="CharDivText"/>
        </w:rPr>
        <w:t xml:space="preserve"> </w:t>
      </w:r>
    </w:p>
    <w:p>
      <w:pPr>
        <w:pStyle w:val="Heading5"/>
        <w:rPr>
          <w:snapToGrid w:val="0"/>
        </w:rPr>
      </w:pPr>
      <w:bookmarkStart w:id="13" w:name="_Toc381873574"/>
      <w:r>
        <w:rPr>
          <w:rStyle w:val="CharSectno"/>
        </w:rPr>
        <w:t>6</w:t>
      </w:r>
      <w:r>
        <w:rPr>
          <w:snapToGrid w:val="0"/>
        </w:rPr>
        <w:t>.</w:t>
      </w:r>
      <w:r>
        <w:rPr>
          <w:snapToGrid w:val="0"/>
        </w:rPr>
        <w:tab/>
        <w:t>Commission a body corporate</w:t>
      </w:r>
      <w:bookmarkEnd w:id="13"/>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4" w:name="_Toc381873575"/>
      <w:r>
        <w:rPr>
          <w:rStyle w:val="CharSectno"/>
        </w:rPr>
        <w:t>7</w:t>
      </w:r>
      <w:r>
        <w:rPr>
          <w:snapToGrid w:val="0"/>
        </w:rPr>
        <w:t>.</w:t>
      </w:r>
      <w:r>
        <w:rPr>
          <w:snapToGrid w:val="0"/>
        </w:rPr>
        <w:tab/>
        <w:t>Board of Commission</w:t>
      </w:r>
      <w:bookmarkEnd w:id="14"/>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r>
        <w:t xml:space="preserve"> and</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r>
      <w:r>
        <w:t>disability</w:t>
      </w:r>
      <w:r>
        <w:rPr>
          <w:snapToGrid w:val="0"/>
        </w:rPr>
        <w:t>;</w:t>
      </w:r>
      <w:r>
        <w:t xml:space="preserve"> or</w:t>
      </w:r>
    </w:p>
    <w:p>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pPr>
        <w:pStyle w:val="Indenta"/>
      </w:pPr>
      <w:r>
        <w:tab/>
        <w:t>(e)</w:t>
      </w:r>
      <w:r>
        <w:tab/>
        <w:t>at least 2 of whom have had recent experience in matters relevant to people with disability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pPr>
        <w:pStyle w:val="Subsection"/>
        <w:rPr>
          <w:snapToGrid w:val="0"/>
        </w:rPr>
      </w:pPr>
      <w:r>
        <w:rPr>
          <w:snapToGrid w:val="0"/>
        </w:rPr>
        <w:tab/>
        <w:t>(4)</w:t>
      </w:r>
      <w:r>
        <w:rPr>
          <w:snapToGrid w:val="0"/>
        </w:rPr>
        <w:tab/>
        <w:t>Schedule 3 has effect.</w:t>
      </w:r>
    </w:p>
    <w:p>
      <w:pPr>
        <w:pStyle w:val="Footnotesection"/>
      </w:pPr>
      <w:r>
        <w:tab/>
        <w:t>[Section 7 amended by No. 57 of 2004 s. 7; No. 40 of 2012 s. 5 and 24.]</w:t>
      </w:r>
    </w:p>
    <w:p>
      <w:pPr>
        <w:pStyle w:val="Heading5"/>
        <w:rPr>
          <w:snapToGrid w:val="0"/>
        </w:rPr>
      </w:pPr>
      <w:bookmarkStart w:id="15" w:name="_Toc381873576"/>
      <w:r>
        <w:rPr>
          <w:rStyle w:val="CharSectno"/>
        </w:rPr>
        <w:t>8</w:t>
      </w:r>
      <w:r>
        <w:rPr>
          <w:snapToGrid w:val="0"/>
        </w:rPr>
        <w:t>.</w:t>
      </w:r>
      <w:r>
        <w:rPr>
          <w:snapToGrid w:val="0"/>
        </w:rPr>
        <w:tab/>
        <w:t>Chief executive officer</w:t>
      </w:r>
      <w:bookmarkEnd w:id="15"/>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6" w:name="_Toc381873577"/>
      <w:r>
        <w:rPr>
          <w:rStyle w:val="CharSectno"/>
        </w:rPr>
        <w:t>9</w:t>
      </w:r>
      <w:r>
        <w:rPr>
          <w:snapToGrid w:val="0"/>
        </w:rPr>
        <w:t>.</w:t>
      </w:r>
      <w:r>
        <w:rPr>
          <w:snapToGrid w:val="0"/>
        </w:rPr>
        <w:tab/>
        <w:t>Other personnel</w:t>
      </w:r>
      <w:bookmarkEnd w:id="16"/>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7" w:name="_Toc381873578"/>
      <w:r>
        <w:rPr>
          <w:rStyle w:val="CharSectno"/>
        </w:rPr>
        <w:t>10</w:t>
      </w:r>
      <w:r>
        <w:rPr>
          <w:snapToGrid w:val="0"/>
        </w:rPr>
        <w:t>.</w:t>
      </w:r>
      <w:r>
        <w:rPr>
          <w:snapToGrid w:val="0"/>
        </w:rPr>
        <w:tab/>
        <w:t>Use of other government staff and facilities</w:t>
      </w:r>
      <w:bookmarkEnd w:id="17"/>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8" w:name="_Toc381873579"/>
      <w:r>
        <w:rPr>
          <w:rStyle w:val="CharSectno"/>
        </w:rPr>
        <w:t>11</w:t>
      </w:r>
      <w:r>
        <w:rPr>
          <w:snapToGrid w:val="0"/>
        </w:rPr>
        <w:t>.</w:t>
      </w:r>
      <w:r>
        <w:rPr>
          <w:snapToGrid w:val="0"/>
        </w:rPr>
        <w:tab/>
        <w:t>Superannuation and leave entitlements</w:t>
      </w:r>
      <w:bookmarkEnd w:id="18"/>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9" w:name="_Toc381872846"/>
      <w:bookmarkStart w:id="20" w:name="_Toc381873580"/>
      <w:r>
        <w:rPr>
          <w:rStyle w:val="CharDivNo"/>
        </w:rPr>
        <w:t>Division 2</w:t>
      </w:r>
      <w:r>
        <w:rPr>
          <w:snapToGrid w:val="0"/>
        </w:rPr>
        <w:t> — </w:t>
      </w:r>
      <w:r>
        <w:rPr>
          <w:rStyle w:val="CharDivText"/>
        </w:rPr>
        <w:t>Functions</w:t>
      </w:r>
      <w:bookmarkEnd w:id="19"/>
      <w:bookmarkEnd w:id="20"/>
      <w:r>
        <w:rPr>
          <w:rStyle w:val="CharDivText"/>
        </w:rPr>
        <w:t xml:space="preserve"> </w:t>
      </w:r>
    </w:p>
    <w:p>
      <w:pPr>
        <w:pStyle w:val="Heading5"/>
        <w:rPr>
          <w:snapToGrid w:val="0"/>
        </w:rPr>
      </w:pPr>
      <w:bookmarkStart w:id="21" w:name="_Toc381873581"/>
      <w:r>
        <w:rPr>
          <w:rStyle w:val="CharSectno"/>
        </w:rPr>
        <w:t>12</w:t>
      </w:r>
      <w:r>
        <w:rPr>
          <w:snapToGrid w:val="0"/>
        </w:rPr>
        <w:t>.</w:t>
      </w:r>
      <w:r>
        <w:rPr>
          <w:snapToGrid w:val="0"/>
        </w:rPr>
        <w:tab/>
        <w:t>Functions of Commission</w:t>
      </w:r>
      <w:bookmarkEnd w:id="21"/>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pPr>
        <w:pStyle w:val="Indenta"/>
        <w:rPr>
          <w:snapToGrid w:val="0"/>
        </w:rPr>
      </w:pPr>
      <w:r>
        <w:rPr>
          <w:snapToGrid w:val="0"/>
        </w:rPr>
        <w:tab/>
        <w:t>(b)</w:t>
      </w:r>
      <w:r>
        <w:rPr>
          <w:snapToGrid w:val="0"/>
        </w:rPr>
        <w:tab/>
        <w:t>to develop policies for the provision</w:t>
      </w:r>
      <w:r>
        <w:t>, encouragement and facilitation of disability services; and</w:t>
      </w:r>
    </w:p>
    <w:p>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pPr>
        <w:pStyle w:val="Indenta"/>
        <w:rPr>
          <w:snapToGrid w:val="0"/>
        </w:rPr>
      </w:pPr>
      <w:r>
        <w:rPr>
          <w:snapToGrid w:val="0"/>
        </w:rPr>
        <w:tab/>
        <w:t>(d)</w:t>
      </w:r>
      <w:r>
        <w:rPr>
          <w:snapToGrid w:val="0"/>
        </w:rPr>
        <w:tab/>
        <w:t>to provide and to encourage and facilitate the provision of</w:t>
      </w:r>
      <w:r>
        <w:t xml:space="preserve"> disability services; and</w:t>
      </w:r>
    </w:p>
    <w:p>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pPr>
        <w:pStyle w:val="Indenta"/>
      </w:pPr>
      <w:r>
        <w:tab/>
        <w:t>(i)</w:t>
      </w:r>
      <w:r>
        <w:tab/>
        <w:t>to adopt Disability Services Standards as prescribed, and with such modification as is prescribed, and ensure that those standards are met by service providers; and</w:t>
      </w:r>
    </w:p>
    <w:p>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 No. 40 of 2012 s. 6 and 24.]</w:t>
      </w:r>
    </w:p>
    <w:p>
      <w:pPr>
        <w:pStyle w:val="Heading5"/>
      </w:pPr>
      <w:bookmarkStart w:id="22" w:name="_Toc381873582"/>
      <w:r>
        <w:rPr>
          <w:rStyle w:val="CharSectno"/>
        </w:rPr>
        <w:t>12A</w:t>
      </w:r>
      <w:r>
        <w:t>.</w:t>
      </w:r>
      <w:r>
        <w:tab/>
        <w:t>Contracts to provide goods or services to Commission</w:t>
      </w:r>
      <w:bookmarkEnd w:id="22"/>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3" w:name="_Toc381873583"/>
      <w:r>
        <w:rPr>
          <w:rStyle w:val="CharSectno"/>
        </w:rPr>
        <w:t>13</w:t>
      </w:r>
      <w:r>
        <w:rPr>
          <w:snapToGrid w:val="0"/>
        </w:rPr>
        <w:t>.</w:t>
      </w:r>
      <w:r>
        <w:rPr>
          <w:snapToGrid w:val="0"/>
        </w:rPr>
        <w:tab/>
        <w:t>Power to fix fees and charges</w:t>
      </w:r>
      <w:bookmarkEnd w:id="23"/>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4" w:name="_Toc381873584"/>
      <w:r>
        <w:rPr>
          <w:rStyle w:val="CharSectno"/>
        </w:rPr>
        <w:t>14</w:t>
      </w:r>
      <w:r>
        <w:rPr>
          <w:snapToGrid w:val="0"/>
        </w:rPr>
        <w:t>.</w:t>
      </w:r>
      <w:r>
        <w:rPr>
          <w:snapToGrid w:val="0"/>
        </w:rPr>
        <w:tab/>
        <w:t>Delegation</w:t>
      </w:r>
      <w:bookmarkEnd w:id="24"/>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5" w:name="_Toc381872851"/>
      <w:bookmarkStart w:id="26" w:name="_Toc381873585"/>
      <w:r>
        <w:rPr>
          <w:rStyle w:val="CharDivNo"/>
        </w:rPr>
        <w:t>Division 3</w:t>
      </w:r>
      <w:r>
        <w:rPr>
          <w:snapToGrid w:val="0"/>
        </w:rPr>
        <w:t> — </w:t>
      </w:r>
      <w:r>
        <w:rPr>
          <w:rStyle w:val="CharDivText"/>
        </w:rPr>
        <w:t>Financial provisions</w:t>
      </w:r>
      <w:bookmarkEnd w:id="25"/>
      <w:bookmarkEnd w:id="26"/>
      <w:r>
        <w:rPr>
          <w:rStyle w:val="CharDivText"/>
        </w:rPr>
        <w:t xml:space="preserve"> </w:t>
      </w:r>
    </w:p>
    <w:p>
      <w:pPr>
        <w:pStyle w:val="Heading5"/>
        <w:rPr>
          <w:snapToGrid w:val="0"/>
        </w:rPr>
      </w:pPr>
      <w:bookmarkStart w:id="27" w:name="_Toc381873586"/>
      <w:r>
        <w:rPr>
          <w:rStyle w:val="CharSectno"/>
        </w:rPr>
        <w:t>15</w:t>
      </w:r>
      <w:r>
        <w:rPr>
          <w:snapToGrid w:val="0"/>
        </w:rPr>
        <w:t>.</w:t>
      </w:r>
      <w:r>
        <w:rPr>
          <w:snapToGrid w:val="0"/>
        </w:rPr>
        <w:tab/>
        <w:t>Funds of Commission</w:t>
      </w:r>
      <w:bookmarkEnd w:id="27"/>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Commission in the performance of its functions; and</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salaries and wages of the Commission’s personnel; and</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Sch. 1 cl. 45(1).]</w:t>
      </w:r>
    </w:p>
    <w:p>
      <w:pPr>
        <w:pStyle w:val="Heading5"/>
        <w:spacing w:before="240"/>
        <w:rPr>
          <w:snapToGrid w:val="0"/>
        </w:rPr>
      </w:pPr>
      <w:bookmarkStart w:id="28" w:name="_Toc381873587"/>
      <w:r>
        <w:rPr>
          <w:rStyle w:val="CharSectno"/>
        </w:rPr>
        <w:t>16</w:t>
      </w:r>
      <w:r>
        <w:rPr>
          <w:snapToGrid w:val="0"/>
        </w:rPr>
        <w:t>.</w:t>
      </w:r>
      <w:r>
        <w:rPr>
          <w:snapToGrid w:val="0"/>
        </w:rPr>
        <w:tab/>
        <w:t>Borrowing from Treasurer</w:t>
      </w:r>
      <w:bookmarkEnd w:id="28"/>
      <w:r>
        <w:rPr>
          <w:snapToGrid w:val="0"/>
        </w:rPr>
        <w:t xml:space="preserve"> </w:t>
      </w:r>
    </w:p>
    <w:p>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29" w:name="_Toc381873588"/>
      <w:r>
        <w:rPr>
          <w:rStyle w:val="CharSectno"/>
        </w:rPr>
        <w:t>17</w:t>
      </w:r>
      <w:r>
        <w:rPr>
          <w:snapToGrid w:val="0"/>
        </w:rPr>
        <w:t>.</w:t>
      </w:r>
      <w:r>
        <w:rPr>
          <w:snapToGrid w:val="0"/>
        </w:rPr>
        <w:tab/>
        <w:t>Borrowing generally</w:t>
      </w:r>
      <w:bookmarkEnd w:id="29"/>
      <w:r>
        <w:rPr>
          <w:snapToGrid w:val="0"/>
        </w:rPr>
        <w:t xml:space="preserve"> </w:t>
      </w:r>
    </w:p>
    <w:p>
      <w:pPr>
        <w:pStyle w:val="Subsection"/>
        <w:keepNext/>
        <w:keepLines/>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0" w:name="_Toc381873589"/>
      <w:r>
        <w:rPr>
          <w:rStyle w:val="CharSectno"/>
        </w:rPr>
        <w:t>18</w:t>
      </w:r>
      <w:r>
        <w:rPr>
          <w:snapToGrid w:val="0"/>
        </w:rPr>
        <w:t>.</w:t>
      </w:r>
      <w:r>
        <w:rPr>
          <w:snapToGrid w:val="0"/>
        </w:rPr>
        <w:tab/>
        <w:t>Treasurer’s guarantee</w:t>
      </w:r>
      <w:bookmarkEnd w:id="3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1" w:name="_Toc381873590"/>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Sch. 1 cl. 45(2).]</w:t>
      </w:r>
    </w:p>
    <w:p>
      <w:pPr>
        <w:pStyle w:val="Heading3"/>
        <w:rPr>
          <w:snapToGrid w:val="0"/>
        </w:rPr>
      </w:pPr>
      <w:bookmarkStart w:id="32" w:name="_Toc381872857"/>
      <w:bookmarkStart w:id="33" w:name="_Toc381873591"/>
      <w:r>
        <w:rPr>
          <w:rStyle w:val="CharDivNo"/>
        </w:rPr>
        <w:t>Division 4</w:t>
      </w:r>
      <w:r>
        <w:rPr>
          <w:snapToGrid w:val="0"/>
        </w:rPr>
        <w:t> — </w:t>
      </w:r>
      <w:r>
        <w:rPr>
          <w:rStyle w:val="CharDivText"/>
        </w:rPr>
        <w:t>Relationship with the Minister</w:t>
      </w:r>
      <w:bookmarkEnd w:id="32"/>
      <w:bookmarkEnd w:id="33"/>
      <w:r>
        <w:rPr>
          <w:rStyle w:val="CharDivText"/>
        </w:rPr>
        <w:t xml:space="preserve"> </w:t>
      </w:r>
    </w:p>
    <w:p>
      <w:pPr>
        <w:pStyle w:val="Heading5"/>
        <w:rPr>
          <w:snapToGrid w:val="0"/>
        </w:rPr>
      </w:pPr>
      <w:bookmarkStart w:id="34" w:name="_Toc381873592"/>
      <w:r>
        <w:rPr>
          <w:rStyle w:val="CharSectno"/>
        </w:rPr>
        <w:t>20</w:t>
      </w:r>
      <w:r>
        <w:rPr>
          <w:snapToGrid w:val="0"/>
        </w:rPr>
        <w:t>.</w:t>
      </w:r>
      <w:r>
        <w:rPr>
          <w:snapToGrid w:val="0"/>
        </w:rPr>
        <w:tab/>
        <w:t>Minister may give directions</w:t>
      </w:r>
      <w:bookmarkEnd w:id="3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Sch. 1 cl. 45(3).]</w:t>
      </w:r>
    </w:p>
    <w:p>
      <w:pPr>
        <w:pStyle w:val="Heading5"/>
        <w:rPr>
          <w:snapToGrid w:val="0"/>
        </w:rPr>
      </w:pPr>
      <w:bookmarkStart w:id="35" w:name="_Toc381873593"/>
      <w:r>
        <w:rPr>
          <w:rStyle w:val="CharSectno"/>
        </w:rPr>
        <w:t>21</w:t>
      </w:r>
      <w:r>
        <w:rPr>
          <w:snapToGrid w:val="0"/>
        </w:rPr>
        <w:t>.</w:t>
      </w:r>
      <w:r>
        <w:rPr>
          <w:snapToGrid w:val="0"/>
        </w:rPr>
        <w:tab/>
        <w:t>Minister to have access to information</w:t>
      </w:r>
      <w:bookmarkEnd w:id="3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 amended by No. 40 of 2012 s. 24.]</w:t>
      </w:r>
    </w:p>
    <w:p>
      <w:pPr>
        <w:pStyle w:val="Heading5"/>
      </w:pPr>
      <w:bookmarkStart w:id="36" w:name="_Toc381873594"/>
      <w:r>
        <w:rPr>
          <w:rStyle w:val="CharSectno"/>
        </w:rPr>
        <w:t>21A</w:t>
      </w:r>
      <w:r>
        <w:t>.</w:t>
      </w:r>
      <w:r>
        <w:tab/>
      </w:r>
      <w:r>
        <w:rPr>
          <w:rStyle w:val="CharSectno"/>
        </w:rPr>
        <w:t>Notification of general policies of Government</w:t>
      </w:r>
      <w:bookmarkEnd w:id="36"/>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7" w:name="_Toc381873595"/>
      <w:r>
        <w:rPr>
          <w:rStyle w:val="CharSectno"/>
        </w:rPr>
        <w:t>21B</w:t>
      </w:r>
      <w:r>
        <w:t>.</w:t>
      </w:r>
      <w:r>
        <w:tab/>
        <w:t>Minister to be consulted on major initiatives</w:t>
      </w:r>
      <w:bookmarkEnd w:id="37"/>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disability, service developers, service providers or carers.</w:t>
      </w:r>
    </w:p>
    <w:p>
      <w:pPr>
        <w:pStyle w:val="Footnotesection"/>
      </w:pPr>
      <w:r>
        <w:tab/>
        <w:t>[Section 21B inserted by No. 44 of 1999 s. 9; amended by No. 57 of 2004 s. 9; No. 40 of 2012 s. 24.]</w:t>
      </w:r>
    </w:p>
    <w:p>
      <w:pPr>
        <w:pStyle w:val="Heading2"/>
      </w:pPr>
      <w:bookmarkStart w:id="38" w:name="_Toc381872862"/>
      <w:bookmarkStart w:id="39" w:name="_Toc381873596"/>
      <w:r>
        <w:rPr>
          <w:rStyle w:val="CharPartNo"/>
        </w:rPr>
        <w:t>Part 3</w:t>
      </w:r>
      <w:r>
        <w:rPr>
          <w:rStyle w:val="CharDivNo"/>
        </w:rPr>
        <w:t> </w:t>
      </w:r>
      <w:r>
        <w:t>—</w:t>
      </w:r>
      <w:r>
        <w:rPr>
          <w:rStyle w:val="CharDivText"/>
        </w:rPr>
        <w:t> </w:t>
      </w:r>
      <w:r>
        <w:rPr>
          <w:rStyle w:val="CharPartText"/>
        </w:rPr>
        <w:t>Ministerial Advisory Council on Disability</w:t>
      </w:r>
      <w:bookmarkEnd w:id="38"/>
      <w:bookmarkEnd w:id="39"/>
    </w:p>
    <w:p>
      <w:pPr>
        <w:pStyle w:val="Footnoteheading"/>
        <w:ind w:left="851"/>
      </w:pPr>
      <w:r>
        <w:tab/>
        <w:t>[Heading inserted by No. 44 of 1999 s. 10; amended by No. 57 of 2004 s. 10.]</w:t>
      </w:r>
    </w:p>
    <w:p>
      <w:pPr>
        <w:pStyle w:val="Heading5"/>
        <w:rPr>
          <w:snapToGrid w:val="0"/>
        </w:rPr>
      </w:pPr>
      <w:bookmarkStart w:id="40" w:name="_Toc381873597"/>
      <w:r>
        <w:rPr>
          <w:rStyle w:val="CharSectno"/>
        </w:rPr>
        <w:t>22</w:t>
      </w:r>
      <w:r>
        <w:t>.</w:t>
      </w:r>
      <w:r>
        <w:tab/>
        <w:t>Council established</w:t>
      </w:r>
      <w:bookmarkEnd w:id="40"/>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pPr>
        <w:pStyle w:val="Indenta"/>
      </w:pPr>
      <w:r>
        <w:tab/>
        <w:t>(ca)</w:t>
      </w:r>
      <w:r>
        <w:tab/>
        <w:t>at least 2 of them have had recent experience as a carer of a person with disability; and</w:t>
      </w:r>
    </w:p>
    <w:p>
      <w:pPr>
        <w:pStyle w:val="Indenta"/>
      </w:pPr>
      <w:r>
        <w:tab/>
        <w:t>(c)</w:t>
      </w:r>
      <w:r>
        <w:tab/>
        <w:t xml:space="preserve">at least 2 of them have had recent experience </w:t>
      </w:r>
      <w:r>
        <w:rPr>
          <w:snapToGrid w:val="0"/>
        </w:rPr>
        <w:t xml:space="preserve">in matters relevant to people with </w:t>
      </w:r>
      <w:r>
        <w:t>disability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 amended by No. 40 of 2012 s. 7 and 24.]</w:t>
      </w:r>
    </w:p>
    <w:p>
      <w:pPr>
        <w:pStyle w:val="Heading5"/>
        <w:rPr>
          <w:snapToGrid w:val="0"/>
        </w:rPr>
      </w:pPr>
      <w:bookmarkStart w:id="41" w:name="_Toc381873598"/>
      <w:r>
        <w:rPr>
          <w:rStyle w:val="CharSectno"/>
        </w:rPr>
        <w:t>23</w:t>
      </w:r>
      <w:r>
        <w:rPr>
          <w:snapToGrid w:val="0"/>
        </w:rPr>
        <w:t>.</w:t>
      </w:r>
      <w:r>
        <w:rPr>
          <w:snapToGrid w:val="0"/>
        </w:rPr>
        <w:tab/>
        <w:t>Council’s functions</w:t>
      </w:r>
      <w:bookmarkEnd w:id="41"/>
      <w:r>
        <w:rPr>
          <w:snapToGrid w:val="0"/>
        </w:rPr>
        <w:t xml:space="preserve"> </w:t>
      </w:r>
    </w:p>
    <w:p>
      <w:pPr>
        <w:pStyle w:val="Subsection"/>
        <w:keepNext/>
        <w:keepLines/>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 xml:space="preserve">affect people with </w:t>
      </w:r>
      <w:r>
        <w:t>disability</w:t>
      </w:r>
      <w:r>
        <w:rPr>
          <w:snapToGrid w:val="0"/>
        </w:rPr>
        <w:t>;</w:t>
      </w:r>
    </w:p>
    <w:p>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 No. 40 of 2012 s. 8 and 24.]</w:t>
      </w:r>
    </w:p>
    <w:p>
      <w:pPr>
        <w:pStyle w:val="Heading2"/>
      </w:pPr>
      <w:bookmarkStart w:id="42" w:name="_Toc381872865"/>
      <w:bookmarkStart w:id="43" w:name="_Toc381873599"/>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42"/>
      <w:bookmarkEnd w:id="43"/>
      <w:r>
        <w:rPr>
          <w:rStyle w:val="CharPartText"/>
        </w:rPr>
        <w:t xml:space="preserve"> </w:t>
      </w:r>
    </w:p>
    <w:p>
      <w:pPr>
        <w:pStyle w:val="Footnoteheading"/>
      </w:pPr>
      <w:r>
        <w:tab/>
        <w:t>[Heading amended by No. 40 of 2012 s. 24.]</w:t>
      </w:r>
    </w:p>
    <w:p>
      <w:pPr>
        <w:pStyle w:val="Heading5"/>
        <w:rPr>
          <w:snapToGrid w:val="0"/>
        </w:rPr>
      </w:pPr>
      <w:bookmarkStart w:id="44" w:name="_Toc381873600"/>
      <w:r>
        <w:rPr>
          <w:rStyle w:val="CharSectno"/>
        </w:rPr>
        <w:t>24</w:t>
      </w:r>
      <w:r>
        <w:rPr>
          <w:snapToGrid w:val="0"/>
        </w:rPr>
        <w:t>.</w:t>
      </w:r>
      <w:r>
        <w:rPr>
          <w:snapToGrid w:val="0"/>
        </w:rPr>
        <w:tab/>
        <w:t>Grants of financial assistance</w:t>
      </w:r>
      <w:bookmarkEnd w:id="44"/>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disability; or</w:t>
      </w:r>
    </w:p>
    <w:p>
      <w:pPr>
        <w:pStyle w:val="Indenta"/>
      </w:pPr>
      <w:r>
        <w:tab/>
        <w:t>(b)</w:t>
      </w:r>
      <w:r>
        <w:tab/>
        <w:t>a carer; or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No. 40 of 2012 s. 24.] </w:t>
      </w:r>
    </w:p>
    <w:p>
      <w:pPr>
        <w:pStyle w:val="Heading5"/>
        <w:rPr>
          <w:snapToGrid w:val="0"/>
        </w:rPr>
      </w:pPr>
      <w:bookmarkStart w:id="45" w:name="_Toc381873601"/>
      <w:r>
        <w:rPr>
          <w:rStyle w:val="CharSectno"/>
        </w:rPr>
        <w:t>25</w:t>
      </w:r>
      <w:r>
        <w:rPr>
          <w:snapToGrid w:val="0"/>
        </w:rPr>
        <w:t>.</w:t>
      </w:r>
      <w:r>
        <w:rPr>
          <w:snapToGrid w:val="0"/>
        </w:rPr>
        <w:tab/>
        <w:t>Grant to be subject of agreement</w:t>
      </w:r>
      <w:bookmarkEnd w:id="45"/>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disability; or</w:t>
      </w:r>
    </w:p>
    <w:p>
      <w:pPr>
        <w:pStyle w:val="Indenta"/>
      </w:pPr>
      <w:r>
        <w:tab/>
        <w:t>(b)</w:t>
      </w:r>
      <w:r>
        <w:tab/>
        <w:t>significant physical or psychological harm suffered by a person with disability; or</w:t>
      </w:r>
    </w:p>
    <w:p>
      <w:pPr>
        <w:pStyle w:val="Indenta"/>
      </w:pPr>
      <w:r>
        <w:tab/>
        <w:t>(c)</w:t>
      </w:r>
      <w:r>
        <w:tab/>
        <w:t>without limiting paragraph (b), an assault (including a sexual assault) of a person with disability; or</w:t>
      </w:r>
    </w:p>
    <w:p>
      <w:pPr>
        <w:pStyle w:val="Indenta"/>
      </w:pPr>
      <w:r>
        <w:tab/>
        <w:t>(d)</w:t>
      </w:r>
      <w:r>
        <w:tab/>
        <w:t>neglect of a person with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disability is a reference to —</w:t>
      </w:r>
    </w:p>
    <w:p>
      <w:pPr>
        <w:pStyle w:val="Indenta"/>
      </w:pPr>
      <w:r>
        <w:tab/>
        <w:t>(a)</w:t>
      </w:r>
      <w:r>
        <w:tab/>
        <w:t>a person with disability to whom the recipient of a grant is providing a disability service; or</w:t>
      </w:r>
    </w:p>
    <w:p>
      <w:pPr>
        <w:pStyle w:val="Indenta"/>
      </w:pPr>
      <w:r>
        <w:tab/>
        <w:t>(b)</w:t>
      </w:r>
      <w:r>
        <w:tab/>
        <w:t>a person with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 is to report to the Minister that it has made that decision.</w:t>
      </w:r>
    </w:p>
    <w:p>
      <w:pPr>
        <w:pStyle w:val="Footnotesection"/>
      </w:pPr>
      <w:r>
        <w:tab/>
        <w:t>[Section 25 amended by No. 44 of 1999 s. 11; No. 57 of 2004 s. 14; No. 40 of 2012 s. 9 and 24.]</w:t>
      </w:r>
    </w:p>
    <w:p>
      <w:pPr>
        <w:pStyle w:val="Heading5"/>
        <w:rPr>
          <w:snapToGrid w:val="0"/>
        </w:rPr>
      </w:pPr>
      <w:bookmarkStart w:id="46" w:name="_Toc381873602"/>
      <w:r>
        <w:rPr>
          <w:rStyle w:val="CharSectno"/>
        </w:rPr>
        <w:t>26</w:t>
      </w:r>
      <w:r>
        <w:rPr>
          <w:snapToGrid w:val="0"/>
        </w:rPr>
        <w:t>.</w:t>
      </w:r>
      <w:r>
        <w:rPr>
          <w:snapToGrid w:val="0"/>
        </w:rPr>
        <w:tab/>
        <w:t>Minister may review Commission’s decisions</w:t>
      </w:r>
      <w:bookmarkEnd w:id="46"/>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7" w:name="_Toc381872869"/>
      <w:bookmarkStart w:id="48" w:name="_Toc381873603"/>
      <w:r>
        <w:rPr>
          <w:rStyle w:val="CharPartNo"/>
        </w:rPr>
        <w:t>Part 4A</w:t>
      </w:r>
      <w:r>
        <w:rPr>
          <w:rStyle w:val="CharDivNo"/>
        </w:rPr>
        <w:t xml:space="preserve"> </w:t>
      </w:r>
      <w:r>
        <w:t>—</w:t>
      </w:r>
      <w:r>
        <w:rPr>
          <w:rStyle w:val="CharDivText"/>
        </w:rPr>
        <w:t xml:space="preserve"> </w:t>
      </w:r>
      <w:r>
        <w:rPr>
          <w:rStyle w:val="CharPartText"/>
        </w:rPr>
        <w:t>Contracts to provide some disability services</w:t>
      </w:r>
      <w:bookmarkEnd w:id="47"/>
      <w:bookmarkEnd w:id="48"/>
    </w:p>
    <w:p>
      <w:pPr>
        <w:pStyle w:val="Footnoteheading"/>
        <w:ind w:left="851"/>
      </w:pPr>
      <w:r>
        <w:tab/>
        <w:t>[Heading inserted by No. 44 of 1999 s. 12; amended by No. 57 of 2004 s. 15.]</w:t>
      </w:r>
    </w:p>
    <w:p>
      <w:pPr>
        <w:pStyle w:val="Heading5"/>
      </w:pPr>
      <w:bookmarkStart w:id="49" w:name="_Toc381873604"/>
      <w:r>
        <w:rPr>
          <w:rStyle w:val="CharSectno"/>
        </w:rPr>
        <w:t>26A</w:t>
      </w:r>
      <w:r>
        <w:t>.</w:t>
      </w:r>
      <w:r>
        <w:tab/>
        <w:t>Terms used</w:t>
      </w:r>
      <w:bookmarkEnd w:id="49"/>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0" w:name="_Toc381873605"/>
      <w:r>
        <w:rPr>
          <w:rStyle w:val="CharSectno"/>
        </w:rPr>
        <w:t>26B</w:t>
      </w:r>
      <w:r>
        <w:t>.</w:t>
      </w:r>
      <w:r>
        <w:tab/>
        <w:t>Method of contracting to provide services for people with disability</w:t>
      </w:r>
      <w:bookmarkEnd w:id="50"/>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 or</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1" w:name="_Toc381873606"/>
      <w:r>
        <w:rPr>
          <w:rStyle w:val="CharSectno"/>
        </w:rPr>
        <w:t>26C</w:t>
      </w:r>
      <w:r>
        <w:t>.</w:t>
      </w:r>
      <w:r>
        <w:tab/>
        <w:t>Assignment of benefit of contract</w:t>
      </w:r>
      <w:bookmarkEnd w:id="51"/>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2" w:name="_Toc381872873"/>
      <w:bookmarkStart w:id="53" w:name="_Toc381873607"/>
      <w:r>
        <w:rPr>
          <w:rStyle w:val="CharPartNo"/>
        </w:rPr>
        <w:t>Part 5</w:t>
      </w:r>
      <w:r>
        <w:rPr>
          <w:rStyle w:val="CharDivNo"/>
        </w:rPr>
        <w:t> </w:t>
      </w:r>
      <w:r>
        <w:t>—</w:t>
      </w:r>
      <w:r>
        <w:rPr>
          <w:rStyle w:val="CharDivText"/>
        </w:rPr>
        <w:t> </w:t>
      </w:r>
      <w:r>
        <w:rPr>
          <w:rStyle w:val="CharPartText"/>
        </w:rPr>
        <w:t>Disability access and inclusion plans by public authorities</w:t>
      </w:r>
      <w:bookmarkEnd w:id="52"/>
      <w:bookmarkEnd w:id="53"/>
    </w:p>
    <w:p>
      <w:pPr>
        <w:pStyle w:val="Footnoteheading"/>
        <w:tabs>
          <w:tab w:val="left" w:pos="851"/>
        </w:tabs>
      </w:pPr>
      <w:r>
        <w:tab/>
        <w:t>[Heading amended by No. 57 of 2004 s. 19.]</w:t>
      </w:r>
    </w:p>
    <w:p>
      <w:pPr>
        <w:pStyle w:val="Heading5"/>
        <w:rPr>
          <w:snapToGrid w:val="0"/>
        </w:rPr>
      </w:pPr>
      <w:bookmarkStart w:id="54" w:name="_Toc381873608"/>
      <w:r>
        <w:rPr>
          <w:rStyle w:val="CharSectno"/>
        </w:rPr>
        <w:t>27</w:t>
      </w:r>
      <w:r>
        <w:rPr>
          <w:snapToGrid w:val="0"/>
        </w:rPr>
        <w:t>.</w:t>
      </w:r>
      <w:r>
        <w:rPr>
          <w:snapToGrid w:val="0"/>
        </w:rPr>
        <w:tab/>
        <w:t>Application of Part</w:t>
      </w:r>
      <w:bookmarkEnd w:id="54"/>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5" w:name="_Toc381873609"/>
      <w:r>
        <w:rPr>
          <w:rStyle w:val="CharSectno"/>
        </w:rPr>
        <w:t>28</w:t>
      </w:r>
      <w:r>
        <w:t>.</w:t>
      </w:r>
      <w:r>
        <w:tab/>
        <w:t>Disability access and inclusion plans</w:t>
      </w:r>
      <w:bookmarkEnd w:id="55"/>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6" w:name="_Toc381873610"/>
      <w:r>
        <w:rPr>
          <w:rStyle w:val="CharSectno"/>
        </w:rPr>
        <w:t>29</w:t>
      </w:r>
      <w:r>
        <w:t>.</w:t>
      </w:r>
      <w:r>
        <w:tab/>
        <w:t>Report about disability access and inclusion plan</w:t>
      </w:r>
      <w:bookmarkEnd w:id="56"/>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Sch. 1 cl. 45(4).]</w:t>
      </w:r>
    </w:p>
    <w:p>
      <w:pPr>
        <w:pStyle w:val="Heading5"/>
      </w:pPr>
      <w:bookmarkStart w:id="57" w:name="_Toc381873611"/>
      <w:r>
        <w:rPr>
          <w:rStyle w:val="CharSectno"/>
        </w:rPr>
        <w:t>29A</w:t>
      </w:r>
      <w:r>
        <w:t>.</w:t>
      </w:r>
      <w:r>
        <w:tab/>
        <w:t>Disability access and inclusion plans to be made available</w:t>
      </w:r>
      <w:bookmarkEnd w:id="57"/>
    </w:p>
    <w:p>
      <w:pPr>
        <w:pStyle w:val="Subsection"/>
      </w:pPr>
      <w:r>
        <w:tab/>
      </w:r>
      <w:r>
        <w:tab/>
        <w:t>A public authority that has a disability access and inclusion plan must ensure that the plan is made available to people with disability, and the public generally, by publication in the prescribed manner.</w:t>
      </w:r>
    </w:p>
    <w:p>
      <w:pPr>
        <w:pStyle w:val="Footnotesection"/>
      </w:pPr>
      <w:r>
        <w:tab/>
        <w:t>[Section 29A inserted by No. 57 of 2004 s. 22; amended by No. 40 of 2012 s. 10.]</w:t>
      </w:r>
    </w:p>
    <w:p>
      <w:pPr>
        <w:pStyle w:val="Heading5"/>
      </w:pPr>
      <w:bookmarkStart w:id="58" w:name="_Toc381873612"/>
      <w:r>
        <w:rPr>
          <w:rStyle w:val="CharSectno"/>
        </w:rPr>
        <w:t>29B</w:t>
      </w:r>
      <w:r>
        <w:t>.</w:t>
      </w:r>
      <w:r>
        <w:tab/>
        <w:t>Public authorities to ensure implementation of disability access and inclusion plan</w:t>
      </w:r>
      <w:bookmarkEnd w:id="58"/>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9" w:name="_Toc381873613"/>
      <w:r>
        <w:rPr>
          <w:rStyle w:val="CharSectno"/>
        </w:rPr>
        <w:t>29C</w:t>
      </w:r>
      <w:r>
        <w:t>.</w:t>
      </w:r>
      <w:r>
        <w:tab/>
        <w:t>Annual report by Commission about plans</w:t>
      </w:r>
      <w:bookmarkEnd w:id="59"/>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0" w:name="_Toc381872880"/>
      <w:bookmarkStart w:id="61" w:name="_Toc381873614"/>
      <w:r>
        <w:rPr>
          <w:rStyle w:val="CharPartNo"/>
        </w:rPr>
        <w:t>Part 6</w:t>
      </w:r>
      <w:r>
        <w:t> — </w:t>
      </w:r>
      <w:r>
        <w:rPr>
          <w:rStyle w:val="CharPartText"/>
        </w:rPr>
        <w:t>Complaints about some disability services</w:t>
      </w:r>
      <w:bookmarkEnd w:id="60"/>
      <w:bookmarkEnd w:id="61"/>
    </w:p>
    <w:p>
      <w:pPr>
        <w:pStyle w:val="Footnoteheading"/>
        <w:tabs>
          <w:tab w:val="left" w:pos="851"/>
        </w:tabs>
      </w:pPr>
      <w:r>
        <w:tab/>
        <w:t>[Heading amended by No. 57 of 2004 s. 23.]</w:t>
      </w:r>
    </w:p>
    <w:p>
      <w:pPr>
        <w:pStyle w:val="Heading3"/>
        <w:rPr>
          <w:snapToGrid w:val="0"/>
        </w:rPr>
      </w:pPr>
      <w:bookmarkStart w:id="62" w:name="_Toc381872881"/>
      <w:bookmarkStart w:id="63" w:name="_Toc381873615"/>
      <w:r>
        <w:rPr>
          <w:rStyle w:val="CharDivNo"/>
        </w:rPr>
        <w:t>Division 1</w:t>
      </w:r>
      <w:r>
        <w:rPr>
          <w:snapToGrid w:val="0"/>
        </w:rPr>
        <w:t> — </w:t>
      </w:r>
      <w:r>
        <w:rPr>
          <w:rStyle w:val="CharDivText"/>
        </w:rPr>
        <w:t>Preliminary</w:t>
      </w:r>
      <w:bookmarkEnd w:id="62"/>
      <w:bookmarkEnd w:id="63"/>
      <w:r>
        <w:rPr>
          <w:rStyle w:val="CharDivText"/>
        </w:rPr>
        <w:t xml:space="preserve"> </w:t>
      </w:r>
    </w:p>
    <w:p>
      <w:pPr>
        <w:pStyle w:val="Heading5"/>
        <w:rPr>
          <w:snapToGrid w:val="0"/>
        </w:rPr>
      </w:pPr>
      <w:bookmarkStart w:id="64" w:name="_Toc381873616"/>
      <w:r>
        <w:rPr>
          <w:rStyle w:val="CharSectno"/>
        </w:rPr>
        <w:t>30</w:t>
      </w:r>
      <w:r>
        <w:rPr>
          <w:snapToGrid w:val="0"/>
        </w:rPr>
        <w:t>.</w:t>
      </w:r>
      <w:r>
        <w:rPr>
          <w:snapToGrid w:val="0"/>
        </w:rPr>
        <w:tab/>
        <w:t>Terms used</w:t>
      </w:r>
      <w:bookmarkEnd w:id="6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 or</w:t>
      </w:r>
    </w:p>
    <w:p>
      <w:pPr>
        <w:pStyle w:val="Defpara"/>
      </w:pPr>
      <w:r>
        <w:tab/>
        <w:t>(aa)</w:t>
      </w:r>
      <w:r>
        <w:tab/>
        <w:t>such a service where it is provided wholly from funds paid to the service provider by the Commonwealth of Australia; or</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65" w:name="_Toc381873617"/>
      <w:r>
        <w:rPr>
          <w:rStyle w:val="CharSectno"/>
        </w:rPr>
        <w:t>30AA</w:t>
      </w:r>
      <w:r>
        <w:t>.</w:t>
      </w:r>
      <w:r>
        <w:tab/>
        <w:t xml:space="preserve">This Part to be read with </w:t>
      </w:r>
      <w:r>
        <w:rPr>
          <w:i/>
          <w:iCs/>
        </w:rPr>
        <w:t>Health and Disability Services (Complaints) Act 1995</w:t>
      </w:r>
      <w:bookmarkEnd w:id="65"/>
    </w:p>
    <w:p>
      <w:pPr>
        <w:pStyle w:val="Subsection"/>
        <w:spacing w:before="120"/>
      </w:pPr>
      <w:r>
        <w:tab/>
      </w:r>
      <w:r>
        <w:tab/>
        <w:t xml:space="preserve">This Part is to be read with the </w:t>
      </w:r>
      <w:r>
        <w:rPr>
          <w:i/>
          <w:iCs/>
        </w:rPr>
        <w:t>Health and Disability Services (Complaints) Act 1995</w:t>
      </w:r>
      <w:r>
        <w:t>.</w:t>
      </w:r>
    </w:p>
    <w:p>
      <w:pPr>
        <w:pStyle w:val="Footnotesection"/>
        <w:spacing w:before="80"/>
        <w:ind w:left="890" w:hanging="890"/>
      </w:pPr>
      <w:r>
        <w:tab/>
        <w:t>[Section 30AA inserted No. 33 of 2010 s. 35.]</w:t>
      </w:r>
    </w:p>
    <w:p>
      <w:pPr>
        <w:pStyle w:val="Heading5"/>
        <w:spacing w:before="180"/>
      </w:pPr>
      <w:bookmarkStart w:id="66" w:name="_Toc381873618"/>
      <w:r>
        <w:rPr>
          <w:rStyle w:val="CharSectno"/>
        </w:rPr>
        <w:t>30A</w:t>
      </w:r>
      <w:r>
        <w:t>.</w:t>
      </w:r>
      <w:r>
        <w:tab/>
        <w:t>Functions of Director</w:t>
      </w:r>
      <w:bookmarkEnd w:id="66"/>
    </w:p>
    <w:p>
      <w:pPr>
        <w:pStyle w:val="Subsection"/>
        <w:spacing w:before="120"/>
      </w:pPr>
      <w:r>
        <w:tab/>
        <w:t>(1)</w:t>
      </w:r>
      <w:r>
        <w:tab/>
        <w:t xml:space="preserve">The functions of the Director under this Part are as follows — </w:t>
      </w:r>
    </w:p>
    <w:p>
      <w:pPr>
        <w:pStyle w:val="Indenta"/>
      </w:pPr>
      <w:r>
        <w:tab/>
        <w:t>(a)</w:t>
      </w:r>
      <w:r>
        <w:tab/>
        <w:t>to deal with complaints in accordance with this Part;</w:t>
      </w:r>
    </w:p>
    <w:p>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disability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disability arising out of complaints received;</w:t>
      </w:r>
    </w:p>
    <w:p>
      <w:pPr>
        <w:pStyle w:val="Indenta"/>
      </w:pPr>
      <w:r>
        <w:tab/>
        <w:t>(f)</w:t>
      </w:r>
      <w:r>
        <w:tab/>
        <w:t>subject to subsection (2), to cause information about the work of the Complaints Office to be published from time to time;</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disability on the making of complaints; and</w:t>
      </w:r>
    </w:p>
    <w:p>
      <w:pPr>
        <w:pStyle w:val="Indenti"/>
        <w:spacing w:before="60"/>
      </w:pPr>
      <w:r>
        <w:tab/>
        <w:t>(ii)</w:t>
      </w:r>
      <w:r>
        <w:tab/>
        <w:t>advice to people with disability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disability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43B.</w:t>
      </w:r>
    </w:p>
    <w:p>
      <w:pPr>
        <w:pStyle w:val="Footnotesection"/>
      </w:pPr>
      <w:r>
        <w:tab/>
        <w:t>[Section 30A inserted by No. 57 of 2004 s. 25; amended by No. 33 of 2010 s. 36; No. 40 of 2012 s. 11 and 24.]</w:t>
      </w:r>
    </w:p>
    <w:p>
      <w:pPr>
        <w:pStyle w:val="Heading5"/>
        <w:spacing w:before="240"/>
        <w:rPr>
          <w:snapToGrid w:val="0"/>
        </w:rPr>
      </w:pPr>
      <w:bookmarkStart w:id="67" w:name="_Toc381873619"/>
      <w:r>
        <w:rPr>
          <w:rStyle w:val="CharSectno"/>
        </w:rPr>
        <w:t>31</w:t>
      </w:r>
      <w:r>
        <w:rPr>
          <w:snapToGrid w:val="0"/>
        </w:rPr>
        <w:t>.</w:t>
      </w:r>
      <w:r>
        <w:rPr>
          <w:snapToGrid w:val="0"/>
        </w:rPr>
        <w:tab/>
        <w:t>Parties themselves may resolve complaint</w:t>
      </w:r>
      <w:bookmarkEnd w:id="67"/>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68" w:name="_Toc381872886"/>
      <w:bookmarkStart w:id="69" w:name="_Toc381873620"/>
      <w:r>
        <w:rPr>
          <w:rStyle w:val="CharDivNo"/>
        </w:rPr>
        <w:t>Division 2</w:t>
      </w:r>
      <w:r>
        <w:rPr>
          <w:snapToGrid w:val="0"/>
        </w:rPr>
        <w:t> — </w:t>
      </w:r>
      <w:r>
        <w:rPr>
          <w:rStyle w:val="CharDivText"/>
        </w:rPr>
        <w:t>Complaints and conciliation</w:t>
      </w:r>
      <w:bookmarkEnd w:id="68"/>
      <w:bookmarkEnd w:id="69"/>
      <w:r>
        <w:rPr>
          <w:rStyle w:val="CharDivText"/>
        </w:rPr>
        <w:t xml:space="preserve"> </w:t>
      </w:r>
    </w:p>
    <w:p>
      <w:pPr>
        <w:pStyle w:val="Heading5"/>
        <w:spacing w:before="180"/>
        <w:rPr>
          <w:snapToGrid w:val="0"/>
        </w:rPr>
      </w:pPr>
      <w:bookmarkStart w:id="70" w:name="_Toc381873621"/>
      <w:r>
        <w:rPr>
          <w:rStyle w:val="CharSectno"/>
        </w:rPr>
        <w:t>32</w:t>
      </w:r>
      <w:r>
        <w:rPr>
          <w:snapToGrid w:val="0"/>
        </w:rPr>
        <w:t>.</w:t>
      </w:r>
      <w:r>
        <w:rPr>
          <w:snapToGrid w:val="0"/>
        </w:rPr>
        <w:tab/>
        <w:t>Who may complain</w:t>
      </w:r>
      <w:bookmarkEnd w:id="70"/>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 xml:space="preserve">personally by a person with </w:t>
      </w:r>
      <w:r>
        <w:t>disability</w:t>
      </w:r>
      <w:r>
        <w:rPr>
          <w:snapToGrid w:val="0"/>
        </w:rPr>
        <w:t>; or</w:t>
      </w:r>
    </w:p>
    <w:p>
      <w:pPr>
        <w:pStyle w:val="Indenta"/>
        <w:rPr>
          <w:snapToGrid w:val="0"/>
        </w:rPr>
      </w:pPr>
      <w:r>
        <w:rPr>
          <w:snapToGrid w:val="0"/>
        </w:rPr>
        <w:tab/>
        <w:t>(b)</w:t>
      </w:r>
      <w:r>
        <w:rPr>
          <w:snapToGrid w:val="0"/>
        </w:rPr>
        <w:tab/>
        <w:t xml:space="preserve">on behalf of a person with </w:t>
      </w:r>
      <w:r>
        <w:t>disability</w:t>
      </w:r>
      <w:r>
        <w:rPr>
          <w:snapToGrid w:val="0"/>
        </w:rPr>
        <w:t>,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pPr>
        <w:pStyle w:val="Subsection"/>
        <w:keepNext/>
        <w:rPr>
          <w:snapToGrid w:val="0"/>
        </w:rPr>
      </w:pPr>
      <w:r>
        <w:rPr>
          <w:snapToGrid w:val="0"/>
        </w:rPr>
        <w:tab/>
        <w:t>(2)</w:t>
      </w:r>
      <w:r>
        <w:rPr>
          <w:snapToGrid w:val="0"/>
        </w:rPr>
        <w:tab/>
        <w:t xml:space="preserve">The Director may recognise as an advocate for a person with </w:t>
      </w:r>
      <w:r>
        <w:t>disability</w:t>
      </w:r>
      <w:r>
        <w:rPr>
          <w:snapToGrid w:val="0"/>
        </w:rPr>
        <w:t> — </w:t>
      </w:r>
    </w:p>
    <w:p>
      <w:pPr>
        <w:pStyle w:val="Indenta"/>
        <w:rPr>
          <w:snapToGrid w:val="0"/>
        </w:rPr>
      </w:pPr>
      <w:r>
        <w:rPr>
          <w:snapToGrid w:val="0"/>
        </w:rPr>
        <w:tab/>
        <w:t>(a)</w:t>
      </w:r>
      <w:r>
        <w:rPr>
          <w:snapToGrid w:val="0"/>
        </w:rPr>
        <w:tab/>
        <w:t xml:space="preserve">a person chosen as such by the person with </w:t>
      </w:r>
      <w:r>
        <w:t>disability</w:t>
      </w:r>
      <w:r>
        <w:rPr>
          <w:snapToGrid w:val="0"/>
        </w:rPr>
        <w:t>; or</w:t>
      </w:r>
    </w:p>
    <w:p>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disability if —</w:t>
      </w:r>
    </w:p>
    <w:p>
      <w:pPr>
        <w:pStyle w:val="Indenti"/>
      </w:pPr>
      <w:r>
        <w:tab/>
        <w:t>(i)</w:t>
      </w:r>
      <w:r>
        <w:tab/>
        <w:t>the person with disability has died; and</w:t>
      </w:r>
    </w:p>
    <w:p>
      <w:pPr>
        <w:pStyle w:val="Indenti"/>
      </w:pPr>
      <w:r>
        <w:tab/>
        <w:t>(ii)</w:t>
      </w:r>
      <w:r>
        <w:tab/>
        <w:t>in the Director’s opinion, the prospective advocate is a person who has a sufficient interest in the subject matter of the complaint.</w:t>
      </w:r>
    </w:p>
    <w:p>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38; No. 40 of 2012 s. 12 and 24.]</w:t>
      </w:r>
    </w:p>
    <w:p>
      <w:pPr>
        <w:pStyle w:val="Heading5"/>
        <w:rPr>
          <w:snapToGrid w:val="0"/>
        </w:rPr>
      </w:pPr>
      <w:bookmarkStart w:id="71" w:name="_Toc381873622"/>
      <w:r>
        <w:rPr>
          <w:rStyle w:val="CharSectno"/>
        </w:rPr>
        <w:t>33</w:t>
      </w:r>
      <w:r>
        <w:rPr>
          <w:snapToGrid w:val="0"/>
        </w:rPr>
        <w:t>.</w:t>
      </w:r>
      <w:r>
        <w:rPr>
          <w:snapToGrid w:val="0"/>
        </w:rPr>
        <w:tab/>
        <w:t>Who and what can be complained about</w:t>
      </w:r>
      <w:bookmarkEnd w:id="71"/>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 or</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(ga)</w:t>
      </w:r>
      <w:r>
        <w:tab/>
        <w:t>failed to comply with the Disability Services Standards, or failed to ensure that those standards were met by service providers; or</w:t>
      </w:r>
    </w:p>
    <w:p>
      <w:pPr>
        <w:pStyle w:val="Indenta"/>
      </w:pPr>
      <w:r>
        <w:tab/>
        <w:t>(g)</w:t>
      </w:r>
      <w:r>
        <w:tab/>
        <w:t>in respect of a complaint about a matter mentioned in paragraphs (a) to (e) made to the provider or Commission by a person with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Footnotesection"/>
      </w:pPr>
      <w:r>
        <w:tab/>
        <w:t>[Section 33 amended by No. 44 of 1999 s. 16; No. 37 of 2004 s. 28; No. 33 of 2010 s. 39; No. 40 of 2012 s. 13 and 24.]</w:t>
      </w:r>
    </w:p>
    <w:p>
      <w:pPr>
        <w:pStyle w:val="Heading5"/>
        <w:rPr>
          <w:snapToGrid w:val="0"/>
        </w:rPr>
      </w:pPr>
      <w:bookmarkStart w:id="72" w:name="_Toc381873623"/>
      <w:r>
        <w:rPr>
          <w:rStyle w:val="CharSectno"/>
        </w:rPr>
        <w:t>33A</w:t>
      </w:r>
      <w:r>
        <w:rPr>
          <w:snapToGrid w:val="0"/>
        </w:rPr>
        <w:t>.</w:t>
      </w:r>
      <w:r>
        <w:rPr>
          <w:snapToGrid w:val="0"/>
        </w:rPr>
        <w:tab/>
        <w:t>Health services complaints</w:t>
      </w:r>
      <w:bookmarkEnd w:id="72"/>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73" w:name="_Toc381873624"/>
      <w:r>
        <w:rPr>
          <w:rStyle w:val="CharSectno"/>
        </w:rPr>
        <w:t>34</w:t>
      </w:r>
      <w:r>
        <w:rPr>
          <w:snapToGrid w:val="0"/>
        </w:rPr>
        <w:t>.</w:t>
      </w:r>
      <w:r>
        <w:rPr>
          <w:snapToGrid w:val="0"/>
        </w:rPr>
        <w:tab/>
        <w:t>Time for complaining</w:t>
      </w:r>
      <w:bookmarkEnd w:id="73"/>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4" w:name="_Toc381873625"/>
      <w:r>
        <w:rPr>
          <w:rStyle w:val="CharSectno"/>
        </w:rPr>
        <w:t>35</w:t>
      </w:r>
      <w:r>
        <w:rPr>
          <w:snapToGrid w:val="0"/>
        </w:rPr>
        <w:t>.</w:t>
      </w:r>
      <w:r>
        <w:rPr>
          <w:snapToGrid w:val="0"/>
        </w:rPr>
        <w:tab/>
        <w:t>How to complain</w:t>
      </w:r>
      <w:bookmarkEnd w:id="74"/>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5" w:name="_Toc381873626"/>
      <w:r>
        <w:rPr>
          <w:rStyle w:val="CharSectno"/>
        </w:rPr>
        <w:t>36</w:t>
      </w:r>
      <w:r>
        <w:rPr>
          <w:snapToGrid w:val="0"/>
        </w:rPr>
        <w:t>.</w:t>
      </w:r>
      <w:r>
        <w:rPr>
          <w:snapToGrid w:val="0"/>
        </w:rPr>
        <w:tab/>
        <w:t>Withdrawal of complaint</w:t>
      </w:r>
      <w:bookmarkEnd w:id="75"/>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76" w:name="_Toc381873627"/>
      <w:r>
        <w:rPr>
          <w:rStyle w:val="CharSectno"/>
        </w:rPr>
        <w:t>37</w:t>
      </w:r>
      <w:r>
        <w:rPr>
          <w:snapToGrid w:val="0"/>
        </w:rPr>
        <w:t>.</w:t>
      </w:r>
      <w:r>
        <w:rPr>
          <w:snapToGrid w:val="0"/>
        </w:rPr>
        <w:tab/>
        <w:t>Preliminary decision by Director</w:t>
      </w:r>
      <w:bookmarkEnd w:id="76"/>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 or</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77" w:name="_Toc381873628"/>
      <w:r>
        <w:rPr>
          <w:rStyle w:val="CharSectno"/>
        </w:rPr>
        <w:t>38</w:t>
      </w:r>
      <w:r>
        <w:rPr>
          <w:snapToGrid w:val="0"/>
        </w:rPr>
        <w:t>.</w:t>
      </w:r>
      <w:r>
        <w:rPr>
          <w:snapToGrid w:val="0"/>
        </w:rPr>
        <w:tab/>
        <w:t>Rejection, deferral or referral of complaints</w:t>
      </w:r>
      <w:bookmarkEnd w:id="77"/>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pPr>
        <w:pStyle w:val="Footnotesection"/>
      </w:pPr>
      <w:r>
        <w:tab/>
        <w:t>[Section 38 amended by No. 44 of 1999 s. 22 and 23; No. 40 of 2012 s. 14.]</w:t>
      </w:r>
    </w:p>
    <w:p>
      <w:pPr>
        <w:pStyle w:val="Heading5"/>
      </w:pPr>
      <w:bookmarkStart w:id="78" w:name="_Toc381873629"/>
      <w:r>
        <w:rPr>
          <w:rStyle w:val="CharSectno"/>
        </w:rPr>
        <w:t>39A</w:t>
      </w:r>
      <w:r>
        <w:t>.</w:t>
      </w:r>
      <w:r>
        <w:tab/>
        <w:t>Response by respondent</w:t>
      </w:r>
      <w:bookmarkEnd w:id="78"/>
    </w:p>
    <w:p>
      <w:pPr>
        <w:pStyle w:val="Subsection"/>
        <w:spacing w:before="120"/>
      </w:pPr>
      <w:r>
        <w:tab/>
        <w:t>(1)</w:t>
      </w:r>
      <w:r>
        <w:tab/>
        <w:t>A respondent who is given a notice under section 37(3)(c) may give the Director a written response to the complaint concerned.</w:t>
      </w:r>
    </w:p>
    <w:p>
      <w:pPr>
        <w:pStyle w:val="Subsection"/>
        <w:spacing w:before="120"/>
      </w:pPr>
      <w:r>
        <w:tab/>
        <w:t>(2)</w:t>
      </w:r>
      <w:r>
        <w:tab/>
        <w:t>A respondent who is given a notice under section 37(4A) must give the Director a written response to the complaint concerned.</w:t>
      </w:r>
    </w:p>
    <w:p>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spacing w:before="120"/>
      </w:pPr>
      <w:r>
        <w:tab/>
        <w:t>(4)</w:t>
      </w:r>
      <w:r>
        <w:tab/>
        <w:t>The Director may extend that 28 day period for good reason.</w:t>
      </w:r>
    </w:p>
    <w:p>
      <w:pPr>
        <w:pStyle w:val="Subsection"/>
        <w:spacing w:before="120"/>
      </w:pPr>
      <w:r>
        <w:tab/>
        <w:t>(5)</w:t>
      </w:r>
      <w:r>
        <w:tab/>
        <w:t>If a respondent does not comply with subsection (2), the Director may nevertheless deal with the complaint under this Part.</w:t>
      </w:r>
    </w:p>
    <w:p>
      <w:pPr>
        <w:pStyle w:val="Subsection"/>
        <w:spacing w:before="120"/>
      </w:pPr>
      <w:r>
        <w:tab/>
        <w:t>(6)</w:t>
      </w:r>
      <w:r>
        <w:tab/>
        <w:t>A respondent who does not comply with subsection (2) does not commit an offence.</w:t>
      </w:r>
    </w:p>
    <w:p>
      <w:pPr>
        <w:pStyle w:val="Subsection"/>
        <w:spacing w:before="120"/>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spacing w:before="120"/>
      </w:pPr>
      <w:r>
        <w:tab/>
        <w:t>(8)</w:t>
      </w:r>
      <w:r>
        <w:tab/>
        <w:t>Evidence of anything said in a response given by a respondent under this section is not admissible in proceedings before a court or tribunal.</w:t>
      </w:r>
    </w:p>
    <w:p>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by No. 33 of 2010 s. 43.]</w:t>
      </w:r>
    </w:p>
    <w:p>
      <w:pPr>
        <w:pStyle w:val="Heading5"/>
        <w:keepNext w:val="0"/>
        <w:keepLines w:val="0"/>
        <w:spacing w:before="180"/>
      </w:pPr>
      <w:bookmarkStart w:id="79" w:name="_Toc381873630"/>
      <w:r>
        <w:rPr>
          <w:rStyle w:val="CharSectno"/>
        </w:rPr>
        <w:t>39B</w:t>
      </w:r>
      <w:r>
        <w:t>.</w:t>
      </w:r>
      <w:r>
        <w:tab/>
        <w:t>Resolving complaints by negotiation</w:t>
      </w:r>
      <w:bookmarkEnd w:id="79"/>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by No. 33 of 2010 s. 43.]</w:t>
      </w:r>
    </w:p>
    <w:p>
      <w:pPr>
        <w:pStyle w:val="Heading5"/>
        <w:rPr>
          <w:snapToGrid w:val="0"/>
        </w:rPr>
      </w:pPr>
      <w:bookmarkStart w:id="80" w:name="_Toc381873631"/>
      <w:r>
        <w:rPr>
          <w:rStyle w:val="CharSectno"/>
        </w:rPr>
        <w:t>39</w:t>
      </w:r>
      <w:r>
        <w:rPr>
          <w:snapToGrid w:val="0"/>
        </w:rPr>
        <w:t>.</w:t>
      </w:r>
      <w:r>
        <w:rPr>
          <w:snapToGrid w:val="0"/>
        </w:rPr>
        <w:tab/>
        <w:t>Conciliation of complaints</w:t>
      </w:r>
      <w:bookmarkEnd w:id="80"/>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pPr>
        <w:pStyle w:val="Footnotesection"/>
      </w:pPr>
      <w:r>
        <w:tab/>
        <w:t>[Section 39 amended by No. 44 of 1999 s. 22 and 23; No. 33 of 2010 s. 44; No. 40 of 2012 s. 15.]</w:t>
      </w:r>
    </w:p>
    <w:p>
      <w:pPr>
        <w:pStyle w:val="Heading3"/>
        <w:rPr>
          <w:snapToGrid w:val="0"/>
        </w:rPr>
      </w:pPr>
      <w:bookmarkStart w:id="81" w:name="_Toc381872898"/>
      <w:bookmarkStart w:id="82" w:name="_Toc381873632"/>
      <w:r>
        <w:rPr>
          <w:rStyle w:val="CharDivNo"/>
        </w:rPr>
        <w:t>Division 3</w:t>
      </w:r>
      <w:r>
        <w:rPr>
          <w:snapToGrid w:val="0"/>
        </w:rPr>
        <w:t> — </w:t>
      </w:r>
      <w:r>
        <w:rPr>
          <w:rStyle w:val="CharDivText"/>
        </w:rPr>
        <w:t>Investigations</w:t>
      </w:r>
      <w:bookmarkEnd w:id="81"/>
      <w:bookmarkEnd w:id="82"/>
      <w:r>
        <w:rPr>
          <w:rStyle w:val="CharDivText"/>
        </w:rPr>
        <w:t xml:space="preserve"> </w:t>
      </w:r>
    </w:p>
    <w:p>
      <w:pPr>
        <w:pStyle w:val="Heading5"/>
        <w:spacing w:before="180"/>
        <w:rPr>
          <w:snapToGrid w:val="0"/>
        </w:rPr>
      </w:pPr>
      <w:bookmarkStart w:id="83" w:name="_Toc381873633"/>
      <w:r>
        <w:rPr>
          <w:rStyle w:val="CharSectno"/>
        </w:rPr>
        <w:t>40</w:t>
      </w:r>
      <w:r>
        <w:rPr>
          <w:snapToGrid w:val="0"/>
        </w:rPr>
        <w:t>.</w:t>
      </w:r>
      <w:r>
        <w:rPr>
          <w:snapToGrid w:val="0"/>
        </w:rPr>
        <w:tab/>
        <w:t>Investigation of complaints and referred matters</w:t>
      </w:r>
      <w:bookmarkEnd w:id="83"/>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the following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quality of service delivery expected of a service provider or the Commission, as the case may be;</w:t>
      </w:r>
    </w:p>
    <w:p>
      <w:pPr>
        <w:pStyle w:val="Indenta"/>
      </w:pPr>
      <w:r>
        <w:tab/>
        <w:t>(e)</w:t>
      </w:r>
      <w:r>
        <w:tab/>
        <w:t>the Disability Services Standards;</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 and</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pPr>
      <w:r>
        <w:tab/>
        <w:t>(6)</w:t>
      </w:r>
      <w:r>
        <w:tab/>
        <w:t>In conducting an investigation the Director may make use of a member of the staff.</w:t>
      </w:r>
    </w:p>
    <w:p>
      <w:pPr>
        <w:pStyle w:val="Subsection"/>
      </w:pPr>
      <w:r>
        <w:tab/>
        <w:t>(7)</w:t>
      </w:r>
      <w:r>
        <w:tab/>
        <w:t>If the conciliation process is successful in the settlement of a complaint between the complainant and the respondent, the conciliator must make a final report to the Director on the result of that process.</w:t>
      </w:r>
    </w:p>
    <w:p>
      <w:pPr>
        <w:pStyle w:val="Subsection"/>
      </w:pPr>
      <w:r>
        <w:tab/>
        <w:t>(8)</w:t>
      </w:r>
      <w:r>
        <w:tab/>
        <w:t>A report made under subsection (7) is to include details of any agreement reached.</w:t>
      </w:r>
    </w:p>
    <w:p>
      <w:pPr>
        <w:pStyle w:val="Footnotesection"/>
        <w:ind w:left="890" w:hanging="890"/>
      </w:pPr>
      <w:r>
        <w:tab/>
        <w:t>[Section 40 amended by No. 44 of 1999 s. 18 and 22; No. 37 of 2004 s. 29; No. 57 of 2004 s. 26; No. 33 of 2010 s. 45; No. 40 of 2012 s. 16.]</w:t>
      </w:r>
    </w:p>
    <w:p>
      <w:pPr>
        <w:pStyle w:val="Heading5"/>
        <w:rPr>
          <w:snapToGrid w:val="0"/>
        </w:rPr>
      </w:pPr>
      <w:bookmarkStart w:id="84" w:name="_Toc381873634"/>
      <w:r>
        <w:rPr>
          <w:rStyle w:val="CharSectno"/>
        </w:rPr>
        <w:t>41</w:t>
      </w:r>
      <w:r>
        <w:rPr>
          <w:snapToGrid w:val="0"/>
        </w:rPr>
        <w:t>.</w:t>
      </w:r>
      <w:r>
        <w:rPr>
          <w:snapToGrid w:val="0"/>
        </w:rPr>
        <w:tab/>
        <w:t>Director’s powers on investigation</w:t>
      </w:r>
      <w:bookmarkEnd w:id="8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person’s representative</w:t>
      </w:r>
      <w:r>
        <w:t xml:space="preserve"> means — </w:t>
      </w:r>
    </w:p>
    <w:p>
      <w:pPr>
        <w:pStyle w:val="Defpara"/>
      </w:pPr>
      <w:r>
        <w:tab/>
        <w:t>(a)</w:t>
      </w:r>
      <w:r>
        <w:tab/>
        <w:t>the person’s advocate recognised under section 32(2); or</w:t>
      </w:r>
    </w:p>
    <w:p>
      <w:pPr>
        <w:pStyle w:val="Defpara"/>
      </w:pPr>
      <w:r>
        <w:tab/>
        <w:t>(b)</w:t>
      </w:r>
      <w:r>
        <w:tab/>
        <w:t xml:space="preserve">a guardian of the person under the </w:t>
      </w:r>
      <w:r>
        <w:rPr>
          <w:i/>
        </w:rPr>
        <w:t>Guardianship and Administration Act 1990</w:t>
      </w:r>
      <w:r>
        <w:t>; or</w:t>
      </w:r>
      <w:r>
        <w:tab/>
      </w:r>
    </w:p>
    <w:p>
      <w:pPr>
        <w:pStyle w:val="Defpara"/>
        <w:rPr>
          <w:b/>
        </w:rPr>
      </w:pPr>
      <w:r>
        <w:tab/>
        <w:t>(c)</w:t>
      </w:r>
      <w:r>
        <w:tab/>
        <w:t>in the case of a minor, a parent or guardian of the minor;</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85" w:name="_Toc381873635"/>
      <w:r>
        <w:rPr>
          <w:rStyle w:val="CharSectno"/>
        </w:rPr>
        <w:t>42A</w:t>
      </w:r>
      <w:r>
        <w:t>.</w:t>
      </w:r>
      <w:r>
        <w:tab/>
        <w:t>Conciliator must not investigate</w:t>
      </w:r>
      <w:bookmarkEnd w:id="85"/>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86" w:name="_Toc381872902"/>
      <w:bookmarkStart w:id="87" w:name="_Toc381873636"/>
      <w:r>
        <w:rPr>
          <w:rStyle w:val="CharDivNo"/>
        </w:rPr>
        <w:t>Division 4</w:t>
      </w:r>
      <w:r>
        <w:rPr>
          <w:snapToGrid w:val="0"/>
        </w:rPr>
        <w:t> — </w:t>
      </w:r>
      <w:r>
        <w:rPr>
          <w:rStyle w:val="CharDivText"/>
        </w:rPr>
        <w:t>Consequences of investigation</w:t>
      </w:r>
      <w:bookmarkEnd w:id="86"/>
      <w:bookmarkEnd w:id="87"/>
      <w:r>
        <w:rPr>
          <w:rStyle w:val="CharDivText"/>
        </w:rPr>
        <w:t xml:space="preserve"> </w:t>
      </w:r>
    </w:p>
    <w:p>
      <w:pPr>
        <w:pStyle w:val="Heading5"/>
      </w:pPr>
      <w:bookmarkStart w:id="88" w:name="_Toc381873637"/>
      <w:r>
        <w:rPr>
          <w:rStyle w:val="CharSectno"/>
        </w:rPr>
        <w:t>42</w:t>
      </w:r>
      <w:r>
        <w:t>.</w:t>
      </w:r>
      <w:r>
        <w:tab/>
        <w:t>Director to decide, give reasons etc.</w:t>
      </w:r>
      <w:bookmarkEnd w:id="88"/>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 or</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ind w:left="890" w:hanging="890"/>
      </w:pPr>
      <w:r>
        <w:tab/>
        <w:t>[Section 42 inserted by No. 57 of 2004 s. 27; amended by No. 33 of 2010 s. 48; No. 40 of 2012 s. 24.]</w:t>
      </w:r>
    </w:p>
    <w:p>
      <w:pPr>
        <w:pStyle w:val="Heading5"/>
        <w:spacing w:before="240"/>
      </w:pPr>
      <w:bookmarkStart w:id="89" w:name="_Toc381873638"/>
      <w:r>
        <w:rPr>
          <w:rStyle w:val="CharSectno"/>
        </w:rPr>
        <w:t>43A</w:t>
      </w:r>
      <w:r>
        <w:t>.</w:t>
      </w:r>
      <w:r>
        <w:tab/>
        <w:t>Warrants</w:t>
      </w:r>
      <w:bookmarkEnd w:id="89"/>
    </w:p>
    <w:p>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pPr>
        <w:pStyle w:val="Subsection"/>
        <w:spacing w:before="180"/>
      </w:pPr>
      <w:r>
        <w:tab/>
        <w:t>(2)</w:t>
      </w:r>
      <w:r>
        <w:tab/>
        <w:t>If a warrant is issued as a result of that application, the Director may act upon the warrant issued under that Act in accordance with, and subject to the provisions of, Part 4 of that Act.</w:t>
      </w:r>
    </w:p>
    <w:p>
      <w:pPr>
        <w:pStyle w:val="Footnotesection"/>
        <w:ind w:left="890" w:hanging="890"/>
      </w:pPr>
      <w:r>
        <w:tab/>
        <w:t>[Section 43A inserted by No. 40 of 2012 s. 17.]</w:t>
      </w:r>
    </w:p>
    <w:p>
      <w:pPr>
        <w:pStyle w:val="Heading5"/>
        <w:spacing w:before="180"/>
      </w:pPr>
      <w:bookmarkStart w:id="90" w:name="_Toc381873639"/>
      <w:r>
        <w:rPr>
          <w:rStyle w:val="CharSectno"/>
        </w:rPr>
        <w:t>43B</w:t>
      </w:r>
      <w:r>
        <w:t>.</w:t>
      </w:r>
      <w:r>
        <w:tab/>
        <w:t>Reports to Parliament</w:t>
      </w:r>
      <w:bookmarkEnd w:id="90"/>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w:t>
      </w:r>
      <w:r>
        <w:t xml:space="preserve">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43B, formerly section 42A inserted by No. 57 of 2004 s. 27; renumbered as section 43B by No. 40 of 2012 s. 18(1); amended by No. 77 of 2006 Sch. 1 cl. 45(5); No. 40 of 2012 s. 18(2).]</w:t>
      </w:r>
    </w:p>
    <w:p>
      <w:pPr>
        <w:pStyle w:val="Heading5"/>
        <w:spacing w:before="180"/>
        <w:rPr>
          <w:snapToGrid w:val="0"/>
        </w:rPr>
      </w:pPr>
      <w:bookmarkStart w:id="91" w:name="_Toc381873640"/>
      <w:r>
        <w:rPr>
          <w:rStyle w:val="CharSectno"/>
        </w:rPr>
        <w:t>43</w:t>
      </w:r>
      <w:r>
        <w:rPr>
          <w:snapToGrid w:val="0"/>
        </w:rPr>
        <w:t>.</w:t>
      </w:r>
      <w:r>
        <w:rPr>
          <w:snapToGrid w:val="0"/>
        </w:rPr>
        <w:tab/>
        <w:t>Respondent to report on remedial action</w:t>
      </w:r>
      <w:bookmarkEnd w:id="91"/>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spacing w:before="40"/>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92" w:name="_Toc381873641"/>
      <w:r>
        <w:rPr>
          <w:rStyle w:val="CharSectno"/>
        </w:rPr>
        <w:t>44</w:t>
      </w:r>
      <w:r>
        <w:rPr>
          <w:snapToGrid w:val="0"/>
        </w:rPr>
        <w:t>.</w:t>
      </w:r>
      <w:r>
        <w:rPr>
          <w:snapToGrid w:val="0"/>
        </w:rPr>
        <w:tab/>
        <w:t>Report to Parliament where report not made or remedial action not taken</w:t>
      </w:r>
      <w:bookmarkEnd w:id="92"/>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Next w:val="0"/>
        <w:spacing w:before="200"/>
      </w:pPr>
      <w:bookmarkStart w:id="93" w:name="_Toc381872908"/>
      <w:bookmarkStart w:id="94" w:name="_Toc381873642"/>
      <w:r>
        <w:rPr>
          <w:rStyle w:val="CharDivNo"/>
        </w:rPr>
        <w:t>Division 4A</w:t>
      </w:r>
      <w:r>
        <w:t> — </w:t>
      </w:r>
      <w:r>
        <w:rPr>
          <w:rStyle w:val="CharDivText"/>
        </w:rPr>
        <w:t>Director’s relationship with the Minister</w:t>
      </w:r>
      <w:bookmarkEnd w:id="93"/>
      <w:bookmarkEnd w:id="94"/>
    </w:p>
    <w:p>
      <w:pPr>
        <w:pStyle w:val="Footnoteheading"/>
        <w:tabs>
          <w:tab w:val="left" w:pos="851"/>
        </w:tabs>
        <w:spacing w:before="100"/>
      </w:pPr>
      <w:r>
        <w:tab/>
        <w:t>[Heading inserted by No. 57 of 2004 s. 29.]</w:t>
      </w:r>
    </w:p>
    <w:p>
      <w:pPr>
        <w:pStyle w:val="Heading5"/>
        <w:keepNext w:val="0"/>
        <w:keepLines w:val="0"/>
        <w:spacing w:before="180"/>
      </w:pPr>
      <w:bookmarkStart w:id="95" w:name="_Toc381873643"/>
      <w:r>
        <w:rPr>
          <w:rStyle w:val="CharSectno"/>
        </w:rPr>
        <w:t>44A</w:t>
      </w:r>
      <w:r>
        <w:t>.</w:t>
      </w:r>
      <w:r>
        <w:tab/>
        <w:t>Minister may give directions</w:t>
      </w:r>
      <w:bookmarkEnd w:id="95"/>
    </w:p>
    <w:p>
      <w:pPr>
        <w:pStyle w:val="Subsection"/>
        <w:spacing w:before="120"/>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spacing w:before="120"/>
      </w:pPr>
      <w:r>
        <w:tab/>
        <w:t>(3)</w:t>
      </w:r>
      <w:r>
        <w:tab/>
        <w:t>The Minister must cause the text of any direction given under subsection (1) to be laid before each House of Parliament within 14 sitting days after the direction is given.</w:t>
      </w:r>
    </w:p>
    <w:p>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spacing w:before="80"/>
        <w:ind w:left="890" w:hanging="890"/>
      </w:pPr>
      <w:r>
        <w:tab/>
        <w:t>[Section 44A inserted by No. 57 of 2004 s. 29; amended by No. 77 of 2006 Sch. 1 cl. 45(6); No. 33 of 2010 s. 49.]</w:t>
      </w:r>
    </w:p>
    <w:p>
      <w:pPr>
        <w:pStyle w:val="Heading5"/>
        <w:spacing w:before="180"/>
      </w:pPr>
      <w:bookmarkStart w:id="96" w:name="_Toc381873644"/>
      <w:r>
        <w:rPr>
          <w:rStyle w:val="CharSectno"/>
        </w:rPr>
        <w:t>44B</w:t>
      </w:r>
      <w:r>
        <w:t>.</w:t>
      </w:r>
      <w:r>
        <w:tab/>
        <w:t>Minister to have access to information</w:t>
      </w:r>
      <w:bookmarkEnd w:id="96"/>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keepNex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spacing w:before="260"/>
        <w:rPr>
          <w:snapToGrid w:val="0"/>
        </w:rPr>
      </w:pPr>
      <w:bookmarkStart w:id="97" w:name="_Toc381872911"/>
      <w:bookmarkStart w:id="98" w:name="_Toc381873645"/>
      <w:r>
        <w:rPr>
          <w:rStyle w:val="CharDivNo"/>
        </w:rPr>
        <w:t>Division 5</w:t>
      </w:r>
      <w:r>
        <w:rPr>
          <w:snapToGrid w:val="0"/>
        </w:rPr>
        <w:t> — </w:t>
      </w:r>
      <w:r>
        <w:rPr>
          <w:rStyle w:val="CharDivText"/>
        </w:rPr>
        <w:t>General</w:t>
      </w:r>
      <w:bookmarkEnd w:id="97"/>
      <w:bookmarkEnd w:id="98"/>
      <w:r>
        <w:rPr>
          <w:rStyle w:val="CharDivText"/>
        </w:rPr>
        <w:t xml:space="preserve"> </w:t>
      </w:r>
    </w:p>
    <w:p>
      <w:pPr>
        <w:pStyle w:val="Heading5"/>
        <w:spacing w:before="240"/>
        <w:rPr>
          <w:snapToGrid w:val="0"/>
        </w:rPr>
      </w:pPr>
      <w:bookmarkStart w:id="99" w:name="_Toc381873646"/>
      <w:r>
        <w:rPr>
          <w:rStyle w:val="CharSectno"/>
        </w:rPr>
        <w:t>45</w:t>
      </w:r>
      <w:r>
        <w:rPr>
          <w:snapToGrid w:val="0"/>
        </w:rPr>
        <w:t>.</w:t>
      </w:r>
      <w:r>
        <w:rPr>
          <w:snapToGrid w:val="0"/>
        </w:rPr>
        <w:tab/>
        <w:t>Proceedings to stop if court action etc.</w:t>
      </w:r>
      <w:bookmarkEnd w:id="99"/>
      <w:r>
        <w:rPr>
          <w:snapToGrid w:val="0"/>
        </w:rPr>
        <w:t xml:space="preserve"> </w:t>
      </w:r>
    </w:p>
    <w:p>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spacing w:before="180"/>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240"/>
      </w:pPr>
      <w:bookmarkStart w:id="100" w:name="_Toc381873647"/>
      <w:r>
        <w:rPr>
          <w:rStyle w:val="CharSectno"/>
        </w:rPr>
        <w:t>46</w:t>
      </w:r>
      <w:r>
        <w:t>.</w:t>
      </w:r>
      <w:r>
        <w:tab/>
        <w:t>Minister may refer matters for investigation</w:t>
      </w:r>
      <w:bookmarkEnd w:id="100"/>
      <w:r>
        <w:t xml:space="preserve"> </w:t>
      </w:r>
    </w:p>
    <w:p>
      <w:pPr>
        <w:pStyle w:val="Subsection"/>
        <w:spacing w:before="180"/>
      </w:pPr>
      <w:r>
        <w:tab/>
      </w:r>
      <w:r>
        <w:tab/>
        <w:t xml:space="preserve">Where the Minister is of the opinion that — </w:t>
      </w:r>
    </w:p>
    <w:p>
      <w:pPr>
        <w:pStyle w:val="Indenta"/>
      </w:pPr>
      <w:r>
        <w:tab/>
        <w:t>(a)</w:t>
      </w:r>
      <w:r>
        <w:tab/>
        <w:t>circumstances exist in relation to a person with disability that would justify a complaint being made under this Part; or</w:t>
      </w:r>
    </w:p>
    <w:p>
      <w:pPr>
        <w:pStyle w:val="Indenta"/>
        <w:keepNext/>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 amended by No. 40 of 2012 s. 24.]</w:t>
      </w:r>
    </w:p>
    <w:p>
      <w:pPr>
        <w:pStyle w:val="Heading5"/>
        <w:spacing w:before="180"/>
      </w:pPr>
      <w:bookmarkStart w:id="101" w:name="_Toc381873648"/>
      <w:r>
        <w:rPr>
          <w:rStyle w:val="CharSectno"/>
        </w:rPr>
        <w:t>46A</w:t>
      </w:r>
      <w:r>
        <w:t>.</w:t>
      </w:r>
      <w:r>
        <w:tab/>
        <w:t>Investigation at the request of Parliament</w:t>
      </w:r>
      <w:bookmarkEnd w:id="101"/>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pPr>
        <w:pStyle w:val="Footnotesection"/>
      </w:pPr>
      <w:r>
        <w:tab/>
        <w:t>[Section 46A inserted by No. 57 of 2004 s. 31; amended by No. 40 of 2012 s. 19.]</w:t>
      </w:r>
    </w:p>
    <w:p>
      <w:pPr>
        <w:pStyle w:val="Heading5"/>
        <w:spacing w:before="180"/>
      </w:pPr>
      <w:bookmarkStart w:id="102" w:name="_Toc381873649"/>
      <w:r>
        <w:rPr>
          <w:rStyle w:val="CharSectno"/>
        </w:rPr>
        <w:t>46B</w:t>
      </w:r>
      <w:r>
        <w:t>.</w:t>
      </w:r>
      <w:r>
        <w:tab/>
        <w:t>False or misleading statements</w:t>
      </w:r>
      <w:bookmarkEnd w:id="102"/>
    </w:p>
    <w:p>
      <w:pPr>
        <w:pStyle w:val="Subsection"/>
        <w:spacing w:before="120"/>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spacing w:before="180"/>
        <w:rPr>
          <w:snapToGrid w:val="0"/>
        </w:rPr>
      </w:pPr>
      <w:bookmarkStart w:id="103" w:name="_Toc381873650"/>
      <w:r>
        <w:rPr>
          <w:rStyle w:val="CharSectno"/>
        </w:rPr>
        <w:t>47</w:t>
      </w:r>
      <w:r>
        <w:rPr>
          <w:snapToGrid w:val="0"/>
        </w:rPr>
        <w:t>.</w:t>
      </w:r>
      <w:r>
        <w:rPr>
          <w:snapToGrid w:val="0"/>
        </w:rPr>
        <w:tab/>
        <w:t>Person not to be penalised because of complaining</w:t>
      </w:r>
      <w:bookmarkEnd w:id="103"/>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pPr>
      <w:bookmarkStart w:id="104" w:name="_Toc381873651"/>
      <w:r>
        <w:rPr>
          <w:rStyle w:val="CharSectno"/>
        </w:rPr>
        <w:t>48A</w:t>
      </w:r>
      <w:r>
        <w:t>.</w:t>
      </w:r>
      <w:r>
        <w:tab/>
        <w:t>Prescribed service provider must give certain information</w:t>
      </w:r>
      <w:bookmarkEnd w:id="104"/>
    </w:p>
    <w:p>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pPr>
        <w:pStyle w:val="Penstart"/>
      </w:pPr>
      <w:r>
        <w:tab/>
        <w:t>Penalty: a fine of $1 000.</w:t>
      </w:r>
    </w:p>
    <w:p>
      <w:pPr>
        <w:pStyle w:val="Subsection"/>
      </w:pPr>
      <w:r>
        <w:tab/>
        <w:t>(2)</w:t>
      </w:r>
      <w:r>
        <w:tab/>
        <w:t>The return is to be in the prescribed form or the form prescribed for the class of service providers, as the case may require.</w:t>
      </w:r>
    </w:p>
    <w:p>
      <w:pPr>
        <w:pStyle w:val="Footnotesection"/>
      </w:pPr>
      <w:r>
        <w:tab/>
        <w:t>[Section 48A inserted by No. 40 of 2012 s. 20.]</w:t>
      </w:r>
    </w:p>
    <w:p>
      <w:pPr>
        <w:pStyle w:val="Heading5"/>
        <w:rPr>
          <w:snapToGrid w:val="0"/>
        </w:rPr>
      </w:pPr>
      <w:bookmarkStart w:id="105" w:name="_Toc381873652"/>
      <w:r>
        <w:rPr>
          <w:rStyle w:val="CharSectno"/>
        </w:rPr>
        <w:t>48</w:t>
      </w:r>
      <w:r>
        <w:rPr>
          <w:snapToGrid w:val="0"/>
        </w:rPr>
        <w:t>.</w:t>
      </w:r>
      <w:r>
        <w:rPr>
          <w:snapToGrid w:val="0"/>
        </w:rPr>
        <w:tab/>
        <w:t>Registers of complaints</w:t>
      </w:r>
      <w:bookmarkEnd w:id="105"/>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06" w:name="_Toc381873653"/>
      <w:r>
        <w:rPr>
          <w:rStyle w:val="CharSectno"/>
        </w:rPr>
        <w:t>49</w:t>
      </w:r>
      <w:r>
        <w:rPr>
          <w:snapToGrid w:val="0"/>
        </w:rPr>
        <w:t>.</w:t>
      </w:r>
      <w:r>
        <w:rPr>
          <w:snapToGrid w:val="0"/>
        </w:rPr>
        <w:tab/>
        <w:t>Delegation</w:t>
      </w:r>
      <w:bookmarkEnd w:id="106"/>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07" w:name="_Toc381873654"/>
      <w:r>
        <w:rPr>
          <w:rStyle w:val="CharSectno"/>
        </w:rPr>
        <w:t>50</w:t>
      </w:r>
      <w:r>
        <w:rPr>
          <w:snapToGrid w:val="0"/>
        </w:rPr>
        <w:t>.</w:t>
      </w:r>
      <w:r>
        <w:rPr>
          <w:snapToGrid w:val="0"/>
        </w:rPr>
        <w:tab/>
        <w:t>Confidentiality</w:t>
      </w:r>
      <w:bookmarkEnd w:id="107"/>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108" w:name="_Toc381872921"/>
      <w:bookmarkStart w:id="109" w:name="_Toc381873655"/>
      <w:r>
        <w:rPr>
          <w:rStyle w:val="CharPartNo"/>
        </w:rPr>
        <w:t>Part 7</w:t>
      </w:r>
      <w:r>
        <w:rPr>
          <w:rStyle w:val="CharDivNo"/>
        </w:rPr>
        <w:t> </w:t>
      </w:r>
      <w:r>
        <w:t>—</w:t>
      </w:r>
      <w:r>
        <w:rPr>
          <w:rStyle w:val="CharDivText"/>
        </w:rPr>
        <w:t> </w:t>
      </w:r>
      <w:r>
        <w:rPr>
          <w:rStyle w:val="CharPartText"/>
        </w:rPr>
        <w:t>Miscellaneous</w:t>
      </w:r>
      <w:bookmarkEnd w:id="108"/>
      <w:bookmarkEnd w:id="109"/>
      <w:r>
        <w:rPr>
          <w:rStyle w:val="CharPartText"/>
        </w:rPr>
        <w:t xml:space="preserve"> </w:t>
      </w:r>
    </w:p>
    <w:p>
      <w:pPr>
        <w:pStyle w:val="Heading5"/>
        <w:rPr>
          <w:snapToGrid w:val="0"/>
        </w:rPr>
      </w:pPr>
      <w:bookmarkStart w:id="110" w:name="_Toc381873656"/>
      <w:r>
        <w:rPr>
          <w:rStyle w:val="CharSectno"/>
        </w:rPr>
        <w:t>51</w:t>
      </w:r>
      <w:r>
        <w:rPr>
          <w:snapToGrid w:val="0"/>
        </w:rPr>
        <w:t>.</w:t>
      </w:r>
      <w:r>
        <w:rPr>
          <w:snapToGrid w:val="0"/>
        </w:rPr>
        <w:tab/>
        <w:t>Protection</w:t>
      </w:r>
      <w:bookmarkEnd w:id="110"/>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11" w:name="_Toc381873657"/>
      <w:r>
        <w:rPr>
          <w:rStyle w:val="CharSectno"/>
        </w:rPr>
        <w:t>52</w:t>
      </w:r>
      <w:r>
        <w:rPr>
          <w:snapToGrid w:val="0"/>
        </w:rPr>
        <w:t>.</w:t>
      </w:r>
      <w:r>
        <w:rPr>
          <w:snapToGrid w:val="0"/>
        </w:rPr>
        <w:tab/>
        <w:t>Confidentiality</w:t>
      </w:r>
      <w:bookmarkEnd w:id="111"/>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pPr>
      <w:r>
        <w:tab/>
        <w:t>(ba)</w:t>
      </w:r>
      <w:r>
        <w:tab/>
        <w:t>in connection with the investigation of an offence to —</w:t>
      </w:r>
    </w:p>
    <w:p>
      <w:pPr>
        <w:pStyle w:val="Indenti"/>
      </w:pPr>
      <w:r>
        <w:tab/>
        <w:t>(i)</w:t>
      </w:r>
      <w:r>
        <w:tab/>
        <w:t>a member of the Police Force of Western Australia or the Australian Federal Police; or</w:t>
      </w:r>
    </w:p>
    <w:p>
      <w:pPr>
        <w:pStyle w:val="Indenti"/>
      </w:pPr>
      <w:r>
        <w:tab/>
        <w:t>(ii)</w:t>
      </w:r>
      <w:r>
        <w:tab/>
        <w:t xml:space="preserve">the Director of Public Prosecutions for </w:t>
      </w:r>
      <w:smartTag w:uri="urn:schemas-microsoft-com:office:smarttags" w:element="place">
        <w:smartTag w:uri="urn:schemas-microsoft-com:office:smarttags" w:element="State">
          <w:r>
            <w:t>Western Australia</w:t>
          </w:r>
        </w:smartTag>
      </w:smartTag>
      <w:r>
        <w:t xml:space="preserve">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r>
      <w:r>
        <w:tab/>
        <w:t>or</w:t>
      </w:r>
    </w:p>
    <w:p>
      <w:pPr>
        <w:pStyle w:val="Indenta"/>
      </w:pPr>
      <w:r>
        <w:tab/>
        <w:t>(bb)</w:t>
      </w:r>
      <w:r>
        <w:tab/>
        <w:t>where it is in the public interest to protect the physical safety of an individual; or</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pPr>
        <w:pStyle w:val="Indenta"/>
      </w:pPr>
      <w:r>
        <w:tab/>
        <w:t>(bd)</w:t>
      </w:r>
      <w:r>
        <w:tab/>
        <w:t xml:space="preserve">for the purpose of protection proceedings under the </w:t>
      </w:r>
      <w:r>
        <w:rPr>
          <w:i/>
        </w:rPr>
        <w:t>Children and Community Services Act 2004</w:t>
      </w:r>
      <w:r>
        <w:t>; or</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 xml:space="preserve">No. 34 of 2004 </w:t>
      </w:r>
      <w:r>
        <w:t>Sch. 2 cl. 7; No. 55 of 2004 s. 467.]</w:t>
      </w:r>
    </w:p>
    <w:p>
      <w:pPr>
        <w:pStyle w:val="Heading5"/>
        <w:rPr>
          <w:snapToGrid w:val="0"/>
        </w:rPr>
      </w:pPr>
      <w:bookmarkStart w:id="112" w:name="_Toc381873658"/>
      <w:r>
        <w:rPr>
          <w:rStyle w:val="CharSectno"/>
        </w:rPr>
        <w:t>53</w:t>
      </w:r>
      <w:r>
        <w:rPr>
          <w:snapToGrid w:val="0"/>
        </w:rPr>
        <w:t>.</w:t>
      </w:r>
      <w:r>
        <w:rPr>
          <w:snapToGrid w:val="0"/>
        </w:rPr>
        <w:tab/>
        <w:t>Offence of ill</w:t>
      </w:r>
      <w:r>
        <w:rPr>
          <w:snapToGrid w:val="0"/>
        </w:rPr>
        <w:noBreakHyphen/>
        <w:t>treatment</w:t>
      </w:r>
      <w:bookmarkEnd w:id="112"/>
      <w:r>
        <w:rPr>
          <w:snapToGrid w:val="0"/>
        </w:rPr>
        <w:t xml:space="preserve"> </w:t>
      </w:r>
    </w:p>
    <w:p>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pPr>
        <w:pStyle w:val="Penstart"/>
        <w:rPr>
          <w:snapToGrid w:val="0"/>
        </w:rPr>
      </w:pPr>
      <w:r>
        <w:rPr>
          <w:snapToGrid w:val="0"/>
        </w:rPr>
        <w:tab/>
        <w:t>Penalty: $4 000 or imprisonment for 12 months.</w:t>
      </w:r>
    </w:p>
    <w:p>
      <w:pPr>
        <w:pStyle w:val="Footnotesection"/>
      </w:pPr>
      <w:r>
        <w:tab/>
        <w:t>[Section 53 amended by No. 40 of 2012 s. 24.]</w:t>
      </w:r>
    </w:p>
    <w:p>
      <w:pPr>
        <w:pStyle w:val="Heading5"/>
        <w:rPr>
          <w:snapToGrid w:val="0"/>
        </w:rPr>
      </w:pPr>
      <w:bookmarkStart w:id="113" w:name="_Toc381873659"/>
      <w:r>
        <w:rPr>
          <w:rStyle w:val="CharSectno"/>
        </w:rPr>
        <w:t>54</w:t>
      </w:r>
      <w:r>
        <w:rPr>
          <w:snapToGrid w:val="0"/>
        </w:rPr>
        <w:t>.</w:t>
      </w:r>
      <w:r>
        <w:rPr>
          <w:snapToGrid w:val="0"/>
        </w:rPr>
        <w:tab/>
        <w:t>Prosecution of offences</w:t>
      </w:r>
      <w:bookmarkEnd w:id="113"/>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14" w:name="_Toc381873660"/>
      <w:r>
        <w:rPr>
          <w:rStyle w:val="CharSectno"/>
        </w:rPr>
        <w:t>55</w:t>
      </w:r>
      <w:r>
        <w:rPr>
          <w:snapToGrid w:val="0"/>
        </w:rPr>
        <w:t>.</w:t>
      </w:r>
      <w:r>
        <w:rPr>
          <w:snapToGrid w:val="0"/>
        </w:rPr>
        <w:tab/>
        <w:t>Parliamentary Commissioner may conduct investigation</w:t>
      </w:r>
      <w:bookmarkEnd w:id="114"/>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15" w:name="_Toc381873661"/>
      <w:r>
        <w:rPr>
          <w:rStyle w:val="CharSectno"/>
        </w:rPr>
        <w:t>56</w:t>
      </w:r>
      <w:r>
        <w:rPr>
          <w:snapToGrid w:val="0"/>
        </w:rPr>
        <w:t>.</w:t>
      </w:r>
      <w:r>
        <w:rPr>
          <w:snapToGrid w:val="0"/>
        </w:rPr>
        <w:tab/>
        <w:t>Regulations</w:t>
      </w:r>
      <w:bookmarkEnd w:id="115"/>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16" w:name="_Toc381873662"/>
      <w:r>
        <w:rPr>
          <w:rStyle w:val="CharSectno"/>
        </w:rPr>
        <w:t>57</w:t>
      </w:r>
      <w:r>
        <w:rPr>
          <w:snapToGrid w:val="0"/>
        </w:rPr>
        <w:t>.</w:t>
      </w:r>
      <w:r>
        <w:rPr>
          <w:snapToGrid w:val="0"/>
        </w:rPr>
        <w:tab/>
        <w:t>Review of Act</w:t>
      </w:r>
      <w:bookmarkEnd w:id="11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pPr>
      <w:r>
        <w:tab/>
        <w:t>(2)</w:t>
      </w:r>
      <w:r>
        <w:tab/>
        <w:t>The review is to consider whether the policy objectives of the Act remain valid and whether the provisions of the Act are still appropriate for securing those objectives.</w:t>
      </w:r>
    </w:p>
    <w:p>
      <w:pPr>
        <w:pStyle w:val="Ednotesubsection"/>
      </w:pPr>
      <w:r>
        <w:tab/>
        <w:t>[(3), (4)</w:t>
      </w:r>
      <w:r>
        <w:tab/>
        <w:t>deleted]</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 No. 40 of 2012 s. 21.]</w:t>
      </w:r>
    </w:p>
    <w:p>
      <w:pPr>
        <w:pStyle w:val="Ednotesection"/>
      </w:pPr>
      <w:r>
        <w:t>[</w:t>
      </w:r>
      <w:r>
        <w:rPr>
          <w:b/>
        </w:rPr>
        <w:t>58.</w:t>
      </w:r>
      <w:r>
        <w:tab/>
        <w:t>Omitted under the Reprints Act 1984 s. 7(4)(f).]</w:t>
      </w:r>
    </w:p>
    <w:p>
      <w:pPr>
        <w:keepNext/>
        <w:spacing w:before="120"/>
        <w:ind w:right="113"/>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17" w:name="_Toc381872929"/>
      <w:bookmarkStart w:id="118" w:name="_Toc381873663"/>
      <w:r>
        <w:rPr>
          <w:rStyle w:val="CharSchNo"/>
        </w:rPr>
        <w:t>Schedule 1</w:t>
      </w:r>
      <w:r>
        <w:rPr>
          <w:rStyle w:val="CharSDivNo"/>
        </w:rPr>
        <w:t> </w:t>
      </w:r>
      <w:r>
        <w:t>—</w:t>
      </w:r>
      <w:r>
        <w:rPr>
          <w:rStyle w:val="CharSDivText"/>
        </w:rPr>
        <w:t> </w:t>
      </w:r>
      <w:r>
        <w:rPr>
          <w:rStyle w:val="CharSchText"/>
        </w:rPr>
        <w:t>Principles applicable to people with disability</w:t>
      </w:r>
      <w:bookmarkEnd w:id="117"/>
      <w:bookmarkEnd w:id="118"/>
    </w:p>
    <w:p>
      <w:pPr>
        <w:pStyle w:val="yShoulderClause"/>
      </w:pPr>
      <w:r>
        <w:t>[s. 12, 23, 24, 28, 40 and 57]</w:t>
      </w:r>
    </w:p>
    <w:p>
      <w:pPr>
        <w:pStyle w:val="yFootnoteheading"/>
      </w:pPr>
      <w:r>
        <w:tab/>
        <w:t>[Heading inserted by No. 40 of 2012 s. 22.]</w:t>
      </w:r>
    </w:p>
    <w:p>
      <w:pPr>
        <w:pStyle w:val="yNumberedItem"/>
        <w:spacing w:before="160"/>
      </w:pPr>
      <w:r>
        <w:t>1.</w:t>
      </w:r>
      <w:r>
        <w:tab/>
        <w:t>People with disability are individuals who have the inherent right to respect for their human worth and dignity without discrimination and with equality of opportunity.</w:t>
      </w:r>
    </w:p>
    <w:p>
      <w:pPr>
        <w:pStyle w:val="yNumberedItem"/>
        <w:spacing w:before="160"/>
      </w:pPr>
      <w:r>
        <w:t>2.</w:t>
      </w:r>
      <w:r>
        <w:tab/>
        <w:t>People with disability, whatever the origin, nature, type or degree of disability, have the same human rights as other members of society and should be enabled to exercise those human rights.</w:t>
      </w:r>
    </w:p>
    <w:p>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pPr>
        <w:pStyle w:val="yNumberedItem"/>
        <w:spacing w:before="160"/>
      </w:pPr>
      <w:r>
        <w:t>5.</w:t>
      </w:r>
      <w:r>
        <w:tab/>
        <w:t>People with disability have the same right as other members of society to participate in, direct and implement the decisions that affect their lives.</w:t>
      </w:r>
    </w:p>
    <w:p>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pPr>
        <w:pStyle w:val="yNumberedItem"/>
        <w:spacing w:before="160"/>
      </w:pPr>
      <w:r>
        <w:t>7.</w:t>
      </w:r>
      <w:r>
        <w:tab/>
        <w:t>People with disability have the right to pursue any grievance concerning services.</w:t>
      </w:r>
    </w:p>
    <w:p>
      <w:pPr>
        <w:pStyle w:val="yNumberedItem"/>
        <w:spacing w:before="160"/>
      </w:pPr>
      <w:r>
        <w:t>8.</w:t>
      </w:r>
      <w:r>
        <w:tab/>
        <w:t>People with disability have the right to access the type of services and supports that they believe are most appropriate to meet their needs.</w:t>
      </w:r>
    </w:p>
    <w:p>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pPr>
        <w:pStyle w:val="yNumberedItem"/>
        <w:spacing w:before="160"/>
      </w:pPr>
      <w:r>
        <w:t>10.</w:t>
      </w:r>
      <w:r>
        <w:tab/>
        <w:t>People with disability have a right to an environment free from neglect, abuse, violence, intimidation and exploitation.</w:t>
      </w:r>
    </w:p>
    <w:p>
      <w:pPr>
        <w:pStyle w:val="yFootnotesection"/>
      </w:pPr>
      <w:r>
        <w:tab/>
        <w:t>[Schedule 1 inserted by No. 40 of 2012 s. 22.]</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19" w:name="_Toc381872930"/>
      <w:bookmarkStart w:id="120" w:name="_Toc381873664"/>
      <w:r>
        <w:rPr>
          <w:rStyle w:val="CharSchNo"/>
        </w:rPr>
        <w:t>Schedule 2</w:t>
      </w:r>
      <w:r>
        <w:rPr>
          <w:rStyle w:val="CharSDivNo"/>
        </w:rPr>
        <w:t> </w:t>
      </w:r>
      <w:r>
        <w:t>—</w:t>
      </w:r>
      <w:r>
        <w:rPr>
          <w:rStyle w:val="CharSDivText"/>
        </w:rPr>
        <w:t> </w:t>
      </w:r>
      <w:r>
        <w:rPr>
          <w:rStyle w:val="CharSchText"/>
        </w:rPr>
        <w:t>Objectives for services and programmes</w:t>
      </w:r>
      <w:bookmarkEnd w:id="119"/>
      <w:bookmarkEnd w:id="120"/>
    </w:p>
    <w:p>
      <w:pPr>
        <w:pStyle w:val="yShoulderClause"/>
      </w:pPr>
      <w:r>
        <w:t>[s. 12, 24, 28 and 40]</w:t>
      </w:r>
    </w:p>
    <w:p>
      <w:pPr>
        <w:pStyle w:val="yFootnoteheading"/>
      </w:pPr>
      <w:r>
        <w:tab/>
        <w:t>[Heading inserted by No. 40 of 2012 s. 22.]</w:t>
      </w:r>
    </w:p>
    <w:p>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pPr>
        <w:pStyle w:val="yNumberedItem"/>
        <w:spacing w:before="160"/>
      </w:pPr>
      <w:r>
        <w:t>3.</w:t>
      </w:r>
      <w:r>
        <w:tab/>
        <w:t>Programmes and services are to be integrated with services generally available to members of the community.</w:t>
      </w:r>
    </w:p>
    <w:p>
      <w:pPr>
        <w:pStyle w:val="yNumberedItem"/>
        <w:spacing w:before="160"/>
      </w:pPr>
      <w:r>
        <w:t>4.</w:t>
      </w:r>
      <w:r>
        <w:tab/>
        <w:t>Programmes and services are to be flexible and responsive to the individual choices and needs of people with disability, their families, carers and significant others.</w:t>
      </w:r>
    </w:p>
    <w:p>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pPr>
        <w:pStyle w:val="yNumberedItem"/>
        <w:spacing w:before="160"/>
      </w:pPr>
      <w:r>
        <w:t>8.</w:t>
      </w:r>
      <w:r>
        <w:tab/>
        <w:t>Programmes and services are to be designed and administered so as to ensure that no single organisation shall exercise control over all or most aspects of an individual’s life.</w:t>
      </w:r>
    </w:p>
    <w:p>
      <w:pPr>
        <w:pStyle w:val="yNumberedItem"/>
        <w:spacing w:before="160"/>
      </w:pPr>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p>
    <w:p>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pPr>
        <w:pStyle w:val="yNumberedItem"/>
        <w:spacing w:before="160"/>
      </w:pPr>
      <w:r>
        <w:t>12.</w:t>
      </w:r>
      <w:r>
        <w:tab/>
        <w:t>Programmes and services are to be designed and administered so as to ensure that avenues exist for people with disability to raise, and have resolved, any grievances about services.</w:t>
      </w:r>
    </w:p>
    <w:p>
      <w:pPr>
        <w:pStyle w:val="yNumberedItem"/>
        <w:spacing w:before="160"/>
      </w:pPr>
      <w:r>
        <w:t>13.</w:t>
      </w:r>
      <w:r>
        <w:tab/>
        <w:t>Programmes and services are to be designed and implemented in an accessible manner.</w:t>
      </w:r>
    </w:p>
    <w:p>
      <w:pPr>
        <w:pStyle w:val="yNumberedItem"/>
        <w:spacing w:before="160"/>
      </w:pPr>
      <w:r>
        <w:t>14.</w:t>
      </w:r>
      <w:r>
        <w:tab/>
        <w:t>Programmes and services are to be designed and administered so as to respect the rights of people with disability to privacy and confidentiality.</w:t>
      </w:r>
    </w:p>
    <w:p>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pPr>
        <w:pStyle w:val="yNumberedItem"/>
        <w:spacing w:before="160"/>
      </w:pPr>
      <w:r>
        <w:t>16.</w:t>
      </w:r>
      <w:r>
        <w:tab/>
        <w:t xml:space="preserve">Programmes and services are to be designed and implemented to — </w:t>
      </w:r>
    </w:p>
    <w:p>
      <w:pPr>
        <w:pStyle w:val="yIndenta"/>
      </w:pPr>
      <w:r>
        <w:tab/>
        <w:t>(a)</w:t>
      </w:r>
      <w:r>
        <w:tab/>
        <w:t>acknowledge, recognise, respect and respond to the role of families, carers and significant others in supporting people with disability; and</w:t>
      </w:r>
    </w:p>
    <w:p>
      <w:pPr>
        <w:pStyle w:val="yIndenta"/>
      </w:pPr>
      <w:r>
        <w:tab/>
        <w:t>(b)</w:t>
      </w:r>
      <w:r>
        <w:tab/>
        <w:t>respond to the views and needs of families, carers and significant others; and</w:t>
      </w:r>
    </w:p>
    <w:p>
      <w:pPr>
        <w:pStyle w:val="yIndenta"/>
      </w:pPr>
      <w:r>
        <w:tab/>
        <w:t>(c)</w:t>
      </w:r>
      <w:r>
        <w:tab/>
        <w:t>strengthen and build the capacity of families, carers and significant others in supporting people with disability.</w:t>
      </w:r>
    </w:p>
    <w:p>
      <w:pPr>
        <w:pStyle w:val="yNumberedItem"/>
        <w:spacing w:before="160"/>
      </w:pPr>
      <w:r>
        <w:t>17.</w:t>
      </w:r>
      <w:r>
        <w:tab/>
        <w:t xml:space="preserve">Programmes and services are to provide — </w:t>
      </w:r>
    </w:p>
    <w:p>
      <w:pPr>
        <w:pStyle w:val="yIndenta"/>
      </w:pPr>
      <w:r>
        <w:tab/>
        <w:t>(a)</w:t>
      </w:r>
      <w:r>
        <w:tab/>
        <w:t>people with disability and their families and carers with opportunities for participating continually in the planning and operation of services they receive; and</w:t>
      </w:r>
    </w:p>
    <w:p>
      <w:pPr>
        <w:pStyle w:val="yIndenta"/>
      </w:pPr>
      <w:r>
        <w:tab/>
        <w:t>(b)</w:t>
      </w:r>
      <w:r>
        <w:tab/>
        <w:t>opportunities for people with disability, their families and their carers to be consulted about the development of major policy, programme or operational changes.</w:t>
      </w:r>
    </w:p>
    <w:p>
      <w:pPr>
        <w:pStyle w:val="yFootnotesection"/>
      </w:pPr>
      <w:r>
        <w:tab/>
        <w:t>[Schedule 2 inserted by No. 40 of 2012 s. 22.]</w:t>
      </w:r>
    </w:p>
    <w:p>
      <w:pPr>
        <w:keepNext/>
        <w:spacing w:before="120"/>
        <w:ind w:right="113"/>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yScheduleHeading"/>
      </w:pPr>
      <w:bookmarkStart w:id="121" w:name="_Toc381872931"/>
      <w:bookmarkStart w:id="122" w:name="_Toc381873665"/>
      <w:r>
        <w:rPr>
          <w:rStyle w:val="CharSchNo"/>
        </w:rPr>
        <w:t>Schedule 3</w:t>
      </w:r>
      <w:r>
        <w:t> — </w:t>
      </w:r>
      <w:r>
        <w:rPr>
          <w:rStyle w:val="CharSchText"/>
        </w:rPr>
        <w:t>Provisions applicable to the Board of the Commission</w:t>
      </w:r>
      <w:bookmarkEnd w:id="121"/>
      <w:bookmarkEnd w:id="122"/>
    </w:p>
    <w:p>
      <w:pPr>
        <w:pStyle w:val="yShoulderClause"/>
        <w:rPr>
          <w:snapToGrid w:val="0"/>
        </w:rPr>
      </w:pPr>
      <w:r>
        <w:rPr>
          <w:snapToGrid w:val="0"/>
        </w:rPr>
        <w:t>[s. 7(4)]</w:t>
      </w:r>
    </w:p>
    <w:p>
      <w:pPr>
        <w:pStyle w:val="yFootnoteheading"/>
      </w:pPr>
      <w:r>
        <w:tab/>
        <w:t>[Heading amended by No. 19 of 2010 s. 4.]</w:t>
      </w:r>
    </w:p>
    <w:p>
      <w:pPr>
        <w:pStyle w:val="yHeading5"/>
        <w:ind w:left="890" w:hanging="890"/>
      </w:pPr>
      <w:bookmarkStart w:id="123" w:name="_Toc381873666"/>
      <w:r>
        <w:rPr>
          <w:rStyle w:val="CharSClsNo"/>
        </w:rPr>
        <w:t>1</w:t>
      </w:r>
      <w:r>
        <w:t>.</w:t>
      </w:r>
      <w:r>
        <w:tab/>
        <w:t>Tenure of office</w:t>
      </w:r>
      <w:bookmarkEnd w:id="123"/>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 and</w:t>
      </w:r>
    </w:p>
    <w:p>
      <w:pPr>
        <w:pStyle w:val="yIndenta"/>
        <w:rPr>
          <w:snapToGrid w:val="0"/>
        </w:rPr>
      </w:pPr>
      <w:r>
        <w:rPr>
          <w:snapToGrid w:val="0"/>
        </w:rPr>
        <w:tab/>
        <w:t>(b)</w:t>
      </w:r>
      <w:r>
        <w:rPr>
          <w:snapToGrid w:val="0"/>
        </w:rPr>
        <w:tab/>
        <w:t>except in the case of the chairperson, is not to hold office for more than 6 years continuously; and</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r>
        <w:tab/>
        <w:t xml:space="preserve">[Clause 1 amended by No. 44 of 1999 s. 25(1) and (2); No. 10 of 2001 s. 220.] </w:t>
      </w:r>
    </w:p>
    <w:p>
      <w:pPr>
        <w:pStyle w:val="yHeading5"/>
        <w:ind w:left="890" w:hanging="890"/>
      </w:pPr>
      <w:bookmarkStart w:id="124" w:name="_Toc381873667"/>
      <w:r>
        <w:rPr>
          <w:rStyle w:val="CharSClsNo"/>
        </w:rPr>
        <w:t>2</w:t>
      </w:r>
      <w:r>
        <w:t>.</w:t>
      </w:r>
      <w:r>
        <w:tab/>
        <w:t>Chairperson</w:t>
      </w:r>
      <w:bookmarkEnd w:id="124"/>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5" w:name="_Toc381873668"/>
      <w:r>
        <w:rPr>
          <w:rStyle w:val="CharSClsNo"/>
        </w:rPr>
        <w:t>3</w:t>
      </w:r>
      <w:r>
        <w:t>.</w:t>
      </w:r>
      <w:r>
        <w:tab/>
        <w:t>Meetings</w:t>
      </w:r>
      <w:bookmarkEnd w:id="125"/>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26" w:name="_Toc381873669"/>
      <w:r>
        <w:rPr>
          <w:rStyle w:val="CharSClsNo"/>
        </w:rPr>
        <w:t>4</w:t>
      </w:r>
      <w:r>
        <w:t>.</w:t>
      </w:r>
      <w:r>
        <w:tab/>
        <w:t>Remuneration</w:t>
      </w:r>
      <w:bookmarkEnd w:id="126"/>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by No. 44 of 1999 s. 25(3); No. 39 of 2010 s. 89.] </w:t>
      </w:r>
    </w:p>
    <w:p>
      <w:pPr>
        <w:pStyle w:val="yScheduleHeading"/>
      </w:pPr>
      <w:bookmarkStart w:id="127" w:name="_Toc381872936"/>
      <w:bookmarkStart w:id="128" w:name="_Toc381873670"/>
      <w:r>
        <w:rPr>
          <w:rStyle w:val="CharSchNo"/>
        </w:rPr>
        <w:t>Schedule 4</w:t>
      </w:r>
      <w:r>
        <w:t> — </w:t>
      </w:r>
      <w:r>
        <w:rPr>
          <w:rStyle w:val="CharSchText"/>
        </w:rPr>
        <w:t>Provisions applicable to the Commission’s personnel</w:t>
      </w:r>
      <w:bookmarkEnd w:id="127"/>
      <w:bookmarkEnd w:id="128"/>
    </w:p>
    <w:p>
      <w:pPr>
        <w:pStyle w:val="yShoulderClause"/>
        <w:rPr>
          <w:snapToGrid w:val="0"/>
        </w:rPr>
      </w:pPr>
      <w:r>
        <w:rPr>
          <w:snapToGrid w:val="0"/>
        </w:rPr>
        <w:t>[s. 11]</w:t>
      </w:r>
    </w:p>
    <w:p>
      <w:pPr>
        <w:pStyle w:val="yFootnoteheading"/>
      </w:pPr>
      <w:r>
        <w:tab/>
        <w:t>[Heading amended by No. 19 of 2010 s. 4.]</w:t>
      </w:r>
    </w:p>
    <w:p>
      <w:pPr>
        <w:pStyle w:val="yHeading5"/>
        <w:ind w:left="890" w:hanging="890"/>
        <w:outlineLvl w:val="9"/>
      </w:pPr>
      <w:bookmarkStart w:id="129" w:name="_Toc381873671"/>
      <w:r>
        <w:rPr>
          <w:rStyle w:val="CharSClsNo"/>
        </w:rPr>
        <w:t>1</w:t>
      </w:r>
      <w:r>
        <w:t>.</w:t>
      </w:r>
      <w:r>
        <w:tab/>
        <w:t>Superannuation</w:t>
      </w:r>
      <w:bookmarkEnd w:id="129"/>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department</w:t>
      </w:r>
      <w:r>
        <w:rPr>
          <w:snapToGrid w:val="0"/>
        </w:rPr>
        <w:t xml:space="preserve"> in section 6 of that Act.</w:t>
      </w:r>
    </w:p>
    <w:p>
      <w:pPr>
        <w:pStyle w:val="yHeading5"/>
        <w:ind w:left="890" w:hanging="890"/>
        <w:outlineLvl w:val="9"/>
      </w:pPr>
      <w:bookmarkStart w:id="130" w:name="_Toc381873672"/>
      <w:r>
        <w:rPr>
          <w:rStyle w:val="CharSClsNo"/>
        </w:rPr>
        <w:t>2</w:t>
      </w:r>
      <w:r>
        <w:t>.</w:t>
      </w:r>
      <w:r>
        <w:tab/>
        <w:t>Saving of leave entitlements</w:t>
      </w:r>
      <w:bookmarkEnd w:id="130"/>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31" w:name="_Toc381872939"/>
      <w:bookmarkStart w:id="132" w:name="_Toc381873673"/>
      <w:r>
        <w:rPr>
          <w:rStyle w:val="CharSchNo"/>
        </w:rPr>
        <w:t>Schedule 5</w:t>
      </w:r>
      <w:r>
        <w:t> — </w:t>
      </w:r>
      <w:r>
        <w:rPr>
          <w:rStyle w:val="CharSchText"/>
        </w:rPr>
        <w:t>Provisions applicable to the Ministerial Advisory Council on Disability</w:t>
      </w:r>
      <w:bookmarkEnd w:id="131"/>
      <w:bookmarkEnd w:id="132"/>
    </w:p>
    <w:p>
      <w:pPr>
        <w:pStyle w:val="yShoulderClause"/>
        <w:rPr>
          <w:snapToGrid w:val="0"/>
        </w:rPr>
      </w:pPr>
      <w:r>
        <w:rPr>
          <w:snapToGrid w:val="0"/>
        </w:rPr>
        <w:t>[s. 22(3)]</w:t>
      </w:r>
    </w:p>
    <w:p>
      <w:pPr>
        <w:pStyle w:val="yFootnoteheading"/>
        <w:tabs>
          <w:tab w:val="left" w:pos="851"/>
        </w:tabs>
      </w:pPr>
      <w:r>
        <w:tab/>
        <w:t>[Heading inserted by No. 57 of 2004 s. 34(1).]</w:t>
      </w:r>
    </w:p>
    <w:p>
      <w:pPr>
        <w:pStyle w:val="yHeading5"/>
        <w:ind w:left="890" w:hanging="890"/>
      </w:pPr>
      <w:bookmarkStart w:id="133" w:name="_Toc381873674"/>
      <w:r>
        <w:rPr>
          <w:rStyle w:val="CharSClsNo"/>
        </w:rPr>
        <w:t>1</w:t>
      </w:r>
      <w:r>
        <w:t>.</w:t>
      </w:r>
      <w:r>
        <w:tab/>
        <w:t>Tenure of office</w:t>
      </w:r>
      <w:bookmarkEnd w:id="133"/>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 and</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pPr>
      <w:r>
        <w:tab/>
        <w:t>(1B)</w:t>
      </w:r>
      <w:r>
        <w:tab/>
        <w:t>Despite subclauses (1) and (1a), the deputy chairperson may have his or her appointment extended for up to a year, at the discretion of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keepNext/>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 No. 40 of 2012 s. 23.]</w:t>
      </w:r>
    </w:p>
    <w:p>
      <w:pPr>
        <w:pStyle w:val="yHeading5"/>
        <w:ind w:left="890" w:hanging="890"/>
      </w:pPr>
      <w:bookmarkStart w:id="134" w:name="_Toc381873675"/>
      <w:r>
        <w:rPr>
          <w:rStyle w:val="CharSClsNo"/>
        </w:rPr>
        <w:t>2</w:t>
      </w:r>
      <w:r>
        <w:t>.</w:t>
      </w:r>
      <w:r>
        <w:tab/>
        <w:t>Chairperson</w:t>
      </w:r>
      <w:bookmarkEnd w:id="134"/>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35" w:name="_Toc381873676"/>
      <w:r>
        <w:rPr>
          <w:rStyle w:val="CharSClsNo"/>
        </w:rPr>
        <w:t>3</w:t>
      </w:r>
      <w:r>
        <w:t>.</w:t>
      </w:r>
      <w:r>
        <w:tab/>
        <w:t>Meetings</w:t>
      </w:r>
      <w:bookmarkEnd w:id="135"/>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36" w:name="_Toc381873677"/>
      <w:r>
        <w:rPr>
          <w:rStyle w:val="CharSClsNo"/>
        </w:rPr>
        <w:t>4</w:t>
      </w:r>
      <w:r>
        <w:t>.</w:t>
      </w:r>
      <w:r>
        <w:tab/>
        <w:t>Remuneration</w:t>
      </w:r>
      <w:bookmarkEnd w:id="136"/>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by No. 44 of 1999 s. 26; No. 39 of 2010 s. 89.]</w:t>
      </w:r>
    </w:p>
    <w:p>
      <w:pPr>
        <w:pStyle w:val="yFootnotesection"/>
        <w:spacing w:before="400"/>
      </w:pPr>
      <w:r>
        <w:t>[Schedule 6 omitted under the Reprints Act 1984 s. 7(4)(e).]</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37" w:name="_Toc381872944"/>
      <w:bookmarkStart w:id="138" w:name="_Toc381873678"/>
      <w:r>
        <w:t>Notes</w:t>
      </w:r>
      <w:bookmarkEnd w:id="137"/>
      <w:bookmarkEnd w:id="138"/>
    </w:p>
    <w:p>
      <w:pPr>
        <w:pStyle w:val="nSubsection"/>
        <w:rPr>
          <w:snapToGrid w:val="0"/>
        </w:rPr>
      </w:pPr>
      <w:r>
        <w:rPr>
          <w:snapToGrid w:val="0"/>
          <w:vertAlign w:val="superscript"/>
        </w:rPr>
        <w:t>1</w:t>
      </w:r>
      <w:r>
        <w:rPr>
          <w:snapToGrid w:val="0"/>
        </w:rPr>
        <w:tab/>
        <w:t xml:space="preserve">This reprint is a compilation as at 2 August 2013 of the </w:t>
      </w:r>
      <w:r>
        <w:rPr>
          <w:i/>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9" w:name="_Toc381873679"/>
      <w:r>
        <w:rPr>
          <w:snapToGrid w:val="0"/>
        </w:rPr>
        <w:t>Compilation table</w:t>
      </w:r>
      <w:bookmarkEnd w:id="13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3</w:t>
            </w:r>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1" w:type="dxa"/>
          </w:tcPr>
          <w:p>
            <w:pPr>
              <w:pStyle w:val="nTable"/>
              <w:spacing w:after="40"/>
              <w:rPr>
                <w:sz w:val="19"/>
              </w:rPr>
            </w:pPr>
            <w:r>
              <w:rPr>
                <w:sz w:val="19"/>
              </w:rPr>
              <w:t>23 Dec 1993 (see s. 2)</w:t>
            </w:r>
          </w:p>
        </w:tc>
      </w:tr>
      <w:tr>
        <w:trPr>
          <w:cantSplit/>
        </w:trPr>
        <w:tc>
          <w:tcPr>
            <w:tcW w:w="2268" w:type="dxa"/>
          </w:tcPr>
          <w:p>
            <w:pPr>
              <w:pStyle w:val="nTable"/>
              <w:tabs>
                <w:tab w:val="left" w:pos="893"/>
              </w:tabs>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tabs>
                <w:tab w:val="left" w:pos="893"/>
              </w:tabs>
              <w:spacing w:after="40"/>
              <w:ind w:right="170"/>
              <w:rPr>
                <w:sz w:val="19"/>
              </w:rPr>
            </w:pPr>
            <w:r>
              <w:rPr>
                <w:i/>
                <w:sz w:val="19"/>
              </w:rPr>
              <w:t>Health Services (Conciliation and Review) Act 1995</w:t>
            </w:r>
            <w:r>
              <w:rPr>
                <w:sz w:val="19"/>
              </w:rPr>
              <w:t xml:space="preserve"> </w:t>
            </w:r>
            <w:r>
              <w:rPr>
                <w:spacing w:val="-4"/>
                <w:sz w:val="19"/>
              </w:rPr>
              <w:t>s. 80(2)</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4</w:t>
            </w:r>
          </w:p>
        </w:tc>
        <w:tc>
          <w:tcPr>
            <w:tcW w:w="1134" w:type="dxa"/>
          </w:tcPr>
          <w:p>
            <w:pPr>
              <w:pStyle w:val="nTable"/>
              <w:spacing w:after="40"/>
              <w:rPr>
                <w:sz w:val="19"/>
              </w:rPr>
            </w:pPr>
            <w:r>
              <w:rPr>
                <w:sz w:val="19"/>
              </w:rPr>
              <w:t>44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Sch. 2 cl. 7</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sz w:val="19"/>
              </w:rPr>
            </w:pPr>
            <w:r>
              <w:rPr>
                <w:i/>
                <w:sz w:val="19"/>
              </w:rPr>
              <w:t>Carers Recognition Act 2004</w:t>
            </w:r>
            <w:r>
              <w:rPr>
                <w:sz w:val="19"/>
              </w:rPr>
              <w:t xml:space="preserve"> Pt. 5 Div. 1</w:t>
            </w:r>
          </w:p>
        </w:tc>
        <w:tc>
          <w:tcPr>
            <w:tcW w:w="1134" w:type="dxa"/>
          </w:tcPr>
          <w:p>
            <w:pPr>
              <w:pStyle w:val="nTable"/>
              <w:spacing w:after="40"/>
              <w:rPr>
                <w:sz w:val="19"/>
              </w:rPr>
            </w:pPr>
            <w:r>
              <w:rPr>
                <w:sz w:val="19"/>
              </w:rPr>
              <w:t>37 of 2004</w:t>
            </w:r>
          </w:p>
        </w:tc>
        <w:tc>
          <w:tcPr>
            <w:tcW w:w="1134" w:type="dxa"/>
          </w:tcPr>
          <w:p>
            <w:pPr>
              <w:pStyle w:val="nTable"/>
              <w:spacing w:after="40"/>
              <w:rPr>
                <w:sz w:val="19"/>
              </w:rPr>
            </w:pPr>
            <w:r>
              <w:rPr>
                <w:sz w:val="19"/>
              </w:rPr>
              <w:t>28 Oct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68" w:type="dxa"/>
          </w:tcPr>
          <w:p>
            <w:pPr>
              <w:pStyle w:val="nTable"/>
              <w:spacing w:after="40"/>
              <w:ind w:right="170"/>
              <w:rPr>
                <w:sz w:val="19"/>
              </w:rPr>
            </w:pPr>
            <w:r>
              <w:rPr>
                <w:i/>
                <w:sz w:val="19"/>
              </w:rPr>
              <w:t>Disability Services Amendment Act 2004</w:t>
            </w:r>
            <w:r>
              <w:rPr>
                <w:sz w:val="19"/>
                <w:vertAlign w:val="superscript"/>
              </w:rPr>
              <w:t> 5</w:t>
            </w:r>
          </w:p>
        </w:tc>
        <w:tc>
          <w:tcPr>
            <w:tcW w:w="1134" w:type="dxa"/>
          </w:tcPr>
          <w:p>
            <w:pPr>
              <w:pStyle w:val="nTable"/>
              <w:spacing w:after="40"/>
              <w:rPr>
                <w:sz w:val="19"/>
              </w:rPr>
            </w:pPr>
            <w:r>
              <w:rPr>
                <w:sz w:val="19"/>
              </w:rPr>
              <w:t>57 of 2004</w:t>
            </w:r>
          </w:p>
        </w:tc>
        <w:tc>
          <w:tcPr>
            <w:tcW w:w="1134" w:type="dxa"/>
          </w:tcPr>
          <w:p>
            <w:pPr>
              <w:pStyle w:val="nTable"/>
              <w:spacing w:after="40"/>
              <w:rPr>
                <w:sz w:val="19"/>
              </w:rPr>
            </w:pPr>
            <w:r>
              <w:rPr>
                <w:sz w:val="19"/>
              </w:rPr>
              <w:t>18 Nov 2004</w:t>
            </w:r>
          </w:p>
        </w:tc>
        <w:tc>
          <w:tcPr>
            <w:tcW w:w="2551"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68"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8" w:type="dxa"/>
          </w:tcPr>
          <w:p>
            <w:pPr>
              <w:pStyle w:val="nTable"/>
              <w:spacing w:after="40"/>
              <w:ind w:right="170"/>
              <w:rPr>
                <w:rFonts w:ascii="Times" w:hAnsi="Times"/>
                <w:i/>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rFonts w:ascii="Times" w:hAnsi="Times"/>
                <w:sz w:val="19"/>
              </w:rPr>
            </w:pPr>
            <w:r>
              <w:rPr>
                <w:snapToGrid w:val="0"/>
                <w:sz w:val="19"/>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70"/>
              <w:rPr>
                <w:i/>
                <w:snapToGrid w:val="0"/>
                <w:sz w:val="19"/>
              </w:rPr>
            </w:pPr>
            <w:r>
              <w:rPr>
                <w:i/>
                <w:snapToGrid w:val="0"/>
                <w:sz w:val="19"/>
              </w:rPr>
              <w:t>Financial Administration Legislation Amendment Act 2005</w:t>
            </w:r>
            <w:r>
              <w:rPr>
                <w:snapToGrid w:val="0"/>
                <w:sz w:val="19"/>
              </w:rPr>
              <w:t xml:space="preserve"> s. 38</w:t>
            </w:r>
          </w:p>
        </w:tc>
        <w:tc>
          <w:tcPr>
            <w:tcW w:w="1134" w:type="dxa"/>
          </w:tcPr>
          <w:p>
            <w:pPr>
              <w:pStyle w:val="nTable"/>
              <w:spacing w:after="40"/>
              <w:rPr>
                <w:snapToGrid w:val="0"/>
                <w:sz w:val="19"/>
              </w:rPr>
            </w:pPr>
            <w:r>
              <w:rPr>
                <w:snapToGrid w:val="0"/>
                <w:sz w:val="19"/>
              </w:rPr>
              <w:t>5 of 2005</w:t>
            </w:r>
          </w:p>
        </w:tc>
        <w:tc>
          <w:tcPr>
            <w:tcW w:w="1134" w:type="dxa"/>
          </w:tcPr>
          <w:p>
            <w:pPr>
              <w:pStyle w:val="nTable"/>
              <w:spacing w:after="40"/>
              <w:rPr>
                <w:sz w:val="19"/>
              </w:rPr>
            </w:pPr>
            <w:r>
              <w:rPr>
                <w:sz w:val="19"/>
              </w:rPr>
              <w:t>27 Jun 2005</w:t>
            </w:r>
          </w:p>
        </w:tc>
        <w:tc>
          <w:tcPr>
            <w:tcW w:w="2551" w:type="dxa"/>
          </w:tcPr>
          <w:p>
            <w:pPr>
              <w:pStyle w:val="nTable"/>
              <w:spacing w:after="40"/>
              <w:rPr>
                <w:snapToGrid w:val="0"/>
                <w:sz w:val="19"/>
              </w:rPr>
            </w:pPr>
            <w:r>
              <w:rPr>
                <w:snapToGrid w:val="0"/>
                <w:sz w:val="19"/>
              </w:rPr>
              <w:t xml:space="preserve">1 Jan 2006 (see s. 2 and </w:t>
            </w:r>
            <w:r>
              <w:rPr>
                <w:i/>
                <w:snapToGrid w:val="0"/>
                <w:sz w:val="19"/>
              </w:rPr>
              <w:t xml:space="preserve">Gazette </w:t>
            </w:r>
            <w:r>
              <w:rPr>
                <w:snapToGrid w:val="0"/>
                <w:sz w:val="19"/>
              </w:rPr>
              <w:t>23 Dec 2005 p. 6243)</w:t>
            </w:r>
          </w:p>
        </w:tc>
      </w:tr>
      <w:tr>
        <w:trPr>
          <w:cantSplit/>
        </w:trPr>
        <w:tc>
          <w:tcPr>
            <w:tcW w:w="7087" w:type="dxa"/>
            <w:gridSpan w:val="4"/>
          </w:tcPr>
          <w:p>
            <w:pPr>
              <w:pStyle w:val="nTable"/>
              <w:spacing w:after="40"/>
              <w:rPr>
                <w:snapToGrid w:val="0"/>
                <w:sz w:val="19"/>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rPr>
              <w:t xml:space="preserve">Children and Community Services Act 2004 </w:t>
            </w:r>
            <w:r>
              <w:rPr>
                <w:iCs/>
                <w:snapToGrid w:val="0"/>
                <w:sz w:val="19"/>
              </w:rPr>
              <w:t>and the</w:t>
            </w:r>
            <w:r>
              <w:rPr>
                <w:i/>
                <w:snapToGrid w:val="0"/>
                <w:sz w:val="19"/>
              </w:rPr>
              <w:t xml:space="preserve"> Financial Administration Legislation Amendment Act 2005</w:t>
            </w:r>
            <w:r>
              <w:rPr>
                <w:sz w:val="19"/>
              </w:rPr>
              <w:t>)</w:t>
            </w:r>
          </w:p>
        </w:tc>
      </w:tr>
      <w:tr>
        <w:trPr>
          <w:cantSplit/>
        </w:trPr>
        <w:tc>
          <w:tcPr>
            <w:tcW w:w="2268" w:type="dxa"/>
          </w:tcPr>
          <w:p>
            <w:pPr>
              <w:pStyle w:val="nTable"/>
              <w:spacing w:after="40"/>
              <w:rPr>
                <w:i/>
                <w:snapToGrid w:val="0"/>
                <w:sz w:val="19"/>
              </w:rPr>
            </w:pPr>
            <w:r>
              <w:rPr>
                <w:i/>
                <w:snapToGrid w:val="0"/>
                <w:sz w:val="19"/>
              </w:rPr>
              <w:t>Planning and Development (Consequential and Transitional Provisions) Act 2005</w:t>
            </w:r>
            <w:r>
              <w:rPr>
                <w:iCs/>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ind w:left="12"/>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2268" w:type="dxa"/>
          </w:tcPr>
          <w:p>
            <w:pPr>
              <w:pStyle w:val="nTable"/>
              <w:spacing w:after="40"/>
              <w:ind w:left="-28"/>
              <w:rPr>
                <w:iCs/>
                <w:snapToGrid w:val="0"/>
                <w:sz w:val="19"/>
              </w:rPr>
            </w:pPr>
            <w:r>
              <w:rPr>
                <w:i/>
                <w:snapToGrid w:val="0"/>
                <w:sz w:val="19"/>
              </w:rPr>
              <w:t>Machinery of Government (Miscellaneous Amendments) Act 2006</w:t>
            </w:r>
            <w:r>
              <w:rPr>
                <w:iCs/>
                <w:snapToGrid w:val="0"/>
                <w:sz w:val="19"/>
              </w:rPr>
              <w:t xml:space="preserve"> Pt. 5 Div. 1</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tabs>
                <w:tab w:val="left" w:pos="893"/>
              </w:tabs>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1"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 and Sch. 1 cl. 45</w:t>
            </w:r>
          </w:p>
        </w:tc>
        <w:tc>
          <w:tcPr>
            <w:tcW w:w="1134" w:type="dxa"/>
          </w:tcPr>
          <w:p>
            <w:pPr>
              <w:pStyle w:val="nTable"/>
              <w:keepNext/>
              <w:spacing w:after="40"/>
              <w:rPr>
                <w:sz w:val="19"/>
              </w:rPr>
            </w:pPr>
            <w:r>
              <w:rPr>
                <w:snapToGrid w:val="0"/>
                <w:sz w:val="19"/>
              </w:rPr>
              <w:t xml:space="preserve">77 of 2006 </w:t>
            </w:r>
          </w:p>
        </w:tc>
        <w:tc>
          <w:tcPr>
            <w:tcW w:w="1134" w:type="dxa"/>
          </w:tcPr>
          <w:p>
            <w:pPr>
              <w:pStyle w:val="nTable"/>
              <w:keepNext/>
              <w:spacing w:after="40"/>
              <w:rPr>
                <w:sz w:val="19"/>
              </w:rPr>
            </w:pPr>
            <w:r>
              <w:rPr>
                <w:snapToGrid w:val="0"/>
                <w:sz w:val="19"/>
              </w:rPr>
              <w:t>21 Dec 2006</w:t>
            </w:r>
          </w:p>
        </w:tc>
        <w:tc>
          <w:tcPr>
            <w:tcW w:w="2551" w:type="dxa"/>
          </w:tcPr>
          <w:p>
            <w:pPr>
              <w:pStyle w:val="nTable"/>
              <w:keepNext/>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and Disability Services Legislation Amendment Act 2010</w:t>
            </w:r>
            <w:r>
              <w:rPr>
                <w:iCs/>
                <w:snapToGrid w:val="0"/>
                <w:sz w:val="19"/>
              </w:rPr>
              <w:t xml:space="preserve"> Pt. 3</w:t>
            </w:r>
          </w:p>
        </w:tc>
        <w:tc>
          <w:tcPr>
            <w:tcW w:w="1134" w:type="dxa"/>
          </w:tcPr>
          <w:p>
            <w:pPr>
              <w:pStyle w:val="nTable"/>
              <w:spacing w:after="40"/>
              <w:rPr>
                <w:snapToGrid w:val="0"/>
                <w:sz w:val="19"/>
              </w:rPr>
            </w:pPr>
            <w:r>
              <w:rPr>
                <w:snapToGrid w:val="0"/>
                <w:sz w:val="19"/>
              </w:rPr>
              <w:t>33 of 2010</w:t>
            </w:r>
          </w:p>
        </w:tc>
        <w:tc>
          <w:tcPr>
            <w:tcW w:w="1134"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after="40"/>
              <w:ind w:right="113"/>
              <w:rPr>
                <w:i/>
                <w:iCs/>
                <w:snapToGrid w:val="0"/>
                <w:sz w:val="19"/>
              </w:rPr>
            </w:pPr>
            <w:r>
              <w:rPr>
                <w:i/>
                <w:iCs/>
                <w:snapToGrid w:val="0"/>
                <w:sz w:val="19"/>
              </w:rPr>
              <w:t>Disability Services Amendment Act 2012</w:t>
            </w:r>
          </w:p>
        </w:tc>
        <w:tc>
          <w:tcPr>
            <w:tcW w:w="1134" w:type="dxa"/>
          </w:tcPr>
          <w:p>
            <w:pPr>
              <w:pStyle w:val="nTable"/>
              <w:spacing w:after="40"/>
              <w:rPr>
                <w:snapToGrid w:val="0"/>
                <w:sz w:val="19"/>
              </w:rPr>
            </w:pPr>
            <w:r>
              <w:rPr>
                <w:snapToGrid w:val="0"/>
                <w:sz w:val="19"/>
              </w:rPr>
              <w:t>40 of 2012</w:t>
            </w:r>
          </w:p>
        </w:tc>
        <w:tc>
          <w:tcPr>
            <w:tcW w:w="1134" w:type="dxa"/>
          </w:tcPr>
          <w:p>
            <w:pPr>
              <w:pStyle w:val="nTable"/>
              <w:spacing w:after="40"/>
              <w:rPr>
                <w:snapToGrid w:val="0"/>
                <w:sz w:val="19"/>
              </w:rPr>
            </w:pPr>
            <w:r>
              <w:rPr>
                <w:snapToGrid w:val="0"/>
                <w:sz w:val="19"/>
              </w:rPr>
              <w:t>22 Nov 2012</w:t>
            </w:r>
          </w:p>
        </w:tc>
        <w:tc>
          <w:tcPr>
            <w:tcW w:w="2551" w:type="dxa"/>
          </w:tcPr>
          <w:p>
            <w:pPr>
              <w:pStyle w:val="nTable"/>
              <w:spacing w:after="40"/>
              <w:rPr>
                <w:snapToGrid w:val="0"/>
                <w:sz w:val="19"/>
              </w:rPr>
            </w:pPr>
            <w:r>
              <w:rPr>
                <w:snapToGrid w:val="0"/>
                <w:sz w:val="19"/>
              </w:rPr>
              <w:t>s. 1 and 2: 22 Nov 2012 (see s. 2(a));</w:t>
            </w:r>
            <w:r>
              <w:rPr>
                <w:snapToGrid w:val="0"/>
                <w:sz w:val="19"/>
              </w:rPr>
              <w:br/>
              <w:t xml:space="preserve">Act other than s. 1 and 2: 12 Jun 2013 (see s. 2(b) and </w:t>
            </w:r>
            <w:r>
              <w:rPr>
                <w:i/>
                <w:snapToGrid w:val="0"/>
                <w:sz w:val="19"/>
              </w:rPr>
              <w:t>Gazette</w:t>
            </w:r>
            <w:r>
              <w:rPr>
                <w:snapToGrid w:val="0"/>
                <w:sz w:val="19"/>
              </w:rPr>
              <w:t xml:space="preserve"> 11 Jun 2013 p. 2161)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4: The </w:t>
            </w:r>
            <w:r>
              <w:rPr>
                <w:b/>
                <w:i/>
                <w:sz w:val="19"/>
              </w:rPr>
              <w:t>Disability Services Act 1993</w:t>
            </w:r>
            <w:r>
              <w:rPr>
                <w:b/>
                <w:sz w:val="19"/>
              </w:rPr>
              <w:t xml:space="preserve"> as at 2 Aug 2013</w:t>
            </w:r>
            <w:r>
              <w:rPr>
                <w:sz w:val="19"/>
              </w:rPr>
              <w:t xml:space="preserve"> (includes amendments listed above)</w:t>
            </w:r>
          </w:p>
        </w:tc>
      </w:tr>
    </w:tbl>
    <w:p>
      <w:pPr>
        <w:pStyle w:val="nSubsection"/>
        <w:spacing w:before="16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40" w:name="_Toc381873680"/>
      <w:r>
        <w:t>Provisions that have not come into operation</w:t>
      </w:r>
      <w:bookmarkEnd w:id="140"/>
    </w:p>
    <w:tbl>
      <w:tblPr>
        <w:tblW w:w="7089" w:type="dxa"/>
        <w:tblInd w:w="57" w:type="dxa"/>
        <w:tblLayout w:type="fixed"/>
        <w:tblCellMar>
          <w:left w:w="56" w:type="dxa"/>
          <w:right w:w="56" w:type="dxa"/>
        </w:tblCellMar>
        <w:tblLook w:val="0000" w:firstRow="0" w:lastRow="0" w:firstColumn="0" w:lastColumn="0" w:noHBand="0" w:noVBand="0"/>
      </w:tblPr>
      <w:tblGrid>
        <w:gridCol w:w="2279"/>
        <w:gridCol w:w="1083"/>
        <w:gridCol w:w="1203"/>
        <w:gridCol w:w="2524"/>
      </w:tblGrid>
      <w:tr>
        <w:trPr>
          <w:cantSplit/>
          <w:tblHeader/>
        </w:trPr>
        <w:tc>
          <w:tcPr>
            <w:tcW w:w="227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tcBorders>
              <w:top w:val="single" w:sz="8" w:space="0" w:color="auto"/>
              <w:bottom w:val="single" w:sz="8" w:space="0" w:color="auto"/>
            </w:tcBorders>
          </w:tcPr>
          <w:p>
            <w:pPr>
              <w:pStyle w:val="nTable"/>
              <w:keepNext/>
              <w:spacing w:after="40"/>
              <w:rPr>
                <w:b/>
                <w:sz w:val="19"/>
              </w:rPr>
            </w:pPr>
            <w:r>
              <w:rPr>
                <w:b/>
                <w:sz w:val="19"/>
              </w:rPr>
              <w:t>Assent</w:t>
            </w:r>
          </w:p>
        </w:tc>
        <w:tc>
          <w:tcPr>
            <w:tcW w:w="252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tcBorders>
              <w:top w:val="single" w:sz="8" w:space="0" w:color="auto"/>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083" w:type="dxa"/>
            <w:tcBorders>
              <w:top w:val="single" w:sz="8" w:space="0" w:color="auto"/>
              <w:bottom w:val="single" w:sz="4" w:space="0" w:color="auto"/>
            </w:tcBorders>
          </w:tcPr>
          <w:p>
            <w:pPr>
              <w:pStyle w:val="nTable"/>
              <w:keepNext/>
              <w:spacing w:after="40"/>
              <w:rPr>
                <w:sz w:val="19"/>
              </w:rPr>
            </w:pPr>
            <w:r>
              <w:rPr>
                <w:sz w:val="19"/>
              </w:rPr>
              <w:t>43 of 2000</w:t>
            </w:r>
          </w:p>
        </w:tc>
        <w:tc>
          <w:tcPr>
            <w:tcW w:w="1203" w:type="dxa"/>
            <w:tcBorders>
              <w:top w:val="single" w:sz="8" w:space="0" w:color="auto"/>
              <w:bottom w:val="single" w:sz="4" w:space="0" w:color="auto"/>
            </w:tcBorders>
          </w:tcPr>
          <w:p>
            <w:pPr>
              <w:pStyle w:val="nTable"/>
              <w:keepNext/>
              <w:spacing w:after="40"/>
              <w:rPr>
                <w:sz w:val="19"/>
              </w:rPr>
            </w:pPr>
            <w:r>
              <w:rPr>
                <w:sz w:val="19"/>
              </w:rPr>
              <w:t>2 Nov 2000</w:t>
            </w:r>
          </w:p>
        </w:tc>
        <w:tc>
          <w:tcPr>
            <w:tcW w:w="2524"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60"/>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BlankOpen"/>
      </w:pPr>
    </w:p>
    <w:p>
      <w:pPr>
        <w:pStyle w:val="nzMiscellaneousBody"/>
        <w:jc w:val="center"/>
        <w:rPr>
          <w:b/>
          <w:snapToGrid w:val="0"/>
          <w:sz w:val="22"/>
          <w:szCs w:val="22"/>
        </w:rPr>
      </w:pPr>
      <w:r>
        <w:rPr>
          <w:b/>
          <w:snapToGrid w:val="0"/>
          <w:sz w:val="22"/>
          <w:szCs w:val="22"/>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BlankClose"/>
      </w:pP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pPr>
        <w:pStyle w:val="BlankOpen"/>
      </w:pPr>
    </w:p>
    <w:p>
      <w:pPr>
        <w:pStyle w:val="nzHeading5"/>
      </w:pPr>
      <w:r>
        <w:rPr>
          <w:snapToGrid w:val="0"/>
        </w:rPr>
        <w:t>11.</w:t>
      </w:r>
      <w:r>
        <w:rPr>
          <w:snapToGrid w:val="0"/>
        </w:rPr>
        <w:tab/>
        <w:t>Section 22 replaced and transitional provision</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r>
        <w:rPr>
          <w:snapToGrid w:val="0"/>
        </w:rPr>
        <w:t>20.</w:t>
      </w:r>
      <w:r>
        <w:rPr>
          <w:snapToGrid w:val="0"/>
        </w:rPr>
        <w:tab/>
        <w:t>Section 28 replaced and transitional provision</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BlankClose"/>
      </w:pP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7</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BlankClose"/>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141" w:name="_Toc381872947"/>
      <w:bookmarkStart w:id="142" w:name="_Toc381873681"/>
      <w:r>
        <w:rPr>
          <w:sz w:val="28"/>
        </w:rPr>
        <w:t>Defined terms</w:t>
      </w:r>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3" w:name="DefinedTerms"/>
      <w:bookmarkEnd w:id="143"/>
      <w:r>
        <w:t>Account</w:t>
      </w:r>
      <w:r>
        <w:tab/>
        <w:t>3</w:t>
      </w:r>
    </w:p>
    <w:p>
      <w:pPr>
        <w:pStyle w:val="DefinedTerms"/>
      </w:pPr>
      <w:r>
        <w:t>Board</w:t>
      </w:r>
      <w:r>
        <w:tab/>
        <w:t>3</w:t>
      </w:r>
    </w:p>
    <w:p>
      <w:pPr>
        <w:pStyle w:val="DefinedTerms"/>
      </w:pPr>
      <w:r>
        <w:t>carer</w:t>
      </w:r>
      <w:r>
        <w:tab/>
        <w:t>3</w:t>
      </w:r>
    </w:p>
    <w:p>
      <w:pPr>
        <w:pStyle w:val="DefinedTerms"/>
      </w:pPr>
      <w:r>
        <w:t>Carers Charter</w:t>
      </w:r>
      <w:r>
        <w:tab/>
        <w:t>30</w:t>
      </w:r>
    </w:p>
    <w:p>
      <w:pPr>
        <w:pStyle w:val="DefinedTerms"/>
      </w:pPr>
      <w:r>
        <w:t>chief executive officer</w:t>
      </w:r>
      <w:r>
        <w:tab/>
        <w:t>3</w:t>
      </w:r>
    </w:p>
    <w:p>
      <w:pPr>
        <w:pStyle w:val="DefinedTerms"/>
      </w:pPr>
      <w:r>
        <w:t>commencement day</w:t>
      </w:r>
      <w:r>
        <w:tab/>
        <w:t>26A</w:t>
      </w:r>
    </w:p>
    <w:p>
      <w:pPr>
        <w:pStyle w:val="DefinedTerms"/>
      </w:pPr>
      <w:r>
        <w:t>Commission</w:t>
      </w:r>
      <w:r>
        <w:tab/>
        <w:t>3</w:t>
      </w:r>
    </w:p>
    <w:p>
      <w:pPr>
        <w:pStyle w:val="DefinedTerms"/>
      </w:pPr>
      <w:r>
        <w:t>complaint</w:t>
      </w:r>
      <w:r>
        <w:tab/>
        <w:t>30</w:t>
      </w:r>
    </w:p>
    <w:p>
      <w:pPr>
        <w:pStyle w:val="DefinedTerms"/>
      </w:pPr>
      <w:r>
        <w:t>Complaints Office</w:t>
      </w:r>
      <w:r>
        <w:tab/>
        <w:t>30</w:t>
      </w:r>
    </w:p>
    <w:p>
      <w:pPr>
        <w:pStyle w:val="DefinedTerms"/>
      </w:pPr>
      <w:r>
        <w:t>Council</w:t>
      </w:r>
      <w:r>
        <w:tab/>
        <w:t>3</w:t>
      </w:r>
    </w:p>
    <w:p>
      <w:pPr>
        <w:pStyle w:val="DefinedTerms"/>
      </w:pPr>
      <w:r>
        <w:t>Director</w:t>
      </w:r>
      <w:r>
        <w:tab/>
        <w:t>3</w:t>
      </w:r>
    </w:p>
    <w:p>
      <w:pPr>
        <w:pStyle w:val="DefinedTerms"/>
      </w:pPr>
      <w:r>
        <w:t>disability</w:t>
      </w:r>
      <w:r>
        <w:tab/>
        <w:t>3</w:t>
      </w:r>
    </w:p>
    <w:p>
      <w:pPr>
        <w:pStyle w:val="DefinedTerms"/>
      </w:pPr>
      <w:r>
        <w:t>disability service</w:t>
      </w:r>
      <w:r>
        <w:tab/>
        <w:t>3, 26A, 30</w:t>
      </w:r>
    </w:p>
    <w:p>
      <w:pPr>
        <w:pStyle w:val="DefinedTerms"/>
      </w:pPr>
      <w:r>
        <w:t>Disability Services Standards</w:t>
      </w:r>
      <w:r>
        <w:tab/>
        <w:t>3</w:t>
      </w:r>
    </w:p>
    <w:p>
      <w:pPr>
        <w:pStyle w:val="DefinedTerms"/>
      </w:pPr>
      <w:r>
        <w:t>document</w:t>
      </w:r>
      <w:r>
        <w:tab/>
        <w:t>21(5), 44B(5)</w:t>
      </w:r>
    </w:p>
    <w:p>
      <w:pPr>
        <w:pStyle w:val="DefinedTerms"/>
      </w:pPr>
      <w:r>
        <w:t>Health Department</w:t>
      </w:r>
      <w:r>
        <w:tab/>
        <w:t>30</w:t>
      </w:r>
    </w:p>
    <w:p>
      <w:pPr>
        <w:pStyle w:val="DefinedTerms"/>
      </w:pPr>
      <w:r>
        <w:t>information</w:t>
      </w:r>
      <w:r>
        <w:tab/>
        <w:t>21(5), 44B(5)</w:t>
      </w:r>
    </w:p>
    <w:p>
      <w:pPr>
        <w:pStyle w:val="DefinedTerms"/>
      </w:pPr>
      <w:r>
        <w:t>member of the staff</w:t>
      </w:r>
      <w:r>
        <w:tab/>
        <w:t>30</w:t>
      </w:r>
    </w:p>
    <w:p>
      <w:pPr>
        <w:pStyle w:val="DefinedTerms"/>
      </w:pPr>
      <w:r>
        <w:t>metropolitan region</w:t>
      </w:r>
      <w:r>
        <w:tab/>
        <w:t>3</w:t>
      </w:r>
    </w:p>
    <w:p>
      <w:pPr>
        <w:pStyle w:val="DefinedTerms"/>
      </w:pPr>
      <w:r>
        <w:t>parliamentary purposes</w:t>
      </w:r>
      <w:r>
        <w:tab/>
        <w:t>21(5)</w:t>
      </w:r>
    </w:p>
    <w:p>
      <w:pPr>
        <w:pStyle w:val="DefinedTerms"/>
      </w:pPr>
      <w:r>
        <w:t>person’s representative</w:t>
      </w:r>
      <w:r>
        <w:tab/>
        <w:t>41(1)</w:t>
      </w:r>
    </w:p>
    <w:p>
      <w:pPr>
        <w:pStyle w:val="DefinedTerms"/>
      </w:pPr>
      <w:r>
        <w:t>personnel</w:t>
      </w:r>
      <w:r>
        <w:tab/>
        <w:t>3</w:t>
      </w:r>
    </w:p>
    <w:p>
      <w:pPr>
        <w:pStyle w:val="DefinedTerms"/>
      </w:pPr>
      <w:r>
        <w:t>public authority</w:t>
      </w:r>
      <w:r>
        <w:tab/>
        <w:t>3</w:t>
      </w:r>
    </w:p>
    <w:p>
      <w:pPr>
        <w:pStyle w:val="DefinedTerms"/>
      </w:pPr>
      <w:r>
        <w:t>relevant information</w:t>
      </w:r>
      <w:r>
        <w:tab/>
        <w:t>41(1)</w:t>
      </w:r>
    </w:p>
    <w:p>
      <w:pPr>
        <w:pStyle w:val="DefinedTerms"/>
      </w:pPr>
      <w:r>
        <w:t>relevant record</w:t>
      </w:r>
      <w:r>
        <w:tab/>
        <w:t>41(1)</w:t>
      </w:r>
    </w:p>
    <w:p>
      <w:pPr>
        <w:pStyle w:val="DefinedTerms"/>
      </w:pPr>
      <w:r>
        <w:t>respondent</w:t>
      </w:r>
      <w:r>
        <w:tab/>
        <w:t>30</w:t>
      </w:r>
    </w:p>
    <w:p>
      <w:pPr>
        <w:pStyle w:val="DefinedTerms"/>
      </w:pPr>
      <w:r>
        <w:t>service developer</w:t>
      </w:r>
      <w:r>
        <w:tab/>
        <w:t>3</w:t>
      </w:r>
    </w:p>
    <w:p>
      <w:pPr>
        <w:pStyle w:val="DefinedTerms"/>
      </w:pPr>
      <w:r>
        <w:t>service provider</w:t>
      </w:r>
      <w:r>
        <w:tab/>
        <w:t>3</w:t>
      </w:r>
    </w:p>
    <w:p>
      <w:pPr>
        <w:pStyle w:val="DefinedTerms"/>
      </w:pPr>
      <w:r>
        <w:t>supply policies</w:t>
      </w:r>
      <w:r>
        <w:tab/>
        <w:t>26A</w:t>
      </w:r>
    </w:p>
    <w:p/>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Principles applicable to people with disability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disability</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71CC2C1A"/>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449F4DA0"/>
    <w:multiLevelType w:val="multilevel"/>
    <w:tmpl w:val="5CFE1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7"/>
  </w:num>
  <w:num w:numId="1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5024"/>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3.png"/><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820C-5A11-4888-9E2E-8312E1F4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18583</Words>
  <Characters>89575</Characters>
  <Application>Microsoft Office Word</Application>
  <DocSecurity>0</DocSecurity>
  <Lines>2488</Lines>
  <Paragraphs>1461</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1993 - 04-a0-02</dc:title>
  <dc:subject/>
  <dc:creator/>
  <cp:keywords/>
  <dc:description/>
  <cp:lastModifiedBy>svcMRProcess</cp:lastModifiedBy>
  <cp:revision>4</cp:revision>
  <cp:lastPrinted>2013-08-20T08:07:00Z</cp:lastPrinted>
  <dcterms:created xsi:type="dcterms:W3CDTF">2018-08-28T04:08:00Z</dcterms:created>
  <dcterms:modified xsi:type="dcterms:W3CDTF">2018-08-28T04:08:00Z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20130802</vt:lpwstr>
  </property>
  <property fmtid="{D5CDD505-2E9C-101B-9397-08002B2CF9AE}" pid="4" name="DocumentType">
    <vt:lpwstr>Act</vt:lpwstr>
  </property>
  <property fmtid="{D5CDD505-2E9C-101B-9397-08002B2CF9AE}" pid="5" name="OwlsUID">
    <vt:i4>224</vt:i4>
  </property>
  <property fmtid="{D5CDD505-2E9C-101B-9397-08002B2CF9AE}" pid="6" name="AsAtDate">
    <vt:lpwstr>02 Aug 2013</vt:lpwstr>
  </property>
  <property fmtid="{D5CDD505-2E9C-101B-9397-08002B2CF9AE}" pid="7" name="Suffix">
    <vt:lpwstr>04-a0-02</vt:lpwstr>
  </property>
  <property fmtid="{D5CDD505-2E9C-101B-9397-08002B2CF9AE}" pid="8" name="ReprintNo">
    <vt:lpwstr>4</vt:lpwstr>
  </property>
  <property fmtid="{D5CDD505-2E9C-101B-9397-08002B2CF9AE}" pid="9" name="ReprintedAsAt">
    <vt:filetime>2013-08-01T16:00:00Z</vt:filetime>
  </property>
</Properties>
</file>