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Bulk Handling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August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_Toc361734747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_Toc361734748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_Toc361734749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Obligations of the Company</w:t>
      </w:r>
    </w:p>
    <w:p>
      <w:pPr>
        <w:pStyle w:val="TOC8"/>
        <w:rPr>
          <w:rFonts w:asciiTheme="minorHAnsi" w:eastAsiaTheme="minorEastAsia" w:hAnsiTheme="minorHAnsi" w:cstheme="minorBidi"/>
          <w:szCs w:val="22"/>
        </w:rPr>
      </w:pPr>
      <w:r>
        <w:t>6A.</w:t>
      </w:r>
      <w:r>
        <w:tab/>
        <w:t>Determination of standards</w:t>
      </w:r>
      <w:r>
        <w:tab/>
      </w:r>
      <w:r>
        <w:fldChar w:fldCharType="begin"/>
      </w:r>
      <w:r>
        <w:instrText xml:space="preserve"> PAGEREF _Toc361734751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Company for conversion</w:t>
      </w:r>
      <w:r>
        <w:tab/>
      </w:r>
      <w:r>
        <w:fldChar w:fldCharType="begin"/>
      </w:r>
      <w:r>
        <w:instrText xml:space="preserve"> PAGEREF _Toc361734752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Company to insure grain</w:t>
      </w:r>
      <w:r>
        <w:tab/>
      </w:r>
      <w:r>
        <w:fldChar w:fldCharType="begin"/>
      </w:r>
      <w:r>
        <w:instrText xml:space="preserve"> PAGEREF _Toc361734753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Company to furnish balance sheet and revenue account to Minister</w:t>
      </w:r>
      <w:r>
        <w:tab/>
      </w:r>
      <w:r>
        <w:fldChar w:fldCharType="begin"/>
      </w:r>
      <w:r>
        <w:instrText xml:space="preserve"> PAGEREF _Toc361734754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Company to purchase shares</w:t>
      </w:r>
      <w:r>
        <w:tab/>
      </w:r>
      <w:r>
        <w:fldChar w:fldCharType="begin"/>
      </w:r>
      <w:r>
        <w:instrText xml:space="preserve"> PAGEREF _Toc361734755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moneys received from excess of outturn</w:t>
      </w:r>
      <w:r>
        <w:tab/>
      </w:r>
      <w:r>
        <w:fldChar w:fldCharType="begin"/>
      </w:r>
      <w:r>
        <w:instrText xml:space="preserve"> PAGEREF _Toc361734756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Company not liable for act of God or unforeseen loss</w:t>
      </w:r>
      <w:r>
        <w:tab/>
      </w:r>
      <w:r>
        <w:fldChar w:fldCharType="begin"/>
      </w:r>
      <w:r>
        <w:instrText xml:space="preserve"> PAGEREF _Toc361734757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Company’s liability for shortages in stocks</w:t>
      </w:r>
      <w:r>
        <w:tab/>
      </w:r>
      <w:r>
        <w:fldChar w:fldCharType="begin"/>
      </w:r>
      <w:r>
        <w:instrText xml:space="preserve"> PAGEREF _Toc361734758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Polls of growers to be taken by secret ballot</w:t>
      </w:r>
      <w:r>
        <w:tab/>
      </w:r>
      <w:r>
        <w:fldChar w:fldCharType="begin"/>
      </w:r>
      <w:r>
        <w:instrText xml:space="preserve"> PAGEREF _Toc361734759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Title to grain in Company’s care</w:t>
      </w:r>
      <w:r>
        <w:tab/>
      </w:r>
      <w:r>
        <w:fldChar w:fldCharType="begin"/>
      </w:r>
      <w:r>
        <w:instrText xml:space="preserve"> PAGEREF _Toc361734760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Company to allow use of port facilities</w:t>
      </w:r>
      <w:r>
        <w:tab/>
      </w:r>
      <w:r>
        <w:fldChar w:fldCharType="begin"/>
      </w:r>
      <w:r>
        <w:instrText xml:space="preserve"> PAGEREF _Toc361734761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V — Charges</w:t>
      </w:r>
    </w:p>
    <w:p>
      <w:pPr>
        <w:pStyle w:val="TOC8"/>
        <w:rPr>
          <w:rFonts w:asciiTheme="minorHAnsi" w:eastAsiaTheme="minorEastAsia" w:hAnsiTheme="minorHAnsi" w:cstheme="minorBidi"/>
          <w:szCs w:val="22"/>
        </w:rPr>
      </w:pPr>
      <w:r>
        <w:t>34</w:t>
      </w:r>
      <w:r>
        <w:rPr>
          <w:snapToGrid w:val="0"/>
        </w:rPr>
        <w:t>.</w:t>
      </w:r>
      <w:r>
        <w:rPr>
          <w:snapToGrid w:val="0"/>
        </w:rPr>
        <w:tab/>
        <w:t>Charges by Company to be fixed by Company’s board of directors</w:t>
      </w:r>
      <w:r>
        <w:tab/>
      </w:r>
      <w:r>
        <w:fldChar w:fldCharType="begin"/>
      </w:r>
      <w:r>
        <w:instrText xml:space="preserve"> PAGEREF _Toc361734763 \h </w:instrText>
      </w:r>
      <w:r>
        <w:fldChar w:fldCharType="separate"/>
      </w:r>
      <w:r>
        <w:t>10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Special object charges</w:t>
      </w:r>
      <w:r>
        <w:tab/>
      </w:r>
      <w:r>
        <w:fldChar w:fldCharType="begin"/>
      </w:r>
      <w:r>
        <w:instrText xml:space="preserve"> PAGEREF _Toc361734764 \h </w:instrText>
      </w:r>
      <w:r>
        <w:fldChar w:fldCharType="separate"/>
      </w:r>
      <w:r>
        <w:t>10</w:t>
      </w:r>
      <w:r>
        <w:fldChar w:fldCharType="end"/>
      </w:r>
    </w:p>
    <w:p>
      <w:pPr>
        <w:pStyle w:val="TOC8"/>
        <w:rPr>
          <w:rFonts w:asciiTheme="minorHAnsi" w:eastAsiaTheme="minorEastAsia" w:hAnsiTheme="minorHAnsi" w:cstheme="minorBidi"/>
          <w:szCs w:val="22"/>
        </w:rPr>
      </w:pPr>
      <w:r>
        <w:t>34C</w:t>
      </w:r>
      <w:r>
        <w:rPr>
          <w:snapToGrid w:val="0"/>
        </w:rPr>
        <w:t>.</w:t>
      </w:r>
      <w:r>
        <w:rPr>
          <w:snapToGrid w:val="0"/>
        </w:rPr>
        <w:tab/>
        <w:t>Special object charges for seasons subsequent to 1973</w:t>
      </w:r>
      <w:r>
        <w:rPr>
          <w:snapToGrid w:val="0"/>
        </w:rPr>
        <w:noBreakHyphen/>
        <w:t>1974 season</w:t>
      </w:r>
      <w:r>
        <w:tab/>
      </w:r>
      <w:r>
        <w:fldChar w:fldCharType="begin"/>
      </w:r>
      <w:r>
        <w:instrText xml:space="preserve"> PAGEREF _Toc361734765 \h </w:instrText>
      </w:r>
      <w:r>
        <w:fldChar w:fldCharType="separate"/>
      </w:r>
      <w:r>
        <w:t>10</w:t>
      </w:r>
      <w:r>
        <w:fldChar w:fldCharType="end"/>
      </w:r>
    </w:p>
    <w:p>
      <w:pPr>
        <w:pStyle w:val="TOC8"/>
        <w:rPr>
          <w:rFonts w:asciiTheme="minorHAnsi" w:eastAsiaTheme="minorEastAsia" w:hAnsiTheme="minorHAnsi" w:cstheme="minorBidi"/>
          <w:szCs w:val="22"/>
        </w:rPr>
      </w:pPr>
      <w:r>
        <w:t>34D.</w:t>
      </w:r>
      <w:r>
        <w:tab/>
        <w:t>Company authorised to pay certain statutory contributions</w:t>
      </w:r>
      <w:r>
        <w:tab/>
      </w:r>
      <w:r>
        <w:fldChar w:fldCharType="begin"/>
      </w:r>
      <w:r>
        <w:instrText xml:space="preserve"> PAGEREF _Toc361734766 \h </w:instrText>
      </w:r>
      <w:r>
        <w:fldChar w:fldCharType="separate"/>
      </w:r>
      <w:r>
        <w:t>12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Company to have priority lien for charges</w:t>
      </w:r>
      <w:r>
        <w:tab/>
      </w:r>
      <w:r>
        <w:fldChar w:fldCharType="begin"/>
      </w:r>
      <w:r>
        <w:instrText xml:space="preserve"> PAGEREF _Toc361734767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VA — Application of income and property</w:t>
      </w:r>
    </w:p>
    <w:p>
      <w:pPr>
        <w:pStyle w:val="TOC8"/>
        <w:rPr>
          <w:rFonts w:asciiTheme="minorHAnsi" w:eastAsiaTheme="minorEastAsia" w:hAnsiTheme="minorHAnsi" w:cstheme="minorBidi"/>
          <w:szCs w:val="22"/>
        </w:rPr>
      </w:pPr>
      <w:r>
        <w:t>35A</w:t>
      </w:r>
      <w:r>
        <w:rPr>
          <w:snapToGrid w:val="0"/>
        </w:rPr>
        <w:t>.</w:t>
      </w:r>
      <w:r>
        <w:rPr>
          <w:snapToGrid w:val="0"/>
        </w:rPr>
        <w:tab/>
        <w:t>Manner of applying income and property of the Company</w:t>
      </w:r>
      <w:r>
        <w:tab/>
      </w:r>
      <w:r>
        <w:fldChar w:fldCharType="begin"/>
      </w:r>
      <w:r>
        <w:instrText xml:space="preserve"> PAGEREF _Toc361734769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VI — Weighbridge tickets and warrants</w:t>
      </w:r>
    </w:p>
    <w:p>
      <w:pPr>
        <w:pStyle w:val="TOC8"/>
        <w:rPr>
          <w:rFonts w:asciiTheme="minorHAnsi" w:eastAsiaTheme="minorEastAsia" w:hAnsiTheme="minorHAnsi" w:cstheme="minorBidi"/>
          <w:szCs w:val="22"/>
        </w:rPr>
      </w:pPr>
      <w:r>
        <w:t>36</w:t>
      </w:r>
      <w:r>
        <w:rPr>
          <w:snapToGrid w:val="0"/>
        </w:rPr>
        <w:t>.</w:t>
      </w:r>
      <w:r>
        <w:rPr>
          <w:snapToGrid w:val="0"/>
        </w:rPr>
        <w:tab/>
        <w:t>Company to issue weighbridge ticket on receipt of grain</w:t>
      </w:r>
      <w:r>
        <w:tab/>
      </w:r>
      <w:r>
        <w:fldChar w:fldCharType="begin"/>
      </w:r>
      <w:r>
        <w:instrText xml:space="preserve"> PAGEREF _Toc361734771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Company to issue warrants</w:t>
      </w:r>
      <w:r>
        <w:tab/>
      </w:r>
      <w:r>
        <w:fldChar w:fldCharType="begin"/>
      </w:r>
      <w:r>
        <w:instrText xml:space="preserve"> PAGEREF _Toc361734772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Liability of persons for conversion</w:t>
      </w:r>
      <w:r>
        <w:tab/>
      </w:r>
      <w:r>
        <w:fldChar w:fldCharType="begin"/>
      </w:r>
      <w:r>
        <w:instrText xml:space="preserve"> PAGEREF _Toc361734773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VII — Receival and delivery of grain by the Company</w:t>
      </w:r>
    </w:p>
    <w:p>
      <w:pPr>
        <w:pStyle w:val="TOC8"/>
        <w:rPr>
          <w:rFonts w:asciiTheme="minorHAnsi" w:eastAsiaTheme="minorEastAsia" w:hAnsiTheme="minorHAnsi" w:cstheme="minorBidi"/>
          <w:szCs w:val="22"/>
        </w:rPr>
      </w:pPr>
      <w:r>
        <w:t>40</w:t>
      </w:r>
      <w:r>
        <w:rPr>
          <w:snapToGrid w:val="0"/>
        </w:rPr>
        <w:t>.</w:t>
      </w:r>
      <w:r>
        <w:rPr>
          <w:snapToGrid w:val="0"/>
        </w:rPr>
        <w:tab/>
        <w:t>Company to provide statement showing handling conditions</w:t>
      </w:r>
      <w:r>
        <w:tab/>
      </w:r>
      <w:r>
        <w:fldChar w:fldCharType="begin"/>
      </w:r>
      <w:r>
        <w:instrText xml:space="preserve"> PAGEREF _Toc361734775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Company to handle grain in accordance with Act</w:t>
      </w:r>
      <w:r>
        <w:tab/>
      </w:r>
      <w:r>
        <w:fldChar w:fldCharType="begin"/>
      </w:r>
      <w:r>
        <w:instrText xml:space="preserve"> PAGEREF _Toc361734776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Company to receive all bulk grain tendered</w:t>
      </w:r>
      <w:r>
        <w:tab/>
      </w:r>
      <w:r>
        <w:fldChar w:fldCharType="begin"/>
      </w:r>
      <w:r>
        <w:instrText xml:space="preserve"> PAGEREF _Toc361734777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Determination of grade of grain</w:t>
      </w:r>
      <w:r>
        <w:tab/>
      </w:r>
      <w:r>
        <w:fldChar w:fldCharType="begin"/>
      </w:r>
      <w:r>
        <w:instrText xml:space="preserve"> PAGEREF _Toc361734778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Guarantee of quality and quantity</w:t>
      </w:r>
      <w:r>
        <w:tab/>
      </w:r>
      <w:r>
        <w:fldChar w:fldCharType="begin"/>
      </w:r>
      <w:r>
        <w:instrText xml:space="preserve"> PAGEREF _Toc361734779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Company may sell if delivery not taken by 30 September</w:t>
      </w:r>
      <w:r>
        <w:tab/>
      </w:r>
      <w:r>
        <w:fldChar w:fldCharType="begin"/>
      </w:r>
      <w:r>
        <w:instrText xml:space="preserve"> PAGEREF _Toc361734780 \h </w:instrText>
      </w:r>
      <w:r>
        <w:fldChar w:fldCharType="separate"/>
      </w:r>
      <w:r>
        <w:t>20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Shippers to give notice of charter</w:t>
      </w:r>
      <w:r>
        <w:tab/>
      </w:r>
      <w:r>
        <w:fldChar w:fldCharType="begin"/>
      </w:r>
      <w:r>
        <w:instrText xml:space="preserve"> PAGEREF _Toc361734781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Warrant holder’s right to sample grain</w:t>
      </w:r>
      <w:r>
        <w:tab/>
      </w:r>
      <w:r>
        <w:fldChar w:fldCharType="begin"/>
      </w:r>
      <w:r>
        <w:instrText xml:space="preserve"> PAGEREF _Toc361734782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Disputes as to quality of grain for shipment</w:t>
      </w:r>
      <w:r>
        <w:tab/>
      </w:r>
      <w:r>
        <w:fldChar w:fldCharType="begin"/>
      </w:r>
      <w:r>
        <w:instrText xml:space="preserve"> PAGEREF _Toc361734783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Disputes as to quality of grain delivered other than for shipment</w:t>
      </w:r>
      <w:r>
        <w:tab/>
      </w:r>
      <w:r>
        <w:fldChar w:fldCharType="begin"/>
      </w:r>
      <w:r>
        <w:instrText xml:space="preserve"> PAGEREF _Toc361734784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of arbitration</w:t>
      </w:r>
      <w:r>
        <w:tab/>
      </w:r>
      <w:r>
        <w:fldChar w:fldCharType="begin"/>
      </w:r>
      <w:r>
        <w:instrText xml:space="preserve"> PAGEREF _Toc361734785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51</w:t>
      </w:r>
      <w:r>
        <w:rPr>
          <w:snapToGrid w:val="0"/>
        </w:rPr>
        <w:t>.</w:t>
      </w:r>
      <w:r>
        <w:rPr>
          <w:snapToGrid w:val="0"/>
        </w:rPr>
        <w:tab/>
        <w:t>Compulsory marketing</w:t>
      </w:r>
      <w:r>
        <w:tab/>
      </w:r>
      <w:r>
        <w:fldChar w:fldCharType="begin"/>
      </w:r>
      <w:r>
        <w:instrText xml:space="preserve"> PAGEREF _Toc361734787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Contracts for bulk handling of grains other than wheat or barley</w:t>
      </w:r>
      <w:r>
        <w:tab/>
      </w:r>
      <w:r>
        <w:fldChar w:fldCharType="begin"/>
      </w:r>
      <w:r>
        <w:instrText xml:space="preserve"> PAGEREF _Toc361734788 \h </w:instrText>
      </w:r>
      <w:r>
        <w:fldChar w:fldCharType="separate"/>
      </w:r>
      <w:r>
        <w:t>25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Company water rate</w:t>
      </w:r>
      <w:r>
        <w:tab/>
      </w:r>
      <w:r>
        <w:fldChar w:fldCharType="begin"/>
      </w:r>
      <w:r>
        <w:instrText xml:space="preserve"> PAGEREF _Toc361734789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w:t>
      </w:r>
      <w:r>
        <w:tab/>
      </w:r>
      <w:r>
        <w:fldChar w:fldCharType="begin"/>
      </w:r>
      <w:r>
        <w:instrText xml:space="preserve"> PAGEREF _Toc361734790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General penalty</w:t>
      </w:r>
      <w:r>
        <w:tab/>
      </w:r>
      <w:r>
        <w:fldChar w:fldCharType="begin"/>
      </w:r>
      <w:r>
        <w:instrText xml:space="preserve"> PAGEREF _Toc361734791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_Toc361734793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_Toc361734794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August 2013</w:t>
            </w:r>
          </w:p>
        </w:tc>
      </w:tr>
    </w:tbl>
    <w:p>
      <w:pPr>
        <w:pStyle w:val="WA"/>
        <w:spacing w:before="120"/>
      </w:pPr>
      <w:r>
        <w:t>Western Australia</w:t>
      </w:r>
    </w:p>
    <w:p>
      <w:pPr>
        <w:pStyle w:val="NameofActReg"/>
        <w:spacing w:before="1400" w:after="10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357077073"/>
      <w:bookmarkStart w:id="2" w:name="_Toc358986701"/>
      <w:bookmarkStart w:id="3" w:name="_Toc358986751"/>
      <w:bookmarkStart w:id="4" w:name="_Toc361733350"/>
      <w:bookmarkStart w:id="5" w:name="_Toc361733900"/>
      <w:bookmarkStart w:id="6" w:name="_Toc361734696"/>
      <w:bookmarkStart w:id="7" w:name="_Toc3617347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361734747"/>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9" w:name="_Toc361734748"/>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r>
        <w:t>[</w:t>
      </w:r>
      <w:r>
        <w:rPr>
          <w:b/>
          <w:bCs/>
        </w:rPr>
        <w:t>4.</w:t>
      </w:r>
      <w:r>
        <w:tab/>
        <w:t>Omitted under the Reprints Act 1984 s. 7(4)(f).]</w:t>
      </w:r>
    </w:p>
    <w:p>
      <w:pPr>
        <w:pStyle w:val="Heading5"/>
        <w:rPr>
          <w:snapToGrid w:val="0"/>
        </w:rPr>
      </w:pPr>
      <w:bookmarkStart w:id="10" w:name="_Toc361734749"/>
      <w:r>
        <w:rPr>
          <w:rStyle w:val="CharSectno"/>
        </w:rPr>
        <w:t>5</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w:t>
      </w:r>
      <w:r>
        <w:rPr>
          <w:vertAlign w:val="superscript"/>
        </w:rPr>
        <w:t>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4</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11" w:name="_Toc357077077"/>
      <w:bookmarkStart w:id="12" w:name="_Toc358986705"/>
      <w:bookmarkStart w:id="13" w:name="_Toc358986755"/>
      <w:bookmarkStart w:id="14" w:name="_Toc361733354"/>
      <w:bookmarkStart w:id="15" w:name="_Toc361733904"/>
      <w:bookmarkStart w:id="16" w:name="_Toc361734700"/>
      <w:bookmarkStart w:id="17" w:name="_Toc361734750"/>
      <w:r>
        <w:rPr>
          <w:rStyle w:val="CharPartNo"/>
        </w:rPr>
        <w:t>Part II</w:t>
      </w:r>
      <w:r>
        <w:rPr>
          <w:rStyle w:val="CharDivNo"/>
        </w:rPr>
        <w:t> </w:t>
      </w:r>
      <w:r>
        <w:t>—</w:t>
      </w:r>
      <w:r>
        <w:rPr>
          <w:rStyle w:val="CharDivText"/>
        </w:rPr>
        <w:t> </w:t>
      </w:r>
      <w:r>
        <w:rPr>
          <w:rStyle w:val="CharPartText"/>
        </w:rPr>
        <w:t>Obligations of the Company</w:t>
      </w:r>
      <w:bookmarkEnd w:id="11"/>
      <w:bookmarkEnd w:id="12"/>
      <w:bookmarkEnd w:id="13"/>
      <w:bookmarkEnd w:id="14"/>
      <w:bookmarkEnd w:id="15"/>
      <w:bookmarkEnd w:id="16"/>
      <w:bookmarkEnd w:id="17"/>
      <w:r>
        <w:rPr>
          <w:rStyle w:val="CharPartText"/>
        </w:rPr>
        <w:t xml:space="preserve"> </w:t>
      </w:r>
    </w:p>
    <w:p>
      <w:pPr>
        <w:pStyle w:val="Ednotesection"/>
      </w:pPr>
      <w:r>
        <w:t>[</w:t>
      </w:r>
      <w:r>
        <w:rPr>
          <w:b/>
        </w:rPr>
        <w:t>6.</w:t>
      </w:r>
      <w:r>
        <w:tab/>
        <w:t>Deleted by No. 29 of 2002 s. 5.]</w:t>
      </w:r>
    </w:p>
    <w:p>
      <w:pPr>
        <w:pStyle w:val="Heading5"/>
      </w:pPr>
      <w:bookmarkStart w:id="18" w:name="_Toc361734751"/>
      <w:r>
        <w:rPr>
          <w:rStyle w:val="CharSectno"/>
        </w:rPr>
        <w:t>6A</w:t>
      </w:r>
      <w:r>
        <w:t>.</w:t>
      </w:r>
      <w:r>
        <w:tab/>
        <w:t>Determination of standards</w:t>
      </w:r>
      <w:bookmarkEnd w:id="18"/>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19" w:name="_Toc361734752"/>
      <w:r>
        <w:rPr>
          <w:rStyle w:val="CharSectno"/>
        </w:rPr>
        <w:t>7</w:t>
      </w:r>
      <w:r>
        <w:rPr>
          <w:snapToGrid w:val="0"/>
        </w:rPr>
        <w:t>.</w:t>
      </w:r>
      <w:r>
        <w:rPr>
          <w:snapToGrid w:val="0"/>
        </w:rPr>
        <w:tab/>
        <w:t>Liability of Company for conversion</w:t>
      </w:r>
      <w:bookmarkEnd w:id="19"/>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r>
        <w:t>[</w:t>
      </w:r>
      <w:r>
        <w:rPr>
          <w:b/>
        </w:rPr>
        <w:t>8</w:t>
      </w:r>
      <w:r>
        <w:rPr>
          <w:b/>
        </w:rPr>
        <w:noBreakHyphen/>
        <w:t>10.</w:t>
      </w:r>
      <w:r>
        <w:tab/>
        <w:t>Deleted by No. 29 of 2002 s. 5.]</w:t>
      </w:r>
    </w:p>
    <w:p>
      <w:pPr>
        <w:pStyle w:val="Heading5"/>
        <w:rPr>
          <w:snapToGrid w:val="0"/>
        </w:rPr>
      </w:pPr>
      <w:bookmarkStart w:id="20" w:name="_Toc361734753"/>
      <w:r>
        <w:rPr>
          <w:rStyle w:val="CharSectno"/>
        </w:rPr>
        <w:t>11</w:t>
      </w:r>
      <w:r>
        <w:rPr>
          <w:snapToGrid w:val="0"/>
        </w:rPr>
        <w:t>.</w:t>
      </w:r>
      <w:r>
        <w:rPr>
          <w:snapToGrid w:val="0"/>
        </w:rPr>
        <w:tab/>
        <w:t>Company to insure grain</w:t>
      </w:r>
      <w:bookmarkEnd w:id="20"/>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5</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21" w:name="_Toc361734754"/>
      <w:r>
        <w:rPr>
          <w:rStyle w:val="CharSectno"/>
        </w:rPr>
        <w:t>12</w:t>
      </w:r>
      <w:r>
        <w:rPr>
          <w:snapToGrid w:val="0"/>
        </w:rPr>
        <w:t>.</w:t>
      </w:r>
      <w:r>
        <w:rPr>
          <w:snapToGrid w:val="0"/>
        </w:rPr>
        <w:tab/>
        <w:t>Company to furnish balance sheet and revenue account to Minister</w:t>
      </w:r>
      <w:bookmarkEnd w:id="21"/>
      <w:r>
        <w:rPr>
          <w:snapToGrid w:val="0"/>
        </w:rPr>
        <w:t xml:space="preserve"> </w:t>
      </w:r>
    </w:p>
    <w:p>
      <w:pPr>
        <w:pStyle w:val="Subsection"/>
        <w:spacing w:before="150"/>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spacing w:before="150"/>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spacing w:before="150"/>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22" w:name="_Toc361734755"/>
      <w:r>
        <w:rPr>
          <w:rStyle w:val="CharSectno"/>
        </w:rPr>
        <w:t>13</w:t>
      </w:r>
      <w:r>
        <w:rPr>
          <w:snapToGrid w:val="0"/>
        </w:rPr>
        <w:t>.</w:t>
      </w:r>
      <w:r>
        <w:rPr>
          <w:snapToGrid w:val="0"/>
        </w:rPr>
        <w:tab/>
        <w:t>Power of Company to purchase shares</w:t>
      </w:r>
      <w:bookmarkEnd w:id="22"/>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t xml:space="preserve"> </w:t>
      </w:r>
      <w:r>
        <w:rPr>
          <w:vertAlign w:val="superscript"/>
        </w:rPr>
        <w:t>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23" w:name="_Toc361734756"/>
      <w:r>
        <w:rPr>
          <w:rStyle w:val="CharSectno"/>
        </w:rPr>
        <w:t>14</w:t>
      </w:r>
      <w:r>
        <w:rPr>
          <w:snapToGrid w:val="0"/>
        </w:rPr>
        <w:t>.</w:t>
      </w:r>
      <w:r>
        <w:rPr>
          <w:snapToGrid w:val="0"/>
        </w:rPr>
        <w:tab/>
        <w:t>Application of moneys received from excess of outturn</w:t>
      </w:r>
      <w:bookmarkEnd w:id="23"/>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24" w:name="_Toc361734757"/>
      <w:r>
        <w:rPr>
          <w:rStyle w:val="CharSectno"/>
        </w:rPr>
        <w:t>15</w:t>
      </w:r>
      <w:r>
        <w:rPr>
          <w:snapToGrid w:val="0"/>
        </w:rPr>
        <w:t>.</w:t>
      </w:r>
      <w:r>
        <w:rPr>
          <w:snapToGrid w:val="0"/>
        </w:rPr>
        <w:tab/>
        <w:t>Company not liable for act of God or unforeseen loss</w:t>
      </w:r>
      <w:bookmarkEnd w:id="24"/>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25" w:name="_Toc361734758"/>
      <w:r>
        <w:rPr>
          <w:rStyle w:val="CharSectno"/>
        </w:rPr>
        <w:t>16</w:t>
      </w:r>
      <w:r>
        <w:rPr>
          <w:snapToGrid w:val="0"/>
        </w:rPr>
        <w:t>.</w:t>
      </w:r>
      <w:r>
        <w:rPr>
          <w:snapToGrid w:val="0"/>
        </w:rPr>
        <w:tab/>
        <w:t>Company’s liability for shortages in stocks</w:t>
      </w:r>
      <w:bookmarkEnd w:id="25"/>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26" w:name="_Toc361734759"/>
      <w:r>
        <w:rPr>
          <w:rStyle w:val="CharSectno"/>
        </w:rPr>
        <w:t>17</w:t>
      </w:r>
      <w:r>
        <w:rPr>
          <w:snapToGrid w:val="0"/>
        </w:rPr>
        <w:t>.</w:t>
      </w:r>
      <w:r>
        <w:rPr>
          <w:snapToGrid w:val="0"/>
        </w:rPr>
        <w:tab/>
        <w:t>Polls of growers to be taken by secret ballot</w:t>
      </w:r>
      <w:bookmarkEnd w:id="26"/>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27" w:name="_Toc361734760"/>
      <w:r>
        <w:rPr>
          <w:rStyle w:val="CharSectno"/>
        </w:rPr>
        <w:t>18</w:t>
      </w:r>
      <w:r>
        <w:rPr>
          <w:snapToGrid w:val="0"/>
        </w:rPr>
        <w:t>.</w:t>
      </w:r>
      <w:r>
        <w:rPr>
          <w:snapToGrid w:val="0"/>
        </w:rPr>
        <w:tab/>
        <w:t>Title to grain in Company’s care</w:t>
      </w:r>
      <w:bookmarkEnd w:id="27"/>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28" w:name="_Toc361734761"/>
      <w:r>
        <w:rPr>
          <w:rStyle w:val="CharSectno"/>
        </w:rPr>
        <w:t>19</w:t>
      </w:r>
      <w:r>
        <w:rPr>
          <w:snapToGrid w:val="0"/>
        </w:rPr>
        <w:t>.</w:t>
      </w:r>
      <w:r>
        <w:rPr>
          <w:snapToGrid w:val="0"/>
        </w:rPr>
        <w:tab/>
        <w:t>Company to allow use of port facilities</w:t>
      </w:r>
      <w:bookmarkEnd w:id="28"/>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(s. 20-30) deleted by No. 29 of 2002 s. 8.]</w:t>
      </w:r>
    </w:p>
    <w:p>
      <w:pPr>
        <w:pStyle w:val="Heading2"/>
      </w:pPr>
      <w:bookmarkStart w:id="29" w:name="_Toc357077089"/>
      <w:bookmarkStart w:id="30" w:name="_Toc358986717"/>
      <w:bookmarkStart w:id="31" w:name="_Toc358986767"/>
      <w:bookmarkStart w:id="32" w:name="_Toc361733366"/>
      <w:bookmarkStart w:id="33" w:name="_Toc361733916"/>
      <w:bookmarkStart w:id="34" w:name="_Toc361734712"/>
      <w:bookmarkStart w:id="35" w:name="_Toc361734762"/>
      <w:r>
        <w:rPr>
          <w:rStyle w:val="CharPartNo"/>
        </w:rPr>
        <w:t>Part V</w:t>
      </w:r>
      <w:r>
        <w:t> — </w:t>
      </w:r>
      <w:r>
        <w:rPr>
          <w:rStyle w:val="CharPartText"/>
        </w:rPr>
        <w:t>Charges</w:t>
      </w:r>
      <w:bookmarkEnd w:id="29"/>
      <w:bookmarkEnd w:id="30"/>
      <w:bookmarkEnd w:id="31"/>
      <w:bookmarkEnd w:id="32"/>
      <w:bookmarkEnd w:id="33"/>
      <w:bookmarkEnd w:id="34"/>
      <w:bookmarkEnd w:id="35"/>
    </w:p>
    <w:p>
      <w:pPr>
        <w:pStyle w:val="Footnoteheading"/>
      </w:pPr>
      <w:r>
        <w:tab/>
        <w:t>[Heading inserted by No. 29 of 2002 s. 9.]</w:t>
      </w:r>
    </w:p>
    <w:p>
      <w:pPr>
        <w:pStyle w:val="Ednotesection"/>
      </w:pPr>
      <w:r>
        <w:t>[</w:t>
      </w:r>
      <w:r>
        <w:rPr>
          <w:b/>
        </w:rPr>
        <w:t>31</w:t>
      </w:r>
      <w:r>
        <w:rPr>
          <w:b/>
        </w:rPr>
        <w:noBreakHyphen/>
        <w:t>33.</w:t>
      </w:r>
      <w:r>
        <w:tab/>
        <w:t>Deleted by No. 29 of 2002 s 10</w:t>
      </w:r>
      <w:r>
        <w:rPr>
          <w:vertAlign w:val="superscript"/>
        </w:rPr>
        <w:t> 6</w:t>
      </w:r>
      <w:r>
        <w:t>.]</w:t>
      </w:r>
    </w:p>
    <w:p>
      <w:pPr>
        <w:pStyle w:val="Heading5"/>
        <w:rPr>
          <w:snapToGrid w:val="0"/>
        </w:rPr>
      </w:pPr>
      <w:bookmarkStart w:id="36" w:name="_Toc361734763"/>
      <w:r>
        <w:rPr>
          <w:rStyle w:val="CharSectno"/>
        </w:rPr>
        <w:t>34</w:t>
      </w:r>
      <w:r>
        <w:rPr>
          <w:snapToGrid w:val="0"/>
        </w:rPr>
        <w:t>.</w:t>
      </w:r>
      <w:r>
        <w:rPr>
          <w:snapToGrid w:val="0"/>
        </w:rPr>
        <w:tab/>
        <w:t>Charges by Company to be fixed by Company’s board of directors</w:t>
      </w:r>
      <w:bookmarkEnd w:id="36"/>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pPr>
      <w:r>
        <w:tab/>
        <w:t>[(2)</w:t>
      </w:r>
      <w:r>
        <w:tab/>
        <w:t>deleted]</w:t>
      </w:r>
    </w:p>
    <w:p>
      <w:pPr>
        <w:pStyle w:val="Footnotesection"/>
      </w:pPr>
      <w:r>
        <w:tab/>
        <w:t>[Section 34 amended by No. 10 of 1998 s. 19; No. 29 of 2002 s. 11.]</w:t>
      </w:r>
    </w:p>
    <w:p>
      <w:pPr>
        <w:pStyle w:val="Heading5"/>
        <w:rPr>
          <w:snapToGrid w:val="0"/>
        </w:rPr>
      </w:pPr>
      <w:bookmarkStart w:id="37" w:name="_Toc361734764"/>
      <w:r>
        <w:rPr>
          <w:rStyle w:val="CharSectno"/>
        </w:rPr>
        <w:t>34A</w:t>
      </w:r>
      <w:r>
        <w:rPr>
          <w:snapToGrid w:val="0"/>
        </w:rPr>
        <w:t>.</w:t>
      </w:r>
      <w:r>
        <w:rPr>
          <w:snapToGrid w:val="0"/>
        </w:rPr>
        <w:tab/>
        <w:t>Special object charges</w:t>
      </w:r>
      <w:bookmarkEnd w:id="37"/>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r>
        <w:t>[</w:t>
      </w:r>
      <w:r>
        <w:rPr>
          <w:b/>
        </w:rPr>
        <w:t>34B.</w:t>
      </w:r>
      <w:r>
        <w:tab/>
        <w:t>Deleted by No. 29 of 2002 s. 10.]</w:t>
      </w:r>
    </w:p>
    <w:p>
      <w:pPr>
        <w:pStyle w:val="Heading5"/>
        <w:rPr>
          <w:snapToGrid w:val="0"/>
        </w:rPr>
      </w:pPr>
      <w:bookmarkStart w:id="38" w:name="_Toc361734765"/>
      <w:r>
        <w:rPr>
          <w:rStyle w:val="CharSectno"/>
        </w:rPr>
        <w:t>34C</w:t>
      </w:r>
      <w:r>
        <w:rPr>
          <w:snapToGrid w:val="0"/>
        </w:rPr>
        <w:t>.</w:t>
      </w:r>
      <w:r>
        <w:rPr>
          <w:snapToGrid w:val="0"/>
        </w:rPr>
        <w:tab/>
        <w:t>Special object charges for seasons subsequent to 1973</w:t>
      </w:r>
      <w:r>
        <w:rPr>
          <w:snapToGrid w:val="0"/>
        </w:rPr>
        <w:noBreakHyphen/>
        <w:t>1974 season</w:t>
      </w:r>
      <w:bookmarkEnd w:id="38"/>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39" w:name="_Toc361734766"/>
      <w:r>
        <w:rPr>
          <w:rStyle w:val="CharSectno"/>
        </w:rPr>
        <w:t>34D</w:t>
      </w:r>
      <w:r>
        <w:t>.</w:t>
      </w:r>
      <w:r>
        <w:tab/>
        <w:t>Company authorised to pay certain statutory contributions</w:t>
      </w:r>
      <w:bookmarkEnd w:id="39"/>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xml:space="preserve"> </w:t>
      </w:r>
      <w:r>
        <w:rPr>
          <w:vertAlign w:val="superscript"/>
        </w:rPr>
        <w:t>7</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by No. 24 of 2007 s. 69(2); amended by No. 42 of 2011 s. 4.] </w:t>
      </w:r>
    </w:p>
    <w:p>
      <w:pPr>
        <w:pStyle w:val="Heading5"/>
        <w:rPr>
          <w:snapToGrid w:val="0"/>
        </w:rPr>
      </w:pPr>
      <w:bookmarkStart w:id="40" w:name="_Toc361734767"/>
      <w:r>
        <w:rPr>
          <w:rStyle w:val="CharSectno"/>
        </w:rPr>
        <w:t>35</w:t>
      </w:r>
      <w:r>
        <w:rPr>
          <w:snapToGrid w:val="0"/>
        </w:rPr>
        <w:t>.</w:t>
      </w:r>
      <w:r>
        <w:rPr>
          <w:snapToGrid w:val="0"/>
        </w:rPr>
        <w:tab/>
        <w:t>Company to have priority lien for charges</w:t>
      </w:r>
      <w:bookmarkEnd w:id="40"/>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 No. 42 of 2011 s. 5.]</w:t>
      </w:r>
    </w:p>
    <w:p>
      <w:pPr>
        <w:pStyle w:val="Heading2"/>
      </w:pPr>
      <w:bookmarkStart w:id="41" w:name="_Toc357077095"/>
      <w:bookmarkStart w:id="42" w:name="_Toc358986723"/>
      <w:bookmarkStart w:id="43" w:name="_Toc358986773"/>
      <w:bookmarkStart w:id="44" w:name="_Toc361733372"/>
      <w:bookmarkStart w:id="45" w:name="_Toc361733922"/>
      <w:bookmarkStart w:id="46" w:name="_Toc361734718"/>
      <w:bookmarkStart w:id="47" w:name="_Toc36173476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41"/>
      <w:bookmarkEnd w:id="42"/>
      <w:bookmarkEnd w:id="43"/>
      <w:bookmarkEnd w:id="44"/>
      <w:bookmarkEnd w:id="45"/>
      <w:bookmarkEnd w:id="46"/>
      <w:bookmarkEnd w:id="47"/>
      <w:r>
        <w:rPr>
          <w:rStyle w:val="CharPartText"/>
        </w:rPr>
        <w:t xml:space="preserve"> </w:t>
      </w:r>
    </w:p>
    <w:p>
      <w:pPr>
        <w:pStyle w:val="Footnoteheading"/>
      </w:pPr>
      <w:r>
        <w:tab/>
        <w:t>[Heading inserted by No. 4 of 1971 s. 3.]</w:t>
      </w:r>
    </w:p>
    <w:p>
      <w:pPr>
        <w:pStyle w:val="Heading5"/>
        <w:rPr>
          <w:snapToGrid w:val="0"/>
        </w:rPr>
      </w:pPr>
      <w:bookmarkStart w:id="48" w:name="_Toc361734769"/>
      <w:r>
        <w:rPr>
          <w:rStyle w:val="CharSectno"/>
        </w:rPr>
        <w:t>35A</w:t>
      </w:r>
      <w:r>
        <w:rPr>
          <w:snapToGrid w:val="0"/>
        </w:rPr>
        <w:t>.</w:t>
      </w:r>
      <w:r>
        <w:rPr>
          <w:snapToGrid w:val="0"/>
        </w:rPr>
        <w:tab/>
        <w:t>Manner of applying income and property of the Company</w:t>
      </w:r>
      <w:bookmarkEnd w:id="48"/>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t xml:space="preserve"> </w:t>
      </w:r>
      <w:r>
        <w:rPr>
          <w:vertAlign w:val="superscript"/>
        </w:rPr>
        <w:t>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 and</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 and</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 and</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49" w:name="_Toc357077097"/>
      <w:bookmarkStart w:id="50" w:name="_Toc358986725"/>
      <w:bookmarkStart w:id="51" w:name="_Toc358986775"/>
      <w:bookmarkStart w:id="52" w:name="_Toc361733374"/>
      <w:bookmarkStart w:id="53" w:name="_Toc361733924"/>
      <w:bookmarkStart w:id="54" w:name="_Toc361734720"/>
      <w:bookmarkStart w:id="55" w:name="_Toc361734770"/>
      <w:r>
        <w:rPr>
          <w:rStyle w:val="CharPartNo"/>
        </w:rPr>
        <w:t>Part VI</w:t>
      </w:r>
      <w:r>
        <w:rPr>
          <w:rStyle w:val="CharDivNo"/>
        </w:rPr>
        <w:t> </w:t>
      </w:r>
      <w:r>
        <w:t>—</w:t>
      </w:r>
      <w:r>
        <w:rPr>
          <w:rStyle w:val="CharDivText"/>
        </w:rPr>
        <w:t> </w:t>
      </w:r>
      <w:r>
        <w:rPr>
          <w:rStyle w:val="CharPartText"/>
        </w:rPr>
        <w:t>Weighbridge tickets and warrants</w:t>
      </w:r>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361734771"/>
      <w:r>
        <w:rPr>
          <w:rStyle w:val="CharSectno"/>
        </w:rPr>
        <w:t>36</w:t>
      </w:r>
      <w:r>
        <w:rPr>
          <w:snapToGrid w:val="0"/>
        </w:rPr>
        <w:t>.</w:t>
      </w:r>
      <w:r>
        <w:rPr>
          <w:snapToGrid w:val="0"/>
        </w:rPr>
        <w:tab/>
        <w:t>Company to issue weighbridge ticket on receipt of grain</w:t>
      </w:r>
      <w:bookmarkEnd w:id="56"/>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 and</w:t>
      </w:r>
    </w:p>
    <w:p>
      <w:pPr>
        <w:pStyle w:val="Indenta"/>
        <w:rPr>
          <w:snapToGrid w:val="0"/>
        </w:rPr>
      </w:pPr>
      <w:r>
        <w:rPr>
          <w:snapToGrid w:val="0"/>
        </w:rPr>
        <w:tab/>
        <w:t>(b)</w:t>
      </w:r>
      <w:r>
        <w:rPr>
          <w:snapToGrid w:val="0"/>
        </w:rPr>
        <w:tab/>
        <w:t>the name of the person in whose name the grain is delivered; and</w:t>
      </w:r>
    </w:p>
    <w:p>
      <w:pPr>
        <w:pStyle w:val="Indenta"/>
        <w:rPr>
          <w:snapToGrid w:val="0"/>
        </w:rPr>
      </w:pPr>
      <w:r>
        <w:rPr>
          <w:snapToGrid w:val="0"/>
        </w:rPr>
        <w:tab/>
        <w:t>(c)</w:t>
      </w:r>
      <w:r>
        <w:rPr>
          <w:snapToGrid w:val="0"/>
        </w:rPr>
        <w:tab/>
        <w:t>the weight and quantity of grain delivered; and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57" w:name="_Toc361734772"/>
      <w:r>
        <w:rPr>
          <w:rStyle w:val="CharSectno"/>
        </w:rPr>
        <w:t>37</w:t>
      </w:r>
      <w:r>
        <w:rPr>
          <w:snapToGrid w:val="0"/>
        </w:rPr>
        <w:t>.</w:t>
      </w:r>
      <w:r>
        <w:rPr>
          <w:snapToGrid w:val="0"/>
        </w:rPr>
        <w:tab/>
        <w:t>Company to issue warrants</w:t>
      </w:r>
      <w:bookmarkEnd w:id="57"/>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58" w:name="_Toc361734773"/>
      <w:r>
        <w:rPr>
          <w:rStyle w:val="CharSectno"/>
        </w:rPr>
        <w:t>38</w:t>
      </w:r>
      <w:r>
        <w:rPr>
          <w:snapToGrid w:val="0"/>
        </w:rPr>
        <w:t>.</w:t>
      </w:r>
      <w:r>
        <w:rPr>
          <w:snapToGrid w:val="0"/>
        </w:rPr>
        <w:tab/>
        <w:t>Liability of persons for conversion</w:t>
      </w:r>
      <w:bookmarkEnd w:id="58"/>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 and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59" w:name="_Toc357077101"/>
      <w:bookmarkStart w:id="60" w:name="_Toc358986729"/>
      <w:bookmarkStart w:id="61" w:name="_Toc358986779"/>
      <w:bookmarkStart w:id="62" w:name="_Toc361733378"/>
      <w:bookmarkStart w:id="63" w:name="_Toc361733928"/>
      <w:bookmarkStart w:id="64" w:name="_Toc361734724"/>
      <w:bookmarkStart w:id="65" w:name="_Toc361734774"/>
      <w:r>
        <w:rPr>
          <w:rStyle w:val="CharPartNo"/>
        </w:rPr>
        <w:t>Part VII</w:t>
      </w:r>
      <w:r>
        <w:rPr>
          <w:rStyle w:val="CharDivNo"/>
        </w:rPr>
        <w:t> </w:t>
      </w:r>
      <w:r>
        <w:t>—</w:t>
      </w:r>
      <w:r>
        <w:rPr>
          <w:rStyle w:val="CharDivText"/>
        </w:rPr>
        <w:t> </w:t>
      </w:r>
      <w:r>
        <w:rPr>
          <w:rStyle w:val="CharPartText"/>
        </w:rPr>
        <w:t>Receival and delivery of grain by the Company</w:t>
      </w:r>
      <w:bookmarkEnd w:id="59"/>
      <w:bookmarkEnd w:id="60"/>
      <w:bookmarkEnd w:id="61"/>
      <w:bookmarkEnd w:id="62"/>
      <w:bookmarkEnd w:id="63"/>
      <w:bookmarkEnd w:id="64"/>
      <w:bookmarkEnd w:id="65"/>
      <w:r>
        <w:rPr>
          <w:rStyle w:val="CharPartText"/>
        </w:rPr>
        <w:t xml:space="preserve"> </w:t>
      </w:r>
    </w:p>
    <w:p>
      <w:pPr>
        <w:pStyle w:val="Ednotesection"/>
      </w:pPr>
      <w:r>
        <w:t>[</w:t>
      </w:r>
      <w:r>
        <w:rPr>
          <w:b/>
        </w:rPr>
        <w:t>39.</w:t>
      </w:r>
      <w:r>
        <w:tab/>
        <w:t>Deleted by No. 29 of 2002 s. 15.]</w:t>
      </w:r>
    </w:p>
    <w:p>
      <w:pPr>
        <w:pStyle w:val="Heading5"/>
        <w:rPr>
          <w:snapToGrid w:val="0"/>
        </w:rPr>
      </w:pPr>
      <w:bookmarkStart w:id="66" w:name="_Toc361734775"/>
      <w:r>
        <w:rPr>
          <w:rStyle w:val="CharSectno"/>
        </w:rPr>
        <w:t>40</w:t>
      </w:r>
      <w:r>
        <w:rPr>
          <w:snapToGrid w:val="0"/>
        </w:rPr>
        <w:t>.</w:t>
      </w:r>
      <w:r>
        <w:rPr>
          <w:snapToGrid w:val="0"/>
        </w:rPr>
        <w:tab/>
        <w:t>Company to provide statement showing handling conditions</w:t>
      </w:r>
      <w:bookmarkEnd w:id="66"/>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67" w:name="_Toc361734776"/>
      <w:r>
        <w:rPr>
          <w:rStyle w:val="CharSectno"/>
        </w:rPr>
        <w:t>41</w:t>
      </w:r>
      <w:r>
        <w:rPr>
          <w:snapToGrid w:val="0"/>
        </w:rPr>
        <w:t>.</w:t>
      </w:r>
      <w:r>
        <w:rPr>
          <w:snapToGrid w:val="0"/>
        </w:rPr>
        <w:tab/>
        <w:t>Company to handle grain in accordance with Act</w:t>
      </w:r>
      <w:bookmarkEnd w:id="67"/>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68" w:name="_Toc361734777"/>
      <w:r>
        <w:rPr>
          <w:rStyle w:val="CharSectno"/>
        </w:rPr>
        <w:t>42</w:t>
      </w:r>
      <w:r>
        <w:rPr>
          <w:snapToGrid w:val="0"/>
        </w:rPr>
        <w:t>.</w:t>
      </w:r>
      <w:r>
        <w:rPr>
          <w:snapToGrid w:val="0"/>
        </w:rPr>
        <w:tab/>
        <w:t>Company to receive all bulk grain tendered</w:t>
      </w:r>
      <w:bookmarkEnd w:id="68"/>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69" w:name="_Toc361734778"/>
      <w:r>
        <w:rPr>
          <w:rStyle w:val="CharSectno"/>
        </w:rPr>
        <w:t>43</w:t>
      </w:r>
      <w:r>
        <w:rPr>
          <w:snapToGrid w:val="0"/>
        </w:rPr>
        <w:t>.</w:t>
      </w:r>
      <w:r>
        <w:rPr>
          <w:snapToGrid w:val="0"/>
        </w:rPr>
        <w:tab/>
        <w:t>Determination of grade of grain</w:t>
      </w:r>
      <w:bookmarkEnd w:id="69"/>
      <w:r>
        <w:rPr>
          <w:snapToGrid w:val="0"/>
        </w:rPr>
        <w:t xml:space="preserve"> </w:t>
      </w:r>
    </w:p>
    <w:p>
      <w:pPr>
        <w:pStyle w:val="Ednotesubsection"/>
        <w:keepNext/>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w:t>
      </w:r>
      <w:r>
        <w:t xml:space="preserve"> </w:t>
      </w:r>
      <w:r>
        <w:rPr>
          <w:vertAlign w:val="superscript"/>
        </w:rPr>
        <w:t>8</w:t>
      </w:r>
      <w:r>
        <w:rPr>
          <w:snapToGrid w:val="0"/>
        </w:rPr>
        <w:t xml:space="preserv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w:t>
      </w:r>
      <w:r>
        <w:t xml:space="preserve"> </w:t>
      </w:r>
      <w:r>
        <w:rPr>
          <w:vertAlign w:val="superscript"/>
        </w:rPr>
        <w:t>8</w:t>
      </w:r>
      <w:r>
        <w:rPr>
          <w:snapToGrid w:val="0"/>
        </w:rPr>
        <w:t xml:space="preserv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70" w:name="_Toc361734779"/>
      <w:r>
        <w:rPr>
          <w:rStyle w:val="CharSectno"/>
        </w:rPr>
        <w:t>44</w:t>
      </w:r>
      <w:r>
        <w:rPr>
          <w:snapToGrid w:val="0"/>
        </w:rPr>
        <w:t>.</w:t>
      </w:r>
      <w:r>
        <w:rPr>
          <w:snapToGrid w:val="0"/>
        </w:rPr>
        <w:tab/>
        <w:t>Guarantee of quality and quantity</w:t>
      </w:r>
      <w:bookmarkEnd w:id="70"/>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71" w:name="_Toc361734780"/>
      <w:r>
        <w:rPr>
          <w:rStyle w:val="CharSectno"/>
        </w:rPr>
        <w:t>45</w:t>
      </w:r>
      <w:r>
        <w:rPr>
          <w:snapToGrid w:val="0"/>
        </w:rPr>
        <w:t>.</w:t>
      </w:r>
      <w:r>
        <w:rPr>
          <w:snapToGrid w:val="0"/>
        </w:rPr>
        <w:tab/>
        <w:t>Company may sell if delivery not taken by 30 September</w:t>
      </w:r>
      <w:bookmarkEnd w:id="71"/>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 or</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spacing w:before="100"/>
      </w:pPr>
      <w:r>
        <w:tab/>
        <w:t>[Section 45 amended by No. 29 of 2002 s. 18.]</w:t>
      </w:r>
    </w:p>
    <w:p>
      <w:pPr>
        <w:pStyle w:val="Heading5"/>
        <w:rPr>
          <w:snapToGrid w:val="0"/>
        </w:rPr>
      </w:pPr>
      <w:bookmarkStart w:id="72" w:name="_Toc361734781"/>
      <w:r>
        <w:rPr>
          <w:rStyle w:val="CharSectno"/>
        </w:rPr>
        <w:t>46</w:t>
      </w:r>
      <w:r>
        <w:rPr>
          <w:snapToGrid w:val="0"/>
        </w:rPr>
        <w:t>.</w:t>
      </w:r>
      <w:r>
        <w:rPr>
          <w:snapToGrid w:val="0"/>
        </w:rPr>
        <w:tab/>
        <w:t>Shippers to give notice of charter</w:t>
      </w:r>
      <w:bookmarkEnd w:id="72"/>
      <w:r>
        <w:rPr>
          <w:snapToGrid w:val="0"/>
        </w:rPr>
        <w:t xml:space="preserve"> </w:t>
      </w:r>
    </w:p>
    <w:p>
      <w:pPr>
        <w:pStyle w:val="Subsection"/>
        <w:spacing w:before="150"/>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spacing w:before="150"/>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spacing w:before="100"/>
      </w:pPr>
      <w:r>
        <w:tab/>
        <w:t>[Section 46 amended by No. 29 of 2002 s. 19.]</w:t>
      </w:r>
    </w:p>
    <w:p>
      <w:pPr>
        <w:pStyle w:val="Heading5"/>
        <w:rPr>
          <w:snapToGrid w:val="0"/>
        </w:rPr>
      </w:pPr>
      <w:bookmarkStart w:id="73" w:name="_Toc361734782"/>
      <w:r>
        <w:rPr>
          <w:rStyle w:val="CharSectno"/>
        </w:rPr>
        <w:t>47</w:t>
      </w:r>
      <w:r>
        <w:rPr>
          <w:snapToGrid w:val="0"/>
        </w:rPr>
        <w:t>.</w:t>
      </w:r>
      <w:r>
        <w:rPr>
          <w:snapToGrid w:val="0"/>
        </w:rPr>
        <w:tab/>
        <w:t>Warrant holder’s right to sample grain</w:t>
      </w:r>
      <w:bookmarkEnd w:id="73"/>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74" w:name="_Toc361734783"/>
      <w:r>
        <w:rPr>
          <w:rStyle w:val="CharSectno"/>
        </w:rPr>
        <w:t>48</w:t>
      </w:r>
      <w:r>
        <w:rPr>
          <w:snapToGrid w:val="0"/>
        </w:rPr>
        <w:t>.</w:t>
      </w:r>
      <w:r>
        <w:rPr>
          <w:snapToGrid w:val="0"/>
        </w:rPr>
        <w:tab/>
        <w:t>Disputes as to quality of grain for shipment</w:t>
      </w:r>
      <w:bookmarkEnd w:id="74"/>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rPr>
        <w:t>Commercial Arbitration Act 2012</w:t>
      </w:r>
      <w:r>
        <w:rPr>
          <w:snapToGrid w:val="0"/>
        </w:rPr>
        <w:t>.</w:t>
      </w:r>
    </w:p>
    <w:p>
      <w:pPr>
        <w:pStyle w:val="Footnotesection"/>
      </w:pPr>
      <w:bookmarkStart w:id="75" w:name="_Toc361734784"/>
      <w:r>
        <w:tab/>
        <w:t>[Section 48 amended by No. 23 of 2013 s. 45.]</w:t>
      </w:r>
    </w:p>
    <w:p>
      <w:pPr>
        <w:pStyle w:val="Heading5"/>
        <w:rPr>
          <w:snapToGrid w:val="0"/>
        </w:rPr>
      </w:pPr>
      <w:r>
        <w:rPr>
          <w:rStyle w:val="CharSectno"/>
        </w:rPr>
        <w:t>49</w:t>
      </w:r>
      <w:r>
        <w:rPr>
          <w:snapToGrid w:val="0"/>
        </w:rPr>
        <w:t>.</w:t>
      </w:r>
      <w:r>
        <w:rPr>
          <w:snapToGrid w:val="0"/>
        </w:rPr>
        <w:tab/>
        <w:t>Disputes as to quality of grain delivered other than for shipment</w:t>
      </w:r>
      <w:bookmarkEnd w:id="75"/>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w:t>
      </w:r>
      <w:r>
        <w:t> </w:t>
      </w:r>
      <w:r>
        <w:rPr>
          <w:vertAlign w:val="superscript"/>
        </w:rPr>
        <w:t>8</w:t>
      </w:r>
      <w:r>
        <w:rPr>
          <w:snapToGrid w:val="0"/>
        </w:rPr>
        <w:t xml:space="preserve"> and there inspected in accordance with the regulations by an officer of that department nominated by the Minister, and the officer shall give his decision on the matter in dispute.</w:t>
      </w:r>
    </w:p>
    <w:p>
      <w:pPr>
        <w:pStyle w:val="Heading5"/>
        <w:rPr>
          <w:snapToGrid w:val="0"/>
        </w:rPr>
      </w:pPr>
      <w:bookmarkStart w:id="76" w:name="_Toc361734785"/>
      <w:r>
        <w:rPr>
          <w:rStyle w:val="CharSectno"/>
        </w:rPr>
        <w:t>50</w:t>
      </w:r>
      <w:r>
        <w:rPr>
          <w:snapToGrid w:val="0"/>
        </w:rPr>
        <w:t>.</w:t>
      </w:r>
      <w:r>
        <w:rPr>
          <w:snapToGrid w:val="0"/>
        </w:rPr>
        <w:tab/>
        <w:t>Costs of arbitration</w:t>
      </w:r>
      <w:bookmarkEnd w:id="76"/>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77" w:name="_Toc357077113"/>
      <w:bookmarkStart w:id="78" w:name="_Toc358986741"/>
      <w:bookmarkStart w:id="79" w:name="_Toc358986791"/>
      <w:bookmarkStart w:id="80" w:name="_Toc361733390"/>
      <w:bookmarkStart w:id="81" w:name="_Toc361733940"/>
      <w:bookmarkStart w:id="82" w:name="_Toc361734736"/>
      <w:bookmarkStart w:id="83" w:name="_Toc361734786"/>
      <w:r>
        <w:rPr>
          <w:rStyle w:val="CharPartNo"/>
        </w:rPr>
        <w:t>Part VIII</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r>
        <w:rPr>
          <w:rStyle w:val="CharPartText"/>
        </w:rPr>
        <w:t xml:space="preserve"> </w:t>
      </w:r>
    </w:p>
    <w:p>
      <w:pPr>
        <w:pStyle w:val="Ednotesection"/>
      </w:pPr>
      <w:r>
        <w:t>[</w:t>
      </w:r>
      <w:r>
        <w:rPr>
          <w:b/>
        </w:rPr>
        <w:t>50A.</w:t>
      </w:r>
      <w:r>
        <w:tab/>
        <w:t>Deleted by No. 29 of 2002 s. 20.]</w:t>
      </w:r>
    </w:p>
    <w:p>
      <w:pPr>
        <w:pStyle w:val="Heading5"/>
        <w:rPr>
          <w:snapToGrid w:val="0"/>
        </w:rPr>
      </w:pPr>
      <w:bookmarkStart w:id="84" w:name="_Toc361734787"/>
      <w:r>
        <w:rPr>
          <w:rStyle w:val="CharSectno"/>
        </w:rPr>
        <w:t>51</w:t>
      </w:r>
      <w:r>
        <w:rPr>
          <w:snapToGrid w:val="0"/>
        </w:rPr>
        <w:t>.</w:t>
      </w:r>
      <w:r>
        <w:rPr>
          <w:snapToGrid w:val="0"/>
        </w:rPr>
        <w:tab/>
        <w:t>Compulsory marketing</w:t>
      </w:r>
      <w:bookmarkEnd w:id="84"/>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 and</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 and</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9</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by No. 64 of 1974 s. 5; No. 3 of 1981 s. 10; No. 115 of 1982 s. 3; No. 53 of 1996 s. 13; No. 29 of 2002 s. 21; No. 24 of 2007 s. 69(3); No. 42 of 2011 s. 6.] </w:t>
      </w:r>
    </w:p>
    <w:p>
      <w:pPr>
        <w:pStyle w:val="Heading5"/>
        <w:rPr>
          <w:snapToGrid w:val="0"/>
        </w:rPr>
      </w:pPr>
      <w:bookmarkStart w:id="85" w:name="_Toc361734788"/>
      <w:r>
        <w:rPr>
          <w:rStyle w:val="CharSectno"/>
        </w:rPr>
        <w:t>52</w:t>
      </w:r>
      <w:r>
        <w:rPr>
          <w:snapToGrid w:val="0"/>
        </w:rPr>
        <w:t>.</w:t>
      </w:r>
      <w:r>
        <w:rPr>
          <w:snapToGrid w:val="0"/>
        </w:rPr>
        <w:tab/>
        <w:t>Contracts for bulk handling of grains other than wheat or barley</w:t>
      </w:r>
      <w:bookmarkEnd w:id="85"/>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86" w:name="_Toc361734789"/>
      <w:r>
        <w:rPr>
          <w:rStyle w:val="CharSectno"/>
        </w:rPr>
        <w:t>52A</w:t>
      </w:r>
      <w:r>
        <w:rPr>
          <w:snapToGrid w:val="0"/>
        </w:rPr>
        <w:t>.</w:t>
      </w:r>
      <w:r>
        <w:rPr>
          <w:snapToGrid w:val="0"/>
        </w:rPr>
        <w:tab/>
        <w:t>Company water rate</w:t>
      </w:r>
      <w:bookmarkEnd w:id="86"/>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87" w:name="_Toc361734790"/>
      <w:r>
        <w:rPr>
          <w:rStyle w:val="CharSectno"/>
        </w:rPr>
        <w:t>53</w:t>
      </w:r>
      <w:r>
        <w:rPr>
          <w:snapToGrid w:val="0"/>
        </w:rPr>
        <w:t>.</w:t>
      </w:r>
      <w:r>
        <w:rPr>
          <w:snapToGrid w:val="0"/>
        </w:rPr>
        <w:tab/>
        <w:t>Regulations</w:t>
      </w:r>
      <w:bookmarkEnd w:id="87"/>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 and</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 and</w:t>
      </w:r>
    </w:p>
    <w:p>
      <w:pPr>
        <w:pStyle w:val="Indenta"/>
        <w:rPr>
          <w:snapToGrid w:val="0"/>
        </w:rPr>
      </w:pPr>
      <w:r>
        <w:rPr>
          <w:snapToGrid w:val="0"/>
        </w:rPr>
        <w:tab/>
        <w:t>(e)</w:t>
      </w:r>
      <w:r>
        <w:rPr>
          <w:snapToGrid w:val="0"/>
        </w:rPr>
        <w:tab/>
        <w:t>the protection of charges, liens or securities over grain offered or delivered to the Company; and</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 and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 and</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88" w:name="_Toc361734791"/>
      <w:r>
        <w:rPr>
          <w:rStyle w:val="CharSectno"/>
        </w:rPr>
        <w:t>54</w:t>
      </w:r>
      <w:r>
        <w:rPr>
          <w:snapToGrid w:val="0"/>
        </w:rPr>
        <w:t>.</w:t>
      </w:r>
      <w:r>
        <w:rPr>
          <w:snapToGrid w:val="0"/>
        </w:rPr>
        <w:tab/>
        <w:t>General penalty</w:t>
      </w:r>
      <w:bookmarkEnd w:id="88"/>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rPr>
          <w:sz w:val="24"/>
          <w:szCs w:val="24"/>
        </w:rPr>
      </w:pPr>
      <w:r>
        <w:rPr>
          <w:sz w:val="24"/>
          <w:szCs w:val="24"/>
        </w:rP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89" w:name="_Toc357077119"/>
      <w:bookmarkStart w:id="90" w:name="_Toc358986747"/>
      <w:bookmarkStart w:id="91" w:name="_Toc358986797"/>
      <w:bookmarkStart w:id="92" w:name="_Toc361733396"/>
      <w:bookmarkStart w:id="93" w:name="_Toc361733946"/>
      <w:bookmarkStart w:id="94" w:name="_Toc361734742"/>
      <w:bookmarkStart w:id="95" w:name="_Toc361734792"/>
      <w:r>
        <w:t>Notes</w:t>
      </w:r>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reprint is a compilation as at 9 August 2013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1a, 10</w:t>
      </w:r>
      <w:r>
        <w:rPr>
          <w:snapToGrid w:val="0"/>
        </w:rPr>
        <w:t>.  The table also contains information about any reprint.</w:t>
      </w:r>
    </w:p>
    <w:p>
      <w:pPr>
        <w:pStyle w:val="nHeading3"/>
      </w:pPr>
      <w:bookmarkStart w:id="96" w:name="_Toc361734793"/>
      <w:r>
        <w:t>Compilation table</w:t>
      </w:r>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after="4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after="4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after="4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after="4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after="4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after="4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after="4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after="4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after="4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after="4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after="4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after="40"/>
              <w:rPr>
                <w:sz w:val="19"/>
                <w:vertAlign w:val="superscript"/>
              </w:rPr>
            </w:pPr>
            <w:r>
              <w:rPr>
                <w:i/>
                <w:sz w:val="19"/>
              </w:rPr>
              <w:t xml:space="preserve">Acts Amendment (Financial Administration and Audit) Act 1985 </w:t>
            </w:r>
            <w:r>
              <w:rPr>
                <w:sz w:val="19"/>
              </w:rPr>
              <w:t>s. 3 </w:t>
            </w:r>
            <w:r>
              <w:rPr>
                <w:sz w:val="19"/>
                <w:vertAlign w:val="superscript"/>
              </w:rPr>
              <w:t>11</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(Grain Marketing) Act 1987 </w:t>
            </w:r>
            <w:r>
              <w:rPr>
                <w:sz w:val="19"/>
              </w:rPr>
              <w:t>Pt. III</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r>
              <w:rPr>
                <w:sz w:val="19"/>
                <w:vertAlign w:val="superscript"/>
              </w:rPr>
              <w:t>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after="40"/>
              <w:rPr>
                <w:sz w:val="19"/>
                <w:vertAlign w:val="superscript"/>
              </w:rPr>
            </w:pPr>
            <w:r>
              <w:rPr>
                <w:i/>
                <w:sz w:val="19"/>
              </w:rPr>
              <w:t>Bulk Handling Amendment Act 2002</w:t>
            </w:r>
            <w:r>
              <w:rPr>
                <w:sz w:val="19"/>
                <w:vertAlign w:val="superscript"/>
              </w:rPr>
              <w:t> 6, 12</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after="4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after="4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69</w:t>
            </w:r>
          </w:p>
        </w:tc>
        <w:tc>
          <w:tcPr>
            <w:tcW w:w="1134" w:type="dxa"/>
          </w:tcPr>
          <w:p>
            <w:pPr>
              <w:pStyle w:val="nTable"/>
              <w:spacing w:after="40"/>
              <w:rPr>
                <w:sz w:val="19"/>
              </w:rPr>
            </w:pPr>
            <w:r>
              <w:rPr>
                <w:snapToGrid w:val="0"/>
                <w:sz w:val="19"/>
              </w:rPr>
              <w:t>24 of 2007</w:t>
            </w:r>
          </w:p>
        </w:tc>
        <w:tc>
          <w:tcPr>
            <w:tcW w:w="1134" w:type="dxa"/>
          </w:tcPr>
          <w:p>
            <w:pPr>
              <w:pStyle w:val="nTable"/>
              <w:spacing w:after="40"/>
              <w:rPr>
                <w:sz w:val="19"/>
              </w:rPr>
            </w:pPr>
            <w:r>
              <w:rPr>
                <w:snapToGrid w:val="0"/>
                <w:sz w:val="19"/>
              </w:rPr>
              <w:t>12 Oct 2007</w:t>
            </w:r>
          </w:p>
        </w:tc>
        <w:tc>
          <w:tcPr>
            <w:tcW w:w="2552" w:type="dxa"/>
          </w:tcPr>
          <w:p>
            <w:pPr>
              <w:pStyle w:val="nTable"/>
              <w:spacing w:after="40"/>
              <w:rPr>
                <w:i/>
                <w:iCs/>
                <w:sz w:val="19"/>
              </w:rPr>
            </w:pPr>
            <w:r>
              <w:rPr>
                <w:snapToGrid w:val="0"/>
                <w:sz w:val="19"/>
              </w:rPr>
              <w:t xml:space="preserve">14 Aug 2010 (see s. 2(1) and </w:t>
            </w:r>
            <w:r>
              <w:rPr>
                <w:i/>
                <w:iCs/>
                <w:snapToGrid w:val="0"/>
                <w:sz w:val="19"/>
              </w:rPr>
              <w:t>Gazette </w:t>
            </w:r>
            <w:r>
              <w:rPr>
                <w:snapToGrid w:val="0"/>
                <w:sz w:val="19"/>
              </w:rPr>
              <w:t>13 Aug 2010 p. 4021)</w:t>
            </w:r>
          </w:p>
        </w:tc>
      </w:tr>
      <w:tr>
        <w:trPr>
          <w:cantSplit/>
        </w:trPr>
        <w:tc>
          <w:tcPr>
            <w:tcW w:w="2268" w:type="dxa"/>
            <w:shd w:val="clear" w:color="auto" w:fill="auto"/>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2 Div. 1</w:t>
            </w:r>
          </w:p>
        </w:tc>
        <w:tc>
          <w:tcPr>
            <w:tcW w:w="1134" w:type="dxa"/>
            <w:shd w:val="clear" w:color="auto" w:fill="auto"/>
          </w:tcPr>
          <w:p>
            <w:pPr>
              <w:pStyle w:val="nTable"/>
              <w:spacing w:after="40"/>
              <w:rPr>
                <w:snapToGrid w:val="0"/>
                <w:sz w:val="19"/>
              </w:rPr>
            </w:pPr>
            <w:r>
              <w:rPr>
                <w:snapToGrid w:val="0"/>
                <w:sz w:val="19"/>
              </w:rPr>
              <w:t>42 of 2011</w:t>
            </w:r>
          </w:p>
        </w:tc>
        <w:tc>
          <w:tcPr>
            <w:tcW w:w="1134" w:type="dxa"/>
            <w:shd w:val="clear" w:color="auto" w:fill="auto"/>
          </w:tcPr>
          <w:p>
            <w:pPr>
              <w:pStyle w:val="nTable"/>
              <w:spacing w:after="40"/>
              <w:rPr>
                <w:snapToGrid w:val="0"/>
                <w:sz w:val="19"/>
              </w:rPr>
            </w:pPr>
            <w:r>
              <w:rPr>
                <w:sz w:val="19"/>
              </w:rPr>
              <w:t>4 Oct 2011</w:t>
            </w:r>
          </w:p>
        </w:tc>
        <w:tc>
          <w:tcPr>
            <w:tcW w:w="2552" w:type="dxa"/>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shd w:val="clear" w:color="auto" w:fill="auto"/>
          </w:tcPr>
          <w:p>
            <w:pPr>
              <w:pStyle w:val="nTable"/>
              <w:spacing w:after="40"/>
              <w:rPr>
                <w:i/>
                <w:snapToGrid w:val="0"/>
                <w:sz w:val="19"/>
              </w:rPr>
            </w:pPr>
            <w:r>
              <w:rPr>
                <w:i/>
                <w:snapToGrid w:val="0"/>
                <w:sz w:val="19"/>
                <w:szCs w:val="19"/>
              </w:rPr>
              <w:t>Commercial Arbitration Act 2012</w:t>
            </w:r>
            <w:r>
              <w:rPr>
                <w:snapToGrid w:val="0"/>
                <w:sz w:val="19"/>
                <w:szCs w:val="19"/>
              </w:rPr>
              <w:t xml:space="preserve"> s. 45</w:t>
            </w:r>
          </w:p>
        </w:tc>
        <w:tc>
          <w:tcPr>
            <w:tcW w:w="1134" w:type="dxa"/>
            <w:shd w:val="clear" w:color="auto" w:fill="auto"/>
          </w:tcPr>
          <w:p>
            <w:pPr>
              <w:pStyle w:val="nTable"/>
              <w:spacing w:after="40"/>
              <w:rPr>
                <w:snapToGrid w:val="0"/>
                <w:sz w:val="19"/>
              </w:rPr>
            </w:pPr>
            <w:r>
              <w:rPr>
                <w:snapToGrid w:val="0"/>
                <w:sz w:val="19"/>
                <w:szCs w:val="19"/>
              </w:rPr>
              <w:t>23 of 2012</w:t>
            </w:r>
          </w:p>
        </w:tc>
        <w:tc>
          <w:tcPr>
            <w:tcW w:w="1134" w:type="dxa"/>
            <w:shd w:val="clear" w:color="auto" w:fill="auto"/>
          </w:tcPr>
          <w:p>
            <w:pPr>
              <w:pStyle w:val="nTable"/>
              <w:spacing w:after="40"/>
              <w:rPr>
                <w:sz w:val="19"/>
              </w:rPr>
            </w:pPr>
            <w:r>
              <w:rPr>
                <w:snapToGrid w:val="0"/>
                <w:sz w:val="19"/>
                <w:szCs w:val="19"/>
                <w:lang w:val="en-US"/>
              </w:rPr>
              <w:t>29 Aug 2012</w:t>
            </w:r>
          </w:p>
        </w:tc>
        <w:tc>
          <w:tcPr>
            <w:tcW w:w="2552" w:type="dxa"/>
            <w:shd w:val="clear" w:color="auto" w:fill="auto"/>
          </w:tcPr>
          <w:p>
            <w:pPr>
              <w:pStyle w:val="nTable"/>
              <w:spacing w:after="40"/>
              <w:rPr>
                <w:snapToGrid w:val="0"/>
                <w:sz w:val="19"/>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r>
        <w:trPr>
          <w:cantSplit/>
        </w:trPr>
        <w:tc>
          <w:tcPr>
            <w:tcW w:w="7088" w:type="dxa"/>
            <w:gridSpan w:val="4"/>
            <w:tcBorders>
              <w:bottom w:val="single" w:sz="8" w:space="0" w:color="auto"/>
            </w:tcBorders>
            <w:shd w:val="clear" w:color="auto" w:fill="auto"/>
          </w:tcPr>
          <w:p>
            <w:pPr>
              <w:pStyle w:val="nTable"/>
              <w:spacing w:after="40"/>
              <w:rPr>
                <w:snapToGrid w:val="0"/>
                <w:sz w:val="19"/>
              </w:rPr>
            </w:pPr>
            <w:r>
              <w:rPr>
                <w:b/>
                <w:sz w:val="19"/>
              </w:rPr>
              <w:t>Reprint 5: The</w:t>
            </w:r>
            <w:r>
              <w:rPr>
                <w:b/>
                <w:i/>
                <w:sz w:val="19"/>
              </w:rPr>
              <w:t xml:space="preserve"> Bulk Handling Act 1967 </w:t>
            </w:r>
            <w:r>
              <w:rPr>
                <w:b/>
                <w:sz w:val="19"/>
              </w:rPr>
              <w:t xml:space="preserve">as at 9 Aug 2013 </w:t>
            </w:r>
            <w:r>
              <w:rPr>
                <w:sz w:val="19"/>
              </w:rPr>
              <w:t>(includes amendments listed above)</w:t>
            </w:r>
          </w:p>
        </w:tc>
      </w:tr>
    </w:tbl>
    <w:p>
      <w:pPr>
        <w:pStyle w:val="nSubsection"/>
        <w:spacing w:before="360"/>
      </w:pPr>
      <w:r>
        <w:rPr>
          <w:vertAlign w:val="superscript"/>
        </w:rPr>
        <w:t>1a</w:t>
      </w:r>
      <w:r>
        <w:tab/>
        <w:t>On the date as at which thi</w:t>
      </w:r>
      <w:bookmarkStart w:id="97" w:name="_Hlt507390729"/>
      <w:bookmarkEnd w:id="9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8" w:name="_Toc361734794"/>
      <w:r>
        <w:t>Provisions that have not come into operation</w:t>
      </w:r>
      <w:bookmarkEnd w:id="9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206</w:t>
            </w:r>
            <w:r>
              <w:rPr>
                <w:snapToGrid w:val="0"/>
                <w:sz w:val="19"/>
                <w:szCs w:val="19"/>
                <w:vertAlign w:val="superscript"/>
              </w:rPr>
              <w:t> 13</w:t>
            </w:r>
          </w:p>
        </w:tc>
        <w:tc>
          <w:tcPr>
            <w:tcW w:w="1134" w:type="dxa"/>
            <w:tcBorders>
              <w:bottom w:val="single" w:sz="8" w:space="0" w:color="auto"/>
            </w:tcBorders>
            <w:shd w:val="clear" w:color="auto" w:fill="auto"/>
          </w:tcPr>
          <w:p>
            <w:pPr>
              <w:pStyle w:val="nTable"/>
              <w:spacing w:after="40"/>
              <w:ind w:right="113"/>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spacing w:after="40"/>
              <w:ind w:right="113"/>
              <w:rPr>
                <w:snapToGrid w:val="0"/>
                <w:sz w:val="19"/>
                <w:szCs w:val="19"/>
              </w:rPr>
            </w:pPr>
            <w:r>
              <w:rPr>
                <w:snapToGrid w:val="0"/>
                <w:sz w:val="19"/>
                <w:szCs w:val="19"/>
              </w:rPr>
              <w:t>3 Sep 2012</w:t>
            </w:r>
          </w:p>
        </w:tc>
        <w:tc>
          <w:tcPr>
            <w:tcW w:w="2552" w:type="dxa"/>
            <w:tcBorders>
              <w:bottom w:val="single" w:sz="8" w:space="0" w:color="auto"/>
            </w:tcBorders>
            <w:shd w:val="clear" w:color="auto" w:fill="auto"/>
          </w:tcPr>
          <w:p>
            <w:pPr>
              <w:pStyle w:val="nTable"/>
              <w:spacing w:after="40"/>
              <w:ind w:right="113"/>
              <w:rPr>
                <w:snapToGrid w:val="0"/>
                <w:sz w:val="19"/>
                <w:szCs w:val="19"/>
              </w:rPr>
            </w:pPr>
            <w:r>
              <w:rPr>
                <w:snapToGrid w:val="0"/>
                <w:sz w:val="19"/>
                <w:szCs w:val="19"/>
              </w:rPr>
              <w:t>To be proclaimed (see s. 2(b))</w:t>
            </w:r>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was renamed as the </w:t>
      </w:r>
      <w:r>
        <w:rPr>
          <w:i/>
          <w:snapToGrid w:val="0"/>
        </w:rPr>
        <w:t>Companies (Co-operative) Act 1943</w:t>
      </w:r>
      <w:r>
        <w:rPr>
          <w:snapToGrid w:val="0"/>
        </w:rPr>
        <w:t xml:space="preserve"> (s. 382), which was repealed by the </w:t>
      </w:r>
      <w:r>
        <w:rPr>
          <w:i/>
          <w:color w:val="000000"/>
        </w:rPr>
        <w:t>Co-operatives Act 2009</w:t>
      </w:r>
      <w:r>
        <w:rPr>
          <w:snapToGrid w:val="0"/>
        </w:rPr>
        <w:t>.</w:t>
      </w:r>
    </w:p>
    <w:p>
      <w:pPr>
        <w:pStyle w:val="nSubsection"/>
        <w:spacing w:before="100"/>
        <w:rPr>
          <w:snapToGrid w:val="0"/>
        </w:rPr>
      </w:pPr>
      <w:r>
        <w:rPr>
          <w:snapToGrid w:val="0"/>
          <w:vertAlign w:val="superscript"/>
        </w:rPr>
        <w:t>3</w:t>
      </w:r>
      <w:r>
        <w:rPr>
          <w:snapToGrid w:val="0"/>
          <w:vertAlign w:val="superscript"/>
        </w:rPr>
        <w:tab/>
      </w:r>
      <w:r>
        <w:rPr>
          <w:snapToGrid w:val="0"/>
        </w:rPr>
        <w:t xml:space="preserve">Repealed by the </w:t>
      </w:r>
      <w:r>
        <w:rPr>
          <w:i/>
          <w:color w:val="000000"/>
        </w:rPr>
        <w:t>Co-operatives Act 2009</w:t>
      </w:r>
      <w:r>
        <w:rPr>
          <w:snapToGrid w:val="0"/>
        </w:rPr>
        <w:t>.</w:t>
      </w:r>
    </w:p>
    <w:p>
      <w:pPr>
        <w:pStyle w:val="nSubsection"/>
        <w:spacing w:before="100"/>
        <w:rPr>
          <w:snapToGrid w:val="0"/>
        </w:rPr>
      </w:pPr>
      <w:r>
        <w:rPr>
          <w:snapToGrid w:val="0"/>
          <w:vertAlign w:val="superscript"/>
        </w:rPr>
        <w:t>4</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spacing w:before="100"/>
        <w:rPr>
          <w:snapToGrid w:val="0"/>
        </w:rPr>
      </w:pPr>
      <w:r>
        <w:rPr>
          <w:snapToGrid w:val="0"/>
          <w:vertAlign w:val="superscript"/>
        </w:rPr>
        <w:t>5</w:t>
      </w:r>
      <w:r>
        <w:rPr>
          <w:snapToGrid w:val="0"/>
        </w:rPr>
        <w:tab/>
        <w:t xml:space="preserve">Now see </w:t>
      </w:r>
      <w:r>
        <w:rPr>
          <w:i/>
          <w:snapToGrid w:val="0"/>
        </w:rPr>
        <w:t>Insurance Act 1973</w:t>
      </w:r>
      <w:r>
        <w:rPr>
          <w:snapToGrid w:val="0"/>
        </w:rPr>
        <w:t xml:space="preserve"> (Commonwealth).</w:t>
      </w:r>
    </w:p>
    <w:p>
      <w:pPr>
        <w:pStyle w:val="nSubsection"/>
        <w:keepNext/>
        <w:keepLines/>
        <w:spacing w:before="100"/>
      </w:pPr>
      <w:r>
        <w:rPr>
          <w:vertAlign w:val="superscript"/>
        </w:rPr>
        <w:t>6</w:t>
      </w:r>
      <w:r>
        <w:tab/>
        <w:t xml:space="preserve">The </w:t>
      </w:r>
      <w:r>
        <w:rPr>
          <w:i/>
        </w:rPr>
        <w:t>Bulk Handling Amendment Act 2002</w:t>
      </w:r>
      <w:r>
        <w:t xml:space="preserve"> Sch. 1 reads as follows:</w:t>
      </w:r>
    </w:p>
    <w:p>
      <w:pPr>
        <w:pStyle w:val="BlankOpen"/>
      </w:pPr>
    </w:p>
    <w:p>
      <w:pPr>
        <w:pStyle w:val="nzMiscellaneousHeading"/>
        <w:keepLines/>
        <w:rPr>
          <w:b/>
          <w:sz w:val="24"/>
        </w:rPr>
      </w:pPr>
      <w:r>
        <w:rPr>
          <w:rStyle w:val="CharSchNo"/>
          <w:b/>
          <w:sz w:val="24"/>
        </w:rPr>
        <w:t>Schedule 1</w:t>
      </w:r>
      <w:r>
        <w:rPr>
          <w:b/>
          <w:sz w:val="24"/>
        </w:rPr>
        <w:t xml:space="preserve"> — </w:t>
      </w:r>
      <w:r>
        <w:rPr>
          <w:rStyle w:val="CharSchText"/>
          <w:b/>
          <w:sz w:val="24"/>
        </w:rPr>
        <w:t>Transitional and savings</w:t>
      </w:r>
    </w:p>
    <w:p>
      <w:pPr>
        <w:pStyle w:val="nzMiscellaneousBody"/>
        <w:keepLines/>
        <w:jc w:val="right"/>
      </w:pPr>
      <w:r>
        <w:t>[s. 24]</w:t>
      </w:r>
    </w:p>
    <w:p>
      <w:pPr>
        <w:pStyle w:val="nzHeading5"/>
      </w:pPr>
      <w:r>
        <w:t>1.</w:t>
      </w:r>
      <w:r>
        <w:tab/>
        <w:t>Interpretation</w:t>
      </w:r>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r>
        <w:t>2.</w:t>
      </w:r>
      <w:r>
        <w:tab/>
        <w:t>Tolls and debentures (s. 31 and 32)</w:t>
      </w:r>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keepNext/>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BlankClose"/>
      </w:pP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Biosecurity and Agriculture Management (Repeal and Consequential Provisions) Act 2007</w:t>
      </w:r>
      <w:r>
        <w:rPr>
          <w:snapToGrid w:val="0"/>
        </w:rPr>
        <w:t>.</w:t>
      </w:r>
    </w:p>
    <w:p>
      <w:pPr>
        <w:pStyle w:val="nSubsection"/>
        <w:rPr>
          <w:snapToGrid w:val="0"/>
        </w:rPr>
      </w:pPr>
      <w:r>
        <w:rPr>
          <w:snapToGrid w:val="0"/>
          <w:vertAlign w:val="superscript"/>
        </w:rPr>
        <w:t>8</w:t>
      </w:r>
      <w:r>
        <w:rPr>
          <w:snapToGrid w:val="0"/>
          <w:vertAlign w:val="superscript"/>
        </w:rPr>
        <w:tab/>
      </w:r>
      <w:r>
        <w:rPr>
          <w:snapToGrid w:val="0"/>
        </w:rPr>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rPr>
          <w:snapToGrid w:val="0"/>
        </w:rPr>
      </w:pPr>
      <w:r>
        <w:rPr>
          <w:snapToGrid w:val="0"/>
          <w:vertAlign w:val="superscript"/>
        </w:rPr>
        <w:t>9</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10</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12</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snapToGrid w:val="0"/>
        </w:rPr>
      </w:pPr>
      <w:r>
        <w:rPr>
          <w:snapToGrid w:val="0"/>
          <w:vertAlign w:val="superscript"/>
        </w:rPr>
        <w:t>13</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206 had not come into operation.  It reads as follows:</w:t>
      </w:r>
    </w:p>
    <w:p>
      <w:pPr>
        <w:pStyle w:val="BlankOpen"/>
      </w:pPr>
    </w:p>
    <w:p>
      <w:pPr>
        <w:pStyle w:val="nzHeading5"/>
      </w:pPr>
      <w:r>
        <w:rPr>
          <w:rStyle w:val="CharSectno"/>
        </w:rPr>
        <w:t>206</w:t>
      </w:r>
      <w:r>
        <w:t>.</w:t>
      </w:r>
      <w:r>
        <w:tab/>
      </w:r>
      <w:r>
        <w:rPr>
          <w:i/>
          <w:iCs/>
        </w:rPr>
        <w:t>Bulk Handling Act 1967</w:t>
      </w:r>
      <w:r>
        <w:t xml:space="preserve"> amended</w:t>
      </w:r>
    </w:p>
    <w:p>
      <w:pPr>
        <w:pStyle w:val="nzSubsection"/>
      </w:pPr>
      <w:r>
        <w:tab/>
        <w:t>(1)</w:t>
      </w:r>
      <w:r>
        <w:tab/>
        <w:t xml:space="preserve">This section amends the </w:t>
      </w:r>
      <w:r>
        <w:rPr>
          <w:i/>
        </w:rPr>
        <w:t>Bulk Handling Act 1967</w:t>
      </w:r>
      <w:r>
        <w:t>.</w:t>
      </w:r>
    </w:p>
    <w:p>
      <w:pPr>
        <w:pStyle w:val="nzSubsection"/>
      </w:pPr>
      <w:r>
        <w:tab/>
        <w:t>(2)</w:t>
      </w:r>
      <w:r>
        <w:tab/>
        <w:t>Delete section 52A.</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rPr>
          <w:sz w:val="28"/>
        </w:rPr>
      </w:pPr>
      <w:bookmarkStart w:id="99" w:name="_Toc358986800"/>
      <w:bookmarkStart w:id="100" w:name="_Toc361733399"/>
      <w:bookmarkStart w:id="101" w:name="_Toc361733949"/>
      <w:bookmarkStart w:id="102" w:name="_Toc361734745"/>
      <w:bookmarkStart w:id="103" w:name="_Toc361734795"/>
      <w:r>
        <w:rPr>
          <w:sz w:val="28"/>
        </w:rPr>
        <w:t>Defined terms</w:t>
      </w:r>
      <w:bookmarkEnd w:id="99"/>
      <w:bookmarkEnd w:id="100"/>
      <w:bookmarkEnd w:id="101"/>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 w:name="DefinedTerms"/>
      <w:bookmarkEnd w:id="104"/>
      <w:r>
        <w:t>bin</w:t>
      </w:r>
      <w:r>
        <w:tab/>
        <w:t>5</w:t>
      </w:r>
    </w:p>
    <w:p>
      <w:pPr>
        <w:pStyle w:val="DefinedTerms"/>
      </w:pPr>
      <w:r>
        <w:t>Company</w:t>
      </w:r>
      <w:r>
        <w:tab/>
        <w:t>5</w:t>
      </w:r>
    </w:p>
    <w:p>
      <w:pPr>
        <w:pStyle w:val="DefinedTerms"/>
      </w:pPr>
      <w:r>
        <w:t>grade</w:t>
      </w:r>
      <w:r>
        <w:tab/>
        <w:t>5</w:t>
      </w:r>
    </w:p>
    <w:p>
      <w:pPr>
        <w:pStyle w:val="DefinedTerms"/>
      </w:pPr>
      <w:r>
        <w:t>grain</w:t>
      </w:r>
      <w:r>
        <w:tab/>
        <w:t>5</w:t>
      </w:r>
    </w:p>
    <w:p>
      <w:pPr>
        <w:pStyle w:val="DefinedTerms"/>
      </w:pPr>
      <w:r>
        <w:t>grain received in bulk</w:t>
      </w:r>
      <w:r>
        <w:tab/>
        <w:t>5</w:t>
      </w:r>
    </w:p>
    <w:p>
      <w:pPr>
        <w:pStyle w:val="DefinedTerms"/>
      </w:pPr>
      <w:r>
        <w:t>grower</w:t>
      </w:r>
      <w:r>
        <w:tab/>
        <w:t>5</w:t>
      </w:r>
    </w:p>
    <w:p>
      <w:pPr>
        <w:pStyle w:val="DefinedTerms"/>
      </w:pPr>
      <w:r>
        <w:t>marketing authority</w:t>
      </w:r>
      <w:r>
        <w:tab/>
        <w:t>5</w:t>
      </w:r>
    </w:p>
    <w:p>
      <w:pPr>
        <w:pStyle w:val="DefinedTerms"/>
      </w:pPr>
      <w:r>
        <w:t>miller</w:t>
      </w:r>
      <w:r>
        <w:tab/>
        <w:t>5</w:t>
      </w:r>
    </w:p>
    <w:p>
      <w:pPr>
        <w:pStyle w:val="DefinedTerms"/>
      </w:pPr>
      <w:r>
        <w:t>representative</w:t>
      </w:r>
      <w:r>
        <w:tab/>
        <w:t>5</w:t>
      </w:r>
    </w:p>
    <w:p>
      <w:pPr>
        <w:pStyle w:val="DefinedTerms"/>
      </w:pPr>
      <w:r>
        <w:t>season</w:t>
      </w:r>
      <w:r>
        <w:tab/>
        <w:t>5</w:t>
      </w:r>
    </w:p>
    <w:p>
      <w:pPr>
        <w:pStyle w:val="DefinedTerms"/>
      </w:pPr>
      <w:r>
        <w:t>section</w:t>
      </w:r>
      <w:r>
        <w:tab/>
        <w:t>5</w:t>
      </w:r>
    </w:p>
    <w:p>
      <w:pPr>
        <w:pStyle w:val="DefinedTerms"/>
      </w:pPr>
      <w:r>
        <w:t>terminal elevator</w:t>
      </w:r>
      <w:r>
        <w:tab/>
        <w:t>5</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22FF52EB"/>
    <w:multiLevelType w:val="multilevel"/>
    <w:tmpl w:val="8224204A"/>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2">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6FDE73CC"/>
    <w:multiLevelType w:val="multilevel"/>
    <w:tmpl w:val="E1B8D9A4"/>
    <w:name w:val="PenaltyNumbers"/>
    <w:lvl w:ilvl="0">
      <w:start w:val="1"/>
      <w:numFmt w:val="none"/>
      <w:pStyle w:val="PenaltyNumbers"/>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38"/>
    <w:docVar w:name="WAFER_20151207124938" w:val="RemoveTrackChanges"/>
    <w:docVar w:name="WAFER_20151207124938_GUID" w:val="bbae9d4d-a871-48cf-a604-c4a7ecd9a5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8674</Words>
  <Characters>39470</Characters>
  <Application>Microsoft Office Word</Application>
  <DocSecurity>0</DocSecurity>
  <Lines>1127</Lines>
  <Paragraphs>587</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1967 - 05-a0-02</dc:title>
  <dc:subject/>
  <dc:creator/>
  <cp:keywords/>
  <dc:description/>
  <cp:lastModifiedBy>svcMRProcess</cp:lastModifiedBy>
  <cp:revision>4</cp:revision>
  <cp:lastPrinted>2013-08-22T01:21:00Z</cp:lastPrinted>
  <dcterms:created xsi:type="dcterms:W3CDTF">2015-12-08T15:55:00Z</dcterms:created>
  <dcterms:modified xsi:type="dcterms:W3CDTF">2015-12-08T15:55:00Z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20130809</vt:lpwstr>
  </property>
  <property fmtid="{D5CDD505-2E9C-101B-9397-08002B2CF9AE}" pid="4" name="DocumentType">
    <vt:lpwstr>Act</vt:lpwstr>
  </property>
  <property fmtid="{D5CDD505-2E9C-101B-9397-08002B2CF9AE}" pid="5" name="OwlsUID">
    <vt:i4>90</vt:i4>
  </property>
  <property fmtid="{D5CDD505-2E9C-101B-9397-08002B2CF9AE}" pid="6" name="AsAtDate">
    <vt:lpwstr>09 Aug 2013</vt:lpwstr>
  </property>
  <property fmtid="{D5CDD505-2E9C-101B-9397-08002B2CF9AE}" pid="7" name="Suffix">
    <vt:lpwstr>05-a0-02</vt:lpwstr>
  </property>
  <property fmtid="{D5CDD505-2E9C-101B-9397-08002B2CF9AE}" pid="8" name="ThisVersion">
    <vt:lpwstr>04-e0-01</vt:lpwstr>
  </property>
  <property fmtid="{D5CDD505-2E9C-101B-9397-08002B2CF9AE}" pid="9" name="ReprintNo">
    <vt:lpwstr>5</vt:lpwstr>
  </property>
  <property fmtid="{D5CDD505-2E9C-101B-9397-08002B2CF9AE}" pid="10" name="ReprintedAsAt">
    <vt:filetime>2013-08-08T16:00:00Z</vt:filetime>
  </property>
</Properties>
</file>