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400" w:after="0"/>
      </w:pPr>
      <w:r>
        <w:t>State Administrative Tribunal Act 2004</w:t>
      </w:r>
      <w:r>
        <w:br/>
        <w:t>State Administrative Tribunal (Conferral of Jurisdiction) Amendment and Repeal Act 2004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Administrative Tribunal Regulations 2004</w:t>
      </w:r>
      <w:r>
        <w:rPr>
          <w:sz w:val="48"/>
        </w:rPr>
        <w:fldChar w:fldCharType="end"/>
      </w:r>
    </w:p>
    <w:p>
      <w:pPr>
        <w:pStyle w:val="ReprintNo"/>
        <w:outlineLvl w:val="9"/>
      </w:pPr>
      <w:r>
        <w:t>Reprint 3:  The regulations as at 18 October 2013</w:t>
      </w:r>
    </w:p>
    <w:p>
      <w:pPr>
        <w:rPr>
          <w:b/>
          <w:vanish/>
        </w:rPr>
      </w:pP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10" o:title=""/>
          </v:shape>
          <o:OLEObject Type="Embed" ProgID="Word.Picture.8" ShapeID="_x0000_i1025" DrawAspect="Content" ObjectID="_1649395407"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8"/>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28"/>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October 2013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_Toc382388889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_Toc382388890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_Toc382388891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 xml:space="preserve">Acts prescribed for purpose of definition of </w:t>
      </w:r>
      <w:r>
        <w:rPr>
          <w:i/>
          <w:iCs/>
        </w:rPr>
        <w:t>vocational regulatory body</w:t>
      </w:r>
      <w:r>
        <w:tab/>
      </w:r>
      <w:r>
        <w:fldChar w:fldCharType="begin"/>
      </w:r>
      <w:r>
        <w:instrText xml:space="preserve"> PAGEREF _Toc382388893 \h </w:instrText>
      </w:r>
      <w:r>
        <w:fldChar w:fldCharType="separate"/>
      </w:r>
      <w:r>
        <w:t>2</w:t>
      </w:r>
      <w:r>
        <w:fldChar w:fldCharType="end"/>
      </w:r>
    </w:p>
    <w:p>
      <w:pPr>
        <w:pStyle w:val="TOC8"/>
        <w:rPr>
          <w:rFonts w:asciiTheme="minorHAnsi" w:eastAsiaTheme="minorEastAsia" w:hAnsiTheme="minorHAnsi" w:cstheme="minorBidi"/>
          <w:szCs w:val="22"/>
        </w:rPr>
      </w:pPr>
      <w:r>
        <w:t>5.</w:t>
      </w:r>
      <w:r>
        <w:tab/>
        <w:t>Register of proceedings</w:t>
      </w:r>
      <w:r>
        <w:tab/>
      </w:r>
      <w:r>
        <w:fldChar w:fldCharType="begin"/>
      </w:r>
      <w:r>
        <w:instrText xml:space="preserve"> PAGEREF _Toc382388894 \h </w:instrText>
      </w:r>
      <w:r>
        <w:fldChar w:fldCharType="separate"/>
      </w:r>
      <w:r>
        <w:t>2</w:t>
      </w:r>
      <w:r>
        <w:fldChar w:fldCharType="end"/>
      </w:r>
    </w:p>
    <w:p>
      <w:pPr>
        <w:pStyle w:val="TOC8"/>
        <w:rPr>
          <w:rFonts w:asciiTheme="minorHAnsi" w:eastAsiaTheme="minorEastAsia" w:hAnsiTheme="minorHAnsi" w:cstheme="minorBidi"/>
          <w:szCs w:val="22"/>
        </w:rPr>
      </w:pPr>
      <w:r>
        <w:t>6.</w:t>
      </w:r>
      <w:r>
        <w:tab/>
        <w:t>Prescribed places: section 116(3)(a) of Act</w:t>
      </w:r>
      <w:r>
        <w:tab/>
      </w:r>
      <w:r>
        <w:fldChar w:fldCharType="begin"/>
      </w:r>
      <w:r>
        <w:instrText xml:space="preserve"> PAGEREF _Toc382388895 \h </w:instrText>
      </w:r>
      <w:r>
        <w:fldChar w:fldCharType="separate"/>
      </w:r>
      <w:r>
        <w:t>3</w:t>
      </w:r>
      <w:r>
        <w:fldChar w:fldCharType="end"/>
      </w:r>
    </w:p>
    <w:p>
      <w:pPr>
        <w:pStyle w:val="TOC8"/>
        <w:rPr>
          <w:rFonts w:asciiTheme="minorHAnsi" w:eastAsiaTheme="minorEastAsia" w:hAnsiTheme="minorHAnsi" w:cstheme="minorBidi"/>
          <w:szCs w:val="22"/>
        </w:rPr>
      </w:pPr>
      <w:r>
        <w:t>7.</w:t>
      </w:r>
      <w:r>
        <w:tab/>
        <w:t>Class prescribed: section 117(5)(a) of Act</w:t>
      </w:r>
      <w:r>
        <w:tab/>
      </w:r>
      <w:r>
        <w:fldChar w:fldCharType="begin"/>
      </w:r>
      <w:r>
        <w:instrText xml:space="preserve"> PAGEREF _Toc382388896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8.</w:t>
      </w:r>
      <w:r>
        <w:tab/>
        <w:t>General</w:t>
      </w:r>
      <w:r>
        <w:tab/>
      </w:r>
      <w:r>
        <w:fldChar w:fldCharType="begin"/>
      </w:r>
      <w:r>
        <w:instrText xml:space="preserve"> PAGEREF _Toc382388898 \h </w:instrText>
      </w:r>
      <w:r>
        <w:fldChar w:fldCharType="separate"/>
      </w:r>
      <w:r>
        <w:t>4</w:t>
      </w:r>
      <w:r>
        <w:fldChar w:fldCharType="end"/>
      </w:r>
    </w:p>
    <w:p>
      <w:pPr>
        <w:pStyle w:val="TOC8"/>
        <w:rPr>
          <w:rFonts w:asciiTheme="minorHAnsi" w:eastAsiaTheme="minorEastAsia" w:hAnsiTheme="minorHAnsi" w:cstheme="minorBidi"/>
          <w:szCs w:val="22"/>
        </w:rPr>
      </w:pPr>
      <w:r>
        <w:t>9.</w:t>
      </w:r>
      <w:r>
        <w:tab/>
        <w:t>Fees relating to application under provision in Sch. 3, 4 or 6</w:t>
      </w:r>
      <w:r>
        <w:tab/>
      </w:r>
      <w:r>
        <w:fldChar w:fldCharType="begin"/>
      </w:r>
      <w:r>
        <w:instrText xml:space="preserve"> PAGEREF _Toc382388899 \h </w:instrText>
      </w:r>
      <w:r>
        <w:fldChar w:fldCharType="separate"/>
      </w:r>
      <w:r>
        <w:t>5</w:t>
      </w:r>
      <w:r>
        <w:fldChar w:fldCharType="end"/>
      </w:r>
    </w:p>
    <w:p>
      <w:pPr>
        <w:pStyle w:val="TOC8"/>
        <w:rPr>
          <w:rFonts w:asciiTheme="minorHAnsi" w:eastAsiaTheme="minorEastAsia" w:hAnsiTheme="minorHAnsi" w:cstheme="minorBidi"/>
          <w:szCs w:val="22"/>
        </w:rPr>
      </w:pPr>
      <w:r>
        <w:t>10.</w:t>
      </w:r>
      <w:r>
        <w:tab/>
        <w:t>Fees relating to application to do with development on land</w:t>
      </w:r>
      <w:r>
        <w:tab/>
      </w:r>
      <w:r>
        <w:fldChar w:fldCharType="begin"/>
      </w:r>
      <w:r>
        <w:instrText xml:space="preserve"> PAGEREF _Toc382388900 \h </w:instrText>
      </w:r>
      <w:r>
        <w:fldChar w:fldCharType="separate"/>
      </w:r>
      <w:r>
        <w:t>7</w:t>
      </w:r>
      <w:r>
        <w:fldChar w:fldCharType="end"/>
      </w:r>
    </w:p>
    <w:p>
      <w:pPr>
        <w:pStyle w:val="TOC8"/>
        <w:rPr>
          <w:rFonts w:asciiTheme="minorHAnsi" w:eastAsiaTheme="minorEastAsia" w:hAnsiTheme="minorHAnsi" w:cstheme="minorBidi"/>
          <w:szCs w:val="22"/>
        </w:rPr>
      </w:pPr>
      <w:r>
        <w:t>11A.</w:t>
      </w:r>
      <w:r>
        <w:tab/>
        <w:t>No fee relating to application under provision in Sch. 7</w:t>
      </w:r>
      <w:r>
        <w:tab/>
      </w:r>
      <w:r>
        <w:fldChar w:fldCharType="begin"/>
      </w:r>
      <w:r>
        <w:instrText xml:space="preserve"> PAGEREF _Toc382388901 \h </w:instrText>
      </w:r>
      <w:r>
        <w:fldChar w:fldCharType="separate"/>
      </w:r>
      <w:r>
        <w:t>9</w:t>
      </w:r>
      <w:r>
        <w:fldChar w:fldCharType="end"/>
      </w:r>
    </w:p>
    <w:p>
      <w:pPr>
        <w:pStyle w:val="TOC8"/>
        <w:rPr>
          <w:rFonts w:asciiTheme="minorHAnsi" w:eastAsiaTheme="minorEastAsia" w:hAnsiTheme="minorHAnsi" w:cstheme="minorBidi"/>
          <w:szCs w:val="22"/>
        </w:rPr>
      </w:pPr>
      <w:r>
        <w:t>11B.</w:t>
      </w:r>
      <w:r>
        <w:tab/>
        <w:t>Fees relating to application not covered by r. 9, 10 or 11A</w:t>
      </w:r>
      <w:r>
        <w:tab/>
      </w:r>
      <w:r>
        <w:fldChar w:fldCharType="begin"/>
      </w:r>
      <w:r>
        <w:instrText xml:space="preserve"> PAGEREF _Toc382388902 \h </w:instrText>
      </w:r>
      <w:r>
        <w:fldChar w:fldCharType="separate"/>
      </w:r>
      <w:r>
        <w:t>9</w:t>
      </w:r>
      <w:r>
        <w:fldChar w:fldCharType="end"/>
      </w:r>
    </w:p>
    <w:p>
      <w:pPr>
        <w:pStyle w:val="TOC8"/>
        <w:rPr>
          <w:rFonts w:asciiTheme="minorHAnsi" w:eastAsiaTheme="minorEastAsia" w:hAnsiTheme="minorHAnsi" w:cstheme="minorBidi"/>
          <w:szCs w:val="22"/>
        </w:rPr>
      </w:pPr>
      <w:r>
        <w:t>11.</w:t>
      </w:r>
      <w:r>
        <w:tab/>
        <w:t>Fees for provision of transcripts to third parties</w:t>
      </w:r>
      <w:r>
        <w:tab/>
      </w:r>
      <w:r>
        <w:fldChar w:fldCharType="begin"/>
      </w:r>
      <w:r>
        <w:instrText xml:space="preserve"> PAGEREF _Toc382388903 \h </w:instrText>
      </w:r>
      <w:r>
        <w:fldChar w:fldCharType="separate"/>
      </w:r>
      <w:r>
        <w:t>10</w:t>
      </w:r>
      <w:r>
        <w:fldChar w:fldCharType="end"/>
      </w:r>
    </w:p>
    <w:p>
      <w:pPr>
        <w:pStyle w:val="TOC8"/>
        <w:rPr>
          <w:rFonts w:asciiTheme="minorHAnsi" w:eastAsiaTheme="minorEastAsia" w:hAnsiTheme="minorHAnsi" w:cstheme="minorBidi"/>
          <w:szCs w:val="22"/>
        </w:rPr>
      </w:pPr>
      <w:r>
        <w:t>27.</w:t>
      </w:r>
      <w:r>
        <w:tab/>
        <w:t>Other fees</w:t>
      </w:r>
      <w:r>
        <w:tab/>
      </w:r>
      <w:r>
        <w:fldChar w:fldCharType="begin"/>
      </w:r>
      <w:r>
        <w:instrText xml:space="preserve"> PAGEREF _Toc382388904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 xml:space="preserve">Part 4 — Transitional provisions: </w:t>
      </w:r>
      <w:r>
        <w:rPr>
          <w:i/>
        </w:rPr>
        <w:t>State Administrative Tribunal Act 2004</w:t>
      </w:r>
    </w:p>
    <w:p>
      <w:pPr>
        <w:pStyle w:val="TOC8"/>
        <w:rPr>
          <w:rFonts w:asciiTheme="minorHAnsi" w:eastAsiaTheme="minorEastAsia" w:hAnsiTheme="minorHAnsi" w:cstheme="minorBidi"/>
          <w:szCs w:val="22"/>
        </w:rPr>
      </w:pPr>
      <w:r>
        <w:t>28.</w:t>
      </w:r>
      <w:r>
        <w:tab/>
        <w:t>Transitional provisions</w:t>
      </w:r>
      <w:r>
        <w:tab/>
      </w:r>
      <w:r>
        <w:fldChar w:fldCharType="begin"/>
      </w:r>
      <w:r>
        <w:instrText xml:space="preserve"> PAGEREF _Toc382388906 \h </w:instrText>
      </w:r>
      <w:r>
        <w:fldChar w:fldCharType="separate"/>
      </w:r>
      <w:r>
        <w:t>12</w:t>
      </w:r>
      <w:r>
        <w:fldChar w:fldCharType="end"/>
      </w:r>
    </w:p>
    <w:p>
      <w:pPr>
        <w:pStyle w:val="TOC8"/>
        <w:rPr>
          <w:rFonts w:asciiTheme="minorHAnsi" w:eastAsiaTheme="minorEastAsia" w:hAnsiTheme="minorHAnsi" w:cstheme="minorBidi"/>
          <w:szCs w:val="22"/>
        </w:rPr>
      </w:pPr>
      <w:r>
        <w:t>33.</w:t>
      </w:r>
      <w:r>
        <w:tab/>
      </w:r>
      <w:r>
        <w:rPr>
          <w:i/>
        </w:rPr>
        <w:t>Land Administration Act 1997</w:t>
      </w:r>
      <w:r>
        <w:tab/>
      </w:r>
      <w:r>
        <w:fldChar w:fldCharType="begin"/>
      </w:r>
      <w:r>
        <w:instrText xml:space="preserve"> PAGEREF _Toc382388907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 xml:space="preserve">Part 5 — Transitional provisions: </w:t>
      </w:r>
      <w:r>
        <w:rPr>
          <w:i/>
        </w:rPr>
        <w:t>State Administrative Tribunal (Conferral of Jurisdiction) Amendment and Repeal Act 2004</w:t>
      </w:r>
    </w:p>
    <w:p>
      <w:pPr>
        <w:pStyle w:val="TOC8"/>
        <w:rPr>
          <w:rFonts w:asciiTheme="minorHAnsi" w:eastAsiaTheme="minorEastAsia" w:hAnsiTheme="minorHAnsi" w:cstheme="minorBidi"/>
          <w:szCs w:val="22"/>
        </w:rPr>
      </w:pPr>
      <w:r>
        <w:t>42.</w:t>
      </w:r>
      <w:r>
        <w:tab/>
        <w:t>Transitional provision</w:t>
      </w:r>
      <w:r>
        <w:tab/>
      </w:r>
      <w:r>
        <w:fldChar w:fldCharType="begin"/>
      </w:r>
      <w:r>
        <w:instrText xml:space="preserve"> PAGEREF _Toc382388909 \h </w:instrText>
      </w:r>
      <w:r>
        <w:fldChar w:fldCharType="separate"/>
      </w:r>
      <w:r>
        <w:t>14</w:t>
      </w:r>
      <w:r>
        <w:fldChar w:fldCharType="end"/>
      </w:r>
    </w:p>
    <w:p>
      <w:pPr>
        <w:pStyle w:val="TOC8"/>
        <w:rPr>
          <w:rFonts w:asciiTheme="minorHAnsi" w:eastAsiaTheme="minorEastAsia" w:hAnsiTheme="minorHAnsi" w:cstheme="minorBidi"/>
          <w:szCs w:val="22"/>
        </w:rPr>
      </w:pPr>
      <w:r>
        <w:t>55.</w:t>
      </w:r>
      <w:r>
        <w:tab/>
      </w:r>
      <w:r>
        <w:rPr>
          <w:i/>
        </w:rPr>
        <w:t>Local Government (Miscellaneous Provisions) Act 1960</w:t>
      </w:r>
      <w:r>
        <w:tab/>
      </w:r>
      <w:r>
        <w:fldChar w:fldCharType="begin"/>
      </w:r>
      <w:r>
        <w:instrText xml:space="preserve"> PAGEREF _Toc382388910 \h </w:instrText>
      </w:r>
      <w:r>
        <w:fldChar w:fldCharType="separate"/>
      </w:r>
      <w:r>
        <w:t>14</w:t>
      </w:r>
      <w:r>
        <w:fldChar w:fldCharType="end"/>
      </w:r>
    </w:p>
    <w:p>
      <w:pPr>
        <w:pStyle w:val="TOC8"/>
        <w:rPr>
          <w:rFonts w:asciiTheme="minorHAnsi" w:eastAsiaTheme="minorEastAsia" w:hAnsiTheme="minorHAnsi" w:cstheme="minorBidi"/>
          <w:szCs w:val="22"/>
        </w:rPr>
      </w:pPr>
      <w:r>
        <w:t>61.</w:t>
      </w:r>
      <w:r>
        <w:tab/>
      </w:r>
      <w:r>
        <w:rPr>
          <w:i/>
        </w:rPr>
        <w:t>Rights in Water and Irrigation Act 1914</w:t>
      </w:r>
      <w:r>
        <w:tab/>
      </w:r>
      <w:r>
        <w:fldChar w:fldCharType="begin"/>
      </w:r>
      <w:r>
        <w:instrText xml:space="preserve"> PAGEREF _Toc382388911 \h </w:instrText>
      </w:r>
      <w:r>
        <w:fldChar w:fldCharType="separate"/>
      </w:r>
      <w:r>
        <w:t>15</w:t>
      </w:r>
      <w:r>
        <w:fldChar w:fldCharType="end"/>
      </w:r>
    </w:p>
    <w:p>
      <w:pPr>
        <w:pStyle w:val="TOC8"/>
        <w:rPr>
          <w:rFonts w:asciiTheme="minorHAnsi" w:eastAsiaTheme="minorEastAsia" w:hAnsiTheme="minorHAnsi" w:cstheme="minorBidi"/>
          <w:szCs w:val="22"/>
        </w:rPr>
      </w:pPr>
      <w:r>
        <w:t>63.</w:t>
      </w:r>
      <w:r>
        <w:tab/>
      </w:r>
      <w:r>
        <w:rPr>
          <w:i/>
        </w:rPr>
        <w:t>Strata Titles Act 1985</w:t>
      </w:r>
      <w:r>
        <w:tab/>
      </w:r>
      <w:r>
        <w:fldChar w:fldCharType="begin"/>
      </w:r>
      <w:r>
        <w:instrText xml:space="preserve"> PAGEREF _Toc382388912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 xml:space="preserve">Schedule 1 — Enabling Acts prescribed for the purposes of the definition of </w:t>
      </w:r>
      <w:r>
        <w:rPr>
          <w:i/>
          <w:iCs/>
        </w:rPr>
        <w:t>vocational regulatory body</w:t>
      </w:r>
    </w:p>
    <w:p>
      <w:pPr>
        <w:pStyle w:val="TOC2"/>
        <w:tabs>
          <w:tab w:val="right" w:leader="dot" w:pos="7086"/>
        </w:tabs>
        <w:rPr>
          <w:rFonts w:asciiTheme="minorHAnsi" w:eastAsiaTheme="minorEastAsia" w:hAnsiTheme="minorHAnsi" w:cstheme="minorBidi"/>
          <w:b w:val="0"/>
          <w:sz w:val="22"/>
          <w:szCs w:val="22"/>
        </w:rPr>
      </w:pPr>
      <w:r>
        <w:t>Schedule 2 — Places at which a magistrate may be authorised to perform functions as a member of the Tribunal</w:t>
      </w:r>
    </w:p>
    <w:p>
      <w:pPr>
        <w:pStyle w:val="TOC2"/>
        <w:tabs>
          <w:tab w:val="right" w:leader="dot" w:pos="7086"/>
        </w:tabs>
        <w:rPr>
          <w:rFonts w:asciiTheme="minorHAnsi" w:eastAsiaTheme="minorEastAsia" w:hAnsiTheme="minorHAnsi" w:cstheme="minorBidi"/>
          <w:b w:val="0"/>
          <w:sz w:val="22"/>
          <w:szCs w:val="22"/>
        </w:rPr>
      </w:pPr>
      <w:r>
        <w:t>Schedule 3 — Provision under which proceedings commenced</w:t>
      </w:r>
    </w:p>
    <w:p>
      <w:pPr>
        <w:pStyle w:val="TOC2"/>
        <w:tabs>
          <w:tab w:val="right" w:leader="dot" w:pos="7086"/>
        </w:tabs>
        <w:rPr>
          <w:rFonts w:asciiTheme="minorHAnsi" w:eastAsiaTheme="minorEastAsia" w:hAnsiTheme="minorHAnsi" w:cstheme="minorBidi"/>
          <w:b w:val="0"/>
          <w:sz w:val="22"/>
          <w:szCs w:val="22"/>
        </w:rPr>
      </w:pPr>
      <w:r>
        <w:t>Schedule 4 — Provision under which proceedings commenced</w:t>
      </w:r>
    </w:p>
    <w:p>
      <w:pPr>
        <w:pStyle w:val="TOC2"/>
        <w:tabs>
          <w:tab w:val="right" w:leader="dot" w:pos="7086"/>
        </w:tabs>
        <w:rPr>
          <w:rFonts w:asciiTheme="minorHAnsi" w:eastAsiaTheme="minorEastAsia" w:hAnsiTheme="minorHAnsi" w:cstheme="minorBidi"/>
          <w:b w:val="0"/>
          <w:sz w:val="22"/>
          <w:szCs w:val="22"/>
        </w:rPr>
      </w:pPr>
      <w:r>
        <w:t>Schedule 6 — Provision under which proceedings commenced</w:t>
      </w:r>
    </w:p>
    <w:p>
      <w:pPr>
        <w:pStyle w:val="TOC2"/>
        <w:tabs>
          <w:tab w:val="right" w:leader="dot" w:pos="7086"/>
        </w:tabs>
        <w:rPr>
          <w:rFonts w:asciiTheme="minorHAnsi" w:eastAsiaTheme="minorEastAsia" w:hAnsiTheme="minorHAnsi" w:cstheme="minorBidi"/>
          <w:b w:val="0"/>
          <w:sz w:val="22"/>
          <w:szCs w:val="22"/>
        </w:rPr>
      </w:pPr>
      <w:r>
        <w:t>Schedule 7 — Enactments under which proceedings commenced</w:t>
      </w:r>
    </w:p>
    <w:p>
      <w:pPr>
        <w:pStyle w:val="TOC2"/>
        <w:tabs>
          <w:tab w:val="right" w:leader="dot" w:pos="7086"/>
        </w:tabs>
        <w:rPr>
          <w:rFonts w:asciiTheme="minorHAnsi" w:eastAsiaTheme="minorEastAsia" w:hAnsiTheme="minorHAnsi" w:cstheme="minorBidi"/>
          <w:b w:val="0"/>
          <w:sz w:val="22"/>
          <w:szCs w:val="22"/>
        </w:rPr>
      </w:pPr>
      <w:r>
        <w:t>Schedule 20 — Other fees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_Toc382388921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footerReference w:type="first" r:id="rId22"/>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w:t>
            </w:r>
            <w:r>
              <w:rPr>
                <w:b/>
                <w:snapToGrid w:val="0"/>
                <w:sz w:val="22"/>
              </w:rPr>
              <w:t xml:space="preserve"> October 2013</w:t>
            </w:r>
          </w:p>
        </w:tc>
      </w:tr>
    </w:tbl>
    <w:p>
      <w:pPr>
        <w:pStyle w:val="WA"/>
        <w:spacing w:before="120"/>
      </w:pPr>
      <w:r>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after="480"/>
      </w:pPr>
      <w:r>
        <w:t>State Administrative Tribunal Regulations 2004</w:t>
      </w:r>
    </w:p>
    <w:p>
      <w:pPr>
        <w:pStyle w:val="Heading2"/>
        <w:pageBreakBefore w:val="0"/>
        <w:spacing w:before="360"/>
      </w:pPr>
      <w:bookmarkStart w:id="1" w:name="_Toc382388888"/>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82388889"/>
      <w:r>
        <w:rPr>
          <w:rStyle w:val="CharSectno"/>
        </w:rPr>
        <w:t>1</w:t>
      </w:r>
      <w:r>
        <w:t>.</w:t>
      </w:r>
      <w:r>
        <w:tab/>
        <w:t>Citation</w:t>
      </w:r>
      <w:bookmarkEnd w:id="2"/>
    </w:p>
    <w:p>
      <w:pPr>
        <w:pStyle w:val="Subsection"/>
      </w:pPr>
      <w:r>
        <w:tab/>
      </w:r>
      <w:r>
        <w:tab/>
      </w:r>
      <w:bookmarkStart w:id="3" w:name="Start_Cursor"/>
      <w:bookmarkEnd w:id="3"/>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rPr>
          <w:spacing w:val="-2"/>
        </w:rPr>
      </w:pPr>
      <w:bookmarkStart w:id="4" w:name="_Toc382388890"/>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pPr>
      <w:bookmarkStart w:id="5" w:name="_Toc382388891"/>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rPr>
        <w:t>State Administrative Tribunal Act 2004</w:t>
      </w:r>
      <w:r>
        <w:t>;</w:t>
      </w:r>
    </w:p>
    <w:p>
      <w:pPr>
        <w:pStyle w:val="Defstart"/>
      </w:pPr>
      <w:r>
        <w:rPr>
          <w:b/>
        </w:rPr>
        <w:tab/>
      </w:r>
      <w:r>
        <w:rPr>
          <w:rStyle w:val="CharDefText"/>
        </w:rPr>
        <w:t>approved form</w:t>
      </w:r>
      <w:r>
        <w:t xml:space="preserve"> means a form approved by the President;</w:t>
      </w:r>
    </w:p>
    <w:p>
      <w:pPr>
        <w:pStyle w:val="Defstart"/>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Heading2"/>
      </w:pPr>
      <w:bookmarkStart w:id="6" w:name="_Toc382388892"/>
      <w:r>
        <w:rPr>
          <w:rStyle w:val="CharPartNo"/>
        </w:rPr>
        <w:t>Part 2</w:t>
      </w:r>
      <w:r>
        <w:rPr>
          <w:rStyle w:val="CharDivNo"/>
        </w:rPr>
        <w:t> </w:t>
      </w:r>
      <w:r>
        <w:t>—</w:t>
      </w:r>
      <w:r>
        <w:rPr>
          <w:rStyle w:val="CharDivText"/>
        </w:rPr>
        <w:t> </w:t>
      </w:r>
      <w:r>
        <w:rPr>
          <w:rStyle w:val="CharPartText"/>
        </w:rPr>
        <w:t>General</w:t>
      </w:r>
      <w:bookmarkEnd w:id="6"/>
    </w:p>
    <w:p>
      <w:pPr>
        <w:pStyle w:val="Heading5"/>
      </w:pPr>
      <w:bookmarkStart w:id="7" w:name="_Toc382388893"/>
      <w:r>
        <w:rPr>
          <w:rStyle w:val="CharSectno"/>
        </w:rPr>
        <w:t>4</w:t>
      </w:r>
      <w:r>
        <w:t>.</w:t>
      </w:r>
      <w:r>
        <w:tab/>
        <w:t xml:space="preserve">Acts prescribed for purpose of definition of </w:t>
      </w:r>
      <w:r>
        <w:rPr>
          <w:i/>
          <w:iCs/>
        </w:rPr>
        <w:t>vocational regulatory body</w:t>
      </w:r>
      <w:bookmarkEnd w:id="7"/>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8" w:name="_Toc382388894"/>
      <w:r>
        <w:rPr>
          <w:rStyle w:val="CharSectno"/>
        </w:rPr>
        <w:t>5</w:t>
      </w:r>
      <w:r>
        <w:t>.</w:t>
      </w:r>
      <w:r>
        <w:tab/>
        <w:t>Register of proceedings</w:t>
      </w:r>
      <w:bookmarkEnd w:id="8"/>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9" w:name="_Toc382388895"/>
      <w:r>
        <w:rPr>
          <w:rStyle w:val="CharSectno"/>
        </w:rPr>
        <w:t>6</w:t>
      </w:r>
      <w:r>
        <w:t>.</w:t>
      </w:r>
      <w:r>
        <w:tab/>
        <w:t>Prescribed places: section 116(3)(a) of Act</w:t>
      </w:r>
      <w:bookmarkEnd w:id="9"/>
    </w:p>
    <w:p>
      <w:pPr>
        <w:pStyle w:val="Subsection"/>
      </w:pPr>
      <w:r>
        <w:tab/>
      </w:r>
      <w:r>
        <w:tab/>
        <w:t>For the purposes of the Act section 116(3)(a), the places listed in Schedule 2 are prescribed.</w:t>
      </w:r>
    </w:p>
    <w:p>
      <w:pPr>
        <w:pStyle w:val="Heading5"/>
      </w:pPr>
      <w:bookmarkStart w:id="10" w:name="_Toc382388896"/>
      <w:r>
        <w:rPr>
          <w:rStyle w:val="CharSectno"/>
        </w:rPr>
        <w:t>7</w:t>
      </w:r>
      <w:r>
        <w:t>.</w:t>
      </w:r>
      <w:r>
        <w:tab/>
        <w:t>Class prescribed: section 117(5)(a) of Act</w:t>
      </w:r>
      <w:bookmarkEnd w:id="10"/>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(c)</w:t>
      </w:r>
      <w:r>
        <w:tab/>
      </w:r>
      <w:r>
        <w:rPr>
          <w:i/>
        </w:rPr>
        <w:t>Mental Health Act 1996</w:t>
      </w:r>
      <w:r>
        <w:t>;</w:t>
      </w:r>
    </w:p>
    <w:p>
      <w:pPr>
        <w:pStyle w:val="Indenta"/>
      </w:pPr>
      <w:r>
        <w:tab/>
        <w:t>(d)</w:t>
      </w:r>
      <w:r>
        <w:tab/>
      </w:r>
      <w:r>
        <w:rPr>
          <w:i/>
        </w:rPr>
        <w:t>Teacher Registration Act 2012</w:t>
      </w:r>
      <w:r>
        <w:t>.</w:t>
      </w:r>
    </w:p>
    <w:p>
      <w:pPr>
        <w:pStyle w:val="Footnotesection"/>
      </w:pPr>
      <w:r>
        <w:tab/>
        <w:t xml:space="preserve">[Regulation 7 amended in Gazette 31 Jul 2007 p. 3805; </w:t>
      </w:r>
      <w:r>
        <w:rPr>
          <w:szCs w:val="24"/>
        </w:rPr>
        <w:t>6 Aug 2013 p. </w:t>
      </w:r>
      <w:r>
        <w:t>3649.]</w:t>
      </w:r>
    </w:p>
    <w:p>
      <w:pPr>
        <w:pStyle w:val="Heading2"/>
      </w:pPr>
      <w:bookmarkStart w:id="11" w:name="_Toc382388897"/>
      <w:r>
        <w:rPr>
          <w:rStyle w:val="CharPartNo"/>
        </w:rPr>
        <w:t>Part 3</w:t>
      </w:r>
      <w:r>
        <w:rPr>
          <w:rStyle w:val="CharDivNo"/>
        </w:rPr>
        <w:t> </w:t>
      </w:r>
      <w:r>
        <w:t>—</w:t>
      </w:r>
      <w:r>
        <w:rPr>
          <w:rStyle w:val="CharDivText"/>
        </w:rPr>
        <w:t> </w:t>
      </w:r>
      <w:r>
        <w:rPr>
          <w:rStyle w:val="CharPartText"/>
        </w:rPr>
        <w:t>Fees</w:t>
      </w:r>
      <w:bookmarkEnd w:id="11"/>
    </w:p>
    <w:p>
      <w:pPr>
        <w:pStyle w:val="Heading5"/>
      </w:pPr>
      <w:bookmarkStart w:id="12" w:name="_Toc382388898"/>
      <w:r>
        <w:rPr>
          <w:rStyle w:val="CharSectno"/>
        </w:rPr>
        <w:t>8</w:t>
      </w:r>
      <w:r>
        <w:t>.</w:t>
      </w:r>
      <w:r>
        <w:tab/>
        <w:t>General</w:t>
      </w:r>
      <w:bookmarkEnd w:id="12"/>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 or payment is waived or postponed under subregulation (4).</w:t>
      </w:r>
    </w:p>
    <w:p>
      <w:pPr>
        <w:pStyle w:val="Subsection"/>
      </w:pPr>
      <w:r>
        <w:tab/>
        <w:t>(4)</w:t>
      </w:r>
      <w:r>
        <w:tab/>
        <w:t xml:space="preserve">The executive officer may on an application in an approved form, in a particular case, on the ground of financial hardship or if it is in the interests of justice to do so, order — </w:t>
      </w:r>
    </w:p>
    <w:p>
      <w:pPr>
        <w:pStyle w:val="Indenta"/>
      </w:pPr>
      <w:r>
        <w:tab/>
        <w:t>(a)</w:t>
      </w:r>
      <w:r>
        <w:tab/>
        <w:t>that payment of a fee be waived; or</w:t>
      </w:r>
    </w:p>
    <w:p>
      <w:pPr>
        <w:pStyle w:val="Indenta"/>
      </w:pPr>
      <w:r>
        <w:tab/>
        <w:t>(b)</w:t>
      </w:r>
      <w:r>
        <w:tab/>
        <w:t>that a fee be reduced or that the whole or a part of the fee be refunded; or</w:t>
      </w:r>
    </w:p>
    <w:p>
      <w:pPr>
        <w:pStyle w:val="Indenta"/>
      </w:pPr>
      <w:r>
        <w:tab/>
        <w:t>(c)</w:t>
      </w:r>
      <w:r>
        <w:tab/>
        <w:t>that the payment of the whole or a part of a fee be postponed until such time, and upon such conditions, if any, as the executive officer thinks fit.</w:t>
      </w:r>
    </w:p>
    <w:p>
      <w:pPr>
        <w:pStyle w:val="Footnotesection"/>
      </w:pPr>
      <w:r>
        <w:tab/>
        <w:t xml:space="preserve">[Regulation 8 amended in Gazette 26 Jun 2007 p. 2982; 22 Jul 2011 p. 3018; </w:t>
      </w:r>
      <w:r>
        <w:rPr>
          <w:szCs w:val="24"/>
        </w:rPr>
        <w:t>6 Aug 2013 p. </w:t>
      </w:r>
      <w:r>
        <w:t>3650.]</w:t>
      </w:r>
    </w:p>
    <w:p>
      <w:pPr>
        <w:pStyle w:val="Heading5"/>
      </w:pPr>
      <w:bookmarkStart w:id="13" w:name="_Toc382388899"/>
      <w:r>
        <w:rPr>
          <w:rStyle w:val="CharSectno"/>
        </w:rPr>
        <w:t>9</w:t>
      </w:r>
      <w:r>
        <w:t>.</w:t>
      </w:r>
      <w:r>
        <w:tab/>
        <w:t>Fees relating to application under provision in Sch. 3, 4 or 6</w:t>
      </w:r>
      <w:bookmarkEnd w:id="13"/>
    </w:p>
    <w:p>
      <w:pPr>
        <w:pStyle w:val="Subsection"/>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0" w:type="auto"/>
        <w:tblInd w:w="948" w:type="dxa"/>
        <w:tblLayout w:type="fixed"/>
        <w:tblLook w:val="0000" w:firstRow="0" w:lastRow="0" w:firstColumn="0" w:lastColumn="0" w:noHBand="0" w:noVBand="0"/>
      </w:tblPr>
      <w:tblGrid>
        <w:gridCol w:w="5114"/>
        <w:gridCol w:w="1134"/>
      </w:tblGrid>
      <w:tr>
        <w:trPr>
          <w:cantSplit/>
          <w:tblHeader/>
        </w:trPr>
        <w:tc>
          <w:tcPr>
            <w:tcW w:w="5114"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TableNAm"/>
              <w:rPr>
                <w:b/>
                <w:bCs/>
              </w:rPr>
            </w:pPr>
            <w:r>
              <w:rPr>
                <w:b/>
                <w:bCs/>
              </w:rPr>
              <w:t>Fee ($)</w:t>
            </w:r>
          </w:p>
        </w:tc>
      </w:tr>
      <w:tr>
        <w:trPr>
          <w:cantSplit/>
        </w:trPr>
        <w:tc>
          <w:tcPr>
            <w:tcW w:w="5114" w:type="dxa"/>
          </w:tcPr>
          <w:p>
            <w:pPr>
              <w:pStyle w:val="TableNAm"/>
            </w:pPr>
            <w:r>
              <w:t>Application</w:t>
            </w:r>
          </w:p>
        </w:tc>
        <w:tc>
          <w:tcPr>
            <w:tcW w:w="1134" w:type="dxa"/>
          </w:tcPr>
          <w:p>
            <w:pPr>
              <w:pStyle w:val="TableNAm"/>
              <w:ind w:right="77"/>
              <w:jc w:val="right"/>
            </w:pPr>
            <w:r>
              <w:t>1 049.00</w:t>
            </w:r>
          </w:p>
        </w:tc>
      </w:tr>
      <w:tr>
        <w:trPr>
          <w:cantSplit/>
        </w:trPr>
        <w:tc>
          <w:tcPr>
            <w:tcW w:w="5114"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t>1 049.00</w:t>
            </w:r>
          </w:p>
        </w:tc>
      </w:tr>
      <w:tr>
        <w:trPr>
          <w:cantSplit/>
        </w:trPr>
        <w:tc>
          <w:tcPr>
            <w:tcW w:w="5114" w:type="dxa"/>
          </w:tcPr>
          <w:p>
            <w:pPr>
              <w:pStyle w:val="TableNAm"/>
            </w:pPr>
            <w:r>
              <w:t>Application for assessment of costs —</w:t>
            </w:r>
          </w:p>
        </w:tc>
        <w:tc>
          <w:tcPr>
            <w:tcW w:w="1134" w:type="dxa"/>
          </w:tcPr>
          <w:p>
            <w:pPr>
              <w:pStyle w:val="TableNAm"/>
              <w:ind w:right="77"/>
              <w:jc w:val="right"/>
            </w:pPr>
          </w:p>
        </w:tc>
      </w:tr>
      <w:tr>
        <w:trPr>
          <w:cantSplit/>
        </w:trPr>
        <w:tc>
          <w:tcPr>
            <w:tcW w:w="5114" w:type="dxa"/>
          </w:tcPr>
          <w:p>
            <w:pPr>
              <w:pStyle w:val="TableNAm"/>
              <w:tabs>
                <w:tab w:val="clear" w:pos="567"/>
                <w:tab w:val="left" w:pos="154"/>
                <w:tab w:val="left" w:pos="634"/>
              </w:tabs>
            </w:pPr>
            <w:r>
              <w:t>(a)</w:t>
            </w:r>
            <w:r>
              <w:tab/>
              <w:t>fee for application by —</w:t>
            </w:r>
          </w:p>
        </w:tc>
        <w:tc>
          <w:tcPr>
            <w:tcW w:w="1134" w:type="dxa"/>
          </w:tcPr>
          <w:p>
            <w:pPr>
              <w:pStyle w:val="TableNAm"/>
              <w:ind w:right="77"/>
              <w:jc w:val="right"/>
            </w:pPr>
          </w:p>
        </w:tc>
      </w:tr>
      <w:tr>
        <w:trPr>
          <w:cantSplit/>
        </w:trPr>
        <w:tc>
          <w:tcPr>
            <w:tcW w:w="5114" w:type="dxa"/>
          </w:tcPr>
          <w:p>
            <w:pPr>
              <w:pStyle w:val="TableNAm"/>
              <w:tabs>
                <w:tab w:val="clear" w:pos="567"/>
                <w:tab w:val="left" w:pos="634"/>
                <w:tab w:val="left" w:pos="1234"/>
              </w:tabs>
              <w:ind w:left="1179" w:hanging="1179"/>
            </w:pPr>
            <w:r>
              <w:tab/>
              <w:t>(i)</w:t>
            </w:r>
            <w:r>
              <w:tab/>
              <w:t>an individual</w:t>
            </w:r>
          </w:p>
        </w:tc>
        <w:tc>
          <w:tcPr>
            <w:tcW w:w="1134" w:type="dxa"/>
          </w:tcPr>
          <w:p>
            <w:pPr>
              <w:pStyle w:val="TableNAm"/>
              <w:ind w:right="77"/>
              <w:jc w:val="right"/>
            </w:pPr>
            <w:r>
              <w:t>195.50</w:t>
            </w:r>
          </w:p>
        </w:tc>
      </w:tr>
      <w:tr>
        <w:trPr>
          <w:cantSplit/>
        </w:trPr>
        <w:tc>
          <w:tcPr>
            <w:tcW w:w="5114" w:type="dxa"/>
          </w:tcPr>
          <w:p>
            <w:pPr>
              <w:pStyle w:val="TableNAm"/>
              <w:tabs>
                <w:tab w:val="clear" w:pos="567"/>
                <w:tab w:val="left" w:pos="634"/>
                <w:tab w:val="left" w:pos="1234"/>
              </w:tabs>
              <w:ind w:left="1179" w:hanging="1179"/>
            </w:pPr>
            <w:r>
              <w:tab/>
              <w:t>(ii)</w:t>
            </w:r>
            <w:r>
              <w:tab/>
              <w:t>a person other than an individual</w:t>
            </w:r>
          </w:p>
        </w:tc>
        <w:tc>
          <w:tcPr>
            <w:tcW w:w="1134" w:type="dxa"/>
          </w:tcPr>
          <w:p>
            <w:pPr>
              <w:pStyle w:val="TableNAm"/>
              <w:ind w:right="77"/>
              <w:jc w:val="right"/>
            </w:pPr>
            <w:r>
              <w:t>292.00</w:t>
            </w:r>
          </w:p>
        </w:tc>
      </w:tr>
      <w:tr>
        <w:trPr>
          <w:cantSplit/>
        </w:trPr>
        <w:tc>
          <w:tcPr>
            <w:tcW w:w="5114" w:type="dxa"/>
            <w:tcBorders>
              <w:bottom w:val="single" w:sz="4" w:space="0" w:color="auto"/>
            </w:tcBorders>
          </w:tcPr>
          <w:p>
            <w:pPr>
              <w:pStyle w:val="TableNAm"/>
              <w:tabs>
                <w:tab w:val="clear" w:pos="567"/>
                <w:tab w:val="left" w:pos="154"/>
                <w:tab w:val="left" w:pos="754"/>
              </w:tabs>
              <w:ind w:left="634" w:hanging="634"/>
            </w:pPr>
            <w:r>
              <w:t>(b)</w:t>
            </w:r>
            <w:r>
              <w:tab/>
              <w:t>in addition to the application fee, an assessment fee equal to 2.5% of the costs claimed in the application</w:t>
            </w:r>
          </w:p>
        </w:tc>
        <w:tc>
          <w:tcPr>
            <w:tcW w:w="1134" w:type="dxa"/>
            <w:tcBorders>
              <w:bottom w:val="single" w:sz="4" w:space="0" w:color="auto"/>
            </w:tcBorders>
          </w:tcPr>
          <w:p>
            <w:pPr>
              <w:pStyle w:val="TableNAm"/>
              <w:ind w:right="77"/>
              <w:jc w:val="right"/>
            </w:pPr>
          </w:p>
        </w:tc>
      </w:tr>
    </w:tbl>
    <w:p>
      <w:pPr>
        <w:pStyle w:val="Subsection"/>
      </w:pPr>
      <w:r>
        <w:tab/>
        <w:t>(2)</w:t>
      </w:r>
      <w:r>
        <w:tab/>
        <w:t>Subject to regulation 8, the fees specified in the Table to this subregulation are to be charged in respect of an application made and proceedings under or in relation to a provision listed in Schedule 4.</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TableNAm"/>
              <w:rPr>
                <w:b/>
                <w:bCs/>
              </w:rPr>
            </w:pPr>
            <w:r>
              <w:rPr>
                <w:b/>
                <w:bCs/>
              </w:rPr>
              <w:t>Fee ($)</w:t>
            </w:r>
          </w:p>
        </w:tc>
      </w:tr>
      <w:tr>
        <w:trPr>
          <w:cantSplit/>
        </w:trPr>
        <w:tc>
          <w:tcPr>
            <w:tcW w:w="5103" w:type="dxa"/>
          </w:tcPr>
          <w:p>
            <w:pPr>
              <w:pStyle w:val="TableNAm"/>
            </w:pPr>
            <w:r>
              <w:t>Application by an individual</w:t>
            </w:r>
          </w:p>
        </w:tc>
        <w:tc>
          <w:tcPr>
            <w:tcW w:w="1134" w:type="dxa"/>
          </w:tcPr>
          <w:p>
            <w:pPr>
              <w:pStyle w:val="TableNAm"/>
              <w:ind w:right="77"/>
              <w:jc w:val="right"/>
            </w:pPr>
            <w:r>
              <w:t>383.00</w:t>
            </w:r>
          </w:p>
        </w:tc>
      </w:tr>
      <w:tr>
        <w:trPr>
          <w:cantSplit/>
        </w:trPr>
        <w:tc>
          <w:tcPr>
            <w:tcW w:w="5103" w:type="dxa"/>
          </w:tcPr>
          <w:p>
            <w:pPr>
              <w:pStyle w:val="TableNAm"/>
            </w:pPr>
            <w:r>
              <w:t>Application by a person other than an individual</w:t>
            </w:r>
          </w:p>
        </w:tc>
        <w:tc>
          <w:tcPr>
            <w:tcW w:w="1134" w:type="dxa"/>
          </w:tcPr>
          <w:p>
            <w:pPr>
              <w:pStyle w:val="TableNAm"/>
              <w:ind w:right="77"/>
              <w:jc w:val="right"/>
            </w:pPr>
            <w:r>
              <w:t>699.00</w:t>
            </w:r>
          </w:p>
        </w:tc>
      </w:tr>
      <w:tr>
        <w:trPr>
          <w:cantSplit/>
        </w:trPr>
        <w:tc>
          <w:tcPr>
            <w:tcW w:w="5103" w:type="dxa"/>
          </w:tcPr>
          <w:p>
            <w:pPr>
              <w:pStyle w:val="TableNAm"/>
            </w:pPr>
            <w:r>
              <w:t>Hearing fee (for each day or part of a day allocated, other than the first day) for an application by an individual</w:t>
            </w:r>
          </w:p>
        </w:tc>
        <w:tc>
          <w:tcPr>
            <w:tcW w:w="1134" w:type="dxa"/>
          </w:tcPr>
          <w:p>
            <w:pPr>
              <w:pStyle w:val="TableNAm"/>
              <w:ind w:right="77"/>
              <w:jc w:val="right"/>
            </w:pPr>
            <w:r>
              <w:br/>
            </w:r>
            <w:r>
              <w:br/>
              <w:t>350.00</w:t>
            </w:r>
          </w:p>
        </w:tc>
      </w:tr>
      <w:tr>
        <w:trPr>
          <w:cantSplit/>
        </w:trPr>
        <w:tc>
          <w:tcPr>
            <w:tcW w:w="5103" w:type="dxa"/>
          </w:tcPr>
          <w:p>
            <w:pPr>
              <w:pStyle w:val="TableNAm"/>
            </w:pPr>
            <w:r>
              <w:t>Hearing fee (for each day or part of a day allocated, other than the first day) for an application by a person other than an individual </w:t>
            </w:r>
          </w:p>
        </w:tc>
        <w:tc>
          <w:tcPr>
            <w:tcW w:w="1134" w:type="dxa"/>
          </w:tcPr>
          <w:p>
            <w:pPr>
              <w:pStyle w:val="TableNAm"/>
              <w:ind w:right="77"/>
              <w:jc w:val="right"/>
            </w:pPr>
            <w:r>
              <w:br/>
            </w:r>
            <w:r>
              <w:br/>
              <w:t>454.00</w:t>
            </w:r>
          </w:p>
        </w:tc>
      </w:tr>
      <w:tr>
        <w:trPr>
          <w:cantSplit/>
        </w:trPr>
        <w:tc>
          <w:tcPr>
            <w:tcW w:w="5103" w:type="dxa"/>
          </w:tcPr>
          <w:p>
            <w:pPr>
              <w:pStyle w:val="TableNAm"/>
            </w:pPr>
            <w:r>
              <w:t>Application for assessment of costs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ind w:left="634" w:hanging="634"/>
            </w:pPr>
            <w:r>
              <w:t>(a)</w:t>
            </w:r>
            <w:r>
              <w:tab/>
              <w:t>fee for application by —</w:t>
            </w:r>
          </w:p>
        </w:tc>
        <w:tc>
          <w:tcPr>
            <w:tcW w:w="1134" w:type="dxa"/>
          </w:tcPr>
          <w:p>
            <w:pPr>
              <w:pStyle w:val="TableNAm"/>
              <w:ind w:right="77"/>
              <w:jc w:val="right"/>
            </w:pPr>
          </w:p>
        </w:tc>
      </w:tr>
      <w:tr>
        <w:trPr>
          <w:cantSplit/>
        </w:trPr>
        <w:tc>
          <w:tcPr>
            <w:tcW w:w="5103" w:type="dxa"/>
          </w:tcPr>
          <w:p>
            <w:pPr>
              <w:pStyle w:val="TableNAm"/>
              <w:tabs>
                <w:tab w:val="clear" w:pos="567"/>
                <w:tab w:val="left" w:pos="634"/>
                <w:tab w:val="left" w:pos="1234"/>
              </w:tabs>
              <w:ind w:left="1168" w:hanging="1168"/>
            </w:pPr>
            <w:r>
              <w:tab/>
              <w:t>(i)</w:t>
            </w:r>
            <w:r>
              <w:tab/>
              <w:t>an individual</w:t>
            </w:r>
          </w:p>
        </w:tc>
        <w:tc>
          <w:tcPr>
            <w:tcW w:w="1134" w:type="dxa"/>
          </w:tcPr>
          <w:p>
            <w:pPr>
              <w:pStyle w:val="TableNAm"/>
              <w:ind w:right="77"/>
              <w:jc w:val="right"/>
            </w:pPr>
            <w:r>
              <w:t>138.00</w:t>
            </w:r>
          </w:p>
        </w:tc>
      </w:tr>
      <w:tr>
        <w:trPr>
          <w:cantSplit/>
        </w:trPr>
        <w:tc>
          <w:tcPr>
            <w:tcW w:w="5103" w:type="dxa"/>
          </w:tcPr>
          <w:p>
            <w:pPr>
              <w:pStyle w:val="TableNAm"/>
              <w:tabs>
                <w:tab w:val="clear" w:pos="567"/>
                <w:tab w:val="left" w:pos="634"/>
                <w:tab w:val="left" w:pos="1234"/>
              </w:tabs>
              <w:ind w:left="1168" w:hanging="1168"/>
            </w:pPr>
            <w:r>
              <w:tab/>
              <w:t>(ii)</w:t>
            </w:r>
            <w:r>
              <w:tab/>
              <w:t>a person other than an individual</w:t>
            </w:r>
          </w:p>
        </w:tc>
        <w:tc>
          <w:tcPr>
            <w:tcW w:w="1134" w:type="dxa"/>
          </w:tcPr>
          <w:p>
            <w:pPr>
              <w:pStyle w:val="TableNAm"/>
              <w:ind w:right="77"/>
              <w:jc w:val="right"/>
            </w:pPr>
            <w:r>
              <w:t>209.00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 xml:space="preserve">in addition to the application fee, an assessment fee equal to 2.5% of the costs claimed in the application </w:t>
            </w:r>
          </w:p>
        </w:tc>
        <w:tc>
          <w:tcPr>
            <w:tcW w:w="1134" w:type="dxa"/>
            <w:tcBorders>
              <w:bottom w:val="single" w:sz="4" w:space="0" w:color="auto"/>
            </w:tcBorders>
          </w:tcPr>
          <w:p>
            <w:pPr>
              <w:pStyle w:val="TableNAm"/>
              <w:ind w:right="77"/>
              <w:jc w:val="right"/>
            </w:pP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rPr>
            </w:pPr>
            <w:r>
              <w:rPr>
                <w:b/>
                <w:bCs/>
              </w:rPr>
              <w:t>Matter</w:t>
            </w:r>
          </w:p>
        </w:tc>
        <w:tc>
          <w:tcPr>
            <w:tcW w:w="1134" w:type="dxa"/>
            <w:tcBorders>
              <w:top w:val="single" w:sz="4" w:space="0" w:color="auto"/>
              <w:bottom w:val="single" w:sz="4" w:space="0" w:color="auto"/>
            </w:tcBorders>
          </w:tcPr>
          <w:p>
            <w:pPr>
              <w:pStyle w:val="TableNAm"/>
              <w:rPr>
                <w:b/>
              </w:rPr>
            </w:pPr>
            <w:r>
              <w:rPr>
                <w:b/>
                <w:bCs/>
              </w:rPr>
              <w:t>Fee (</w:t>
            </w:r>
            <w:r>
              <w:rPr>
                <w:b/>
              </w:rPr>
              <w:t>$)</w:t>
            </w:r>
          </w:p>
        </w:tc>
      </w:tr>
      <w:tr>
        <w:trPr>
          <w:cantSplit/>
        </w:trPr>
        <w:tc>
          <w:tcPr>
            <w:tcW w:w="5103" w:type="dxa"/>
          </w:tcPr>
          <w:p>
            <w:pPr>
              <w:pStyle w:val="TableNAm"/>
            </w:pPr>
            <w:r>
              <w:t>Application</w:t>
            </w:r>
          </w:p>
        </w:tc>
        <w:tc>
          <w:tcPr>
            <w:tcW w:w="1134" w:type="dxa"/>
          </w:tcPr>
          <w:p>
            <w:pPr>
              <w:pStyle w:val="TableNAm"/>
              <w:ind w:right="77"/>
              <w:jc w:val="right"/>
            </w:pPr>
            <w:r>
              <w:t>70.00</w:t>
            </w:r>
          </w:p>
        </w:tc>
      </w:tr>
      <w:tr>
        <w:trPr>
          <w:cantSplit/>
        </w:trPr>
        <w:tc>
          <w:tcPr>
            <w:tcW w:w="5103"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t>139.50</w:t>
            </w:r>
          </w:p>
        </w:tc>
      </w:tr>
      <w:tr>
        <w:trPr>
          <w:cantSplit/>
        </w:trPr>
        <w:tc>
          <w:tcPr>
            <w:tcW w:w="5103" w:type="dxa"/>
          </w:tcPr>
          <w:p>
            <w:pPr>
              <w:pStyle w:val="TableNAm"/>
            </w:pPr>
            <w:r>
              <w:t>Application for assessment of costs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ind w:left="634" w:hanging="634"/>
            </w:pPr>
            <w:r>
              <w:t>(a)</w:t>
            </w:r>
            <w:r>
              <w:tab/>
              <w:t>fee for application by —</w:t>
            </w:r>
          </w:p>
        </w:tc>
        <w:tc>
          <w:tcPr>
            <w:tcW w:w="1134" w:type="dxa"/>
          </w:tcPr>
          <w:p>
            <w:pPr>
              <w:pStyle w:val="TableNAm"/>
              <w:ind w:right="77"/>
              <w:jc w:val="right"/>
            </w:pPr>
          </w:p>
        </w:tc>
      </w:tr>
      <w:tr>
        <w:trPr>
          <w:cantSplit/>
        </w:trPr>
        <w:tc>
          <w:tcPr>
            <w:tcW w:w="5103" w:type="dxa"/>
          </w:tcPr>
          <w:p>
            <w:pPr>
              <w:pStyle w:val="TableNAm"/>
              <w:tabs>
                <w:tab w:val="clear" w:pos="567"/>
                <w:tab w:val="left" w:pos="634"/>
                <w:tab w:val="left" w:pos="1234"/>
              </w:tabs>
              <w:ind w:left="1168" w:hanging="1168"/>
            </w:pPr>
            <w:r>
              <w:tab/>
              <w:t>(i)</w:t>
            </w:r>
            <w:r>
              <w:tab/>
              <w:t>an individual</w:t>
            </w:r>
          </w:p>
        </w:tc>
        <w:tc>
          <w:tcPr>
            <w:tcW w:w="1134" w:type="dxa"/>
          </w:tcPr>
          <w:p>
            <w:pPr>
              <w:pStyle w:val="TableNAm"/>
              <w:ind w:right="77"/>
              <w:jc w:val="right"/>
            </w:pPr>
            <w:r>
              <w:t>68.00</w:t>
            </w:r>
          </w:p>
        </w:tc>
      </w:tr>
      <w:tr>
        <w:trPr>
          <w:cantSplit/>
        </w:trPr>
        <w:tc>
          <w:tcPr>
            <w:tcW w:w="5103" w:type="dxa"/>
          </w:tcPr>
          <w:p>
            <w:pPr>
              <w:pStyle w:val="TableNAm"/>
              <w:tabs>
                <w:tab w:val="clear" w:pos="567"/>
                <w:tab w:val="left" w:pos="634"/>
                <w:tab w:val="left" w:pos="1234"/>
              </w:tabs>
              <w:ind w:left="1168" w:hanging="1168"/>
            </w:pPr>
            <w:r>
              <w:tab/>
              <w:t>(ii)</w:t>
            </w:r>
            <w:r>
              <w:tab/>
              <w:t>a person other than an individual</w:t>
            </w:r>
          </w:p>
        </w:tc>
        <w:tc>
          <w:tcPr>
            <w:tcW w:w="1134" w:type="dxa"/>
          </w:tcPr>
          <w:p>
            <w:pPr>
              <w:pStyle w:val="TableNAm"/>
              <w:ind w:right="77"/>
              <w:jc w:val="right"/>
            </w:pPr>
            <w:r>
              <w:t>101.00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in addition to the application fee, an assessment fee equal to 2.5% of the costs claimed in the application</w:t>
            </w:r>
          </w:p>
        </w:tc>
        <w:tc>
          <w:tcPr>
            <w:tcW w:w="1134" w:type="dxa"/>
            <w:tcBorders>
              <w:bottom w:val="single" w:sz="4" w:space="0" w:color="auto"/>
            </w:tcBorders>
          </w:tcPr>
          <w:p>
            <w:pPr>
              <w:pStyle w:val="TableNAm"/>
              <w:ind w:right="77"/>
              <w:jc w:val="right"/>
            </w:pPr>
          </w:p>
        </w:tc>
      </w:tr>
    </w:tbl>
    <w:p>
      <w:pPr>
        <w:pStyle w:val="Footnotesection"/>
        <w:ind w:left="890" w:hanging="890"/>
      </w:pPr>
      <w:r>
        <w:tab/>
        <w:t>[Regulation 9 inserted in Gazette 26 Jun 2007 p. 2982</w:t>
      </w:r>
      <w:r>
        <w:noBreakHyphen/>
        <w:t>4; amended in Gazette 27 Jun 2008 p. 3065</w:t>
      </w:r>
      <w:r>
        <w:noBreakHyphen/>
        <w:t>6; 4 Sep 2009 p. 3480</w:t>
      </w:r>
      <w:r>
        <w:noBreakHyphen/>
        <w:t>1; 8 Mar 2011 p. 793</w:t>
      </w:r>
      <w:r>
        <w:noBreakHyphen/>
        <w:t xml:space="preserve">4; 20 Dec 2011 p. 5384-5; 30 Nov 2012 p. 5796; </w:t>
      </w:r>
      <w:r>
        <w:rPr>
          <w:szCs w:val="24"/>
        </w:rPr>
        <w:t>6 Aug 2013 p. </w:t>
      </w:r>
      <w:r>
        <w:t>3650.]</w:t>
      </w:r>
    </w:p>
    <w:p>
      <w:pPr>
        <w:pStyle w:val="Heading5"/>
      </w:pPr>
      <w:bookmarkStart w:id="14" w:name="_Toc382388900"/>
      <w:r>
        <w:rPr>
          <w:rStyle w:val="CharSectno"/>
        </w:rPr>
        <w:t>10</w:t>
      </w:r>
      <w:r>
        <w:t>.</w:t>
      </w:r>
      <w:r>
        <w:tab/>
        <w:t>Fees relating to application to do with development on land</w:t>
      </w:r>
      <w:bookmarkEnd w:id="14"/>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spacing w:before="80"/>
              <w:rPr>
                <w:b/>
                <w:bCs/>
              </w:rPr>
            </w:pPr>
            <w:r>
              <w:rPr>
                <w:b/>
                <w:bCs/>
              </w:rPr>
              <w:t>Matter</w:t>
            </w:r>
          </w:p>
        </w:tc>
        <w:tc>
          <w:tcPr>
            <w:tcW w:w="1134" w:type="dxa"/>
            <w:tcBorders>
              <w:top w:val="single" w:sz="4" w:space="0" w:color="auto"/>
              <w:bottom w:val="single" w:sz="4" w:space="0" w:color="auto"/>
            </w:tcBorders>
          </w:tcPr>
          <w:p>
            <w:pPr>
              <w:pStyle w:val="TableNAm"/>
              <w:spacing w:before="80"/>
              <w:rPr>
                <w:b/>
                <w:bCs/>
              </w:rPr>
            </w:pPr>
            <w:r>
              <w:rPr>
                <w:b/>
                <w:bCs/>
              </w:rPr>
              <w:t>Fee ($)</w:t>
            </w:r>
          </w:p>
        </w:tc>
      </w:tr>
      <w:tr>
        <w:trPr>
          <w:cantSplit/>
        </w:trPr>
        <w:tc>
          <w:tcPr>
            <w:tcW w:w="5103" w:type="dxa"/>
          </w:tcPr>
          <w:p>
            <w:pPr>
              <w:pStyle w:val="TableNAm"/>
            </w:pPr>
            <w:r>
              <w:t>Application</w:t>
            </w:r>
          </w:p>
        </w:tc>
        <w:tc>
          <w:tcPr>
            <w:tcW w:w="1134" w:type="dxa"/>
          </w:tcPr>
          <w:p>
            <w:pPr>
              <w:pStyle w:val="TableNAm"/>
              <w:ind w:right="77"/>
              <w:jc w:val="right"/>
            </w:pPr>
            <w:r>
              <w:rPr>
                <w:szCs w:val="24"/>
              </w:rPr>
              <w:t>383.00</w:t>
            </w:r>
          </w:p>
        </w:tc>
      </w:tr>
      <w:tr>
        <w:trPr>
          <w:cantSplit/>
        </w:trPr>
        <w:tc>
          <w:tcPr>
            <w:tcW w:w="5103"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r>
            <w:r>
              <w:rPr>
                <w:szCs w:val="24"/>
              </w:rPr>
              <w:t>350.00</w:t>
            </w:r>
          </w:p>
        </w:tc>
      </w:tr>
      <w:tr>
        <w:trPr>
          <w:cantSplit/>
        </w:trPr>
        <w:tc>
          <w:tcPr>
            <w:tcW w:w="5103" w:type="dxa"/>
          </w:tcPr>
          <w:p>
            <w:pPr>
              <w:pStyle w:val="TableNAm"/>
            </w:pPr>
            <w:r>
              <w:t xml:space="preserve">Application for assessment of costs —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spacing w:before="80"/>
              <w:ind w:left="634" w:hanging="634"/>
            </w:pPr>
            <w:r>
              <w:t>(a)</w:t>
            </w:r>
            <w:r>
              <w:tab/>
              <w:t>fee for application by a person</w:t>
            </w:r>
          </w:p>
        </w:tc>
        <w:tc>
          <w:tcPr>
            <w:tcW w:w="1134" w:type="dxa"/>
          </w:tcPr>
          <w:p>
            <w:pPr>
              <w:pStyle w:val="TableNAm"/>
              <w:spacing w:before="80"/>
              <w:ind w:right="77"/>
              <w:jc w:val="right"/>
            </w:pPr>
            <w:r>
              <w:rPr>
                <w:szCs w:val="24"/>
              </w:rPr>
              <w:t>138.00</w:t>
            </w:r>
          </w:p>
        </w:tc>
      </w:tr>
      <w:tr>
        <w:trPr>
          <w:cantSplit/>
        </w:trPr>
        <w:tc>
          <w:tcPr>
            <w:tcW w:w="5103" w:type="dxa"/>
            <w:tcBorders>
              <w:bottom w:val="single" w:sz="4" w:space="0" w:color="auto"/>
            </w:tcBorders>
          </w:tcPr>
          <w:p>
            <w:pPr>
              <w:pStyle w:val="TableNAm"/>
              <w:tabs>
                <w:tab w:val="clear" w:pos="567"/>
                <w:tab w:val="left" w:pos="154"/>
                <w:tab w:val="left" w:pos="754"/>
              </w:tabs>
              <w:spacing w:before="80"/>
              <w:ind w:left="634" w:hanging="634"/>
            </w:pPr>
            <w:r>
              <w:t>(b)</w:t>
            </w:r>
            <w:r>
              <w:tab/>
              <w:t xml:space="preserve">in addition to the application fee, an assessment fee equal to 2.5% of the costs claimed in the application </w:t>
            </w:r>
          </w:p>
        </w:tc>
        <w:tc>
          <w:tcPr>
            <w:tcW w:w="1134" w:type="dxa"/>
            <w:tcBorders>
              <w:bottom w:val="single" w:sz="4" w:space="0" w:color="auto"/>
            </w:tcBorders>
          </w:tcPr>
          <w:p>
            <w:pPr>
              <w:pStyle w:val="TableNAm"/>
              <w:spacing w:before="80"/>
              <w:ind w:right="77"/>
              <w:jc w:val="right"/>
            </w:pP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rPr>
          <w:b w:val="0"/>
          <w:bCs w:val="0"/>
        </w:rPr>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zTableNAm"/>
              <w:keepNext/>
              <w:rPr>
                <w:b/>
              </w:rPr>
            </w:pPr>
            <w:r>
              <w:rPr>
                <w:b/>
              </w:rPr>
              <w:t>Fee ($)</w:t>
            </w:r>
          </w:p>
        </w:tc>
      </w:tr>
      <w:tr>
        <w:trPr>
          <w:cantSplit/>
        </w:trPr>
        <w:tc>
          <w:tcPr>
            <w:tcW w:w="5103" w:type="dxa"/>
          </w:tcPr>
          <w:p>
            <w:pPr>
              <w:pStyle w:val="TableNAm"/>
            </w:pPr>
            <w:r>
              <w:t>Application</w:t>
            </w:r>
          </w:p>
        </w:tc>
        <w:tc>
          <w:tcPr>
            <w:tcW w:w="1134" w:type="dxa"/>
          </w:tcPr>
          <w:p>
            <w:pPr>
              <w:pStyle w:val="TableNAm"/>
              <w:ind w:right="77"/>
              <w:jc w:val="right"/>
            </w:pPr>
            <w:r>
              <w:rPr>
                <w:szCs w:val="24"/>
              </w:rPr>
              <w:t>699.00</w:t>
            </w:r>
          </w:p>
        </w:tc>
      </w:tr>
      <w:tr>
        <w:trPr>
          <w:cantSplit/>
        </w:trPr>
        <w:tc>
          <w:tcPr>
            <w:tcW w:w="5103"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r>
            <w:r>
              <w:rPr>
                <w:szCs w:val="24"/>
              </w:rPr>
              <w:t>454.00</w:t>
            </w:r>
          </w:p>
        </w:tc>
      </w:tr>
      <w:tr>
        <w:trPr>
          <w:cantSplit/>
        </w:trPr>
        <w:tc>
          <w:tcPr>
            <w:tcW w:w="5103" w:type="dxa"/>
          </w:tcPr>
          <w:p>
            <w:pPr>
              <w:pStyle w:val="TableNAm"/>
            </w:pPr>
            <w:r>
              <w:t>Application for assessment of costs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spacing w:before="80"/>
              <w:ind w:left="634" w:hanging="634"/>
            </w:pPr>
            <w:r>
              <w:t>(a)</w:t>
            </w:r>
            <w:r>
              <w:tab/>
              <w:t>fee for application by a person</w:t>
            </w:r>
          </w:p>
        </w:tc>
        <w:tc>
          <w:tcPr>
            <w:tcW w:w="1134" w:type="dxa"/>
          </w:tcPr>
          <w:p>
            <w:pPr>
              <w:pStyle w:val="TableNAm"/>
              <w:spacing w:before="80"/>
              <w:ind w:right="77"/>
              <w:jc w:val="right"/>
            </w:pPr>
            <w:r>
              <w:rPr>
                <w:szCs w:val="24"/>
              </w:rPr>
              <w:t>209.00</w:t>
            </w:r>
          </w:p>
        </w:tc>
      </w:tr>
      <w:tr>
        <w:trPr>
          <w:cantSplit/>
        </w:trPr>
        <w:tc>
          <w:tcPr>
            <w:tcW w:w="5103" w:type="dxa"/>
            <w:tcBorders>
              <w:bottom w:val="single" w:sz="4" w:space="0" w:color="auto"/>
            </w:tcBorders>
          </w:tcPr>
          <w:p>
            <w:pPr>
              <w:pStyle w:val="TableNAm"/>
              <w:tabs>
                <w:tab w:val="clear" w:pos="567"/>
                <w:tab w:val="left" w:pos="154"/>
                <w:tab w:val="left" w:pos="754"/>
              </w:tabs>
              <w:spacing w:before="80"/>
              <w:ind w:left="634" w:hanging="634"/>
            </w:pPr>
            <w:r>
              <w:t>(b)</w:t>
            </w:r>
            <w:r>
              <w:tab/>
              <w:t xml:space="preserve">in addition to the application fee, an assessment fee equal to 2.5% of the costs claimed in the application </w:t>
            </w:r>
          </w:p>
        </w:tc>
        <w:tc>
          <w:tcPr>
            <w:tcW w:w="1134" w:type="dxa"/>
            <w:tcBorders>
              <w:bottom w:val="single" w:sz="4" w:space="0" w:color="auto"/>
            </w:tcBorders>
          </w:tcPr>
          <w:p>
            <w:pPr>
              <w:pStyle w:val="TableNAm"/>
              <w:spacing w:before="80"/>
              <w:ind w:right="77"/>
              <w:jc w:val="right"/>
            </w:pPr>
          </w:p>
        </w:tc>
      </w:tr>
    </w:tbl>
    <w:p>
      <w:pPr>
        <w:pStyle w:val="Footnotesection"/>
      </w:pPr>
      <w:r>
        <w:tab/>
        <w:t>[Regulation 10 inserted in Gazette 26 Jun 2007 p. 2985</w:t>
      </w:r>
      <w:r>
        <w:noBreakHyphen/>
        <w:t>6; amended in Gazette 27 Jun 2008 p. 3066; 4 Sep 2009 p. 3481</w:t>
      </w:r>
      <w:r>
        <w:noBreakHyphen/>
        <w:t>2; 8 Mar 2011 p. 794</w:t>
      </w:r>
      <w:r>
        <w:noBreakHyphen/>
        <w:t xml:space="preserve">5; 20 Dec 2011 p. 5386; 30 Nov 2012 p. 5796; </w:t>
      </w:r>
      <w:r>
        <w:rPr>
          <w:szCs w:val="24"/>
        </w:rPr>
        <w:t>6 Aug 2013 p. </w:t>
      </w:r>
      <w:r>
        <w:t>3651</w:t>
      </w:r>
      <w:r>
        <w:noBreakHyphen/>
        <w:t>2.]</w:t>
      </w:r>
    </w:p>
    <w:p>
      <w:pPr>
        <w:pStyle w:val="Heading5"/>
      </w:pPr>
      <w:bookmarkStart w:id="15" w:name="_Toc382388901"/>
      <w:r>
        <w:rPr>
          <w:rStyle w:val="CharSectno"/>
        </w:rPr>
        <w:t>11A</w:t>
      </w:r>
      <w:r>
        <w:t>.</w:t>
      </w:r>
      <w:r>
        <w:tab/>
        <w:t>No fee relating to application under provision in Sch. 7</w:t>
      </w:r>
      <w:bookmarkEnd w:id="15"/>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in Gazette 6 Aug 2013 p. 3652.]</w:t>
      </w:r>
    </w:p>
    <w:p>
      <w:pPr>
        <w:pStyle w:val="Heading5"/>
      </w:pPr>
      <w:bookmarkStart w:id="16" w:name="_Toc382388902"/>
      <w:r>
        <w:rPr>
          <w:rStyle w:val="CharSectno"/>
        </w:rPr>
        <w:t>11B</w:t>
      </w:r>
      <w:r>
        <w:t>.</w:t>
      </w:r>
      <w:r>
        <w:tab/>
        <w:t>Fees relating to application not covered by r. 9, 10 or 11A</w:t>
      </w:r>
      <w:bookmarkEnd w:id="16"/>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zTHeadingNAm"/>
        <w:ind w:left="993"/>
      </w:pPr>
      <w:r>
        <w:t>Table</w:t>
      </w:r>
    </w:p>
    <w:tbl>
      <w:tblPr>
        <w:tblW w:w="0" w:type="auto"/>
        <w:tblInd w:w="908" w:type="dxa"/>
        <w:tblLayout w:type="fixed"/>
        <w:tblCellMar>
          <w:left w:w="57" w:type="dxa"/>
          <w:right w:w="57" w:type="dxa"/>
        </w:tblCellMar>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pPr>
            <w:r>
              <w:rPr>
                <w:b/>
                <w:bCs/>
              </w:rPr>
              <w:t>Matter</w:t>
            </w:r>
          </w:p>
        </w:tc>
        <w:tc>
          <w:tcPr>
            <w:tcW w:w="992" w:type="dxa"/>
            <w:tcBorders>
              <w:top w:val="single" w:sz="4" w:space="0" w:color="auto"/>
              <w:bottom w:val="single" w:sz="4" w:space="0" w:color="auto"/>
            </w:tcBorders>
          </w:tcPr>
          <w:p>
            <w:pPr>
              <w:pStyle w:val="TableNAm"/>
            </w:pPr>
            <w:r>
              <w:rPr>
                <w:b/>
                <w:bCs/>
              </w:rPr>
              <w:t>Fee ($)</w:t>
            </w:r>
          </w:p>
        </w:tc>
      </w:tr>
      <w:tr>
        <w:trPr>
          <w:cantSplit/>
        </w:trPr>
        <w:tc>
          <w:tcPr>
            <w:tcW w:w="5245" w:type="dxa"/>
            <w:tcBorders>
              <w:top w:val="single" w:sz="4" w:space="0" w:color="auto"/>
            </w:tcBorders>
          </w:tcPr>
          <w:p>
            <w:pPr>
              <w:pStyle w:val="TableNAm"/>
              <w:tabs>
                <w:tab w:val="clear" w:pos="567"/>
                <w:tab w:val="left" w:pos="0"/>
              </w:tabs>
            </w:pPr>
            <w:r>
              <w:t>Application</w:t>
            </w:r>
          </w:p>
        </w:tc>
        <w:tc>
          <w:tcPr>
            <w:tcW w:w="992" w:type="dxa"/>
            <w:tcBorders>
              <w:top w:val="single" w:sz="4" w:space="0" w:color="auto"/>
            </w:tcBorders>
          </w:tcPr>
          <w:p>
            <w:pPr>
              <w:pStyle w:val="TableNAm"/>
            </w:pPr>
            <w:r>
              <w:t>315.00</w:t>
            </w:r>
          </w:p>
        </w:tc>
      </w:tr>
      <w:tr>
        <w:trPr>
          <w:cantSplit/>
        </w:trPr>
        <w:tc>
          <w:tcPr>
            <w:tcW w:w="5245" w:type="dxa"/>
          </w:tcPr>
          <w:p>
            <w:pPr>
              <w:pStyle w:val="TableNAm"/>
            </w:pPr>
            <w:r>
              <w:t>Hearing fee (for each day or part of a day allocated, other than the first day) for an application by a person</w:t>
            </w:r>
          </w:p>
        </w:tc>
        <w:tc>
          <w:tcPr>
            <w:tcW w:w="992" w:type="dxa"/>
          </w:tcPr>
          <w:p>
            <w:pPr>
              <w:pStyle w:val="TableNAm"/>
            </w:pPr>
            <w:r>
              <w:br/>
            </w:r>
            <w:r>
              <w:br/>
              <w:t>315.00</w:t>
            </w:r>
          </w:p>
        </w:tc>
      </w:tr>
      <w:tr>
        <w:trPr>
          <w:cantSplit/>
        </w:trPr>
        <w:tc>
          <w:tcPr>
            <w:tcW w:w="5245" w:type="dxa"/>
          </w:tcPr>
          <w:p>
            <w:pPr>
              <w:pStyle w:val="TableNAm"/>
            </w:pPr>
            <w:r>
              <w:t>Application for assessment of costs —</w:t>
            </w:r>
          </w:p>
        </w:tc>
        <w:tc>
          <w:tcPr>
            <w:tcW w:w="992" w:type="dxa"/>
          </w:tcPr>
          <w:p>
            <w:pPr>
              <w:pStyle w:val="TableNAm"/>
            </w:pPr>
          </w:p>
        </w:tc>
      </w:tr>
      <w:tr>
        <w:trPr>
          <w:cantSplit/>
        </w:trPr>
        <w:tc>
          <w:tcPr>
            <w:tcW w:w="5245" w:type="dxa"/>
          </w:tcPr>
          <w:p>
            <w:pPr>
              <w:pStyle w:val="TableNAm"/>
              <w:spacing w:before="80"/>
            </w:pPr>
            <w:r>
              <w:t>(a)</w:t>
            </w:r>
            <w:r>
              <w:tab/>
              <w:t>fee for application by —</w:t>
            </w:r>
          </w:p>
        </w:tc>
        <w:tc>
          <w:tcPr>
            <w:tcW w:w="992" w:type="dxa"/>
          </w:tcPr>
          <w:p>
            <w:pPr>
              <w:pStyle w:val="TableNAm"/>
              <w:spacing w:before="80"/>
            </w:pPr>
          </w:p>
        </w:tc>
      </w:tr>
      <w:tr>
        <w:trPr>
          <w:cantSplit/>
        </w:trPr>
        <w:tc>
          <w:tcPr>
            <w:tcW w:w="5245" w:type="dxa"/>
          </w:tcPr>
          <w:p>
            <w:pPr>
              <w:pStyle w:val="TableNAm"/>
              <w:spacing w:before="80"/>
            </w:pPr>
            <w:r>
              <w:tab/>
              <w:t>(i)</w:t>
            </w:r>
            <w:r>
              <w:tab/>
              <w:t>an individual</w:t>
            </w:r>
          </w:p>
        </w:tc>
        <w:tc>
          <w:tcPr>
            <w:tcW w:w="992" w:type="dxa"/>
          </w:tcPr>
          <w:p>
            <w:pPr>
              <w:pStyle w:val="TableNAm"/>
              <w:spacing w:before="80"/>
            </w:pPr>
            <w:r>
              <w:t>109.50</w:t>
            </w:r>
          </w:p>
        </w:tc>
      </w:tr>
      <w:tr>
        <w:trPr>
          <w:cantSplit/>
        </w:trPr>
        <w:tc>
          <w:tcPr>
            <w:tcW w:w="5245" w:type="dxa"/>
          </w:tcPr>
          <w:p>
            <w:pPr>
              <w:pStyle w:val="TableNAm"/>
              <w:spacing w:before="80"/>
            </w:pPr>
            <w:r>
              <w:tab/>
              <w:t>(ii)</w:t>
            </w:r>
            <w:r>
              <w:tab/>
              <w:t>a person other than an individual</w:t>
            </w:r>
          </w:p>
        </w:tc>
        <w:tc>
          <w:tcPr>
            <w:tcW w:w="992" w:type="dxa"/>
          </w:tcPr>
          <w:p>
            <w:pPr>
              <w:pStyle w:val="TableNAm"/>
              <w:spacing w:before="80"/>
            </w:pPr>
            <w:r>
              <w:t>165.50</w:t>
            </w:r>
          </w:p>
        </w:tc>
      </w:tr>
      <w:tr>
        <w:trPr>
          <w:cantSplit/>
        </w:trPr>
        <w:tc>
          <w:tcPr>
            <w:tcW w:w="5245" w:type="dxa"/>
            <w:tcBorders>
              <w:bottom w:val="single" w:sz="4" w:space="0" w:color="auto"/>
            </w:tcBorders>
            <w:shd w:val="clear" w:color="auto" w:fill="auto"/>
          </w:tcPr>
          <w:p>
            <w:pPr>
              <w:pStyle w:val="TableNAm"/>
              <w:spacing w:before="80"/>
              <w:ind w:left="567" w:hanging="567"/>
            </w:pPr>
            <w:r>
              <w:t>(b)</w:t>
            </w:r>
            <w:r>
              <w:tab/>
              <w:t>in addition to the application fee, an assessment fee equal to 2.5% of the costs claimed in the application</w:t>
            </w:r>
          </w:p>
        </w:tc>
        <w:tc>
          <w:tcPr>
            <w:tcW w:w="992" w:type="dxa"/>
            <w:tcBorders>
              <w:bottom w:val="single" w:sz="4" w:space="0" w:color="auto"/>
            </w:tcBorders>
            <w:shd w:val="clear" w:color="auto" w:fill="auto"/>
          </w:tcPr>
          <w:p>
            <w:pPr>
              <w:pStyle w:val="TableNAm"/>
              <w:spacing w:before="80"/>
            </w:pPr>
          </w:p>
        </w:tc>
      </w:tr>
    </w:tbl>
    <w:p>
      <w:pPr>
        <w:pStyle w:val="Footnotesection"/>
        <w:spacing w:before="100"/>
        <w:ind w:left="890" w:hanging="890"/>
      </w:pPr>
      <w:r>
        <w:tab/>
        <w:t>[Regulation 11B inserted in Gazette 6 Aug 2013 p. 3652</w:t>
      </w:r>
      <w:r>
        <w:noBreakHyphen/>
        <w:t>3.]</w:t>
      </w:r>
    </w:p>
    <w:p>
      <w:pPr>
        <w:pStyle w:val="Heading5"/>
      </w:pPr>
      <w:bookmarkStart w:id="17" w:name="_Toc382388903"/>
      <w:r>
        <w:rPr>
          <w:rStyle w:val="CharSectno"/>
        </w:rPr>
        <w:t>11</w:t>
      </w:r>
      <w:r>
        <w:t>.</w:t>
      </w:r>
      <w:r>
        <w:tab/>
        <w:t>Fees for provision of transcripts to third parties</w:t>
      </w:r>
      <w:bookmarkEnd w:id="17"/>
    </w:p>
    <w:p>
      <w:pPr>
        <w:pStyle w:val="Subsection"/>
        <w:keepNext/>
        <w:keepLines/>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pPr>
      <w:r>
        <w:tab/>
        <w:t>(2)</w:t>
      </w:r>
      <w:r>
        <w:tab/>
        <w:t>Instead of the fee that would otherwise be charged under regulation 27 and Schedule 20 item 5, 6 or 7 (as the case requires), the fee to be charged for providing a copy of the transcript is the fee determined by the executive officer in accordance with subregulation (3).</w:t>
      </w:r>
    </w:p>
    <w:p>
      <w:pPr>
        <w:pStyle w:val="Subsection"/>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pPr>
      <w:r>
        <w:tab/>
        <w:t>[Regulation 11 inserted in Gazette 4 Sep 2009 p. 3482.]</w:t>
      </w:r>
    </w:p>
    <w:p>
      <w:pPr>
        <w:pStyle w:val="Ednotesection"/>
      </w:pPr>
      <w:r>
        <w:t>[</w:t>
      </w:r>
      <w:r>
        <w:rPr>
          <w:b/>
          <w:bCs/>
        </w:rPr>
        <w:t>12</w:t>
      </w:r>
      <w:r>
        <w:rPr>
          <w:b/>
          <w:bCs/>
        </w:rPr>
        <w:noBreakHyphen/>
        <w:t>24.</w:t>
      </w:r>
      <w:r>
        <w:rPr>
          <w:b/>
          <w:bCs/>
        </w:rPr>
        <w:tab/>
      </w:r>
      <w:r>
        <w:t>Deleted in Gazette 26 Jun 2007 p. 2982.]</w:t>
      </w:r>
    </w:p>
    <w:p>
      <w:pPr>
        <w:pStyle w:val="Ednotesection"/>
      </w:pPr>
      <w:r>
        <w:t>[</w:t>
      </w:r>
      <w:r>
        <w:rPr>
          <w:b/>
          <w:bCs/>
        </w:rPr>
        <w:t>25, 26.</w:t>
      </w:r>
      <w:r>
        <w:rPr>
          <w:b/>
          <w:bCs/>
        </w:rPr>
        <w:tab/>
      </w:r>
      <w:r>
        <w:t xml:space="preserve">Deleted in Gazette </w:t>
      </w:r>
      <w:r>
        <w:rPr>
          <w:szCs w:val="24"/>
        </w:rPr>
        <w:t>6 Aug 2013 p. </w:t>
      </w:r>
      <w:r>
        <w:t>3653.]</w:t>
      </w:r>
    </w:p>
    <w:p>
      <w:pPr>
        <w:pStyle w:val="Heading5"/>
      </w:pPr>
      <w:bookmarkStart w:id="18" w:name="_Toc382388904"/>
      <w:r>
        <w:rPr>
          <w:rStyle w:val="CharSectno"/>
        </w:rPr>
        <w:t>27</w:t>
      </w:r>
      <w:r>
        <w:t>.</w:t>
      </w:r>
      <w:r>
        <w:tab/>
        <w:t>Other fees</w:t>
      </w:r>
      <w:bookmarkEnd w:id="18"/>
    </w:p>
    <w:p>
      <w:pPr>
        <w:pStyle w:val="Subsection"/>
      </w:pPr>
      <w:r>
        <w:tab/>
      </w:r>
      <w:r>
        <w:tab/>
        <w:t>The fees set out in Schedule 20 are to be charged in respect of the matters shown in that Schedule.</w:t>
      </w:r>
    </w:p>
    <w:p>
      <w:pPr>
        <w:pStyle w:val="Heading2"/>
      </w:pPr>
      <w:bookmarkStart w:id="19" w:name="_Toc382388905"/>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19"/>
    </w:p>
    <w:p>
      <w:pPr>
        <w:pStyle w:val="Heading5"/>
        <w:spacing w:before="180"/>
      </w:pPr>
      <w:bookmarkStart w:id="20" w:name="_Toc382388906"/>
      <w:r>
        <w:rPr>
          <w:rStyle w:val="CharSectno"/>
        </w:rPr>
        <w:t>28</w:t>
      </w:r>
      <w:r>
        <w:t>.</w:t>
      </w:r>
      <w:r>
        <w:tab/>
        <w:t>Transitional provisions</w:t>
      </w:r>
      <w:bookmarkEnd w:id="20"/>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in Gazette </w:t>
      </w:r>
      <w:r>
        <w:rPr>
          <w:szCs w:val="24"/>
        </w:rPr>
        <w:t>6 Aug 2013 p. </w:t>
      </w:r>
      <w:r>
        <w:t>3653.]</w:t>
      </w:r>
    </w:p>
    <w:p>
      <w:pPr>
        <w:pStyle w:val="Heading5"/>
      </w:pPr>
      <w:bookmarkStart w:id="21" w:name="_Toc382388907"/>
      <w:r>
        <w:rPr>
          <w:rStyle w:val="CharSectno"/>
        </w:rPr>
        <w:t>33</w:t>
      </w:r>
      <w:r>
        <w:t>.</w:t>
      </w:r>
      <w:r>
        <w:tab/>
      </w:r>
      <w:r>
        <w:rPr>
          <w:i/>
        </w:rPr>
        <w:t>Land Administration Act 1997</w:t>
      </w:r>
      <w:bookmarkEnd w:id="21"/>
    </w:p>
    <w:p>
      <w:pPr>
        <w:pStyle w:val="Subsection"/>
        <w:keepNext/>
        <w:keepLines/>
      </w:pPr>
      <w:r>
        <w:tab/>
        <w:t>(1)</w:t>
      </w:r>
      <w:r>
        <w:tab/>
        <w:t xml:space="preserve">In this regulation — </w:t>
      </w:r>
    </w:p>
    <w:p>
      <w:pPr>
        <w:pStyle w:val="Defstart"/>
        <w:keepLines/>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in Gazette </w:t>
      </w:r>
      <w:r>
        <w:rPr>
          <w:szCs w:val="24"/>
        </w:rPr>
        <w:t>6 Aug 2013 p. </w:t>
      </w:r>
      <w:r>
        <w:t>3653.]</w:t>
      </w:r>
    </w:p>
    <w:p>
      <w:pPr>
        <w:pStyle w:val="Heading2"/>
      </w:pPr>
      <w:bookmarkStart w:id="22" w:name="_Toc382388908"/>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22"/>
    </w:p>
    <w:p>
      <w:pPr>
        <w:pStyle w:val="Heading5"/>
      </w:pPr>
      <w:bookmarkStart w:id="23" w:name="_Toc382388909"/>
      <w:r>
        <w:rPr>
          <w:rStyle w:val="CharSectno"/>
        </w:rPr>
        <w:t>42</w:t>
      </w:r>
      <w:r>
        <w:t>.</w:t>
      </w:r>
      <w:r>
        <w:tab/>
        <w:t>Transitional provision</w:t>
      </w:r>
      <w:bookmarkEnd w:id="23"/>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in Gazette </w:t>
      </w:r>
      <w:r>
        <w:rPr>
          <w:szCs w:val="24"/>
        </w:rPr>
        <w:t>6 Aug 2013 p. </w:t>
      </w:r>
      <w:r>
        <w:t>3653.]</w:t>
      </w:r>
    </w:p>
    <w:p>
      <w:pPr>
        <w:pStyle w:val="Heading5"/>
      </w:pPr>
      <w:bookmarkStart w:id="24" w:name="_Toc382388910"/>
      <w:r>
        <w:rPr>
          <w:rStyle w:val="CharSectno"/>
        </w:rPr>
        <w:t>55</w:t>
      </w:r>
      <w:r>
        <w:t>.</w:t>
      </w:r>
      <w:r>
        <w:tab/>
      </w:r>
      <w:r>
        <w:rPr>
          <w:i/>
        </w:rPr>
        <w:t>Local Government (Miscellaneous Provisions) Act 1960</w:t>
      </w:r>
      <w:bookmarkEnd w:id="24"/>
    </w:p>
    <w:p>
      <w:pPr>
        <w:pStyle w:val="Subsection"/>
        <w:keepNext/>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in Gazette </w:t>
      </w:r>
      <w:r>
        <w:rPr>
          <w:szCs w:val="24"/>
        </w:rPr>
        <w:t>6 Aug 2013 p. </w:t>
      </w:r>
      <w:r>
        <w:t>3653.]</w:t>
      </w:r>
    </w:p>
    <w:p>
      <w:pPr>
        <w:pStyle w:val="Heading5"/>
        <w:rPr>
          <w:i/>
        </w:rPr>
      </w:pPr>
      <w:bookmarkStart w:id="25" w:name="_Toc382388911"/>
      <w:r>
        <w:rPr>
          <w:rStyle w:val="CharSectno"/>
        </w:rPr>
        <w:t>61</w:t>
      </w:r>
      <w:r>
        <w:t>.</w:t>
      </w:r>
      <w:r>
        <w:tab/>
      </w:r>
      <w:r>
        <w:rPr>
          <w:i/>
        </w:rPr>
        <w:t>Rights in Water and Irrigation Act 1914</w:t>
      </w:r>
      <w:bookmarkEnd w:id="25"/>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in Gazette 6 Aug 2013 p. 3653.]</w:t>
      </w:r>
    </w:p>
    <w:p>
      <w:pPr>
        <w:pStyle w:val="Ednotesection"/>
      </w:pPr>
      <w:r>
        <w:t>[</w:t>
      </w:r>
      <w:r>
        <w:rPr>
          <w:b/>
          <w:bCs/>
        </w:rPr>
        <w:t>62.</w:t>
      </w:r>
      <w:r>
        <w:rPr>
          <w:b/>
          <w:bCs/>
        </w:rPr>
        <w:tab/>
      </w:r>
      <w:r>
        <w:t xml:space="preserve">Deleted in Gazette </w:t>
      </w:r>
      <w:r>
        <w:rPr>
          <w:szCs w:val="24"/>
        </w:rPr>
        <w:t>6 Aug 2013 p. </w:t>
      </w:r>
      <w:r>
        <w:t>3653.]</w:t>
      </w:r>
    </w:p>
    <w:p>
      <w:pPr>
        <w:pStyle w:val="Heading5"/>
        <w:rPr>
          <w:i/>
        </w:rPr>
      </w:pPr>
      <w:bookmarkStart w:id="26" w:name="_Toc382388912"/>
      <w:r>
        <w:rPr>
          <w:rStyle w:val="CharSectno"/>
        </w:rPr>
        <w:t>63</w:t>
      </w:r>
      <w:r>
        <w:t>.</w:t>
      </w:r>
      <w:r>
        <w:tab/>
      </w:r>
      <w:r>
        <w:rPr>
          <w:i/>
        </w:rPr>
        <w:t>Strata Titles Act 1985</w:t>
      </w:r>
      <w:bookmarkEnd w:id="26"/>
    </w:p>
    <w:p>
      <w:pPr>
        <w:pStyle w:val="Subsection"/>
        <w:keepNext/>
        <w:keepLines/>
      </w:pPr>
      <w:r>
        <w:tab/>
        <w:t>(1)</w:t>
      </w:r>
      <w:r>
        <w:tab/>
        <w:t xml:space="preserve">In this regulation — </w:t>
      </w:r>
    </w:p>
    <w:p>
      <w:pPr>
        <w:pStyle w:val="Defstart"/>
        <w:keepNext/>
        <w:keepLines/>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121 comes into operation;</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in Gazette 6 Aug 2013 p. 3653.]</w:t>
      </w:r>
    </w:p>
    <w:p>
      <w:pPr>
        <w:pStyle w:val="Ednotesection"/>
      </w:pPr>
      <w:r>
        <w:t>[</w:t>
      </w:r>
      <w:r>
        <w:rPr>
          <w:b/>
          <w:bCs/>
        </w:rPr>
        <w:t>64</w:t>
      </w:r>
      <w:r>
        <w:rPr>
          <w:b/>
          <w:bCs/>
        </w:rPr>
        <w:noBreakHyphen/>
        <w:t>67.</w:t>
      </w:r>
      <w:r>
        <w:rPr>
          <w:b/>
          <w:bCs/>
        </w:rPr>
        <w:tab/>
      </w:r>
      <w:r>
        <w:t xml:space="preserve">Deleted in Gazette </w:t>
      </w:r>
      <w:r>
        <w:rPr>
          <w:szCs w:val="24"/>
        </w:rPr>
        <w:t>6 Aug 2013 p. </w:t>
      </w:r>
      <w:r>
        <w:t>3653.]</w:t>
      </w:r>
    </w:p>
    <w:p>
      <w:pPr>
        <w:sectPr>
          <w:headerReference w:type="even" r:id="rId24"/>
          <w:headerReference w:type="default" r:id="rId25"/>
          <w:footerReference w:type="even" r:id="rId26"/>
          <w:footerReference w:type="default" r:id="rId27"/>
          <w:headerReference w:type="first" r:id="rId28"/>
          <w:footerReference w:type="first" r:id="rId2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7" w:name="_Toc382388913"/>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27"/>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Travel Agents Act 1985</w:t>
      </w:r>
    </w:p>
    <w:p>
      <w:pPr>
        <w:pStyle w:val="yMiscellaneousBody"/>
        <w:rPr>
          <w:iCs/>
        </w:rPr>
      </w:pPr>
      <w:r>
        <w:rPr>
          <w:i/>
          <w:iCs/>
        </w:rPr>
        <w:t>Veterinary Surgeons Act 1960</w:t>
      </w:r>
    </w:p>
    <w:p>
      <w:pPr>
        <w:pStyle w:val="yFootnotesection"/>
      </w:pPr>
      <w:r>
        <w:tab/>
        <w:t>[Schedule 1 amended in Gazette 31 Jul 2007 p. 3805; 7 Dec 2012 p. 5994</w:t>
      </w:r>
      <w:r>
        <w:rPr>
          <w:szCs w:val="22"/>
        </w:rPr>
        <w:t>; 6 Aug 2013 p.</w:t>
      </w:r>
      <w:r>
        <w:rPr>
          <w:sz w:val="24"/>
          <w:szCs w:val="24"/>
        </w:rPr>
        <w:t> </w:t>
      </w:r>
      <w:r>
        <w:t>3653</w:t>
      </w:r>
      <w:r>
        <w:noBreakHyphen/>
        <w:t>4.]</w:t>
      </w:r>
    </w:p>
    <w:p>
      <w:pPr>
        <w:sectPr>
          <w:headerReference w:type="even" r:id="rId30"/>
          <w:headerReference w:type="default" r:id="rId31"/>
          <w:endnotePr>
            <w:numFmt w:val="decimal"/>
          </w:endnotePr>
          <w:pgSz w:w="11906" w:h="16838" w:code="9"/>
          <w:pgMar w:top="2381" w:right="2410" w:bottom="3544" w:left="2410" w:header="720" w:footer="3380" w:gutter="0"/>
          <w:cols w:space="720"/>
          <w:docGrid w:linePitch="326"/>
        </w:sectPr>
      </w:pPr>
    </w:p>
    <w:p>
      <w:pPr>
        <w:pStyle w:val="yScheduleHeading"/>
      </w:pPr>
      <w:bookmarkStart w:id="28" w:name="_Toc382388914"/>
      <w:r>
        <w:rPr>
          <w:rStyle w:val="CharSchNo"/>
        </w:rPr>
        <w:t>Schedule 2</w:t>
      </w:r>
      <w:r>
        <w:t> — </w:t>
      </w:r>
      <w:r>
        <w:rPr>
          <w:rStyle w:val="CharSchText"/>
        </w:rPr>
        <w:t>Places at which a magistrate may be authorised to perform functions as a member of the Tribunal</w:t>
      </w:r>
      <w:bookmarkEnd w:id="28"/>
    </w:p>
    <w:p>
      <w:pPr>
        <w:pStyle w:val="yShoulderClause"/>
        <w:spacing w:after="240"/>
      </w:pPr>
      <w:r>
        <w:t>[r. 6]</w:t>
      </w:r>
    </w:p>
    <w:tbl>
      <w:tblPr>
        <w:tblW w:w="0" w:type="auto"/>
        <w:tblInd w:w="879" w:type="dxa"/>
        <w:tblLayout w:type="fixed"/>
        <w:tblLook w:val="0000" w:firstRow="0" w:lastRow="0" w:firstColumn="0" w:lastColumn="0" w:noHBand="0" w:noVBand="0"/>
      </w:tblPr>
      <w:tblGrid>
        <w:gridCol w:w="2064"/>
        <w:gridCol w:w="2127"/>
        <w:gridCol w:w="2126"/>
      </w:tblGrid>
      <w:tr>
        <w:tc>
          <w:tcPr>
            <w:tcW w:w="2064" w:type="dxa"/>
          </w:tcPr>
          <w:p>
            <w:pPr>
              <w:pStyle w:val="yTableNAm"/>
            </w:pPr>
            <w:smartTag w:uri="urn:schemas-microsoft-com:office:smarttags" w:element="City">
              <w:smartTag w:uri="urn:schemas-microsoft-com:office:smarttags" w:element="place">
                <w:r>
                  <w:t>Albany</w:t>
                </w:r>
              </w:smartTag>
            </w:smartTag>
          </w:p>
        </w:tc>
        <w:tc>
          <w:tcPr>
            <w:tcW w:w="2127" w:type="dxa"/>
          </w:tcPr>
          <w:p>
            <w:pPr>
              <w:pStyle w:val="yTableNAm"/>
            </w:pPr>
            <w:r>
              <w:t>Geraldton</w:t>
            </w:r>
          </w:p>
        </w:tc>
        <w:tc>
          <w:tcPr>
            <w:tcW w:w="2126" w:type="dxa"/>
          </w:tcPr>
          <w:p>
            <w:pPr>
              <w:pStyle w:val="yTableNAm"/>
            </w:pPr>
            <w:r>
              <w:t>Moora</w:t>
            </w:r>
          </w:p>
        </w:tc>
      </w:tr>
      <w:tr>
        <w:tc>
          <w:tcPr>
            <w:tcW w:w="2064" w:type="dxa"/>
          </w:tcPr>
          <w:p>
            <w:pPr>
              <w:pStyle w:val="yTableNAm"/>
            </w:pPr>
            <w:r>
              <w:t>Armadale</w:t>
            </w:r>
          </w:p>
        </w:tc>
        <w:tc>
          <w:tcPr>
            <w:tcW w:w="2127" w:type="dxa"/>
          </w:tcPr>
          <w:p>
            <w:pPr>
              <w:pStyle w:val="yTableNAm"/>
            </w:pPr>
            <w:r>
              <w:t>Joondalup</w:t>
            </w:r>
          </w:p>
        </w:tc>
        <w:tc>
          <w:tcPr>
            <w:tcW w:w="2126"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064" w:type="dxa"/>
          </w:tcPr>
          <w:p>
            <w:pPr>
              <w:pStyle w:val="yTableNAm"/>
            </w:pPr>
            <w:r>
              <w:t>Broome</w:t>
            </w:r>
          </w:p>
        </w:tc>
        <w:tc>
          <w:tcPr>
            <w:tcW w:w="2127" w:type="dxa"/>
          </w:tcPr>
          <w:p>
            <w:pPr>
              <w:pStyle w:val="yTableNAm"/>
            </w:pPr>
            <w:smartTag w:uri="urn:schemas-microsoft-com:office:smarttags" w:element="City">
              <w:smartTag w:uri="urn:schemas-microsoft-com:office:smarttags" w:element="place">
                <w:r>
                  <w:t>Kalgoorlie</w:t>
                </w:r>
              </w:smartTag>
            </w:smartTag>
          </w:p>
        </w:tc>
        <w:tc>
          <w:tcPr>
            <w:tcW w:w="2126" w:type="dxa"/>
          </w:tcPr>
          <w:p>
            <w:pPr>
              <w:pStyle w:val="yTableNAm"/>
            </w:pPr>
            <w:r>
              <w:t>Narrogin</w:t>
            </w:r>
          </w:p>
        </w:tc>
      </w:tr>
      <w:tr>
        <w:tc>
          <w:tcPr>
            <w:tcW w:w="2064" w:type="dxa"/>
          </w:tcPr>
          <w:p>
            <w:pPr>
              <w:pStyle w:val="yTableNAm"/>
            </w:pPr>
            <w:r>
              <w:t>Bunbury</w:t>
            </w:r>
          </w:p>
        </w:tc>
        <w:tc>
          <w:tcPr>
            <w:tcW w:w="2127" w:type="dxa"/>
          </w:tcPr>
          <w:p>
            <w:pPr>
              <w:pStyle w:val="yTableNAm"/>
            </w:pPr>
            <w:r>
              <w:t>Karratha</w:t>
            </w:r>
          </w:p>
        </w:tc>
        <w:tc>
          <w:tcPr>
            <w:tcW w:w="2126" w:type="dxa"/>
          </w:tcPr>
          <w:p>
            <w:pPr>
              <w:pStyle w:val="yTableNAm"/>
            </w:pPr>
            <w:r>
              <w:t>Norseman</w:t>
            </w:r>
          </w:p>
        </w:tc>
      </w:tr>
      <w:tr>
        <w:tc>
          <w:tcPr>
            <w:tcW w:w="2064" w:type="dxa"/>
          </w:tcPr>
          <w:p>
            <w:pPr>
              <w:pStyle w:val="yTableNAm"/>
            </w:pPr>
            <w:r>
              <w:t>Busselton</w:t>
            </w:r>
          </w:p>
        </w:tc>
        <w:tc>
          <w:tcPr>
            <w:tcW w:w="2127" w:type="dxa"/>
          </w:tcPr>
          <w:p>
            <w:pPr>
              <w:pStyle w:val="yTableNAm"/>
            </w:pPr>
            <w:r>
              <w:t>Katanning</w:t>
            </w:r>
          </w:p>
        </w:tc>
        <w:tc>
          <w:tcPr>
            <w:tcW w:w="2126" w:type="dxa"/>
          </w:tcPr>
          <w:p>
            <w:pPr>
              <w:pStyle w:val="yTableNAm"/>
            </w:pPr>
            <w:r>
              <w:t>Northam</w:t>
            </w:r>
          </w:p>
        </w:tc>
      </w:tr>
      <w:tr>
        <w:tc>
          <w:tcPr>
            <w:tcW w:w="2064" w:type="dxa"/>
          </w:tcPr>
          <w:p>
            <w:pPr>
              <w:pStyle w:val="yTableNAm"/>
            </w:pPr>
            <w:r>
              <w:t>Carnarvon</w:t>
            </w:r>
          </w:p>
        </w:tc>
        <w:tc>
          <w:tcPr>
            <w:tcW w:w="2127" w:type="dxa"/>
          </w:tcPr>
          <w:p>
            <w:pPr>
              <w:pStyle w:val="yTableNAm"/>
            </w:pPr>
            <w:r>
              <w:t>Kununurra</w:t>
            </w:r>
          </w:p>
        </w:tc>
        <w:tc>
          <w:tcPr>
            <w:tcW w:w="2126" w:type="dxa"/>
          </w:tcPr>
          <w:p>
            <w:pPr>
              <w:pStyle w:val="yTableNAm"/>
            </w:pPr>
            <w:smartTag w:uri="urn:schemas-microsoft-com:office:smarttags" w:element="City">
              <w:smartTag w:uri="urn:schemas-microsoft-com:office:smarttags" w:element="place">
                <w:r>
                  <w:t>Perth</w:t>
                </w:r>
              </w:smartTag>
            </w:smartTag>
          </w:p>
        </w:tc>
      </w:tr>
      <w:tr>
        <w:tc>
          <w:tcPr>
            <w:tcW w:w="2064" w:type="dxa"/>
          </w:tcPr>
          <w:p>
            <w:pPr>
              <w:pStyle w:val="yTableNAm"/>
            </w:pPr>
            <w:r>
              <w:t>Collie</w:t>
            </w:r>
          </w:p>
        </w:tc>
        <w:tc>
          <w:tcPr>
            <w:tcW w:w="2127" w:type="dxa"/>
          </w:tcPr>
          <w:p>
            <w:pPr>
              <w:pStyle w:val="yTableNAm"/>
            </w:pPr>
            <w:r>
              <w:t>Mandurah</w:t>
            </w:r>
          </w:p>
        </w:tc>
        <w:tc>
          <w:tcPr>
            <w:tcW w:w="2126" w:type="dxa"/>
          </w:tcPr>
          <w:p>
            <w:pPr>
              <w:pStyle w:val="yTableNAm"/>
            </w:pPr>
            <w:r>
              <w:t>Rockingham</w:t>
            </w:r>
          </w:p>
        </w:tc>
      </w:tr>
      <w:tr>
        <w:tc>
          <w:tcPr>
            <w:tcW w:w="2064" w:type="dxa"/>
          </w:tcPr>
          <w:p>
            <w:pPr>
              <w:pStyle w:val="yTableNAm"/>
            </w:pPr>
            <w:r>
              <w:t>Coolgardie</w:t>
            </w:r>
          </w:p>
        </w:tc>
        <w:tc>
          <w:tcPr>
            <w:tcW w:w="2127" w:type="dxa"/>
          </w:tcPr>
          <w:p>
            <w:pPr>
              <w:pStyle w:val="yTableNAm"/>
            </w:pPr>
            <w:r>
              <w:t>Manjimup</w:t>
            </w:r>
          </w:p>
        </w:tc>
        <w:tc>
          <w:tcPr>
            <w:tcW w:w="2126" w:type="dxa"/>
          </w:tcPr>
          <w:p>
            <w:pPr>
              <w:pStyle w:val="yTableNAm"/>
            </w:pPr>
            <w:r>
              <w:t>Roebourne</w:t>
            </w:r>
          </w:p>
        </w:tc>
      </w:tr>
      <w:tr>
        <w:tc>
          <w:tcPr>
            <w:tcW w:w="2064" w:type="dxa"/>
          </w:tcPr>
          <w:p>
            <w:pPr>
              <w:pStyle w:val="yTableNAm"/>
            </w:pPr>
            <w:smartTag w:uri="urn:schemas-microsoft-com:office:smarttags" w:element="City">
              <w:smartTag w:uri="urn:schemas-microsoft-com:office:smarttags" w:element="place">
                <w:r>
                  <w:t>Derby</w:t>
                </w:r>
              </w:smartTag>
            </w:smartTag>
          </w:p>
        </w:tc>
        <w:tc>
          <w:tcPr>
            <w:tcW w:w="2127" w:type="dxa"/>
          </w:tcPr>
          <w:p>
            <w:pPr>
              <w:pStyle w:val="yTableNAm"/>
            </w:pPr>
            <w:r>
              <w:t>Meekatharra</w:t>
            </w:r>
          </w:p>
        </w:tc>
        <w:tc>
          <w:tcPr>
            <w:tcW w:w="2126" w:type="dxa"/>
          </w:tcPr>
          <w:p>
            <w:pPr>
              <w:pStyle w:val="yTableNAm"/>
            </w:pPr>
            <w:smartTag w:uri="urn:schemas-microsoft-com:office:smarttags" w:element="place">
              <w:r>
                <w:t>South Hedland</w:t>
              </w:r>
            </w:smartTag>
          </w:p>
        </w:tc>
      </w:tr>
      <w:tr>
        <w:tc>
          <w:tcPr>
            <w:tcW w:w="2064" w:type="dxa"/>
          </w:tcPr>
          <w:p>
            <w:pPr>
              <w:pStyle w:val="yTableNAm"/>
            </w:pPr>
            <w:r>
              <w:t>Esperance</w:t>
            </w:r>
          </w:p>
        </w:tc>
        <w:tc>
          <w:tcPr>
            <w:tcW w:w="2127" w:type="dxa"/>
          </w:tcPr>
          <w:p>
            <w:pPr>
              <w:pStyle w:val="yTableNAm"/>
            </w:pPr>
            <w:r>
              <w:t>Merredin</w:t>
            </w:r>
          </w:p>
        </w:tc>
        <w:tc>
          <w:tcPr>
            <w:tcW w:w="2126" w:type="dxa"/>
          </w:tcPr>
          <w:p>
            <w:pPr>
              <w:pStyle w:val="yTableNAm"/>
            </w:pPr>
          </w:p>
        </w:tc>
      </w:tr>
      <w:tr>
        <w:tc>
          <w:tcPr>
            <w:tcW w:w="2064" w:type="dxa"/>
          </w:tcPr>
          <w:p>
            <w:pPr>
              <w:pStyle w:val="yTableNAm"/>
            </w:pPr>
            <w:r>
              <w:t>Fremantle</w:t>
            </w:r>
          </w:p>
        </w:tc>
        <w:tc>
          <w:tcPr>
            <w:tcW w:w="2127" w:type="dxa"/>
          </w:tcPr>
          <w:p>
            <w:pPr>
              <w:pStyle w:val="yTableNAm"/>
            </w:pPr>
            <w:smartTag w:uri="urn:schemas-microsoft-com:office:smarttags" w:element="City">
              <w:smartTag w:uri="urn:schemas-microsoft-com:office:smarttags" w:element="place">
                <w:r>
                  <w:t>Midland</w:t>
                </w:r>
              </w:smartTag>
            </w:smartTag>
          </w:p>
        </w:tc>
        <w:tc>
          <w:tcPr>
            <w:tcW w:w="2126" w:type="dxa"/>
          </w:tcPr>
          <w:p>
            <w:pPr>
              <w:pStyle w:val="yTableNAm"/>
            </w:pPr>
          </w:p>
        </w:tc>
      </w:tr>
    </w:tbl>
    <w:p>
      <w:pPr>
        <w:pStyle w:val="yScheduleHeading"/>
      </w:pPr>
      <w:bookmarkStart w:id="29" w:name="_Toc382388915"/>
      <w:r>
        <w:rPr>
          <w:rStyle w:val="CharSchNo"/>
        </w:rPr>
        <w:t>Schedule 3</w:t>
      </w:r>
      <w:r>
        <w:t> — </w:t>
      </w:r>
      <w:r>
        <w:rPr>
          <w:rStyle w:val="CharSchText"/>
        </w:rPr>
        <w:t>Provision under which proceedings commenced</w:t>
      </w:r>
      <w:bookmarkEnd w:id="29"/>
    </w:p>
    <w:p>
      <w:pPr>
        <w:pStyle w:val="yShoulderClause"/>
      </w:pPr>
      <w:r>
        <w:t>[r. 9(1)]</w:t>
      </w:r>
    </w:p>
    <w:p>
      <w:pPr>
        <w:pStyle w:val="yFootnoteheading"/>
      </w:pPr>
      <w:r>
        <w:tab/>
        <w:t>[Heading inserted in Gazette 26 Jun 2007 p. 2987.]</w:t>
      </w:r>
    </w:p>
    <w:p>
      <w:pPr>
        <w:pStyle w:val="yMiscellaneousBody"/>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in Gazette 26 Jun 2007 p. 2987</w:t>
      </w:r>
      <w:r>
        <w:noBreakHyphen/>
        <w:t xml:space="preserve">8; amended in Gazette </w:t>
      </w:r>
      <w:r>
        <w:rPr>
          <w:szCs w:val="22"/>
        </w:rPr>
        <w:t>6 Aug 2013 p. 3654.]</w:t>
      </w:r>
    </w:p>
    <w:p>
      <w:pPr>
        <w:pStyle w:val="yScheduleHeading"/>
      </w:pPr>
      <w:bookmarkStart w:id="30" w:name="_Toc382388916"/>
      <w:r>
        <w:rPr>
          <w:rStyle w:val="CharSchNo"/>
        </w:rPr>
        <w:t>Schedule 4</w:t>
      </w:r>
      <w:r>
        <w:t> — </w:t>
      </w:r>
      <w:r>
        <w:rPr>
          <w:rStyle w:val="CharSchText"/>
        </w:rPr>
        <w:t>Provision under which proceedings commenced</w:t>
      </w:r>
      <w:bookmarkEnd w:id="30"/>
    </w:p>
    <w:p>
      <w:pPr>
        <w:pStyle w:val="yShoulderClause"/>
      </w:pPr>
      <w:r>
        <w:t>[r. 9(2)]</w:t>
      </w:r>
    </w:p>
    <w:p>
      <w:pPr>
        <w:pStyle w:val="yFootnoteheading"/>
      </w:pPr>
      <w:r>
        <w:rPr>
          <w:snapToGrid w:val="0"/>
        </w:rPr>
        <w:tab/>
        <w:t>[Heading inserted in Gazette 6 Aug 2013 p. 3655.]</w:t>
      </w:r>
    </w:p>
    <w:p>
      <w:pPr>
        <w:pStyle w:val="yMiscellaneousBody"/>
        <w:spacing w:before="240"/>
      </w:pPr>
      <w:r>
        <w:rPr>
          <w:i/>
        </w:rPr>
        <w:t>Strata Titles Act 1985</w:t>
      </w:r>
      <w:r>
        <w:t xml:space="preserve"> s. 26(4), 26(5) or 27(3)</w:t>
      </w:r>
    </w:p>
    <w:p>
      <w:pPr>
        <w:pStyle w:val="yFootnotesection"/>
      </w:pPr>
      <w:r>
        <w:tab/>
        <w:t>[Schedule 4 inserted in Gazette 6 Aug 2013 p. 3655.]</w:t>
      </w:r>
    </w:p>
    <w:p>
      <w:pPr>
        <w:pStyle w:val="yEdnoteschedule"/>
        <w:rPr>
          <w:szCs w:val="22"/>
        </w:rPr>
      </w:pPr>
      <w:r>
        <w:rPr>
          <w:szCs w:val="22"/>
        </w:rPr>
        <w:t>[Schedule 5 deleted in Gazette 6 Aug 2013 p. 3655.]</w:t>
      </w:r>
    </w:p>
    <w:p>
      <w:pPr>
        <w:pStyle w:val="yScheduleHeading"/>
      </w:pPr>
      <w:bookmarkStart w:id="31" w:name="_Toc382388917"/>
      <w:r>
        <w:rPr>
          <w:rStyle w:val="CharSchNo"/>
        </w:rPr>
        <w:t>Schedule 6</w:t>
      </w:r>
      <w:r>
        <w:t> — </w:t>
      </w:r>
      <w:r>
        <w:rPr>
          <w:rStyle w:val="CharSchText"/>
        </w:rPr>
        <w:t>Provision under which proceedings commenced</w:t>
      </w:r>
      <w:bookmarkEnd w:id="31"/>
    </w:p>
    <w:p>
      <w:pPr>
        <w:pStyle w:val="yShoulderClause"/>
      </w:pPr>
      <w:r>
        <w:t>[r. 9(4)]</w:t>
      </w:r>
    </w:p>
    <w:p>
      <w:pPr>
        <w:pStyle w:val="yFootnoteheading"/>
      </w:pPr>
      <w:r>
        <w:tab/>
        <w:t>[Heading inserted in Gazette 26 Jun 2007 p. 2993.]</w:t>
      </w:r>
    </w:p>
    <w:p>
      <w:pPr>
        <w:pStyle w:val="yMiscellaneousBody"/>
      </w:pPr>
      <w:r>
        <w:rPr>
          <w:i/>
          <w:iCs/>
        </w:rPr>
        <w:t>Associations Incorporation Act 1987</w:t>
      </w:r>
      <w:r>
        <w:t xml:space="preserve"> s. 4(6), 7(2), 8(2), 9(3), 18(4) or 19(3)</w:t>
      </w:r>
    </w:p>
    <w:p>
      <w:pPr>
        <w:pStyle w:val="yMiscellaneousBody"/>
      </w:pPr>
      <w:r>
        <w:rPr>
          <w:i/>
        </w:rPr>
        <w:t>Cat Act 2011</w:t>
      </w:r>
      <w:r>
        <w:t xml:space="preserve"> s. 71 or 72</w:t>
      </w:r>
    </w:p>
    <w:p>
      <w:pPr>
        <w:pStyle w:val="yMiscellaneousBody"/>
      </w:pPr>
      <w:r>
        <w:rPr>
          <w:i/>
          <w:iCs/>
        </w:rPr>
        <w:t>Commercial Tenancy (Retail Shops) Agreements Act 1985</w:t>
      </w:r>
      <w:r>
        <w:t xml:space="preserve"> s. 6(1)(b), 6A(1)(b) or (3), 9(3), 11(5), 12(1)(b), 12A(4), 12B(4), 12C(2), 12D(3), 13(3)(a), (7) or (7b), 13A(2) or (3), 14, 14A(3), 15F(1), 16(1) or 27(3)(b)</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or (8), 33G(4)(a) or (b), 33H(5)(a) or (b), 33I(1)(a), (b), (c) or (d), 36(3) or 40(4)</w:t>
      </w:r>
    </w:p>
    <w:p>
      <w:pPr>
        <w:pStyle w:val="yMiscellaneousBody"/>
      </w:pPr>
      <w:r>
        <w:rPr>
          <w:i/>
        </w:rPr>
        <w:t>Fair Trading (Retirement Villages Interim Code) Regulations 2012</w:t>
      </w:r>
      <w:r>
        <w:rPr>
          <w:vertAlign w:val="superscript"/>
        </w:rPr>
        <w:t> 10</w:t>
      </w:r>
      <w:r>
        <w:rPr>
          <w:i/>
        </w:rPr>
        <w:t xml:space="preserve"> </w:t>
      </w:r>
      <w:r>
        <w:t>Sch. 1 cl. 5.8(2)</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rPr>
          <w:iCs/>
        </w:rPr>
      </w:pPr>
      <w:r>
        <w:rPr>
          <w:i/>
          <w:iCs/>
        </w:rPr>
        <w:t xml:space="preserve">Retirement Villages Act 1992 </w:t>
      </w:r>
      <w:r>
        <w:t>s. 9(3)(e) or (6), 44(1), 56(1), 57(1), 58(1), 59(1), 62(1), 63(1), 64(1), 67(2), 68(1), 69(3), 70(1)(a) or 75(4)</w:t>
      </w:r>
    </w:p>
    <w:p>
      <w:pPr>
        <w:pStyle w:val="yMiscellaneousBody"/>
      </w:pPr>
      <w:r>
        <w:rPr>
          <w:i/>
        </w:rPr>
        <w:t>Retirement Villages Regulations 1992</w:t>
      </w:r>
      <w:r>
        <w:t xml:space="preserve"> r. 7(9)</w:t>
      </w:r>
    </w:p>
    <w:p>
      <w:pPr>
        <w:pStyle w:val="yMiscellaneousBody"/>
      </w:pPr>
      <w:r>
        <w:rPr>
          <w:i/>
          <w:iCs/>
        </w:rPr>
        <w:t>Road Traffic Act 1974</w:t>
      </w:r>
      <w:r>
        <w:t xml:space="preserve"> s. 25(1) or the </w:t>
      </w:r>
      <w:r>
        <w:rPr>
          <w:i/>
          <w:iCs/>
        </w:rPr>
        <w:t>Road Traffic (Authorisation to Drive) Regulations 2008</w:t>
      </w:r>
      <w:r>
        <w:t xml:space="preserve"> r. 42(4)</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in Gazette 26 Jun 2007 p. 2993</w:t>
      </w:r>
      <w:r>
        <w:noBreakHyphen/>
        <w:t xml:space="preserve">4; amended in Gazette 13 Jun 2008 p. 2523; 27 Jun 2008 p. 3067; </w:t>
      </w:r>
      <w:r>
        <w:rPr>
          <w:szCs w:val="22"/>
        </w:rPr>
        <w:t>6 Aug 2013 p. </w:t>
      </w:r>
      <w:r>
        <w:t>3655.]</w:t>
      </w:r>
    </w:p>
    <w:p>
      <w:pPr>
        <w:pStyle w:val="yScheduleHeading"/>
      </w:pPr>
      <w:bookmarkStart w:id="32" w:name="_Toc382388918"/>
      <w:r>
        <w:rPr>
          <w:rStyle w:val="CharSchNo"/>
        </w:rPr>
        <w:t>Schedule 7</w:t>
      </w:r>
      <w:r>
        <w:t> — </w:t>
      </w:r>
      <w:r>
        <w:rPr>
          <w:rStyle w:val="CharSchText"/>
        </w:rPr>
        <w:t>Enactments under which proceedings commenced</w:t>
      </w:r>
      <w:bookmarkEnd w:id="32"/>
    </w:p>
    <w:p>
      <w:pPr>
        <w:pStyle w:val="yShoulderClause"/>
      </w:pPr>
      <w:r>
        <w:t>[r. 11A]</w:t>
      </w:r>
    </w:p>
    <w:p>
      <w:pPr>
        <w:pStyle w:val="yFootnoteheading"/>
      </w:pPr>
      <w:r>
        <w:rPr>
          <w:snapToGrid w:val="0"/>
        </w:rPr>
        <w:tab/>
        <w:t>[Heading inserted in Gazette 6 Aug 2013 p. 3655.]</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94 or 163(1)</w:t>
      </w:r>
    </w:p>
    <w:p>
      <w:pPr>
        <w:pStyle w:val="yMiscellaneousBody"/>
      </w:pPr>
      <w:r>
        <w:rPr>
          <w:i/>
        </w:rPr>
        <w:t>Country Towns Sewerage Act 1948</w:t>
      </w:r>
      <w:r>
        <w:t xml:space="preserve"> s. 62(2) or 63(2)</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1996</w:t>
      </w:r>
      <w:r>
        <w:t xml:space="preserve"> s. 148A(1) or (2), 148E or 151</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Rights in Water and Irrigation Act 1914</w:t>
      </w:r>
      <w:r>
        <w:t xml:space="preserve"> s. 39F(2) or 39G(2)</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Valuation of Land Act 1978</w:t>
      </w:r>
      <w:r>
        <w:t xml:space="preserve"> s. 33(2) or 35(2)</w:t>
      </w:r>
    </w:p>
    <w:p>
      <w:pPr>
        <w:pStyle w:val="yMiscellaneousBody"/>
      </w:pPr>
      <w:r>
        <w:rPr>
          <w:i/>
        </w:rPr>
        <w:t>Water Boards Act 1904</w:t>
      </w:r>
      <w:r>
        <w:t xml:space="preserve"> s. 88(2) or 89(2)</w:t>
      </w:r>
    </w:p>
    <w:p>
      <w:pPr>
        <w:pStyle w:val="yFootnotesection"/>
      </w:pPr>
      <w:r>
        <w:tab/>
        <w:t>[Schedule 7 inserted in Gazette 26 Jun 2007 p. 2994</w:t>
      </w:r>
      <w:r>
        <w:noBreakHyphen/>
        <w:t>5; amended in Gazette 22 Jul 2011 p. 3018; 6 Aug 2013 p. 3655</w:t>
      </w:r>
      <w:r>
        <w:noBreakHyphen/>
        <w:t>6.]</w:t>
      </w:r>
    </w:p>
    <w:p>
      <w:pPr>
        <w:pStyle w:val="yEdnoteschedule"/>
      </w:pPr>
      <w:r>
        <w:t>[Schedules 8</w:t>
      </w:r>
      <w:r>
        <w:noBreakHyphen/>
        <w:t>19 deleted in Gazette 26 Jun 2007 p. 2987.]</w:t>
      </w:r>
    </w:p>
    <w:p>
      <w:pPr>
        <w:pStyle w:val="yScheduleHeading"/>
      </w:pPr>
      <w:bookmarkStart w:id="33" w:name="_Toc382388919"/>
      <w:r>
        <w:rPr>
          <w:rStyle w:val="CharSchNo"/>
        </w:rPr>
        <w:t>Schedule 20</w:t>
      </w:r>
      <w:r>
        <w:t> — </w:t>
      </w:r>
      <w:r>
        <w:rPr>
          <w:rStyle w:val="CharSchText"/>
        </w:rPr>
        <w:t>Other fees</w:t>
      </w:r>
      <w:bookmarkEnd w:id="33"/>
    </w:p>
    <w:p>
      <w:pPr>
        <w:pStyle w:val="yShoulderClause"/>
        <w:spacing w:after="120"/>
      </w:pPr>
      <w:r>
        <w:t>[r. 27]</w:t>
      </w:r>
    </w:p>
    <w:tbl>
      <w:tblPr>
        <w:tblW w:w="0" w:type="auto"/>
        <w:tblInd w:w="108" w:type="dxa"/>
        <w:tblLayout w:type="fixed"/>
        <w:tblCellMar>
          <w:left w:w="57" w:type="dxa"/>
          <w:right w:w="57" w:type="dxa"/>
        </w:tblCellMar>
        <w:tblLook w:val="0000" w:firstRow="0" w:lastRow="0" w:firstColumn="0" w:lastColumn="0" w:noHBand="0" w:noVBand="0"/>
      </w:tblPr>
      <w:tblGrid>
        <w:gridCol w:w="658"/>
        <w:gridCol w:w="5103"/>
        <w:gridCol w:w="1327"/>
      </w:tblGrid>
      <w:tr>
        <w:trPr>
          <w:cantSplit/>
          <w:tblHeader/>
        </w:trPr>
        <w:tc>
          <w:tcPr>
            <w:tcW w:w="658" w:type="dxa"/>
            <w:tcBorders>
              <w:top w:val="single" w:sz="4" w:space="0" w:color="auto"/>
              <w:bottom w:val="single" w:sz="4" w:space="0" w:color="auto"/>
            </w:tcBorders>
          </w:tcPr>
          <w:p>
            <w:pPr>
              <w:pStyle w:val="yTableNAm"/>
              <w:jc w:val="center"/>
              <w:rPr>
                <w:b/>
                <w:bCs/>
              </w:rPr>
            </w:pPr>
            <w:r>
              <w:rPr>
                <w:b/>
                <w:bCs/>
              </w:rPr>
              <w:t>Item</w:t>
            </w:r>
          </w:p>
        </w:tc>
        <w:tc>
          <w:tcPr>
            <w:tcW w:w="5103" w:type="dxa"/>
            <w:tcBorders>
              <w:top w:val="single" w:sz="4" w:space="0" w:color="auto"/>
              <w:bottom w:val="single" w:sz="4" w:space="0" w:color="auto"/>
            </w:tcBorders>
          </w:tcPr>
          <w:p>
            <w:pPr>
              <w:pStyle w:val="yTableNAm"/>
              <w:jc w:val="center"/>
              <w:rPr>
                <w:b/>
                <w:bCs/>
              </w:rPr>
            </w:pPr>
            <w:r>
              <w:rPr>
                <w:b/>
                <w:bCs/>
              </w:rPr>
              <w:t>Type of fee</w:t>
            </w:r>
          </w:p>
        </w:tc>
        <w:tc>
          <w:tcPr>
            <w:tcW w:w="1327"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658" w:type="dxa"/>
          </w:tcPr>
          <w:p>
            <w:pPr>
              <w:pStyle w:val="yTableNAm"/>
            </w:pPr>
            <w:r>
              <w:t>1.</w:t>
            </w:r>
          </w:p>
        </w:tc>
        <w:tc>
          <w:tcPr>
            <w:tcW w:w="5103" w:type="dxa"/>
          </w:tcPr>
          <w:p>
            <w:pPr>
              <w:pStyle w:val="yTableNAm"/>
            </w:pPr>
            <w:r>
              <w:t xml:space="preserve">Application under the Act section 22(1) by — </w:t>
            </w:r>
          </w:p>
        </w:tc>
        <w:tc>
          <w:tcPr>
            <w:tcW w:w="1327" w:type="dxa"/>
          </w:tcPr>
          <w:p>
            <w:pPr>
              <w:pStyle w:val="yTableNAm"/>
              <w:jc w:val="right"/>
            </w:pPr>
          </w:p>
        </w:tc>
      </w:tr>
      <w:tr>
        <w:trPr>
          <w:cantSplit/>
        </w:trPr>
        <w:tc>
          <w:tcPr>
            <w:tcW w:w="658" w:type="dxa"/>
          </w:tcPr>
          <w:p>
            <w:pPr>
              <w:pStyle w:val="yTableNAm"/>
            </w:pPr>
          </w:p>
        </w:tc>
        <w:tc>
          <w:tcPr>
            <w:tcW w:w="5103" w:type="dxa"/>
          </w:tcPr>
          <w:p>
            <w:pPr>
              <w:pStyle w:val="yTableNAm"/>
              <w:tabs>
                <w:tab w:val="clear" w:pos="567"/>
                <w:tab w:val="left" w:pos="492"/>
              </w:tabs>
              <w:ind w:left="492" w:hanging="492"/>
            </w:pPr>
            <w:r>
              <w:t>(a)</w:t>
            </w:r>
            <w:r>
              <w:tab/>
              <w:t>an individual</w:t>
            </w:r>
          </w:p>
        </w:tc>
        <w:tc>
          <w:tcPr>
            <w:tcW w:w="1327" w:type="dxa"/>
          </w:tcPr>
          <w:p>
            <w:pPr>
              <w:pStyle w:val="yTableNAm"/>
              <w:jc w:val="right"/>
            </w:pPr>
            <w:r>
              <w:rPr>
                <w:szCs w:val="22"/>
              </w:rPr>
              <w:t>64.00</w:t>
            </w:r>
          </w:p>
        </w:tc>
      </w:tr>
      <w:tr>
        <w:trPr>
          <w:cantSplit/>
        </w:trPr>
        <w:tc>
          <w:tcPr>
            <w:tcW w:w="658" w:type="dxa"/>
          </w:tcPr>
          <w:p>
            <w:pPr>
              <w:pStyle w:val="yTableNAm"/>
            </w:pPr>
          </w:p>
        </w:tc>
        <w:tc>
          <w:tcPr>
            <w:tcW w:w="5103" w:type="dxa"/>
          </w:tcPr>
          <w:p>
            <w:pPr>
              <w:pStyle w:val="yTableNAm"/>
              <w:tabs>
                <w:tab w:val="clear" w:pos="567"/>
                <w:tab w:val="left" w:pos="492"/>
              </w:tabs>
              <w:ind w:left="492" w:hanging="492"/>
            </w:pPr>
            <w:r>
              <w:t>(b)</w:t>
            </w:r>
            <w:r>
              <w:tab/>
              <w:t>a person other than an individual</w:t>
            </w:r>
          </w:p>
        </w:tc>
        <w:tc>
          <w:tcPr>
            <w:tcW w:w="1327" w:type="dxa"/>
          </w:tcPr>
          <w:p>
            <w:pPr>
              <w:pStyle w:val="yTableNAm"/>
              <w:jc w:val="right"/>
            </w:pPr>
            <w:r>
              <w:rPr>
                <w:szCs w:val="22"/>
              </w:rPr>
              <w:t>128.00</w:t>
            </w:r>
          </w:p>
        </w:tc>
      </w:tr>
      <w:tr>
        <w:trPr>
          <w:cantSplit/>
        </w:trPr>
        <w:tc>
          <w:tcPr>
            <w:tcW w:w="658" w:type="dxa"/>
          </w:tcPr>
          <w:p>
            <w:pPr>
              <w:pStyle w:val="yTableNAm"/>
            </w:pPr>
            <w:r>
              <w:t>1A.</w:t>
            </w:r>
          </w:p>
        </w:tc>
        <w:tc>
          <w:tcPr>
            <w:tcW w:w="5103" w:type="dxa"/>
          </w:tcPr>
          <w:p>
            <w:pPr>
              <w:pStyle w:val="yTableNAm"/>
            </w:pPr>
            <w:r>
              <w:t>Application (per folio: a folio comprises 72 words)</w:t>
            </w:r>
          </w:p>
        </w:tc>
        <w:tc>
          <w:tcPr>
            <w:tcW w:w="1327" w:type="dxa"/>
          </w:tcPr>
          <w:p>
            <w:pPr>
              <w:pStyle w:val="yTableNAm"/>
              <w:jc w:val="right"/>
            </w:pPr>
            <w:r>
              <w:rPr>
                <w:szCs w:val="22"/>
              </w:rPr>
              <w:t>7.25</w:t>
            </w:r>
          </w:p>
        </w:tc>
      </w:tr>
      <w:tr>
        <w:trPr>
          <w:cantSplit/>
        </w:trPr>
        <w:tc>
          <w:tcPr>
            <w:tcW w:w="658" w:type="dxa"/>
          </w:tcPr>
          <w:p>
            <w:pPr>
              <w:pStyle w:val="yTableNAm"/>
            </w:pPr>
            <w:r>
              <w:t>2.</w:t>
            </w:r>
          </w:p>
        </w:tc>
        <w:tc>
          <w:tcPr>
            <w:tcW w:w="5103" w:type="dxa"/>
          </w:tcPr>
          <w:p>
            <w:pPr>
              <w:pStyle w:val="yTableNAm"/>
            </w:pPr>
            <w:r>
              <w:t>For a copy of a document, for each page or part of a page</w:t>
            </w:r>
          </w:p>
        </w:tc>
        <w:tc>
          <w:tcPr>
            <w:tcW w:w="1327" w:type="dxa"/>
          </w:tcPr>
          <w:p>
            <w:pPr>
              <w:pStyle w:val="yTableNAm"/>
              <w:jc w:val="right"/>
            </w:pPr>
            <w:r>
              <w:br/>
            </w:r>
            <w:r>
              <w:rPr>
                <w:szCs w:val="22"/>
              </w:rPr>
              <w:t>1.20</w:t>
            </w:r>
          </w:p>
        </w:tc>
      </w:tr>
      <w:tr>
        <w:trPr>
          <w:cantSplit/>
        </w:trPr>
        <w:tc>
          <w:tcPr>
            <w:tcW w:w="658" w:type="dxa"/>
          </w:tcPr>
          <w:p>
            <w:pPr>
              <w:pStyle w:val="yTableNAm"/>
            </w:pPr>
            <w:r>
              <w:t>3.</w:t>
            </w:r>
          </w:p>
        </w:tc>
        <w:tc>
          <w:tcPr>
            <w:tcW w:w="5103" w:type="dxa"/>
          </w:tcPr>
          <w:p>
            <w:pPr>
              <w:pStyle w:val="yTableNAm"/>
            </w:pPr>
            <w:r>
              <w:t xml:space="preserve">For a copy of reasons for decision — </w:t>
            </w:r>
          </w:p>
        </w:tc>
        <w:tc>
          <w:tcPr>
            <w:tcW w:w="1327" w:type="dxa"/>
          </w:tcPr>
          <w:p>
            <w:pPr>
              <w:pStyle w:val="yTableNAm"/>
              <w:jc w:val="right"/>
            </w:pPr>
          </w:p>
        </w:tc>
      </w:tr>
      <w:tr>
        <w:trPr>
          <w:cantSplit/>
        </w:trPr>
        <w:tc>
          <w:tcPr>
            <w:tcW w:w="658" w:type="dxa"/>
          </w:tcPr>
          <w:p>
            <w:pPr>
              <w:pStyle w:val="yTableNAm"/>
            </w:pPr>
          </w:p>
        </w:tc>
        <w:tc>
          <w:tcPr>
            <w:tcW w:w="5103" w:type="dxa"/>
          </w:tcPr>
          <w:p>
            <w:pPr>
              <w:pStyle w:val="yTableNAm"/>
              <w:tabs>
                <w:tab w:val="clear" w:pos="567"/>
                <w:tab w:val="left" w:pos="492"/>
              </w:tabs>
              <w:ind w:left="492" w:hanging="492"/>
            </w:pPr>
            <w:r>
              <w:t>(a)</w:t>
            </w:r>
            <w:r>
              <w:tab/>
              <w:t>for one copy on the request of a party to the application</w:t>
            </w:r>
          </w:p>
        </w:tc>
        <w:tc>
          <w:tcPr>
            <w:tcW w:w="1327" w:type="dxa"/>
          </w:tcPr>
          <w:p>
            <w:pPr>
              <w:pStyle w:val="yTableNAm"/>
              <w:jc w:val="right"/>
            </w:pPr>
            <w:r>
              <w:br/>
              <w:t>Nil</w:t>
            </w:r>
          </w:p>
        </w:tc>
      </w:tr>
      <w:tr>
        <w:trPr>
          <w:cantSplit/>
        </w:trPr>
        <w:tc>
          <w:tcPr>
            <w:tcW w:w="658" w:type="dxa"/>
          </w:tcPr>
          <w:p>
            <w:pPr>
              <w:pStyle w:val="yTableNAm"/>
            </w:pPr>
          </w:p>
        </w:tc>
        <w:tc>
          <w:tcPr>
            <w:tcW w:w="5103" w:type="dxa"/>
          </w:tcPr>
          <w:p>
            <w:pPr>
              <w:pStyle w:val="yTableNAm"/>
              <w:tabs>
                <w:tab w:val="clear" w:pos="567"/>
                <w:tab w:val="left" w:pos="492"/>
              </w:tabs>
              <w:ind w:left="492" w:hanging="492"/>
            </w:pPr>
            <w:r>
              <w:t>(b)</w:t>
            </w:r>
            <w:r>
              <w:tab/>
              <w:t>for each additional copy on the request of a party to the application, for each page or part of a page</w:t>
            </w:r>
          </w:p>
        </w:tc>
        <w:tc>
          <w:tcPr>
            <w:tcW w:w="1327" w:type="dxa"/>
          </w:tcPr>
          <w:p>
            <w:pPr>
              <w:pStyle w:val="yTableNAm"/>
              <w:jc w:val="right"/>
            </w:pPr>
            <w:r>
              <w:br/>
            </w:r>
            <w:r>
              <w:rPr>
                <w:szCs w:val="22"/>
              </w:rPr>
              <w:t>1.25</w:t>
            </w:r>
          </w:p>
        </w:tc>
      </w:tr>
      <w:tr>
        <w:trPr>
          <w:cantSplit/>
        </w:trPr>
        <w:tc>
          <w:tcPr>
            <w:tcW w:w="658" w:type="dxa"/>
          </w:tcPr>
          <w:p>
            <w:pPr>
              <w:pStyle w:val="yTableNAm"/>
            </w:pPr>
          </w:p>
        </w:tc>
        <w:tc>
          <w:tcPr>
            <w:tcW w:w="5103" w:type="dxa"/>
          </w:tcPr>
          <w:p>
            <w:pPr>
              <w:pStyle w:val="yTableNAm"/>
              <w:tabs>
                <w:tab w:val="clear" w:pos="567"/>
                <w:tab w:val="left" w:pos="492"/>
              </w:tabs>
              <w:ind w:left="492" w:hanging="492"/>
            </w:pPr>
            <w:r>
              <w:t>(c)</w:t>
            </w:r>
            <w:r>
              <w:tab/>
              <w:t>for each copy on the request of a person who is not a party to the application, for each page or part of a page</w:t>
            </w:r>
          </w:p>
        </w:tc>
        <w:tc>
          <w:tcPr>
            <w:tcW w:w="1327" w:type="dxa"/>
          </w:tcPr>
          <w:p>
            <w:pPr>
              <w:pStyle w:val="yTableNAm"/>
              <w:jc w:val="right"/>
            </w:pPr>
            <w:r>
              <w:br/>
            </w:r>
            <w:r>
              <w:br/>
            </w:r>
            <w:r>
              <w:rPr>
                <w:szCs w:val="22"/>
              </w:rPr>
              <w:t>1.25</w:t>
            </w:r>
          </w:p>
        </w:tc>
      </w:tr>
      <w:tr>
        <w:trPr>
          <w:cantSplit/>
        </w:trPr>
        <w:tc>
          <w:tcPr>
            <w:tcW w:w="658" w:type="dxa"/>
          </w:tcPr>
          <w:p>
            <w:pPr>
              <w:pStyle w:val="yTableNAm"/>
            </w:pPr>
            <w:r>
              <w:t>4.</w:t>
            </w:r>
          </w:p>
        </w:tc>
        <w:tc>
          <w:tcPr>
            <w:tcW w:w="5103" w:type="dxa"/>
          </w:tcPr>
          <w:p>
            <w:pPr>
              <w:pStyle w:val="yTableNAm"/>
            </w:pPr>
            <w:r>
              <w:t>For certifying under seal that a document is a true copy, an additional fee of</w:t>
            </w:r>
          </w:p>
        </w:tc>
        <w:tc>
          <w:tcPr>
            <w:tcW w:w="1327" w:type="dxa"/>
          </w:tcPr>
          <w:p>
            <w:pPr>
              <w:pStyle w:val="yTableNAm"/>
              <w:jc w:val="right"/>
            </w:pPr>
            <w:r>
              <w:br/>
            </w:r>
            <w:r>
              <w:rPr>
                <w:szCs w:val="22"/>
              </w:rPr>
              <w:t>12.45</w:t>
            </w:r>
          </w:p>
        </w:tc>
      </w:tr>
      <w:tr>
        <w:trPr>
          <w:cantSplit/>
        </w:trPr>
        <w:tc>
          <w:tcPr>
            <w:tcW w:w="658" w:type="dxa"/>
          </w:tcPr>
          <w:p>
            <w:pPr>
              <w:pStyle w:val="yTableNAm"/>
            </w:pPr>
            <w:r>
              <w:t>5.</w:t>
            </w:r>
          </w:p>
        </w:tc>
        <w:tc>
          <w:tcPr>
            <w:tcW w:w="5103" w:type="dxa"/>
          </w:tcPr>
          <w:p>
            <w:pPr>
              <w:pStyle w:val="yTableNAm"/>
            </w:pPr>
            <w:r>
              <w:t>For a copy of a transcript (whether or not in electronic format), for each page or part of a page (minimum fee:</w:t>
            </w:r>
            <w:r>
              <w:rPr>
                <w:szCs w:val="22"/>
              </w:rPr>
              <w:t xml:space="preserve"> $16.60)</w:t>
            </w:r>
          </w:p>
        </w:tc>
        <w:tc>
          <w:tcPr>
            <w:tcW w:w="1327" w:type="dxa"/>
          </w:tcPr>
          <w:p>
            <w:pPr>
              <w:pStyle w:val="yTableNAm"/>
              <w:jc w:val="right"/>
            </w:pPr>
            <w:r>
              <w:br/>
            </w:r>
            <w:r>
              <w:br/>
            </w:r>
            <w:r>
              <w:rPr>
                <w:szCs w:val="22"/>
              </w:rPr>
              <w:t>5.45</w:t>
            </w:r>
          </w:p>
        </w:tc>
      </w:tr>
      <w:tr>
        <w:trPr>
          <w:cantSplit/>
        </w:trPr>
        <w:tc>
          <w:tcPr>
            <w:tcW w:w="658" w:type="dxa"/>
          </w:tcPr>
          <w:p>
            <w:pPr>
              <w:pStyle w:val="yTableNAm"/>
            </w:pPr>
            <w:r>
              <w:t>6.</w:t>
            </w:r>
          </w:p>
        </w:tc>
        <w:tc>
          <w:tcPr>
            <w:tcW w:w="5103" w:type="dxa"/>
          </w:tcPr>
          <w:p>
            <w:pPr>
              <w:pStyle w:val="yTableNAm"/>
            </w:pPr>
            <w:r>
              <w:t>For a copy of a running transcript (whether or not in electronic format), for each page or part of a page (minimum fee:</w:t>
            </w:r>
            <w:r>
              <w:rPr>
                <w:szCs w:val="22"/>
              </w:rPr>
              <w:t xml:space="preserve"> $16.60)</w:t>
            </w:r>
          </w:p>
        </w:tc>
        <w:tc>
          <w:tcPr>
            <w:tcW w:w="1327" w:type="dxa"/>
          </w:tcPr>
          <w:p>
            <w:pPr>
              <w:pStyle w:val="yTableNAm"/>
              <w:jc w:val="right"/>
              <w:rPr>
                <w:rFonts w:ascii="Times" w:hAnsi="Times"/>
                <w:spacing w:val="-4"/>
              </w:rPr>
            </w:pPr>
            <w:r>
              <w:br/>
            </w:r>
            <w:r>
              <w:br/>
            </w:r>
            <w:r>
              <w:rPr>
                <w:szCs w:val="22"/>
              </w:rPr>
              <w:t>5.45 plus 53.50 per day</w:t>
            </w:r>
          </w:p>
        </w:tc>
      </w:tr>
      <w:tr>
        <w:trPr>
          <w:cantSplit/>
        </w:trPr>
        <w:tc>
          <w:tcPr>
            <w:tcW w:w="658" w:type="dxa"/>
          </w:tcPr>
          <w:p>
            <w:pPr>
              <w:pStyle w:val="yTableNAm"/>
            </w:pPr>
            <w:r>
              <w:t>7.</w:t>
            </w:r>
          </w:p>
        </w:tc>
        <w:tc>
          <w:tcPr>
            <w:tcW w:w="5103" w:type="dxa"/>
          </w:tcPr>
          <w:p>
            <w:pPr>
              <w:pStyle w:val="yTableNAm"/>
            </w:pPr>
            <w:r>
              <w:t>For a copy of a transcript on a disk, for each page or part of a page (minimum fee:</w:t>
            </w:r>
            <w:r>
              <w:rPr>
                <w:szCs w:val="22"/>
              </w:rPr>
              <w:t xml:space="preserve"> $16.60)</w:t>
            </w:r>
          </w:p>
        </w:tc>
        <w:tc>
          <w:tcPr>
            <w:tcW w:w="1327" w:type="dxa"/>
          </w:tcPr>
          <w:p>
            <w:pPr>
              <w:pStyle w:val="yTableNAm"/>
              <w:jc w:val="right"/>
              <w:rPr>
                <w:rFonts w:ascii="Times" w:hAnsi="Times"/>
                <w:spacing w:val="-6"/>
              </w:rPr>
            </w:pPr>
            <w:r>
              <w:br/>
            </w:r>
            <w:r>
              <w:rPr>
                <w:szCs w:val="22"/>
              </w:rPr>
              <w:t>5.45 plus 6.10 per disk</w:t>
            </w:r>
          </w:p>
        </w:tc>
      </w:tr>
      <w:tr>
        <w:trPr>
          <w:cantSplit/>
        </w:trPr>
        <w:tc>
          <w:tcPr>
            <w:tcW w:w="658" w:type="dxa"/>
          </w:tcPr>
          <w:p>
            <w:pPr>
              <w:pStyle w:val="yTableNAm"/>
            </w:pPr>
            <w:r>
              <w:t>8.</w:t>
            </w:r>
          </w:p>
        </w:tc>
        <w:tc>
          <w:tcPr>
            <w:tcW w:w="5103" w:type="dxa"/>
          </w:tcPr>
          <w:p>
            <w:pPr>
              <w:pStyle w:val="yTableNAm"/>
            </w:pPr>
            <w:r>
              <w:t>For searching the register of proceedings other than a search made by or on behalf of a party to the application of that part of the register applicable to the application</w:t>
            </w:r>
          </w:p>
        </w:tc>
        <w:tc>
          <w:tcPr>
            <w:tcW w:w="1327" w:type="dxa"/>
          </w:tcPr>
          <w:p>
            <w:pPr>
              <w:pStyle w:val="yTableNAm"/>
              <w:jc w:val="right"/>
            </w:pPr>
            <w:r>
              <w:br/>
            </w:r>
            <w:r>
              <w:br/>
            </w:r>
            <w:r>
              <w:rPr>
                <w:szCs w:val="22"/>
              </w:rPr>
              <w:t>14.05</w:t>
            </w:r>
          </w:p>
        </w:tc>
      </w:tr>
      <w:tr>
        <w:trPr>
          <w:cantSplit/>
        </w:trPr>
        <w:tc>
          <w:tcPr>
            <w:tcW w:w="658" w:type="dxa"/>
          </w:tcPr>
          <w:p>
            <w:pPr>
              <w:pStyle w:val="yTableNAm"/>
            </w:pPr>
            <w:r>
              <w:t>9.</w:t>
            </w:r>
          </w:p>
        </w:tc>
        <w:tc>
          <w:tcPr>
            <w:tcW w:w="5103" w:type="dxa"/>
          </w:tcPr>
          <w:p>
            <w:pPr>
              <w:pStyle w:val="yTableNAm"/>
            </w:pPr>
            <w:r>
              <w:t>For searching any proceeding or record other than a search made by or on behalf of a party to the application</w:t>
            </w:r>
          </w:p>
        </w:tc>
        <w:tc>
          <w:tcPr>
            <w:tcW w:w="1327" w:type="dxa"/>
          </w:tcPr>
          <w:p>
            <w:pPr>
              <w:pStyle w:val="yTableNAm"/>
              <w:jc w:val="right"/>
            </w:pPr>
            <w:r>
              <w:br/>
            </w:r>
            <w:r>
              <w:rPr>
                <w:szCs w:val="22"/>
              </w:rPr>
              <w:t>31.25</w:t>
            </w:r>
          </w:p>
        </w:tc>
      </w:tr>
      <w:tr>
        <w:trPr>
          <w:cantSplit/>
        </w:trPr>
        <w:tc>
          <w:tcPr>
            <w:tcW w:w="658" w:type="dxa"/>
            <w:tcBorders>
              <w:bottom w:val="single" w:sz="4" w:space="0" w:color="auto"/>
            </w:tcBorders>
          </w:tcPr>
          <w:p>
            <w:pPr>
              <w:pStyle w:val="yTableNAm"/>
            </w:pPr>
            <w:r>
              <w:t>10.</w:t>
            </w:r>
          </w:p>
        </w:tc>
        <w:tc>
          <w:tcPr>
            <w:tcW w:w="5103" w:type="dxa"/>
            <w:tcBorders>
              <w:bottom w:val="single" w:sz="4" w:space="0" w:color="auto"/>
            </w:tcBorders>
          </w:tcPr>
          <w:p>
            <w:pPr>
              <w:pStyle w:val="yTableNAm"/>
            </w:pPr>
            <w:r>
              <w:t>For sealing a summons to a witness</w:t>
            </w:r>
          </w:p>
        </w:tc>
        <w:tc>
          <w:tcPr>
            <w:tcW w:w="1327" w:type="dxa"/>
            <w:tcBorders>
              <w:bottom w:val="single" w:sz="4" w:space="0" w:color="auto"/>
            </w:tcBorders>
          </w:tcPr>
          <w:p>
            <w:pPr>
              <w:pStyle w:val="yTableNAm"/>
              <w:jc w:val="right"/>
            </w:pPr>
            <w:r>
              <w:rPr>
                <w:szCs w:val="22"/>
              </w:rPr>
              <w:t>25.40</w:t>
            </w:r>
          </w:p>
        </w:tc>
      </w:tr>
    </w:tbl>
    <w:p>
      <w:pPr>
        <w:pStyle w:val="yFootnotesection"/>
      </w:pPr>
      <w:r>
        <w:tab/>
        <w:t>[Schedule 20 amended in Gazette 26 Jun 2007 p. 2995</w:t>
      </w:r>
      <w:r>
        <w:noBreakHyphen/>
        <w:t>6; 27 Jun 2008 p. 3067; 4 Sep 2009 p. 3482</w:t>
      </w:r>
      <w:r>
        <w:noBreakHyphen/>
        <w:t>3; 8 Mar 2011 p. 795; 20 Dec 2011 p. 5386-7; 30 Nov 2012 p. 5796-7.]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headerReference w:type="first" r:id="rId35"/>
          <w:endnotePr>
            <w:numFmt w:val="decimal"/>
          </w:endnotePr>
          <w:pgSz w:w="11906" w:h="16838" w:code="9"/>
          <w:pgMar w:top="2376" w:right="2404" w:bottom="3544" w:left="2404" w:header="709" w:footer="3379" w:gutter="0"/>
          <w:cols w:space="720"/>
          <w:noEndnote/>
          <w:docGrid w:linePitch="326"/>
        </w:sectPr>
      </w:pPr>
    </w:p>
    <w:p>
      <w:pPr>
        <w:pStyle w:val="nHeading2"/>
      </w:pPr>
      <w:bookmarkStart w:id="34" w:name="_Toc382388920"/>
      <w:r>
        <w:t>Notes</w:t>
      </w:r>
      <w:bookmarkEnd w:id="34"/>
    </w:p>
    <w:p>
      <w:pPr>
        <w:pStyle w:val="nSubsection"/>
        <w:rPr>
          <w:snapToGrid w:val="0"/>
        </w:rPr>
      </w:pPr>
      <w:r>
        <w:rPr>
          <w:snapToGrid w:val="0"/>
          <w:vertAlign w:val="superscript"/>
        </w:rPr>
        <w:t>1</w:t>
      </w:r>
      <w:r>
        <w:rPr>
          <w:snapToGrid w:val="0"/>
        </w:rPr>
        <w:tab/>
        <w:t xml:space="preserve">This reprint is a compilation as at 18 October 2013 of the </w:t>
      </w:r>
      <w:r>
        <w:rPr>
          <w:i/>
          <w:noProof/>
          <w:snapToGrid w:val="0"/>
        </w:rPr>
        <w:t>State Administrative Tribunal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35" w:name="_Toc382388921"/>
      <w:r>
        <w:t>Compilation table</w:t>
      </w:r>
      <w:bookmarkEnd w:id="3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State Administrative Tribunal Regulations 2004</w:t>
            </w:r>
          </w:p>
        </w:tc>
        <w:tc>
          <w:tcPr>
            <w:tcW w:w="1276" w:type="dxa"/>
            <w:tcBorders>
              <w:top w:val="single" w:sz="8" w:space="0" w:color="auto"/>
            </w:tcBorders>
          </w:tcPr>
          <w:p>
            <w:pPr>
              <w:pStyle w:val="nTable"/>
              <w:spacing w:after="40"/>
              <w:rPr>
                <w:sz w:val="19"/>
              </w:rPr>
            </w:pPr>
            <w:r>
              <w:rPr>
                <w:sz w:val="19"/>
              </w:rPr>
              <w:t>30 Dec 2004 p. 6747</w:t>
            </w:r>
            <w:r>
              <w:rPr>
                <w:sz w:val="19"/>
              </w:rPr>
              <w:noBreakHyphen/>
              <w:t>848</w:t>
            </w:r>
          </w:p>
        </w:tc>
        <w:tc>
          <w:tcPr>
            <w:tcW w:w="2693" w:type="dxa"/>
            <w:tcBorders>
              <w:top w:val="single" w:sz="8" w:space="0" w:color="auto"/>
            </w:tcBorders>
          </w:tcPr>
          <w:p>
            <w:pPr>
              <w:pStyle w:val="nTable"/>
              <w:spacing w:after="40"/>
              <w:rPr>
                <w:sz w:val="19"/>
              </w:rPr>
            </w:pPr>
            <w:r>
              <w:rPr>
                <w:sz w:val="19"/>
              </w:rPr>
              <w:t xml:space="preserve">1 Jan 2005 (see r. 2 and </w:t>
            </w:r>
            <w:r>
              <w:rPr>
                <w:i/>
                <w:sz w:val="19"/>
              </w:rPr>
              <w:t>Gazette</w:t>
            </w:r>
            <w:r>
              <w:rPr>
                <w:sz w:val="19"/>
              </w:rPr>
              <w:t xml:space="preserve"> 31 Dec 2004 p. 7129)</w:t>
            </w:r>
          </w:p>
        </w:tc>
      </w:tr>
      <w:tr>
        <w:tc>
          <w:tcPr>
            <w:tcW w:w="3118" w:type="dxa"/>
          </w:tcPr>
          <w:p>
            <w:pPr>
              <w:pStyle w:val="nTable"/>
              <w:spacing w:after="40"/>
              <w:rPr>
                <w:i/>
                <w:sz w:val="19"/>
              </w:rPr>
            </w:pPr>
            <w:r>
              <w:rPr>
                <w:i/>
                <w:sz w:val="19"/>
              </w:rPr>
              <w:t>State Administrative Tribunal Amendment Regulations 2005</w:t>
            </w:r>
          </w:p>
        </w:tc>
        <w:tc>
          <w:tcPr>
            <w:tcW w:w="1276" w:type="dxa"/>
          </w:tcPr>
          <w:p>
            <w:pPr>
              <w:pStyle w:val="nTable"/>
              <w:spacing w:after="40"/>
              <w:rPr>
                <w:sz w:val="19"/>
              </w:rPr>
            </w:pPr>
            <w:r>
              <w:rPr>
                <w:sz w:val="19"/>
              </w:rPr>
              <w:t>9 Aug 2005 p. 3635</w:t>
            </w:r>
            <w:r>
              <w:rPr>
                <w:sz w:val="19"/>
              </w:rPr>
              <w:noBreakHyphen/>
              <w:t>6</w:t>
            </w:r>
          </w:p>
        </w:tc>
        <w:tc>
          <w:tcPr>
            <w:tcW w:w="2693" w:type="dxa"/>
          </w:tcPr>
          <w:p>
            <w:pPr>
              <w:pStyle w:val="nTable"/>
              <w:spacing w:after="40"/>
              <w:rPr>
                <w:sz w:val="19"/>
              </w:rPr>
            </w:pPr>
            <w:r>
              <w:rPr>
                <w:sz w:val="19"/>
              </w:rPr>
              <w:t>9 Aug 2005</w:t>
            </w:r>
          </w:p>
        </w:tc>
      </w:tr>
      <w:tr>
        <w:tc>
          <w:tcPr>
            <w:tcW w:w="3118" w:type="dxa"/>
          </w:tcPr>
          <w:p>
            <w:pPr>
              <w:pStyle w:val="nTable"/>
              <w:spacing w:after="40"/>
              <w:rPr>
                <w:i/>
                <w:sz w:val="19"/>
              </w:rPr>
            </w:pPr>
            <w:r>
              <w:rPr>
                <w:i/>
                <w:sz w:val="19"/>
              </w:rPr>
              <w:t>State Administrative Tribunal Amendment Regulations (No. 2) 2007</w:t>
            </w:r>
          </w:p>
        </w:tc>
        <w:tc>
          <w:tcPr>
            <w:tcW w:w="1276" w:type="dxa"/>
          </w:tcPr>
          <w:p>
            <w:pPr>
              <w:pStyle w:val="nTable"/>
              <w:spacing w:after="40"/>
              <w:rPr>
                <w:sz w:val="19"/>
              </w:rPr>
            </w:pPr>
            <w:r>
              <w:rPr>
                <w:sz w:val="19"/>
              </w:rPr>
              <w:t>26 Jun 2007 p. 2979</w:t>
            </w:r>
            <w:r>
              <w:rPr>
                <w:sz w:val="19"/>
              </w:rPr>
              <w:noBreakHyphen/>
              <w:t>96</w:t>
            </w:r>
          </w:p>
        </w:tc>
        <w:tc>
          <w:tcPr>
            <w:tcW w:w="2693" w:type="dxa"/>
          </w:tcPr>
          <w:p>
            <w:pPr>
              <w:pStyle w:val="nTable"/>
              <w:spacing w:after="40"/>
              <w:rPr>
                <w:sz w:val="19"/>
              </w:rPr>
            </w:pPr>
            <w:r>
              <w:rPr>
                <w:snapToGrid w:val="0"/>
                <w:sz w:val="19"/>
              </w:rPr>
              <w:t>r. 1 and 2: 26 Jun 2007 (see r. 2(a));</w:t>
            </w:r>
            <w:r>
              <w:rPr>
                <w:snapToGrid w:val="0"/>
                <w:sz w:val="19"/>
              </w:rPr>
              <w:br/>
              <w:t>Regulations other than r. 1 and 2: 1 Jul 2007 (see r. 2(b))</w:t>
            </w:r>
          </w:p>
        </w:tc>
      </w:tr>
      <w:tr>
        <w:tc>
          <w:tcPr>
            <w:tcW w:w="3118" w:type="dxa"/>
          </w:tcPr>
          <w:p>
            <w:pPr>
              <w:pStyle w:val="nTable"/>
              <w:spacing w:after="40"/>
              <w:rPr>
                <w:i/>
                <w:sz w:val="19"/>
              </w:rPr>
            </w:pPr>
            <w:r>
              <w:rPr>
                <w:i/>
                <w:sz w:val="19"/>
              </w:rPr>
              <w:t>State Administrative Tribunal Amendment Regulations 2007</w:t>
            </w:r>
          </w:p>
        </w:tc>
        <w:tc>
          <w:tcPr>
            <w:tcW w:w="1276" w:type="dxa"/>
          </w:tcPr>
          <w:p>
            <w:pPr>
              <w:pStyle w:val="nTable"/>
              <w:spacing w:after="40"/>
              <w:rPr>
                <w:sz w:val="19"/>
              </w:rPr>
            </w:pPr>
            <w:r>
              <w:rPr>
                <w:sz w:val="19"/>
              </w:rPr>
              <w:t>31 Jul 2007 p. 3804</w:t>
            </w:r>
            <w:r>
              <w:rPr>
                <w:sz w:val="19"/>
              </w:rPr>
              <w:noBreakHyphen/>
              <w:t>5</w:t>
            </w:r>
          </w:p>
        </w:tc>
        <w:tc>
          <w:tcPr>
            <w:tcW w:w="2693" w:type="dxa"/>
          </w:tcPr>
          <w:p>
            <w:pPr>
              <w:pStyle w:val="nTable"/>
              <w:spacing w:after="40"/>
              <w:rPr>
                <w:snapToGrid w:val="0"/>
                <w:sz w:val="19"/>
              </w:rPr>
            </w:pPr>
            <w:r>
              <w:rPr>
                <w:snapToGrid w:val="0"/>
                <w:sz w:val="19"/>
              </w:rPr>
              <w:t>r. 1 and 2: 31 Jul 2007 (see r. 2(a));</w:t>
            </w:r>
            <w:r>
              <w:rPr>
                <w:snapToGrid w:val="0"/>
                <w:sz w:val="19"/>
              </w:rPr>
              <w:br/>
              <w:t>Regulations other than r. 1 and 2: 1 Aug 2007 (see r. 2(b))</w:t>
            </w:r>
          </w:p>
        </w:tc>
      </w:tr>
      <w:tr>
        <w:trPr>
          <w:cantSplit/>
        </w:trPr>
        <w:tc>
          <w:tcPr>
            <w:tcW w:w="7087" w:type="dxa"/>
            <w:gridSpan w:val="3"/>
          </w:tcPr>
          <w:p>
            <w:pPr>
              <w:pStyle w:val="nTable"/>
              <w:spacing w:after="40"/>
              <w:rPr>
                <w:snapToGrid w:val="0"/>
                <w:sz w:val="19"/>
              </w:rPr>
            </w:pPr>
            <w:r>
              <w:rPr>
                <w:b/>
                <w:bCs/>
                <w:snapToGrid w:val="0"/>
                <w:sz w:val="19"/>
              </w:rPr>
              <w:t xml:space="preserve">Reprint 1: The </w:t>
            </w:r>
            <w:r>
              <w:rPr>
                <w:b/>
                <w:bCs/>
                <w:i/>
                <w:sz w:val="19"/>
              </w:rPr>
              <w:t>State Administrative Tribunal Regulations 2004</w:t>
            </w:r>
            <w:r>
              <w:rPr>
                <w:b/>
                <w:bCs/>
                <w:snapToGrid w:val="0"/>
                <w:sz w:val="19"/>
              </w:rPr>
              <w:t xml:space="preserve"> as at 16 Nov 2007</w:t>
            </w:r>
            <w:r>
              <w:rPr>
                <w:snapToGrid w:val="0"/>
                <w:sz w:val="19"/>
              </w:rPr>
              <w:t xml:space="preserve"> (includes amendments listed above)</w:t>
            </w:r>
          </w:p>
        </w:tc>
      </w:tr>
      <w:tr>
        <w:tc>
          <w:tcPr>
            <w:tcW w:w="3118" w:type="dxa"/>
          </w:tcPr>
          <w:p>
            <w:pPr>
              <w:pStyle w:val="nTable"/>
              <w:spacing w:after="40"/>
              <w:rPr>
                <w:iCs/>
                <w:sz w:val="19"/>
              </w:rPr>
            </w:pPr>
            <w:r>
              <w:rPr>
                <w:i/>
                <w:sz w:val="19"/>
              </w:rPr>
              <w:t>State Administrative Tribunal Amendment (Road Traffic) Regulations 2008</w:t>
            </w:r>
            <w:r>
              <w:rPr>
                <w:iCs/>
                <w:sz w:val="19"/>
              </w:rPr>
              <w:t xml:space="preserve"> </w:t>
            </w:r>
          </w:p>
        </w:tc>
        <w:tc>
          <w:tcPr>
            <w:tcW w:w="1276" w:type="dxa"/>
          </w:tcPr>
          <w:p>
            <w:pPr>
              <w:pStyle w:val="nTable"/>
              <w:spacing w:after="40"/>
              <w:rPr>
                <w:sz w:val="19"/>
              </w:rPr>
            </w:pPr>
            <w:r>
              <w:rPr>
                <w:sz w:val="19"/>
              </w:rPr>
              <w:t>13 Jun 2008 p. 2522</w:t>
            </w:r>
            <w:r>
              <w:rPr>
                <w:sz w:val="19"/>
              </w:rPr>
              <w:noBreakHyphen/>
              <w:t>3</w:t>
            </w:r>
          </w:p>
        </w:tc>
        <w:tc>
          <w:tcPr>
            <w:tcW w:w="2693" w:type="dxa"/>
          </w:tcPr>
          <w:p>
            <w:pPr>
              <w:pStyle w:val="nTable"/>
              <w:spacing w:after="40"/>
              <w:rPr>
                <w:sz w:val="19"/>
              </w:rPr>
            </w:pPr>
            <w:r>
              <w:rPr>
                <w:snapToGrid w:val="0"/>
                <w:sz w:val="19"/>
              </w:rPr>
              <w:t>r. 1 and 2: 13 Jun 2008 (see r. 2(a));</w:t>
            </w:r>
            <w:r>
              <w:rPr>
                <w:snapToGrid w:val="0"/>
                <w:sz w:val="19"/>
              </w:rPr>
              <w:br/>
              <w:t xml:space="preserve">Regulations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State Administrative Tribunal Amendment Regulations 2008</w:t>
            </w:r>
          </w:p>
        </w:tc>
        <w:tc>
          <w:tcPr>
            <w:tcW w:w="1276" w:type="dxa"/>
          </w:tcPr>
          <w:p>
            <w:pPr>
              <w:pStyle w:val="nTable"/>
              <w:spacing w:after="40"/>
              <w:rPr>
                <w:sz w:val="19"/>
              </w:rPr>
            </w:pPr>
            <w:r>
              <w:rPr>
                <w:sz w:val="19"/>
              </w:rPr>
              <w:t>27 Jun 2008 p. 3064</w:t>
            </w:r>
            <w:r>
              <w:rPr>
                <w:sz w:val="19"/>
              </w:rPr>
              <w:noBreakHyphen/>
              <w:t>7</w:t>
            </w:r>
          </w:p>
        </w:tc>
        <w:tc>
          <w:tcPr>
            <w:tcW w:w="2693" w:type="dxa"/>
          </w:tcPr>
          <w:p>
            <w:pPr>
              <w:pStyle w:val="nTable"/>
              <w:spacing w:after="40"/>
              <w:rPr>
                <w:snapToGrid w:val="0"/>
                <w:sz w:val="19"/>
              </w:rPr>
            </w:pPr>
            <w:r>
              <w:rPr>
                <w:snapToGrid w:val="0"/>
                <w:sz w:val="19"/>
              </w:rPr>
              <w:t xml:space="preserve">r. 1 and 2: </w:t>
            </w:r>
            <w:r>
              <w:rPr>
                <w:sz w:val="19"/>
              </w:rPr>
              <w:t>27 Jun 2008</w:t>
            </w:r>
            <w:r>
              <w:rPr>
                <w:snapToGrid w:val="0"/>
                <w:sz w:val="19"/>
              </w:rPr>
              <w:t xml:space="preserve"> (see r. 2(a));</w:t>
            </w:r>
            <w:r>
              <w:rPr>
                <w:snapToGrid w:val="0"/>
                <w:sz w:val="19"/>
              </w:rPr>
              <w:br/>
              <w:t>Regulations other than r. 1 and 2: 1 Jul 2008 (see r. 2(b))</w:t>
            </w:r>
          </w:p>
        </w:tc>
      </w:tr>
      <w:tr>
        <w:tc>
          <w:tcPr>
            <w:tcW w:w="3118" w:type="dxa"/>
          </w:tcPr>
          <w:p>
            <w:pPr>
              <w:pStyle w:val="nTable"/>
              <w:spacing w:after="40"/>
              <w:rPr>
                <w:i/>
                <w:sz w:val="19"/>
              </w:rPr>
            </w:pPr>
            <w:r>
              <w:rPr>
                <w:i/>
                <w:sz w:val="19"/>
              </w:rPr>
              <w:t>State Administrative Tribunal Amendment Regulations 2009</w:t>
            </w:r>
          </w:p>
        </w:tc>
        <w:tc>
          <w:tcPr>
            <w:tcW w:w="1276" w:type="dxa"/>
          </w:tcPr>
          <w:p>
            <w:pPr>
              <w:pStyle w:val="nTable"/>
              <w:spacing w:after="40"/>
              <w:rPr>
                <w:sz w:val="19"/>
              </w:rPr>
            </w:pPr>
            <w:r>
              <w:rPr>
                <w:sz w:val="19"/>
              </w:rPr>
              <w:t>4 Sep 2009 p. 3479</w:t>
            </w:r>
            <w:r>
              <w:rPr>
                <w:sz w:val="19"/>
              </w:rPr>
              <w:noBreakHyphen/>
              <w:t>83</w:t>
            </w:r>
          </w:p>
        </w:tc>
        <w:tc>
          <w:tcPr>
            <w:tcW w:w="2693" w:type="dxa"/>
          </w:tcPr>
          <w:p>
            <w:pPr>
              <w:pStyle w:val="nTable"/>
              <w:spacing w:after="40"/>
              <w:rPr>
                <w:snapToGrid w:val="0"/>
                <w:sz w:val="19"/>
              </w:rPr>
            </w:pPr>
            <w:r>
              <w:rPr>
                <w:snapToGrid w:val="0"/>
                <w:sz w:val="19"/>
              </w:rPr>
              <w:t xml:space="preserve">r. 1 and 2: </w:t>
            </w:r>
            <w:r>
              <w:rPr>
                <w:sz w:val="19"/>
              </w:rPr>
              <w:t>4 Sep 2009</w:t>
            </w:r>
            <w:r>
              <w:rPr>
                <w:snapToGrid w:val="0"/>
                <w:sz w:val="19"/>
              </w:rPr>
              <w:t xml:space="preserve"> (see r. 2(a));</w:t>
            </w:r>
            <w:r>
              <w:rPr>
                <w:snapToGrid w:val="0"/>
                <w:sz w:val="19"/>
              </w:rPr>
              <w:br/>
              <w:t>Regulations other than r. 1 and 2: 5 Sep 2009 (see r. 2(b))</w:t>
            </w:r>
          </w:p>
        </w:tc>
      </w:tr>
      <w:tr>
        <w:trPr>
          <w:cantSplit/>
        </w:trPr>
        <w:tc>
          <w:tcPr>
            <w:tcW w:w="4394" w:type="dxa"/>
            <w:gridSpan w:val="2"/>
          </w:tcPr>
          <w:p>
            <w:pPr>
              <w:pStyle w:val="nTable"/>
              <w:spacing w:after="40"/>
              <w:rPr>
                <w:sz w:val="19"/>
              </w:rPr>
            </w:pPr>
            <w:r>
              <w:rPr>
                <w:i/>
                <w:iCs/>
                <w:sz w:val="19"/>
              </w:rPr>
              <w:t>Statutes (Repeals and Minor Amendments) Act 2009</w:t>
            </w:r>
            <w:r>
              <w:rPr>
                <w:sz w:val="19"/>
              </w:rPr>
              <w:t xml:space="preserve"> s. 10 assented to 3 Dec 2009</w:t>
            </w:r>
          </w:p>
        </w:tc>
        <w:tc>
          <w:tcPr>
            <w:tcW w:w="2693" w:type="dxa"/>
          </w:tcPr>
          <w:p>
            <w:pPr>
              <w:pStyle w:val="nTable"/>
              <w:spacing w:after="40"/>
              <w:rPr>
                <w:snapToGrid w:val="0"/>
                <w:sz w:val="19"/>
              </w:rPr>
            </w:pPr>
            <w:r>
              <w:rPr>
                <w:snapToGrid w:val="0"/>
                <w:sz w:val="19"/>
              </w:rPr>
              <w:t>4 Dec 2009 (see s. 2(b))</w:t>
            </w:r>
          </w:p>
        </w:tc>
      </w:tr>
      <w:tr>
        <w:trPr>
          <w:cantSplit/>
        </w:trPr>
        <w:tc>
          <w:tcPr>
            <w:tcW w:w="7087" w:type="dxa"/>
            <w:gridSpan w:val="3"/>
          </w:tcPr>
          <w:p>
            <w:pPr>
              <w:pStyle w:val="nTable"/>
              <w:spacing w:after="40"/>
              <w:rPr>
                <w:snapToGrid w:val="0"/>
                <w:sz w:val="19"/>
              </w:rPr>
            </w:pPr>
            <w:r>
              <w:rPr>
                <w:b/>
                <w:bCs/>
                <w:snapToGrid w:val="0"/>
                <w:sz w:val="19"/>
              </w:rPr>
              <w:t xml:space="preserve">Reprint 2: The </w:t>
            </w:r>
            <w:r>
              <w:rPr>
                <w:b/>
                <w:bCs/>
                <w:i/>
                <w:sz w:val="19"/>
              </w:rPr>
              <w:t>State Administrative Tribunal Regulations 2004</w:t>
            </w:r>
            <w:r>
              <w:rPr>
                <w:b/>
                <w:bCs/>
                <w:snapToGrid w:val="0"/>
                <w:sz w:val="19"/>
              </w:rPr>
              <w:t xml:space="preserve"> as at 19 Feb 2010</w:t>
            </w:r>
            <w:r>
              <w:rPr>
                <w:snapToGrid w:val="0"/>
                <w:sz w:val="19"/>
              </w:rPr>
              <w:t xml:space="preserve"> (includes amendments listed above)</w:t>
            </w:r>
          </w:p>
        </w:tc>
      </w:tr>
      <w:tr>
        <w:trPr>
          <w:cantSplit/>
        </w:trPr>
        <w:tc>
          <w:tcPr>
            <w:tcW w:w="4394" w:type="dxa"/>
            <w:gridSpan w:val="2"/>
          </w:tcPr>
          <w:p>
            <w:pPr>
              <w:pStyle w:val="nTable"/>
              <w:spacing w:after="40"/>
              <w:rPr>
                <w:rFonts w:ascii="Times" w:hAnsi="Times"/>
                <w:snapToGrid w:val="0"/>
                <w:sz w:val="19"/>
              </w:rPr>
            </w:pPr>
            <w:r>
              <w:rPr>
                <w:rFonts w:ascii="Times" w:hAnsi="Times"/>
                <w:i/>
                <w:snapToGrid w:val="0"/>
                <w:sz w:val="19"/>
              </w:rPr>
              <w:t>Standardisation of Formatting Act 2010</w:t>
            </w:r>
            <w:r>
              <w:rPr>
                <w:rFonts w:ascii="Times" w:hAnsi="Times"/>
                <w:iCs/>
                <w:snapToGrid w:val="0"/>
                <w:sz w:val="19"/>
              </w:rPr>
              <w:t xml:space="preserve"> s. 51 assented to </w:t>
            </w:r>
            <w:r>
              <w:rPr>
                <w:rFonts w:ascii="Times" w:hAnsi="Times"/>
                <w:snapToGrid w:val="0"/>
                <w:sz w:val="19"/>
              </w:rPr>
              <w:t>28 Jun 2010</w:t>
            </w:r>
          </w:p>
        </w:tc>
        <w:tc>
          <w:tcPr>
            <w:tcW w:w="2693" w:type="dxa"/>
          </w:tcPr>
          <w:p>
            <w:pPr>
              <w:pStyle w:val="nTable"/>
              <w:spacing w:after="40"/>
              <w:rPr>
                <w:rFonts w:ascii="Times" w:hAnsi="Times"/>
                <w:snapToGrid w:val="0"/>
                <w:sz w:val="19"/>
              </w:rPr>
            </w:pPr>
            <w:r>
              <w:rPr>
                <w:rFonts w:ascii="Times" w:hAnsi="Times"/>
                <w:snapToGrid w:val="0"/>
                <w:sz w:val="19"/>
              </w:rPr>
              <w:t xml:space="preserve">11 Sep 2010 (see s. 2(b) and </w:t>
            </w:r>
            <w:r>
              <w:rPr>
                <w:rFonts w:ascii="Times" w:hAnsi="Times"/>
                <w:i/>
                <w:iCs/>
                <w:snapToGrid w:val="0"/>
                <w:sz w:val="19"/>
              </w:rPr>
              <w:t>Gazette</w:t>
            </w:r>
            <w:r>
              <w:rPr>
                <w:rFonts w:ascii="Times" w:hAnsi="Times"/>
                <w:snapToGrid w:val="0"/>
                <w:sz w:val="19"/>
              </w:rPr>
              <w:t xml:space="preserve"> 10 Sep 2010 p. 4341)</w:t>
            </w:r>
          </w:p>
        </w:tc>
      </w:tr>
      <w:tr>
        <w:tc>
          <w:tcPr>
            <w:tcW w:w="3118" w:type="dxa"/>
          </w:tcPr>
          <w:p>
            <w:pPr>
              <w:pStyle w:val="nTable"/>
              <w:spacing w:after="40"/>
              <w:rPr>
                <w:rFonts w:ascii="Times" w:hAnsi="Times"/>
                <w:i/>
                <w:sz w:val="19"/>
              </w:rPr>
            </w:pPr>
            <w:r>
              <w:rPr>
                <w:rFonts w:ascii="Times" w:hAnsi="Times"/>
                <w:i/>
                <w:sz w:val="19"/>
              </w:rPr>
              <w:t>State Administrative Tribunal Amendment Regulations 2011</w:t>
            </w:r>
          </w:p>
        </w:tc>
        <w:tc>
          <w:tcPr>
            <w:tcW w:w="1276" w:type="dxa"/>
          </w:tcPr>
          <w:p>
            <w:pPr>
              <w:pStyle w:val="nTable"/>
              <w:spacing w:after="40"/>
              <w:rPr>
                <w:rFonts w:ascii="Times" w:hAnsi="Times"/>
                <w:sz w:val="19"/>
              </w:rPr>
            </w:pPr>
            <w:r>
              <w:rPr>
                <w:rFonts w:ascii="Times" w:hAnsi="Times"/>
                <w:sz w:val="19"/>
              </w:rPr>
              <w:t>8 Mar 2011 p. 792</w:t>
            </w:r>
            <w:r>
              <w:rPr>
                <w:rFonts w:ascii="Times" w:hAnsi="Times"/>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r. 1 and 2: 8 Mar 2011 (see r. 2(a));</w:t>
            </w:r>
            <w:r>
              <w:rPr>
                <w:rFonts w:ascii="Times" w:hAnsi="Times"/>
                <w:snapToGrid w:val="0"/>
                <w:sz w:val="19"/>
              </w:rPr>
              <w:br/>
              <w:t>Regulations other than r. 1 and 2: 9 Mar 2011 (see r. 2(b))</w:t>
            </w:r>
          </w:p>
        </w:tc>
      </w:tr>
      <w:tr>
        <w:tc>
          <w:tcPr>
            <w:tcW w:w="3118" w:type="dxa"/>
          </w:tcPr>
          <w:p>
            <w:pPr>
              <w:pStyle w:val="nTable"/>
              <w:spacing w:after="40"/>
              <w:rPr>
                <w:rFonts w:ascii="Times" w:hAnsi="Times"/>
                <w:i/>
                <w:sz w:val="19"/>
              </w:rPr>
            </w:pPr>
            <w:r>
              <w:rPr>
                <w:rFonts w:ascii="Times" w:hAnsi="Times"/>
                <w:i/>
                <w:sz w:val="19"/>
              </w:rPr>
              <w:t>State Administrative Tribunal Amendment Regulations (No. 4) 2011</w:t>
            </w:r>
          </w:p>
        </w:tc>
        <w:tc>
          <w:tcPr>
            <w:tcW w:w="1276" w:type="dxa"/>
          </w:tcPr>
          <w:p>
            <w:pPr>
              <w:pStyle w:val="nTable"/>
              <w:spacing w:after="40"/>
              <w:rPr>
                <w:rFonts w:ascii="Times" w:hAnsi="Times"/>
                <w:sz w:val="19"/>
              </w:rPr>
            </w:pPr>
            <w:r>
              <w:rPr>
                <w:rFonts w:ascii="Times" w:hAnsi="Times"/>
                <w:sz w:val="19"/>
              </w:rPr>
              <w:t>22 Jul 2011 p. 3017</w:t>
            </w:r>
            <w:r>
              <w:rPr>
                <w:rFonts w:ascii="Times" w:hAnsi="Times"/>
                <w:sz w:val="19"/>
              </w:rPr>
              <w:noBreakHyphen/>
              <w:t>18</w:t>
            </w:r>
          </w:p>
        </w:tc>
        <w:tc>
          <w:tcPr>
            <w:tcW w:w="2693" w:type="dxa"/>
          </w:tcPr>
          <w:p>
            <w:pPr>
              <w:pStyle w:val="nTable"/>
              <w:spacing w:after="40"/>
              <w:rPr>
                <w:rFonts w:ascii="Times" w:hAnsi="Times"/>
                <w:snapToGrid w:val="0"/>
                <w:sz w:val="19"/>
              </w:rPr>
            </w:pPr>
            <w:r>
              <w:rPr>
                <w:rFonts w:ascii="Times" w:hAnsi="Times"/>
                <w:snapToGrid w:val="0"/>
                <w:sz w:val="19"/>
              </w:rPr>
              <w:t>r. 1 and 2: 22 Jul 2011 (see r. 2(a));</w:t>
            </w:r>
            <w:r>
              <w:rPr>
                <w:rFonts w:ascii="Times" w:hAnsi="Times"/>
                <w:snapToGrid w:val="0"/>
                <w:sz w:val="19"/>
              </w:rPr>
              <w:br/>
              <w:t>Regulations other than r. 1 and 2: 23 Jul 2011 (see r. 2(b))</w:t>
            </w:r>
          </w:p>
        </w:tc>
      </w:tr>
      <w:tr>
        <w:tc>
          <w:tcPr>
            <w:tcW w:w="3118" w:type="dxa"/>
          </w:tcPr>
          <w:p>
            <w:pPr>
              <w:pStyle w:val="nTable"/>
              <w:spacing w:after="40"/>
              <w:rPr>
                <w:rFonts w:ascii="Times" w:hAnsi="Times"/>
                <w:i/>
                <w:sz w:val="19"/>
              </w:rPr>
            </w:pPr>
            <w:r>
              <w:rPr>
                <w:rFonts w:ascii="Times" w:hAnsi="Times"/>
                <w:i/>
                <w:sz w:val="19"/>
              </w:rPr>
              <w:t>State Administrative Tribunal Amendment Regulations (No. 5) 2011</w:t>
            </w:r>
          </w:p>
        </w:tc>
        <w:tc>
          <w:tcPr>
            <w:tcW w:w="1276" w:type="dxa"/>
          </w:tcPr>
          <w:p>
            <w:pPr>
              <w:pStyle w:val="nTable"/>
              <w:spacing w:after="40"/>
              <w:rPr>
                <w:rFonts w:ascii="Times" w:hAnsi="Times"/>
                <w:sz w:val="19"/>
              </w:rPr>
            </w:pPr>
            <w:r>
              <w:rPr>
                <w:rFonts w:ascii="Times" w:hAnsi="Times"/>
                <w:sz w:val="19"/>
              </w:rPr>
              <w:t>20 Dec 2011 p. 5383-7</w:t>
            </w:r>
          </w:p>
        </w:tc>
        <w:tc>
          <w:tcPr>
            <w:tcW w:w="2693" w:type="dxa"/>
          </w:tcPr>
          <w:p>
            <w:pPr>
              <w:pStyle w:val="nTable"/>
              <w:spacing w:after="40"/>
              <w:rPr>
                <w:rFonts w:ascii="Times" w:hAnsi="Times"/>
                <w:snapToGrid w:val="0"/>
                <w:sz w:val="19"/>
              </w:rPr>
            </w:pPr>
            <w:r>
              <w:rPr>
                <w:rFonts w:ascii="Times" w:hAnsi="Times"/>
                <w:snapToGrid w:val="0"/>
                <w:sz w:val="19"/>
              </w:rPr>
              <w:t>r. 1 and 2: 20 Dec 2011 (see r. 2(a));</w:t>
            </w:r>
            <w:r>
              <w:rPr>
                <w:rFonts w:ascii="Times" w:hAnsi="Times"/>
                <w:snapToGrid w:val="0"/>
                <w:sz w:val="19"/>
              </w:rPr>
              <w:br/>
              <w:t>Regulations other than r. 1 and 2: 21 Dec 2011 (see r. 2(b))</w:t>
            </w:r>
          </w:p>
        </w:tc>
      </w:tr>
      <w:tr>
        <w:tc>
          <w:tcPr>
            <w:tcW w:w="3118" w:type="dxa"/>
          </w:tcPr>
          <w:p>
            <w:pPr>
              <w:pStyle w:val="nTable"/>
              <w:spacing w:after="40"/>
              <w:rPr>
                <w:rFonts w:ascii="Times" w:hAnsi="Times"/>
                <w:i/>
                <w:sz w:val="19"/>
              </w:rPr>
            </w:pPr>
            <w:r>
              <w:rPr>
                <w:rFonts w:ascii="Times" w:hAnsi="Times"/>
                <w:i/>
                <w:sz w:val="19"/>
              </w:rPr>
              <w:t>State Administrative Tribunal Amendment Regulations (No. 3) 2012</w:t>
            </w:r>
          </w:p>
        </w:tc>
        <w:tc>
          <w:tcPr>
            <w:tcW w:w="1276" w:type="dxa"/>
          </w:tcPr>
          <w:p>
            <w:pPr>
              <w:pStyle w:val="nTable"/>
              <w:spacing w:after="40"/>
              <w:rPr>
                <w:rFonts w:ascii="Times" w:hAnsi="Times"/>
                <w:sz w:val="19"/>
              </w:rPr>
            </w:pPr>
            <w:r>
              <w:rPr>
                <w:rFonts w:ascii="Times" w:hAnsi="Times"/>
                <w:sz w:val="19"/>
              </w:rPr>
              <w:t>30 Nov 2012 p. 5795-7</w:t>
            </w:r>
          </w:p>
        </w:tc>
        <w:tc>
          <w:tcPr>
            <w:tcW w:w="2693" w:type="dxa"/>
          </w:tcPr>
          <w:p>
            <w:pPr>
              <w:pStyle w:val="nTable"/>
              <w:spacing w:after="40"/>
              <w:rPr>
                <w:rFonts w:ascii="Times" w:hAnsi="Times"/>
                <w:snapToGrid w:val="0"/>
                <w:sz w:val="19"/>
              </w:rPr>
            </w:pPr>
            <w:r>
              <w:rPr>
                <w:rFonts w:ascii="Times" w:hAnsi="Times"/>
                <w:snapToGrid w:val="0"/>
                <w:sz w:val="19"/>
              </w:rPr>
              <w:t>r. 1 and 2: 30 Nov 2012 (see r. 2(a));</w:t>
            </w:r>
            <w:r>
              <w:rPr>
                <w:rFonts w:ascii="Times" w:hAnsi="Times"/>
                <w:snapToGrid w:val="0"/>
                <w:sz w:val="19"/>
              </w:rPr>
              <w:br/>
              <w:t>Regulations other than r. 1 and 2: 1 Dec 2012 (see r. 2(b))</w:t>
            </w:r>
          </w:p>
        </w:tc>
      </w:tr>
      <w:tr>
        <w:tc>
          <w:tcPr>
            <w:tcW w:w="3118" w:type="dxa"/>
          </w:tcPr>
          <w:p>
            <w:pPr>
              <w:pStyle w:val="nTable"/>
              <w:spacing w:after="40"/>
              <w:rPr>
                <w:rFonts w:ascii="Times" w:hAnsi="Times"/>
                <w:i/>
                <w:sz w:val="19"/>
              </w:rPr>
            </w:pPr>
            <w:r>
              <w:rPr>
                <w:rFonts w:ascii="Times" w:hAnsi="Times"/>
                <w:i/>
                <w:sz w:val="19"/>
              </w:rPr>
              <w:t>State Administrative Tribunal Amendment Regulations (No. 4) 2012</w:t>
            </w:r>
          </w:p>
        </w:tc>
        <w:tc>
          <w:tcPr>
            <w:tcW w:w="1276" w:type="dxa"/>
          </w:tcPr>
          <w:p>
            <w:pPr>
              <w:pStyle w:val="nTable"/>
              <w:spacing w:after="40"/>
              <w:rPr>
                <w:rFonts w:ascii="Times" w:hAnsi="Times"/>
                <w:sz w:val="19"/>
              </w:rPr>
            </w:pPr>
            <w:r>
              <w:rPr>
                <w:rFonts w:ascii="Times" w:hAnsi="Times"/>
                <w:sz w:val="19"/>
              </w:rPr>
              <w:t>7 Dec 2012 p. 5994</w:t>
            </w:r>
          </w:p>
        </w:tc>
        <w:tc>
          <w:tcPr>
            <w:tcW w:w="2693" w:type="dxa"/>
          </w:tcPr>
          <w:p>
            <w:pPr>
              <w:pStyle w:val="nTable"/>
              <w:spacing w:after="40"/>
              <w:rPr>
                <w:rFonts w:ascii="Times" w:hAnsi="Times"/>
                <w:snapToGrid w:val="0"/>
                <w:sz w:val="19"/>
              </w:rPr>
            </w:pPr>
            <w:r>
              <w:rPr>
                <w:rFonts w:ascii="Times" w:hAnsi="Times"/>
                <w:snapToGrid w:val="0"/>
                <w:sz w:val="19"/>
              </w:rPr>
              <w:t>r. 1 and 2: 7 Dec 2012 (see r. 2(a));</w:t>
            </w:r>
            <w:r>
              <w:rPr>
                <w:rFonts w:ascii="Times" w:hAnsi="Times"/>
                <w:snapToGrid w:val="0"/>
                <w:sz w:val="19"/>
              </w:rPr>
              <w:br/>
              <w:t xml:space="preserve">Regulations other than r. 1 and 2: 7 Dec 2012 (see r. 2(b) and </w:t>
            </w:r>
            <w:r>
              <w:rPr>
                <w:rFonts w:ascii="Times" w:hAnsi="Times"/>
                <w:i/>
                <w:snapToGrid w:val="0"/>
                <w:sz w:val="19"/>
              </w:rPr>
              <w:t>Gazette</w:t>
            </w:r>
            <w:r>
              <w:rPr>
                <w:rFonts w:ascii="Times" w:hAnsi="Times"/>
                <w:snapToGrid w:val="0"/>
                <w:sz w:val="19"/>
              </w:rPr>
              <w:t xml:space="preserve"> 16 Nov 2012 p. 5637)</w:t>
            </w:r>
          </w:p>
        </w:tc>
      </w:tr>
      <w:tr>
        <w:tc>
          <w:tcPr>
            <w:tcW w:w="3118" w:type="dxa"/>
            <w:shd w:val="clear" w:color="auto" w:fill="auto"/>
          </w:tcPr>
          <w:p>
            <w:pPr>
              <w:pStyle w:val="nTable"/>
              <w:spacing w:after="40"/>
              <w:rPr>
                <w:rFonts w:ascii="Times" w:hAnsi="Times"/>
                <w:i/>
                <w:sz w:val="19"/>
              </w:rPr>
            </w:pPr>
            <w:r>
              <w:rPr>
                <w:rFonts w:ascii="Times" w:hAnsi="Times"/>
                <w:i/>
                <w:sz w:val="19"/>
              </w:rPr>
              <w:t>State Administrative Tribunal Amendment Regulations 2013</w:t>
            </w:r>
          </w:p>
        </w:tc>
        <w:tc>
          <w:tcPr>
            <w:tcW w:w="1276" w:type="dxa"/>
            <w:shd w:val="clear" w:color="auto" w:fill="auto"/>
          </w:tcPr>
          <w:p>
            <w:pPr>
              <w:pStyle w:val="nTable"/>
              <w:spacing w:after="40"/>
              <w:rPr>
                <w:rFonts w:ascii="Times" w:hAnsi="Times"/>
                <w:sz w:val="19"/>
              </w:rPr>
            </w:pPr>
            <w:r>
              <w:rPr>
                <w:rFonts w:ascii="Times" w:hAnsi="Times"/>
                <w:sz w:val="19"/>
              </w:rPr>
              <w:t>6 Aug 2013 p. 3649</w:t>
            </w:r>
            <w:r>
              <w:rPr>
                <w:rFonts w:ascii="Times" w:hAnsi="Times"/>
                <w:sz w:val="19"/>
              </w:rPr>
              <w:noBreakHyphen/>
              <w:t>56</w:t>
            </w:r>
          </w:p>
        </w:tc>
        <w:tc>
          <w:tcPr>
            <w:tcW w:w="2693" w:type="dxa"/>
            <w:shd w:val="clear" w:color="auto" w:fill="auto"/>
          </w:tcPr>
          <w:p>
            <w:pPr>
              <w:pStyle w:val="nTable"/>
              <w:spacing w:after="40"/>
              <w:rPr>
                <w:rFonts w:ascii="Times" w:hAnsi="Times"/>
                <w:snapToGrid w:val="0"/>
                <w:sz w:val="19"/>
              </w:rPr>
            </w:pPr>
            <w:r>
              <w:rPr>
                <w:rFonts w:ascii="Times" w:hAnsi="Times"/>
                <w:snapToGrid w:val="0"/>
                <w:spacing w:val="-2"/>
                <w:sz w:val="19"/>
                <w:szCs w:val="19"/>
              </w:rPr>
              <w:t>r. 1 and 2: 6 Aug 2013 (see r. 2(a));</w:t>
            </w:r>
            <w:r>
              <w:rPr>
                <w:rFonts w:ascii="Times" w:hAnsi="Times"/>
                <w:snapToGrid w:val="0"/>
                <w:spacing w:val="-2"/>
                <w:sz w:val="19"/>
                <w:szCs w:val="19"/>
              </w:rPr>
              <w:br/>
              <w:t>Regulations other than r. 1 and 2: 7 Aug 2013 (see r. 2(b))</w:t>
            </w:r>
          </w:p>
        </w:tc>
      </w:tr>
      <w:tr>
        <w:tc>
          <w:tcPr>
            <w:tcW w:w="7087" w:type="dxa"/>
            <w:gridSpan w:val="3"/>
            <w:tcBorders>
              <w:bottom w:val="single" w:sz="8" w:space="0" w:color="auto"/>
            </w:tcBorders>
            <w:shd w:val="clear" w:color="auto" w:fill="auto"/>
          </w:tcPr>
          <w:p>
            <w:pPr>
              <w:pStyle w:val="nTable"/>
              <w:spacing w:after="40"/>
              <w:rPr>
                <w:rFonts w:ascii="Times" w:hAnsi="Times"/>
                <w:snapToGrid w:val="0"/>
                <w:spacing w:val="-2"/>
                <w:sz w:val="19"/>
                <w:szCs w:val="19"/>
              </w:rPr>
            </w:pPr>
            <w:r>
              <w:rPr>
                <w:b/>
                <w:bCs/>
                <w:snapToGrid w:val="0"/>
                <w:sz w:val="19"/>
              </w:rPr>
              <w:t xml:space="preserve">Reprint 3: The </w:t>
            </w:r>
            <w:r>
              <w:rPr>
                <w:b/>
                <w:bCs/>
                <w:i/>
                <w:sz w:val="19"/>
              </w:rPr>
              <w:t>State Administrative Tribunal Regulations 2004</w:t>
            </w:r>
            <w:r>
              <w:rPr>
                <w:b/>
                <w:bCs/>
                <w:snapToGrid w:val="0"/>
                <w:sz w:val="19"/>
              </w:rPr>
              <w:t xml:space="preserve"> as at 18 Oct 2013</w:t>
            </w:r>
            <w:r>
              <w:rPr>
                <w:snapToGrid w:val="0"/>
                <w:sz w:val="19"/>
              </w:rPr>
              <w:t xml:space="preserve"> (includes amendments listed above)</w:t>
            </w:r>
          </w:p>
        </w:tc>
      </w:tr>
    </w:tbl>
    <w:p>
      <w:pPr>
        <w:pStyle w:val="nSubsection"/>
      </w:pPr>
      <w:r>
        <w:rPr>
          <w:vertAlign w:val="superscript"/>
        </w:rPr>
        <w:t>2</w:t>
      </w:r>
      <w:r>
        <w:rPr>
          <w:vertAlign w:val="superscript"/>
        </w:rPr>
        <w:tab/>
      </w:r>
      <w:r>
        <w:t xml:space="preserve">Deleted by the </w:t>
      </w:r>
      <w:r>
        <w:rPr>
          <w:i/>
        </w:rPr>
        <w:t>Local Government Act 1995</w:t>
      </w:r>
      <w:r>
        <w:t xml:space="preserve"> s. 9.70.</w:t>
      </w:r>
    </w:p>
    <w:p>
      <w:pPr>
        <w:pStyle w:val="nSubsection"/>
      </w:pPr>
      <w:r>
        <w:rPr>
          <w:vertAlign w:val="superscript"/>
        </w:rPr>
        <w:t>3</w:t>
      </w:r>
      <w:r>
        <w:rPr>
          <w:vertAlign w:val="superscript"/>
        </w:rPr>
        <w:tab/>
      </w:r>
      <w:r>
        <w:t xml:space="preserve">Deleted by the </w:t>
      </w:r>
      <w:r>
        <w:rPr>
          <w:i/>
        </w:rPr>
        <w:t>State Administrative Tribunal (Conferral of Jurisdiction) Amendment and Repeal Act 2004</w:t>
      </w:r>
      <w:r>
        <w:t xml:space="preserve"> s. 683.</w:t>
      </w:r>
    </w:p>
    <w:p>
      <w:pPr>
        <w:pStyle w:val="nSubsection"/>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1125.</w:t>
      </w:r>
    </w:p>
    <w:p>
      <w:pPr>
        <w:pStyle w:val="nSubsection"/>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Subsection"/>
      </w:pPr>
      <w:r>
        <w:rPr>
          <w:vertAlign w:val="superscript"/>
        </w:rPr>
        <w:t>6</w:t>
      </w:r>
      <w:r>
        <w:rPr>
          <w:vertAlign w:val="superscript"/>
        </w:rPr>
        <w:tab/>
      </w:r>
      <w:r>
        <w:t xml:space="preserve">Deleted by the </w:t>
      </w:r>
      <w:r>
        <w:rPr>
          <w:i/>
        </w:rPr>
        <w:t>State Administrative Tribunal (Conferral of Jurisdiction) Amendment and Repeal Act 2004</w:t>
      </w:r>
      <w:r>
        <w:t xml:space="preserve"> s. 1118(4).</w:t>
      </w:r>
    </w:p>
    <w:p>
      <w:pPr>
        <w:pStyle w:val="nSubsection"/>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pPr>
        <w:pStyle w:val="nSubsection"/>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1117(7).</w:t>
      </w:r>
    </w:p>
    <w:p>
      <w:pPr>
        <w:pStyle w:val="nSubsection"/>
      </w:pPr>
      <w:r>
        <w:rPr>
          <w:vertAlign w:val="superscript"/>
        </w:rPr>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Subsection"/>
      </w:pPr>
      <w:r>
        <w:rPr>
          <w:vertAlign w:val="superscript"/>
        </w:rPr>
        <w:t>10</w:t>
      </w:r>
      <w:r>
        <w:rPr>
          <w:vertAlign w:val="superscript"/>
        </w:rPr>
        <w:tab/>
      </w:r>
      <w:r>
        <w:t xml:space="preserve">Repealed by the </w:t>
      </w:r>
      <w:r>
        <w:rPr>
          <w:i/>
        </w:rPr>
        <w:t>Fair Trading (Retirement Villages Interim Code) Regulations 2013</w:t>
      </w:r>
      <w:r>
        <w:t xml:space="preserve">. Now see the </w:t>
      </w:r>
      <w:r>
        <w:rPr>
          <w:i/>
        </w:rPr>
        <w:t xml:space="preserve">Fair Trading (Retirement Villages Interim Code) Regulations 2013 </w:t>
      </w:r>
      <w:r>
        <w:t>Sch. 1 cl. 5.8(2).</w:t>
      </w:r>
    </w:p>
    <w:p>
      <w:pPr>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36" w:name="_Toc382388922"/>
      <w:r>
        <w:rPr>
          <w:sz w:val="28"/>
        </w:rPr>
        <w:t>Defined terms</w:t>
      </w:r>
      <w:bookmarkEnd w:id="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7" w:name="DefinedTerms"/>
      <w:bookmarkEnd w:id="37"/>
      <w:r>
        <w:t>Act</w:t>
      </w:r>
      <w:r>
        <w:tab/>
        <w:t>3</w:t>
      </w:r>
    </w:p>
    <w:p>
      <w:pPr>
        <w:pStyle w:val="DefinedTerms"/>
      </w:pPr>
      <w:r>
        <w:t>approved form</w:t>
      </w:r>
      <w:r>
        <w:tab/>
        <w:t>3</w:t>
      </w:r>
    </w:p>
    <w:p>
      <w:pPr>
        <w:pStyle w:val="DefinedTerms"/>
      </w:pPr>
      <w:r>
        <w:t>Class 1 application</w:t>
      </w:r>
      <w:r>
        <w:tab/>
        <w:t>10(1)</w:t>
      </w:r>
    </w:p>
    <w:p>
      <w:pPr>
        <w:pStyle w:val="DefinedTerms"/>
      </w:pPr>
      <w:r>
        <w:t>Class 2 application</w:t>
      </w:r>
      <w:r>
        <w:tab/>
        <w:t>10(1)</w:t>
      </w:r>
    </w:p>
    <w:p>
      <w:pPr>
        <w:pStyle w:val="DefinedTerms"/>
      </w:pPr>
      <w:r>
        <w:t>commencement day</w:t>
      </w:r>
      <w:r>
        <w:tab/>
        <w:t>28(1), 33(1), 55(1), 61(1), 63(1)</w:t>
      </w:r>
    </w:p>
    <w:p>
      <w:pPr>
        <w:pStyle w:val="DefinedTerms"/>
      </w:pPr>
      <w:r>
        <w:t>former adjudicator</w:t>
      </w:r>
      <w:r>
        <w:tab/>
        <w:t>3</w:t>
      </w:r>
    </w:p>
    <w:p>
      <w:pPr>
        <w:pStyle w:val="DefinedTerms"/>
      </w:pPr>
      <w:r>
        <w:t>notifiable person</w:t>
      </w:r>
      <w:r>
        <w:tab/>
        <w:t>3</w:t>
      </w:r>
    </w:p>
    <w:p>
      <w:pPr>
        <w:pStyle w:val="DefinedTerms"/>
      </w:pPr>
      <w:r>
        <w:t>referee</w:t>
      </w:r>
      <w:r>
        <w:tab/>
        <w:t>63(1)</w:t>
      </w:r>
    </w:p>
    <w:p>
      <w:pPr>
        <w:pStyle w:val="DefinedTerms"/>
      </w:pPr>
      <w:r>
        <w:t>referring person</w:t>
      </w:r>
      <w:r>
        <w:tab/>
        <w:t>3</w:t>
      </w:r>
    </w:p>
    <w:p>
      <w:pPr>
        <w:pStyle w:val="DefinedTerms"/>
      </w:pPr>
      <w:r>
        <w:t>review application</w:t>
      </w:r>
      <w:r>
        <w:tab/>
        <w:t>10(1)</w:t>
      </w:r>
    </w:p>
    <w:p>
      <w:pPr>
        <w:pStyle w:val="DefinedTerms"/>
      </w:pPr>
      <w:r>
        <w:t>RWI Act</w:t>
      </w:r>
      <w:r>
        <w:tab/>
        <w:t>61(1)</w:t>
      </w:r>
    </w:p>
    <w:p>
      <w:pPr>
        <w:pStyle w:val="DefinedTerms"/>
      </w:pPr>
      <w:r>
        <w:t>ST Act</w:t>
      </w:r>
      <w:r>
        <w:tab/>
        <w:t>63(1)</w:t>
      </w:r>
    </w:p>
    <w:p>
      <w:pPr>
        <w:pStyle w:val="DefinedTerms"/>
      </w:pPr>
      <w:r>
        <w:t>time for making an application</w:t>
      </w:r>
      <w:r>
        <w:tab/>
        <w:t>28(3)</w:t>
      </w:r>
    </w:p>
    <w:p>
      <w:pPr>
        <w:pStyle w:val="DefinedTerms"/>
      </w:pPr>
      <w:r>
        <w:t>transfer day</w:t>
      </w:r>
      <w:r>
        <w:tab/>
        <w:t>42</w:t>
      </w:r>
    </w:p>
    <w:p>
      <w:pPr>
        <w:pStyle w:val="DefinedTerms"/>
      </w:pPr>
    </w:p>
    <w:p>
      <w:pPr>
        <w:rPr>
          <w:sz w:val="16"/>
          <w:szCs w:val="16"/>
        </w:rPr>
      </w:pPr>
    </w:p>
    <w:p/>
    <w:p/>
    <w:p/>
    <w:p/>
    <w:p/>
    <w:p/>
    <w:p/>
    <w:p/>
    <w:p/>
    <w:p/>
    <w:p/>
    <w:p/>
    <w:p/>
    <w:p/>
    <w:p/>
    <w:p/>
    <w:p/>
    <w:p/>
    <w:p/>
    <w:p>
      <w:pPr>
        <w:sectPr>
          <w:headerReference w:type="even" r:id="rId39"/>
          <w:headerReference w:type="default" r:id="rId40"/>
          <w:footerReference w:type="even" r:id="rId41"/>
          <w:footerReference w:type="default" r:id="rId42"/>
          <w:headerReference w:type="first" r:id="rId43"/>
          <w:footerReference w:type="first" r:id="rId44"/>
          <w:endnotePr>
            <w:numFmt w:val="decimal"/>
          </w:endnotePr>
          <w:pgSz w:w="11906" w:h="16838" w:code="9"/>
          <w:pgMar w:top="2376" w:right="2405" w:bottom="3542" w:left="2405" w:header="706"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5"/>
      <w:headerReference w:type="default" r:id="rId46"/>
      <w:headerReference w:type="first" r:id="rId4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28</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490" w:type="dxa"/>
        </w:tcPr>
        <w:p>
          <w:pPr>
            <w:pStyle w:val="HeaderNumberLeft"/>
          </w:pPr>
          <w:fldSimple w:instr=" STYLEREF CharSchNo \* MERGEFORMAT ">
            <w:r>
              <w:rPr>
                <w:noProof/>
              </w:rPr>
              <w:t>Schedule 1</w:t>
            </w:r>
          </w:fldSimple>
        </w:p>
      </w:tc>
      <w:tc>
        <w:tcPr>
          <w:tcW w:w="5773" w:type="dxa"/>
        </w:tcPr>
        <w:p>
          <w:pPr>
            <w:pStyle w:val="HeaderTextLeft"/>
            <w:rPr>
              <w:bCs/>
            </w:rPr>
          </w:pPr>
          <w:r>
            <w:rPr>
              <w:bCs/>
            </w:rPr>
            <w:fldChar w:fldCharType="begin"/>
          </w:r>
          <w:r>
            <w:rPr>
              <w:bCs/>
            </w:rPr>
            <w:instrText xml:space="preserve"> STYLEREF CharSchText </w:instrText>
          </w:r>
          <w:r>
            <w:rPr>
              <w:bCs/>
            </w:rPr>
            <w:fldChar w:fldCharType="separate"/>
          </w:r>
          <w:r>
            <w:rPr>
              <w:bCs/>
              <w:noProof/>
            </w:rPr>
            <w:t>Enabling Acts prescribed for the purposes of the definition of vocational regulatory body</w: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42" w:type="dxa"/>
        </w:tcPr>
        <w:p>
          <w:pPr>
            <w:pStyle w:val="HeaderTextRight"/>
            <w:rPr>
              <w:bCs/>
            </w:rPr>
          </w:pPr>
          <w:r>
            <w:rPr>
              <w:bCs/>
            </w:rPr>
            <w:fldChar w:fldCharType="begin"/>
          </w:r>
          <w:r>
            <w:rPr>
              <w:bCs/>
            </w:rPr>
            <w:instrText xml:space="preserve"> STYLEREF CharSchText </w:instrText>
          </w:r>
          <w:r>
            <w:rPr>
              <w:bCs/>
            </w:rPr>
            <w:fldChar w:fldCharType="separate"/>
          </w:r>
          <w:r>
            <w:rPr>
              <w:bCs/>
              <w:noProof/>
            </w:rPr>
            <w:t>Enabling Acts prescribed for the purposes of the definition of vocational regulatory body</w:t>
          </w:r>
          <w:r>
            <w:rPr>
              <w:bCs/>
            </w:rPr>
            <w:fldChar w:fldCharType="end"/>
          </w:r>
        </w:p>
      </w:tc>
      <w:tc>
        <w:tcPr>
          <w:tcW w:w="1521" w:type="dxa"/>
        </w:tcPr>
        <w:p>
          <w:pPr>
            <w:pStyle w:val="HeaderNumberRight"/>
            <w:ind w:right="17"/>
          </w:pPr>
          <w:fldSimple w:instr=" STYLEREF CharSchNo \* MERGEFORMAT ">
            <w:r>
              <w:rPr>
                <w:noProof/>
              </w:rPr>
              <w:t>Schedule 1</w:t>
            </w:r>
          </w:fldSimple>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Regulations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Regulations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E7CC33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7691362"/>
    <w:multiLevelType w:val="hybridMultilevel"/>
    <w:tmpl w:val="58B6A648"/>
    <w:lvl w:ilvl="0" w:tplc="BE2E8950">
      <w:start w:val="4"/>
      <w:numFmt w:val="decimal"/>
      <w:lvlText w:val="%1"/>
      <w:lvlJc w:val="left"/>
      <w:pPr>
        <w:tabs>
          <w:tab w:val="num" w:pos="816"/>
        </w:tabs>
        <w:ind w:left="816" w:hanging="456"/>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F9361C18"/>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27"/>
  </w:num>
  <w:num w:numId="26">
    <w:abstractNumId w:val="19"/>
  </w:num>
  <w:num w:numId="27">
    <w:abstractNumId w:val="1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113921"/>
    <w:docVar w:name="WAFER_20140312113921" w:val="RemoveTocBookmarks,RemoveUnusedBookmarks,RemoveLanguageTags,UsedStyles,ResetPageSize"/>
    <w:docVar w:name="WAFER_20140312113921_GUID" w:val="27a84538-34b6-47a4-b40d-1a13153955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footer" Target="footer11.xml"/><Relationship Id="rId47"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image" Target="media/image4.png"/><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4.xml"/><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header" Target="header19.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9CED3-3B27-4AFF-9D79-B8421B90F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6443</Words>
  <Characters>31061</Characters>
  <Application>Microsoft Office Word</Application>
  <DocSecurity>0</DocSecurity>
  <Lines>1109</Lines>
  <Paragraphs>681</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36823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2004 - 03-00-01</dc:title>
  <dc:subject/>
  <dc:creator/>
  <cp:keywords/>
  <dc:description/>
  <cp:lastModifiedBy>svcMRProcess</cp:lastModifiedBy>
  <cp:revision>4</cp:revision>
  <cp:lastPrinted>2013-10-29T01:50:00Z</cp:lastPrinted>
  <dcterms:created xsi:type="dcterms:W3CDTF">2020-04-26T00:37:00Z</dcterms:created>
  <dcterms:modified xsi:type="dcterms:W3CDTF">2020-04-26T00:37:00Z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CommencementDate">
    <vt:lpwstr>20131018</vt:lpwstr>
  </property>
  <property fmtid="{D5CDD505-2E9C-101B-9397-08002B2CF9AE}" pid="4" name="OwlsUID">
    <vt:i4>34304</vt:i4>
  </property>
  <property fmtid="{D5CDD505-2E9C-101B-9397-08002B2CF9AE}" pid="5" name="AsAtDate">
    <vt:lpwstr>18 Oct 2013</vt:lpwstr>
  </property>
  <property fmtid="{D5CDD505-2E9C-101B-9397-08002B2CF9AE}" pid="6" name="Suffix">
    <vt:lpwstr>03-00-01</vt:lpwstr>
  </property>
  <property fmtid="{D5CDD505-2E9C-101B-9397-08002B2CF9AE}" pid="7" name="DocumentType">
    <vt:lpwstr>Reg</vt:lpwstr>
  </property>
  <property fmtid="{D5CDD505-2E9C-101B-9397-08002B2CF9AE}" pid="8" name="ReprintNo">
    <vt:lpwstr>3</vt:lpwstr>
  </property>
  <property fmtid="{D5CDD505-2E9C-101B-9397-08002B2CF9AE}" pid="9" name="ReprintedAsAt">
    <vt:filetime>2013-10-17T16:00:00Z</vt:filetime>
  </property>
</Properties>
</file>