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Dog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Act 1976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_Toc375130820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_Toc375130821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_Toc375130822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_Toc375130823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Dogs to be registered</w:t>
      </w:r>
      <w:r>
        <w:tab/>
      </w:r>
      <w:r>
        <w:fldChar w:fldCharType="begin"/>
      </w:r>
      <w:r>
        <w:instrText xml:space="preserve"> PAGEREF _Toc375130824 \h </w:instrText>
      </w:r>
      <w:r>
        <w:fldChar w:fldCharType="separate"/>
      </w:r>
      <w:r>
        <w:t>10</w:t>
      </w:r>
      <w:r>
        <w:fldChar w:fldCharType="end"/>
      </w:r>
    </w:p>
    <w:p>
      <w:pPr>
        <w:pStyle w:val="TOC8"/>
        <w:rPr>
          <w:rFonts w:asciiTheme="minorHAnsi" w:eastAsiaTheme="minorEastAsia" w:hAnsiTheme="minorHAnsi" w:cstheme="minorBidi"/>
          <w:szCs w:val="22"/>
        </w:rPr>
      </w:pPr>
      <w:r>
        <w:t>8.</w:t>
      </w:r>
      <w:r>
        <w:tab/>
        <w:t>Assistance dogs</w:t>
      </w:r>
      <w:r>
        <w:tab/>
      </w:r>
      <w:r>
        <w:fldChar w:fldCharType="begin"/>
      </w:r>
      <w:r>
        <w:instrText xml:space="preserve"> PAGEREF _Toc375130825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rPr>
          <w:snapToGrid w:val="0"/>
        </w:rPr>
        <w:t>.</w:t>
      </w:r>
      <w:r>
        <w:rPr>
          <w:snapToGrid w:val="0"/>
        </w:rPr>
        <w:tab/>
        <w:t>Administrative responsibility</w:t>
      </w:r>
      <w:r>
        <w:tab/>
      </w:r>
      <w:r>
        <w:fldChar w:fldCharType="begin"/>
      </w:r>
      <w:r>
        <w:instrText xml:space="preserve"> PAGEREF _Toc375130827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Dogs not kept in a district</w:t>
      </w:r>
      <w:r>
        <w:tab/>
      </w:r>
      <w:r>
        <w:fldChar w:fldCharType="begin"/>
      </w:r>
      <w:r>
        <w:instrText xml:space="preserve"> PAGEREF _Toc375130828 \h </w:instrText>
      </w:r>
      <w:r>
        <w:fldChar w:fldCharType="separate"/>
      </w:r>
      <w:r>
        <w:t>15</w:t>
      </w:r>
      <w:r>
        <w:fldChar w:fldCharType="end"/>
      </w:r>
    </w:p>
    <w:p>
      <w:pPr>
        <w:pStyle w:val="TOC8"/>
        <w:rPr>
          <w:rFonts w:asciiTheme="minorHAnsi" w:eastAsiaTheme="minorEastAsia" w:hAnsiTheme="minorHAnsi" w:cstheme="minorBidi"/>
          <w:szCs w:val="22"/>
        </w:rPr>
      </w:pPr>
      <w:r>
        <w:t>10AA.</w:t>
      </w:r>
      <w:r>
        <w:tab/>
        <w:t xml:space="preserve">Delegation of </w:t>
      </w:r>
      <w:r>
        <w:rPr>
          <w:snapToGrid w:val="0"/>
        </w:rPr>
        <w:t>local</w:t>
      </w:r>
      <w:r>
        <w:t xml:space="preserve"> government powers and duties</w:t>
      </w:r>
      <w:r>
        <w:tab/>
      </w:r>
      <w:r>
        <w:fldChar w:fldCharType="begin"/>
      </w:r>
      <w:r>
        <w:instrText xml:space="preserve"> PAGEREF _Toc375130829 \h </w:instrText>
      </w:r>
      <w:r>
        <w:fldChar w:fldCharType="separate"/>
      </w:r>
      <w:r>
        <w:t>15</w:t>
      </w:r>
      <w:r>
        <w:fldChar w:fldCharType="end"/>
      </w:r>
    </w:p>
    <w:p>
      <w:pPr>
        <w:pStyle w:val="TOC8"/>
        <w:rPr>
          <w:rFonts w:asciiTheme="minorHAnsi" w:eastAsiaTheme="minorEastAsia" w:hAnsiTheme="minorHAnsi" w:cstheme="minorBidi"/>
          <w:szCs w:val="22"/>
        </w:rPr>
      </w:pPr>
      <w:r>
        <w:t>10AB.</w:t>
      </w:r>
      <w:r>
        <w:tab/>
        <w:t>Register of, and review of, delegations</w:t>
      </w:r>
      <w:r>
        <w:tab/>
      </w:r>
      <w:r>
        <w:fldChar w:fldCharType="begin"/>
      </w:r>
      <w:r>
        <w:instrText xml:space="preserve"> PAGEREF _Toc375130830 \h </w:instrText>
      </w:r>
      <w:r>
        <w:fldChar w:fldCharType="separate"/>
      </w:r>
      <w:r>
        <w:t>17</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Payments to veterinary surgeons towards cost of sterilization</w:t>
      </w:r>
      <w:r>
        <w:tab/>
      </w:r>
      <w:r>
        <w:fldChar w:fldCharType="begin"/>
      </w:r>
      <w:r>
        <w:instrText xml:space="preserve"> PAGEREF _Toc375130831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Staff and services</w:t>
      </w:r>
      <w:r>
        <w:tab/>
      </w:r>
      <w:r>
        <w:fldChar w:fldCharType="begin"/>
      </w:r>
      <w:r>
        <w:instrText xml:space="preserve"> PAGEREF _Toc375130832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Joint jurisdiction</w:t>
      </w:r>
      <w:r>
        <w:tab/>
      </w:r>
      <w:r>
        <w:fldChar w:fldCharType="begin"/>
      </w:r>
      <w:r>
        <w:instrText xml:space="preserve"> PAGEREF _Toc375130833 \h </w:instrText>
      </w:r>
      <w:r>
        <w:fldChar w:fldCharType="separate"/>
      </w:r>
      <w:r>
        <w:t>19</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Entry of premises</w:t>
      </w:r>
      <w:r>
        <w:tab/>
      </w:r>
      <w:r>
        <w:fldChar w:fldCharType="begin"/>
      </w:r>
      <w:r>
        <w:instrText xml:space="preserve"> PAGEREF _Toc375130834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Immunity of persons acting in good faith</w:t>
      </w:r>
      <w:r>
        <w:tab/>
      </w:r>
      <w:r>
        <w:fldChar w:fldCharType="begin"/>
      </w:r>
      <w:r>
        <w:instrText xml:space="preserve"> PAGEREF _Toc375130835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III</w:t>
      </w:r>
      <w:r>
        <w:rPr>
          <w:b w:val="0"/>
        </w:rPr>
        <w:t> </w:t>
      </w:r>
      <w:r>
        <w:t>—</w:t>
      </w:r>
      <w:r>
        <w:rPr>
          <w:b w:val="0"/>
        </w:rPr>
        <w:t> </w:t>
      </w:r>
      <w:r>
        <w:t>Registration and identification</w:t>
      </w:r>
    </w:p>
    <w:p>
      <w:pPr>
        <w:pStyle w:val="TOC4"/>
        <w:tabs>
          <w:tab w:val="right" w:leader="dot" w:pos="7086"/>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14.</w:t>
      </w:r>
      <w:r>
        <w:tab/>
        <w:t>Register of dogs</w:t>
      </w:r>
      <w:r>
        <w:tab/>
      </w:r>
      <w:r>
        <w:fldChar w:fldCharType="begin"/>
      </w:r>
      <w:r>
        <w:instrText xml:space="preserve"> PAGEREF _Toc375130838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Registration periods and fees</w:t>
      </w:r>
      <w:r>
        <w:tab/>
      </w:r>
      <w:r>
        <w:fldChar w:fldCharType="begin"/>
      </w:r>
      <w:r>
        <w:instrText xml:space="preserve"> PAGEREF _Toc375130839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procedure</w:t>
      </w:r>
      <w:r>
        <w:tab/>
      </w:r>
      <w:r>
        <w:fldChar w:fldCharType="begin"/>
      </w:r>
      <w:r>
        <w:instrText xml:space="preserve"> PAGEREF _Toc375130840 \h </w:instrText>
      </w:r>
      <w:r>
        <w:fldChar w:fldCharType="separate"/>
      </w:r>
      <w:r>
        <w:t>23</w:t>
      </w:r>
      <w:r>
        <w:fldChar w:fldCharType="end"/>
      </w:r>
    </w:p>
    <w:p>
      <w:pPr>
        <w:pStyle w:val="TOC8"/>
        <w:rPr>
          <w:rFonts w:asciiTheme="minorHAnsi" w:eastAsiaTheme="minorEastAsia" w:hAnsiTheme="minorHAnsi" w:cstheme="minorBidi"/>
          <w:szCs w:val="22"/>
        </w:rPr>
      </w:pPr>
      <w:r>
        <w:t>16AA</w:t>
      </w:r>
      <w:r>
        <w:rPr>
          <w:snapToGrid w:val="0"/>
        </w:rPr>
        <w:t>.</w:t>
      </w:r>
      <w:r>
        <w:rPr>
          <w:snapToGrid w:val="0"/>
        </w:rPr>
        <w:tab/>
        <w:t>Owner’s delegate</w:t>
      </w:r>
      <w:r>
        <w:tab/>
      </w:r>
      <w:r>
        <w:fldChar w:fldCharType="begin"/>
      </w:r>
      <w:r>
        <w:instrText xml:space="preserve"> PAGEREF _Toc375130841 \h </w:instrText>
      </w:r>
      <w:r>
        <w:fldChar w:fldCharType="separate"/>
      </w:r>
      <w:r>
        <w:t>26</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Change of ownership</w:t>
      </w:r>
      <w:r>
        <w:tab/>
      </w:r>
      <w:r>
        <w:fldChar w:fldCharType="begin"/>
      </w:r>
      <w:r>
        <w:instrText xml:space="preserve"> PAGEREF _Toc375130842 \h </w:instrText>
      </w:r>
      <w:r>
        <w:fldChar w:fldCharType="separate"/>
      </w:r>
      <w:r>
        <w:t>27</w:t>
      </w:r>
      <w:r>
        <w:fldChar w:fldCharType="end"/>
      </w:r>
    </w:p>
    <w:p>
      <w:pPr>
        <w:pStyle w:val="TOC8"/>
        <w:rPr>
          <w:rFonts w:asciiTheme="minorHAnsi" w:eastAsiaTheme="minorEastAsia" w:hAnsiTheme="minorHAnsi" w:cstheme="minorBidi"/>
          <w:szCs w:val="22"/>
        </w:rPr>
      </w:pPr>
      <w:r>
        <w:t>17A.</w:t>
      </w:r>
      <w:r>
        <w:tab/>
        <w:t>If no application for registration made</w:t>
      </w:r>
      <w:r>
        <w:tab/>
      </w:r>
      <w:r>
        <w:fldChar w:fldCharType="begin"/>
      </w:r>
      <w:r>
        <w:instrText xml:space="preserve"> PAGEREF _Toc375130843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Refusal or cancellation of registration</w:t>
      </w:r>
      <w:r>
        <w:tab/>
      </w:r>
      <w:r>
        <w:fldChar w:fldCharType="begin"/>
      </w:r>
      <w:r>
        <w:instrText xml:space="preserve"> PAGEREF _Toc375130844 \h </w:instrText>
      </w:r>
      <w:r>
        <w:fldChar w:fldCharType="separate"/>
      </w:r>
      <w:r>
        <w:t>28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tags</w:t>
      </w:r>
      <w:r>
        <w:tab/>
      </w:r>
      <w:r>
        <w:fldChar w:fldCharType="begin"/>
      </w:r>
      <w:r>
        <w:instrText xml:space="preserve"> PAGEREF _Toc375130845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Refund of fee on cancellation</w:t>
      </w:r>
      <w:r>
        <w:tab/>
      </w:r>
      <w:r>
        <w:fldChar w:fldCharType="begin"/>
      </w:r>
      <w:r>
        <w:instrText xml:space="preserve"> PAGEREF _Toc375130846 \h </w:instrText>
      </w:r>
      <w:r>
        <w:fldChar w:fldCharType="separate"/>
      </w:r>
      <w:r>
        <w:t>30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Offences relating to registration, etc.</w:t>
      </w:r>
      <w:r>
        <w:tab/>
      </w:r>
      <w:r>
        <w:fldChar w:fldCharType="begin"/>
      </w:r>
      <w:r>
        <w:instrText xml:space="preserve"> PAGEREF _Toc375130847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2 — Microchipping</w:t>
      </w:r>
    </w:p>
    <w:p>
      <w:pPr>
        <w:pStyle w:val="TOC8"/>
        <w:rPr>
          <w:rFonts w:asciiTheme="minorHAnsi" w:eastAsiaTheme="minorEastAsia" w:hAnsiTheme="minorHAnsi" w:cstheme="minorBidi"/>
          <w:szCs w:val="22"/>
        </w:rPr>
      </w:pPr>
      <w:r>
        <w:t>21.</w:t>
      </w:r>
      <w:r>
        <w:tab/>
        <w:t>Microchipping of dogs other than dangerous dogs</w:t>
      </w:r>
      <w:r>
        <w:tab/>
      </w:r>
      <w:r>
        <w:fldChar w:fldCharType="begin"/>
      </w:r>
      <w:r>
        <w:instrText xml:space="preserve"> PAGEREF _Toc375130849 \h </w:instrText>
      </w:r>
      <w:r>
        <w:fldChar w:fldCharType="separate"/>
      </w:r>
      <w:r>
        <w:t>32</w:t>
      </w:r>
      <w:r>
        <w:fldChar w:fldCharType="end"/>
      </w:r>
    </w:p>
    <w:p>
      <w:pPr>
        <w:pStyle w:val="TOC8"/>
        <w:rPr>
          <w:rFonts w:asciiTheme="minorHAnsi" w:eastAsiaTheme="minorEastAsia" w:hAnsiTheme="minorHAnsi" w:cstheme="minorBidi"/>
          <w:szCs w:val="22"/>
        </w:rPr>
      </w:pPr>
      <w:r>
        <w:t>22.</w:t>
      </w:r>
      <w:r>
        <w:tab/>
        <w:t>Microchipping of dangerous dogs</w:t>
      </w:r>
      <w:r>
        <w:tab/>
      </w:r>
      <w:r>
        <w:fldChar w:fldCharType="begin"/>
      </w:r>
      <w:r>
        <w:instrText xml:space="preserve"> PAGEREF _Toc375130850 \h </w:instrText>
      </w:r>
      <w:r>
        <w:fldChar w:fldCharType="separate"/>
      </w:r>
      <w:r>
        <w:t>33</w:t>
      </w:r>
      <w:r>
        <w:fldChar w:fldCharType="end"/>
      </w:r>
    </w:p>
    <w:p>
      <w:pPr>
        <w:pStyle w:val="TOC8"/>
        <w:rPr>
          <w:rFonts w:asciiTheme="minorHAnsi" w:eastAsiaTheme="minorEastAsia" w:hAnsiTheme="minorHAnsi" w:cstheme="minorBidi"/>
          <w:szCs w:val="22"/>
        </w:rPr>
      </w:pPr>
      <w:r>
        <w:t>23.</w:t>
      </w:r>
      <w:r>
        <w:tab/>
        <w:t>Notice to be given of microchip information</w:t>
      </w:r>
      <w:r>
        <w:tab/>
      </w:r>
      <w:r>
        <w:fldChar w:fldCharType="begin"/>
      </w:r>
      <w:r>
        <w:instrText xml:space="preserve"> PAGEREF _Toc375130851 \h </w:instrText>
      </w:r>
      <w:r>
        <w:fldChar w:fldCharType="separate"/>
      </w:r>
      <w:r>
        <w:t>34</w:t>
      </w:r>
      <w:r>
        <w:fldChar w:fldCharType="end"/>
      </w:r>
    </w:p>
    <w:p>
      <w:pPr>
        <w:pStyle w:val="TOC8"/>
        <w:rPr>
          <w:rFonts w:asciiTheme="minorHAnsi" w:eastAsiaTheme="minorEastAsia" w:hAnsiTheme="minorHAnsi" w:cstheme="minorBidi"/>
          <w:szCs w:val="22"/>
        </w:rPr>
      </w:pPr>
      <w:r>
        <w:t>24.</w:t>
      </w:r>
      <w:r>
        <w:tab/>
        <w:t>Microchip implanter to give information to microchip database company</w:t>
      </w:r>
      <w:r>
        <w:tab/>
      </w:r>
      <w:r>
        <w:fldChar w:fldCharType="begin"/>
      </w:r>
      <w:r>
        <w:instrText xml:space="preserve"> PAGEREF _Toc375130852 \h </w:instrText>
      </w:r>
      <w:r>
        <w:fldChar w:fldCharType="separate"/>
      </w:r>
      <w:r>
        <w:t>34</w:t>
      </w:r>
      <w:r>
        <w:fldChar w:fldCharType="end"/>
      </w:r>
    </w:p>
    <w:p>
      <w:pPr>
        <w:pStyle w:val="TOC8"/>
        <w:rPr>
          <w:rFonts w:asciiTheme="minorHAnsi" w:eastAsiaTheme="minorEastAsia" w:hAnsiTheme="minorHAnsi" w:cstheme="minorBidi"/>
          <w:szCs w:val="22"/>
        </w:rPr>
      </w:pPr>
      <w:r>
        <w:t>25.</w:t>
      </w:r>
      <w:r>
        <w:tab/>
        <w:t>Microchip database company’s obligations</w:t>
      </w:r>
      <w:r>
        <w:tab/>
      </w:r>
      <w:r>
        <w:fldChar w:fldCharType="begin"/>
      </w:r>
      <w:r>
        <w:instrText xml:space="preserve"> PAGEREF _Toc375130853 \h </w:instrText>
      </w:r>
      <w:r>
        <w:fldChar w:fldCharType="separate"/>
      </w:r>
      <w:r>
        <w:t>35</w:t>
      </w:r>
      <w:r>
        <w:fldChar w:fldCharType="end"/>
      </w:r>
    </w:p>
    <w:p>
      <w:pPr>
        <w:pStyle w:val="TOC8"/>
        <w:rPr>
          <w:rFonts w:asciiTheme="minorHAnsi" w:eastAsiaTheme="minorEastAsia" w:hAnsiTheme="minorHAnsi" w:cstheme="minorBidi"/>
          <w:szCs w:val="22"/>
        </w:rPr>
      </w:pPr>
      <w:r>
        <w:t>26A.</w:t>
      </w:r>
      <w:r>
        <w:tab/>
        <w:t>Interference with microchips</w:t>
      </w:r>
      <w:r>
        <w:tab/>
      </w:r>
      <w:r>
        <w:fldChar w:fldCharType="begin"/>
      </w:r>
      <w:r>
        <w:instrText xml:space="preserve"> PAGEREF _Toc375130854 \h </w:instrText>
      </w:r>
      <w:r>
        <w:fldChar w:fldCharType="separate"/>
      </w:r>
      <w:r>
        <w:t>35</w:t>
      </w:r>
      <w:r>
        <w:fldChar w:fldCharType="end"/>
      </w:r>
    </w:p>
    <w:p>
      <w:pPr>
        <w:pStyle w:val="TOC8"/>
        <w:rPr>
          <w:rFonts w:asciiTheme="minorHAnsi" w:eastAsiaTheme="minorEastAsia" w:hAnsiTheme="minorHAnsi" w:cstheme="minorBidi"/>
          <w:szCs w:val="22"/>
        </w:rPr>
      </w:pPr>
      <w:r>
        <w:t>26B.</w:t>
      </w:r>
      <w:r>
        <w:tab/>
        <w:t>Transfer of ownership of unmicrochipped dogs</w:t>
      </w:r>
      <w:r>
        <w:tab/>
      </w:r>
      <w:r>
        <w:fldChar w:fldCharType="begin"/>
      </w:r>
      <w:r>
        <w:instrText xml:space="preserve"> PAGEREF _Toc375130855 \h </w:instrText>
      </w:r>
      <w:r>
        <w:fldChar w:fldCharType="separate"/>
      </w:r>
      <w:r>
        <w:t>35</w:t>
      </w:r>
      <w:r>
        <w:fldChar w:fldCharType="end"/>
      </w:r>
    </w:p>
    <w:p>
      <w:pPr>
        <w:pStyle w:val="TOC8"/>
        <w:rPr>
          <w:rFonts w:asciiTheme="minorHAnsi" w:eastAsiaTheme="minorEastAsia" w:hAnsiTheme="minorHAnsi" w:cstheme="minorBidi"/>
          <w:szCs w:val="22"/>
        </w:rPr>
      </w:pPr>
      <w:r>
        <w:t>26C.</w:t>
      </w:r>
      <w:r>
        <w:tab/>
        <w:t>Transfer of ownership of microchipped dogs</w:t>
      </w:r>
      <w:r>
        <w:tab/>
      </w:r>
      <w:r>
        <w:fldChar w:fldCharType="begin"/>
      </w:r>
      <w:r>
        <w:instrText xml:space="preserve"> PAGEREF _Toc375130856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3 — Changes to recorded information</w:t>
      </w:r>
    </w:p>
    <w:p>
      <w:pPr>
        <w:pStyle w:val="TOC8"/>
        <w:rPr>
          <w:rFonts w:asciiTheme="minorHAnsi" w:eastAsiaTheme="minorEastAsia" w:hAnsiTheme="minorHAnsi" w:cstheme="minorBidi"/>
          <w:szCs w:val="22"/>
        </w:rPr>
      </w:pPr>
      <w:r>
        <w:t>26D.</w:t>
      </w:r>
      <w:r>
        <w:tab/>
        <w:t>Notice to be given of changes to recorded information</w:t>
      </w:r>
      <w:r>
        <w:tab/>
      </w:r>
      <w:r>
        <w:fldChar w:fldCharType="begin"/>
      </w:r>
      <w:r>
        <w:instrText xml:space="preserve"> PAGEREF _Toc375130858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V — The keeping of dogs</w:t>
      </w:r>
    </w:p>
    <w:p>
      <w:pPr>
        <w:pStyle w:val="TOC8"/>
        <w:rPr>
          <w:rFonts w:asciiTheme="minorHAnsi" w:eastAsiaTheme="minorEastAsia" w:hAnsiTheme="minorHAnsi" w:cstheme="minorBidi"/>
          <w:szCs w:val="22"/>
        </w:rPr>
      </w:pPr>
      <w:r>
        <w:t>26</w:t>
      </w:r>
      <w:r>
        <w:rPr>
          <w:snapToGrid w:val="0"/>
        </w:rPr>
        <w:t>.</w:t>
      </w:r>
      <w:r>
        <w:rPr>
          <w:snapToGrid w:val="0"/>
        </w:rPr>
        <w:tab/>
        <w:t>Limitation as to numbers</w:t>
      </w:r>
      <w:r>
        <w:tab/>
      </w:r>
      <w:r>
        <w:fldChar w:fldCharType="begin"/>
      </w:r>
      <w:r>
        <w:instrText xml:space="preserve"> PAGEREF _Toc375130860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Licensing of approved kennel establishments</w:t>
      </w:r>
      <w:r>
        <w:tab/>
      </w:r>
      <w:r>
        <w:fldChar w:fldCharType="begin"/>
      </w:r>
      <w:r>
        <w:instrText xml:space="preserve"> PAGEREF _Toc375130861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VI — Control of dogs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Dogs generally</w:t>
      </w:r>
    </w:p>
    <w:p>
      <w:pPr>
        <w:pStyle w:val="TOC8"/>
        <w:rPr>
          <w:rFonts w:asciiTheme="minorHAnsi" w:eastAsiaTheme="minorEastAsia" w:hAnsiTheme="minorHAnsi" w:cstheme="minorBidi"/>
          <w:szCs w:val="22"/>
        </w:rPr>
      </w:pPr>
      <w:r>
        <w:t>28.</w:t>
      </w:r>
      <w:r>
        <w:tab/>
        <w:t>Obligation to identify a dog’s owner</w:t>
      </w:r>
      <w:r>
        <w:tab/>
      </w:r>
      <w:r>
        <w:fldChar w:fldCharType="begin"/>
      </w:r>
      <w:r>
        <w:instrText xml:space="preserve"> PAGEREF _Toc375130864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seize dogs</w:t>
      </w:r>
      <w:r>
        <w:tab/>
      </w:r>
      <w:r>
        <w:fldChar w:fldCharType="begin"/>
      </w:r>
      <w:r>
        <w:instrText xml:space="preserve"> PAGEREF _Toc375130865 \h </w:instrText>
      </w:r>
      <w:r>
        <w:fldChar w:fldCharType="separate"/>
      </w:r>
      <w:r>
        <w:t>42</w:t>
      </w:r>
      <w:r>
        <w:fldChar w:fldCharType="end"/>
      </w:r>
    </w:p>
    <w:p>
      <w:pPr>
        <w:pStyle w:val="TOC8"/>
        <w:rPr>
          <w:rFonts w:asciiTheme="minorHAnsi" w:eastAsiaTheme="minorEastAsia" w:hAnsiTheme="minorHAnsi" w:cstheme="minorBidi"/>
          <w:szCs w:val="22"/>
        </w:rPr>
      </w:pPr>
      <w:r>
        <w:t>30A.</w:t>
      </w:r>
      <w:r>
        <w:tab/>
        <w:t>Operator of dog management facility may have dog microchipped at owner’s expense</w:t>
      </w:r>
      <w:r>
        <w:tab/>
      </w:r>
      <w:r>
        <w:fldChar w:fldCharType="begin"/>
      </w:r>
      <w:r>
        <w:instrText xml:space="preserve"> PAGEREF _Toc375130866 \h </w:instrText>
      </w:r>
      <w:r>
        <w:fldChar w:fldCharType="separate"/>
      </w:r>
      <w:r>
        <w:t>49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Dogs to wear collars, registration tags, etc.</w:t>
      </w:r>
      <w:r>
        <w:tab/>
      </w:r>
      <w:r>
        <w:fldChar w:fldCharType="begin"/>
      </w:r>
      <w:r>
        <w:instrText xml:space="preserve"> PAGEREF _Toc375130867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Control of dogs in certain public places</w:t>
      </w:r>
      <w:r>
        <w:tab/>
      </w:r>
      <w:r>
        <w:fldChar w:fldCharType="begin"/>
      </w:r>
      <w:r>
        <w:instrText xml:space="preserve"> PAGEREF _Toc375130868 \h </w:instrText>
      </w:r>
      <w:r>
        <w:fldChar w:fldCharType="separate"/>
      </w:r>
      <w:r>
        <w:t>51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Control of dogs in exercise areas and rural areas</w:t>
      </w:r>
      <w:r>
        <w:tab/>
      </w:r>
      <w:r>
        <w:fldChar w:fldCharType="begin"/>
      </w:r>
      <w:r>
        <w:instrText xml:space="preserve"> PAGEREF _Toc375130869 \h </w:instrText>
      </w:r>
      <w:r>
        <w:fldChar w:fldCharType="separate"/>
      </w:r>
      <w:r>
        <w:t>53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Special provision for greyhounds</w:t>
      </w:r>
      <w:r>
        <w:tab/>
      </w:r>
      <w:r>
        <w:fldChar w:fldCharType="begin"/>
      </w:r>
      <w:r>
        <w:instrText xml:space="preserve"> PAGEREF _Toc375130870 \h </w:instrText>
      </w:r>
      <w:r>
        <w:fldChar w:fldCharType="separate"/>
      </w:r>
      <w:r>
        <w:t>54</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Control of dogs in places that are not public</w:t>
      </w:r>
      <w:r>
        <w:tab/>
      </w:r>
      <w:r>
        <w:fldChar w:fldCharType="begin"/>
      </w:r>
      <w:r>
        <w:instrText xml:space="preserve"> PAGEREF _Toc375130871 \h </w:instrText>
      </w:r>
      <w:r>
        <w:fldChar w:fldCharType="separate"/>
      </w:r>
      <w:r>
        <w:t>55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Defences applicable to offences under this Division</w:t>
      </w:r>
      <w:r>
        <w:tab/>
      </w:r>
      <w:r>
        <w:fldChar w:fldCharType="begin"/>
      </w:r>
      <w:r>
        <w:instrText xml:space="preserve"> PAGEREF _Toc375130872 \h </w:instrText>
      </w:r>
      <w:r>
        <w:fldChar w:fldCharType="separate"/>
      </w:r>
      <w:r>
        <w:t>56</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Saving</w:t>
      </w:r>
      <w:r>
        <w:tab/>
      </w:r>
      <w:r>
        <w:fldChar w:fldCharType="begin"/>
      </w:r>
      <w:r>
        <w:instrText xml:space="preserve"> PAGEREF _Toc375130873 \h </w:instrText>
      </w:r>
      <w:r>
        <w:fldChar w:fldCharType="separate"/>
      </w:r>
      <w:r>
        <w:t>57</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Dog attacks, etc.</w:t>
      </w:r>
      <w:r>
        <w:tab/>
      </w:r>
      <w:r>
        <w:fldChar w:fldCharType="begin"/>
      </w:r>
      <w:r>
        <w:instrText xml:space="preserve"> PAGEREF _Toc375130874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Dangerous dogs</w:t>
      </w:r>
    </w:p>
    <w:p>
      <w:pPr>
        <w:pStyle w:val="TOC8"/>
        <w:rPr>
          <w:rFonts w:asciiTheme="minorHAnsi" w:eastAsiaTheme="minorEastAsia" w:hAnsiTheme="minorHAnsi" w:cstheme="minorBidi"/>
          <w:szCs w:val="22"/>
        </w:rPr>
      </w:pPr>
      <w:r>
        <w:t>33E</w:t>
      </w:r>
      <w:r>
        <w:rPr>
          <w:snapToGrid w:val="0"/>
        </w:rPr>
        <w:t>.</w:t>
      </w:r>
      <w:r>
        <w:rPr>
          <w:snapToGrid w:val="0"/>
        </w:rPr>
        <w:tab/>
        <w:t>Individual dog may be declared to be a dangerous dog (declared)</w:t>
      </w:r>
      <w:r>
        <w:tab/>
      </w:r>
      <w:r>
        <w:fldChar w:fldCharType="begin"/>
      </w:r>
      <w:r>
        <w:instrText xml:space="preserve"> PAGEREF _Toc375130876 \h </w:instrText>
      </w:r>
      <w:r>
        <w:fldChar w:fldCharType="separate"/>
      </w:r>
      <w:r>
        <w:t>59</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Owner to be notified of making of declaration</w:t>
      </w:r>
      <w:r>
        <w:tab/>
      </w:r>
      <w:r>
        <w:fldChar w:fldCharType="begin"/>
      </w:r>
      <w:r>
        <w:instrText xml:space="preserve"> PAGEREF _Toc375130877 \h </w:instrText>
      </w:r>
      <w:r>
        <w:fldChar w:fldCharType="separate"/>
      </w:r>
      <w:r>
        <w:t>60</w:t>
      </w:r>
      <w:r>
        <w:fldChar w:fldCharType="end"/>
      </w:r>
    </w:p>
    <w:p>
      <w:pPr>
        <w:pStyle w:val="TOC8"/>
        <w:rPr>
          <w:rFonts w:asciiTheme="minorHAnsi" w:eastAsiaTheme="minorEastAsia" w:hAnsiTheme="minorHAnsi" w:cstheme="minorBidi"/>
          <w:szCs w:val="22"/>
        </w:rPr>
      </w:pPr>
      <w:r>
        <w:t>33GA.</w:t>
      </w:r>
      <w:r>
        <w:tab/>
        <w:t>Offences relating to dangerous dogs</w:t>
      </w:r>
      <w:r>
        <w:tab/>
      </w:r>
      <w:r>
        <w:fldChar w:fldCharType="begin"/>
      </w:r>
      <w:r>
        <w:instrText xml:space="preserve"> PAGEREF _Toc375130878 \h </w:instrText>
      </w:r>
      <w:r>
        <w:fldChar w:fldCharType="separate"/>
      </w:r>
      <w:r>
        <w:t>62</w:t>
      </w:r>
      <w:r>
        <w:fldChar w:fldCharType="end"/>
      </w:r>
    </w:p>
    <w:p>
      <w:pPr>
        <w:pStyle w:val="TOC8"/>
        <w:rPr>
          <w:rFonts w:asciiTheme="minorHAnsi" w:eastAsiaTheme="minorEastAsia" w:hAnsiTheme="minorHAnsi" w:cstheme="minorBidi"/>
          <w:szCs w:val="22"/>
        </w:rPr>
      </w:pPr>
      <w:r>
        <w:t>33GB.</w:t>
      </w:r>
      <w:r>
        <w:tab/>
        <w:t>Dangerous dogs (restricted breed) to be sterilised</w:t>
      </w:r>
      <w:r>
        <w:tab/>
      </w:r>
      <w:r>
        <w:fldChar w:fldCharType="begin"/>
      </w:r>
      <w:r>
        <w:instrText xml:space="preserve"> PAGEREF _Toc375130879 \h </w:instrText>
      </w:r>
      <w:r>
        <w:fldChar w:fldCharType="separate"/>
      </w:r>
      <w:r>
        <w:t>66</w:t>
      </w:r>
      <w:r>
        <w:fldChar w:fldCharType="end"/>
      </w:r>
    </w:p>
    <w:p>
      <w:pPr>
        <w:pStyle w:val="TOC8"/>
        <w:rPr>
          <w:rFonts w:asciiTheme="minorHAnsi" w:eastAsiaTheme="minorEastAsia" w:hAnsiTheme="minorHAnsi" w:cstheme="minorBidi"/>
          <w:szCs w:val="22"/>
        </w:rPr>
      </w:pPr>
      <w:r>
        <w:t>33GC.</w:t>
      </w:r>
      <w:r>
        <w:tab/>
        <w:t>Restrictions on transferring ownership of dangerous dogs (restricted breed)</w:t>
      </w:r>
      <w:r>
        <w:tab/>
      </w:r>
      <w:r>
        <w:fldChar w:fldCharType="begin"/>
      </w:r>
      <w:r>
        <w:instrText xml:space="preserve"> PAGEREF _Toc375130880 \h </w:instrText>
      </w:r>
      <w:r>
        <w:fldChar w:fldCharType="separate"/>
      </w:r>
      <w:r>
        <w:t>67</w:t>
      </w:r>
      <w:r>
        <w:fldChar w:fldCharType="end"/>
      </w:r>
    </w:p>
    <w:p>
      <w:pPr>
        <w:pStyle w:val="TOC8"/>
        <w:rPr>
          <w:rFonts w:asciiTheme="minorHAnsi" w:eastAsiaTheme="minorEastAsia" w:hAnsiTheme="minorHAnsi" w:cstheme="minorBidi"/>
          <w:szCs w:val="22"/>
        </w:rPr>
      </w:pPr>
      <w:r>
        <w:t>33GD.</w:t>
      </w:r>
      <w:r>
        <w:tab/>
        <w:t>Dangerous dogs (restricted breed) not to be bred</w:t>
      </w:r>
      <w:r>
        <w:tab/>
      </w:r>
      <w:r>
        <w:fldChar w:fldCharType="begin"/>
      </w:r>
      <w:r>
        <w:instrText xml:space="preserve"> PAGEREF _Toc375130881 \h </w:instrText>
      </w:r>
      <w:r>
        <w:fldChar w:fldCharType="separate"/>
      </w:r>
      <w:r>
        <w:t>68</w:t>
      </w:r>
      <w:r>
        <w:fldChar w:fldCharType="end"/>
      </w:r>
    </w:p>
    <w:p>
      <w:pPr>
        <w:pStyle w:val="TOC8"/>
        <w:rPr>
          <w:rFonts w:asciiTheme="minorHAnsi" w:eastAsiaTheme="minorEastAsia" w:hAnsiTheme="minorHAnsi" w:cstheme="minorBidi"/>
          <w:szCs w:val="22"/>
        </w:rPr>
      </w:pPr>
      <w:r>
        <w:t>33GE.</w:t>
      </w:r>
      <w:r>
        <w:tab/>
        <w:t>Prohibition on transfer of ownership of dangerous dogs (declared) to persons under 18</w:t>
      </w:r>
      <w:r>
        <w:tab/>
      </w:r>
      <w:r>
        <w:fldChar w:fldCharType="begin"/>
      </w:r>
      <w:r>
        <w:instrText xml:space="preserve"> PAGEREF _Toc375130882 \h </w:instrText>
      </w:r>
      <w:r>
        <w:fldChar w:fldCharType="separate"/>
      </w:r>
      <w:r>
        <w:t>69</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Seizure and destruction</w:t>
      </w:r>
      <w:r>
        <w:tab/>
      </w:r>
      <w:r>
        <w:fldChar w:fldCharType="begin"/>
      </w:r>
      <w:r>
        <w:instrText xml:space="preserve"> PAGEREF _Toc375130883 \h </w:instrText>
      </w:r>
      <w:r>
        <w:fldChar w:fldCharType="separate"/>
      </w:r>
      <w:r>
        <w:t>70</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Local government may revoke a declaration or proposal to destroy</w:t>
      </w:r>
      <w:r>
        <w:tab/>
      </w:r>
      <w:r>
        <w:fldChar w:fldCharType="begin"/>
      </w:r>
      <w:r>
        <w:instrText xml:space="preserve"> PAGEREF _Toc375130884 \h </w:instrText>
      </w:r>
      <w:r>
        <w:fldChar w:fldCharType="separate"/>
      </w:r>
      <w:r>
        <w:t>72</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Jurisdiction of State Administrative Tribunal</w:t>
      </w:r>
      <w:r>
        <w:tab/>
      </w:r>
      <w:r>
        <w:fldChar w:fldCharType="begin"/>
      </w:r>
      <w:r>
        <w:instrText xml:space="preserve"> PAGEREF _Toc375130885 \h </w:instrText>
      </w:r>
      <w:r>
        <w:fldChar w:fldCharType="separate"/>
      </w:r>
      <w:r>
        <w:t>74</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Duration of a declaration</w:t>
      </w:r>
      <w:r>
        <w:tab/>
      </w:r>
      <w:r>
        <w:fldChar w:fldCharType="begin"/>
      </w:r>
      <w:r>
        <w:instrText xml:space="preserve"> PAGEREF _Toc375130886 \h </w:instrText>
      </w:r>
      <w:r>
        <w:fldChar w:fldCharType="separate"/>
      </w:r>
      <w:r>
        <w:t>75</w:t>
      </w:r>
      <w:r>
        <w:fldChar w:fldCharType="end"/>
      </w:r>
    </w:p>
    <w:p>
      <w:pPr>
        <w:pStyle w:val="TOC8"/>
        <w:rPr>
          <w:rFonts w:asciiTheme="minorHAnsi" w:eastAsiaTheme="minorEastAsia" w:hAnsiTheme="minorHAnsi" w:cstheme="minorBidi"/>
          <w:szCs w:val="22"/>
        </w:rPr>
      </w:pPr>
      <w:r>
        <w:t>33K</w:t>
      </w:r>
      <w:r>
        <w:rPr>
          <w:snapToGrid w:val="0"/>
        </w:rPr>
        <w:t>.</w:t>
      </w:r>
      <w:r>
        <w:rPr>
          <w:snapToGrid w:val="0"/>
        </w:rPr>
        <w:tab/>
        <w:t>Duty to notify persons</w:t>
      </w:r>
      <w:r>
        <w:tab/>
      </w:r>
      <w:r>
        <w:fldChar w:fldCharType="begin"/>
      </w:r>
      <w:r>
        <w:instrText xml:space="preserve"> PAGEREF _Toc375130887 \h </w:instrText>
      </w:r>
      <w:r>
        <w:fldChar w:fldCharType="separate"/>
      </w:r>
      <w:r>
        <w:t>76</w:t>
      </w:r>
      <w:r>
        <w:fldChar w:fldCharType="end"/>
      </w:r>
    </w:p>
    <w:p>
      <w:pPr>
        <w:pStyle w:val="TOC8"/>
        <w:rPr>
          <w:rFonts w:asciiTheme="minorHAnsi" w:eastAsiaTheme="minorEastAsia" w:hAnsiTheme="minorHAnsi" w:cstheme="minorBidi"/>
          <w:szCs w:val="22"/>
        </w:rPr>
      </w:pPr>
      <w:r>
        <w:t>33L.</w:t>
      </w:r>
      <w:r>
        <w:tab/>
        <w:t>Defences applicable to this Division</w:t>
      </w:r>
      <w:r>
        <w:tab/>
      </w:r>
      <w:r>
        <w:fldChar w:fldCharType="begin"/>
      </w:r>
      <w:r>
        <w:instrText xml:space="preserve"> PAGEREF _Toc375130888 \h </w:instrText>
      </w:r>
      <w:r>
        <w:fldChar w:fldCharType="separate"/>
      </w:r>
      <w:r>
        <w:t>77</w:t>
      </w:r>
      <w:r>
        <w:fldChar w:fldCharType="end"/>
      </w:r>
    </w:p>
    <w:p>
      <w:pPr>
        <w:pStyle w:val="TOC8"/>
        <w:rPr>
          <w:rFonts w:asciiTheme="minorHAnsi" w:eastAsiaTheme="minorEastAsia" w:hAnsiTheme="minorHAnsi" w:cstheme="minorBidi"/>
          <w:szCs w:val="22"/>
        </w:rPr>
      </w:pPr>
      <w:r>
        <w:t>33M</w:t>
      </w:r>
      <w:r>
        <w:rPr>
          <w:snapToGrid w:val="0"/>
        </w:rPr>
        <w:t>.</w:t>
      </w:r>
      <w:r>
        <w:rPr>
          <w:snapToGrid w:val="0"/>
        </w:rPr>
        <w:tab/>
        <w:t>Local government expenses to be recoverable</w:t>
      </w:r>
      <w:r>
        <w:tab/>
      </w:r>
      <w:r>
        <w:fldChar w:fldCharType="begin"/>
      </w:r>
      <w:r>
        <w:instrText xml:space="preserve"> PAGEREF _Toc375130889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Protection of stock; vermin disease and parasite control</w:t>
      </w:r>
    </w:p>
    <w:p>
      <w:pPr>
        <w:pStyle w:val="TOC8"/>
        <w:rPr>
          <w:rFonts w:asciiTheme="minorHAnsi" w:eastAsiaTheme="minorEastAsia" w:hAnsiTheme="minorHAnsi" w:cstheme="minorBidi"/>
          <w:szCs w:val="22"/>
        </w:rPr>
      </w:pPr>
      <w:r>
        <w:t>34</w:t>
      </w:r>
      <w:r>
        <w:rPr>
          <w:snapToGrid w:val="0"/>
        </w:rPr>
        <w:t>.</w:t>
      </w:r>
      <w:r>
        <w:rPr>
          <w:snapToGrid w:val="0"/>
        </w:rPr>
        <w:tab/>
        <w:t>Protection of livestock</w:t>
      </w:r>
      <w:r>
        <w:tab/>
      </w:r>
      <w:r>
        <w:fldChar w:fldCharType="begin"/>
      </w:r>
      <w:r>
        <w:instrText xml:space="preserve"> PAGEREF _Toc375130891 \h </w:instrText>
      </w:r>
      <w:r>
        <w:fldChar w:fldCharType="separate"/>
      </w:r>
      <w:r>
        <w:t>79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Destruction of vermin, etc.</w:t>
      </w:r>
      <w:r>
        <w:tab/>
      </w:r>
      <w:r>
        <w:fldChar w:fldCharType="begin"/>
      </w:r>
      <w:r>
        <w:instrText xml:space="preserve"> PAGEREF _Toc375130892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Control of nuisance</w:t>
      </w:r>
    </w:p>
    <w:p>
      <w:pPr>
        <w:pStyle w:val="TOC8"/>
        <w:rPr>
          <w:rFonts w:asciiTheme="minorHAnsi" w:eastAsiaTheme="minorEastAsia" w:hAnsiTheme="minorHAnsi" w:cstheme="minorBidi"/>
          <w:szCs w:val="22"/>
        </w:rPr>
      </w:pPr>
      <w:r>
        <w:t>38.</w:t>
      </w:r>
      <w:r>
        <w:tab/>
        <w:t>Nuisance dogs</w:t>
      </w:r>
      <w:r>
        <w:tab/>
      </w:r>
      <w:r>
        <w:fldChar w:fldCharType="begin"/>
      </w:r>
      <w:r>
        <w:instrText xml:space="preserve"> PAGEREF _Toc375130894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VII — Enforcement</w:t>
      </w:r>
    </w:p>
    <w:p>
      <w:pPr>
        <w:pStyle w:val="TOC8"/>
        <w:rPr>
          <w:rFonts w:asciiTheme="minorHAnsi" w:eastAsiaTheme="minorEastAsia" w:hAnsiTheme="minorHAnsi" w:cstheme="minorBidi"/>
          <w:szCs w:val="22"/>
        </w:rPr>
      </w:pPr>
      <w:r>
        <w:t>39</w:t>
      </w:r>
      <w:r>
        <w:rPr>
          <w:snapToGrid w:val="0"/>
        </w:rPr>
        <w:t>.</w:t>
      </w:r>
      <w:r>
        <w:rPr>
          <w:snapToGrid w:val="0"/>
        </w:rPr>
        <w:tab/>
        <w:t>Dogs causing injury or damage may be destroyed</w:t>
      </w:r>
      <w:r>
        <w:tab/>
      </w:r>
      <w:r>
        <w:fldChar w:fldCharType="begin"/>
      </w:r>
      <w:r>
        <w:instrText xml:space="preserve"> PAGEREF _Toc375130896 \h </w:instrText>
      </w:r>
      <w:r>
        <w:fldChar w:fldCharType="separate"/>
      </w:r>
      <w:r>
        <w:t>83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Destruction of dogs, etc.</w:t>
      </w:r>
      <w:r>
        <w:tab/>
      </w:r>
      <w:r>
        <w:fldChar w:fldCharType="begin"/>
      </w:r>
      <w:r>
        <w:instrText xml:space="preserve"> PAGEREF _Toc375130897 \h </w:instrText>
      </w:r>
      <w:r>
        <w:fldChar w:fldCharType="separate"/>
      </w:r>
      <w:r>
        <w:t>84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Indemnity as to destruction of dogs</w:t>
      </w:r>
      <w:r>
        <w:tab/>
      </w:r>
      <w:r>
        <w:fldChar w:fldCharType="begin"/>
      </w:r>
      <w:r>
        <w:instrText xml:space="preserve"> PAGEREF _Toc375130898 \h </w:instrText>
      </w:r>
      <w:r>
        <w:fldChar w:fldCharType="separate"/>
      </w:r>
      <w:r>
        <w:t>85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Offences relating to enforcement, etc.</w:t>
      </w:r>
      <w:r>
        <w:tab/>
      </w:r>
      <w:r>
        <w:fldChar w:fldCharType="begin"/>
      </w:r>
      <w:r>
        <w:instrText xml:space="preserve"> PAGEREF _Toc375130899 \h </w:instrText>
      </w:r>
      <w:r>
        <w:fldChar w:fldCharType="separate"/>
      </w:r>
      <w:r>
        <w:t>86</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Name and address to be supplied</w:t>
      </w:r>
      <w:r>
        <w:tab/>
      </w:r>
      <w:r>
        <w:fldChar w:fldCharType="begin"/>
      </w:r>
      <w:r>
        <w:instrText xml:space="preserve"> PAGEREF _Toc375130900 \h </w:instrText>
      </w:r>
      <w:r>
        <w:fldChar w:fldCharType="separate"/>
      </w:r>
      <w:r>
        <w:t>87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Enforcement proceedings</w:t>
      </w:r>
      <w:r>
        <w:tab/>
      </w:r>
      <w:r>
        <w:fldChar w:fldCharType="begin"/>
      </w:r>
      <w:r>
        <w:instrText xml:space="preserve"> PAGEREF _Toc375130901 \h </w:instrText>
      </w:r>
      <w:r>
        <w:fldChar w:fldCharType="separate"/>
      </w:r>
      <w:r>
        <w:t>88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Evidentiary provisions</w:t>
      </w:r>
      <w:r>
        <w:tab/>
      </w:r>
      <w:r>
        <w:fldChar w:fldCharType="begin"/>
      </w:r>
      <w:r>
        <w:instrText xml:space="preserve"> PAGEREF _Toc375130902 \h </w:instrText>
      </w:r>
      <w:r>
        <w:fldChar w:fldCharType="separate"/>
      </w:r>
      <w:r>
        <w:t>88</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Modified penalties</w:t>
      </w:r>
      <w:r>
        <w:tab/>
      </w:r>
      <w:r>
        <w:fldChar w:fldCharType="begin"/>
      </w:r>
      <w:r>
        <w:instrText xml:space="preserve"> PAGEREF _Toc375130903 \h </w:instrText>
      </w:r>
      <w:r>
        <w:fldChar w:fldCharType="separate"/>
      </w:r>
      <w:r>
        <w:t>90</w:t>
      </w:r>
      <w:r>
        <w:fldChar w:fldCharType="end"/>
      </w:r>
    </w:p>
    <w:p>
      <w:pPr>
        <w:pStyle w:val="TOC8"/>
        <w:rPr>
          <w:rFonts w:asciiTheme="minorHAnsi" w:eastAsiaTheme="minorEastAsia" w:hAnsiTheme="minorHAnsi" w:cstheme="minorBidi"/>
          <w:szCs w:val="22"/>
        </w:rPr>
      </w:pPr>
      <w:r>
        <w:t>46A.</w:t>
      </w:r>
      <w:r>
        <w:tab/>
        <w:t>Order to attend a dog training course, ban on owning or keeping dogs</w:t>
      </w:r>
      <w:r>
        <w:tab/>
      </w:r>
      <w:r>
        <w:fldChar w:fldCharType="begin"/>
      </w:r>
      <w:r>
        <w:instrText xml:space="preserve"> PAGEREF _Toc375130904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Part VIII — Civil remedies, etc.</w:t>
      </w:r>
    </w:p>
    <w:p>
      <w:pPr>
        <w:pStyle w:val="TOC8"/>
        <w:rPr>
          <w:rFonts w:asciiTheme="minorHAnsi" w:eastAsiaTheme="minorEastAsia" w:hAnsiTheme="minorHAnsi" w:cstheme="minorBidi"/>
          <w:szCs w:val="22"/>
        </w:rPr>
      </w:pPr>
      <w:r>
        <w:t>46</w:t>
      </w:r>
      <w:r>
        <w:rPr>
          <w:snapToGrid w:val="0"/>
        </w:rPr>
        <w:t>.</w:t>
      </w:r>
      <w:r>
        <w:rPr>
          <w:snapToGrid w:val="0"/>
        </w:rPr>
        <w:tab/>
        <w:t>Damages</w:t>
      </w:r>
      <w:r>
        <w:tab/>
      </w:r>
      <w:r>
        <w:fldChar w:fldCharType="begin"/>
      </w:r>
      <w:r>
        <w:instrText xml:space="preserve"> PAGEREF _Toc375130906 \h </w:instrText>
      </w:r>
      <w:r>
        <w:fldChar w:fldCharType="separate"/>
      </w:r>
      <w:r>
        <w:t>93</w:t>
      </w:r>
      <w:r>
        <w:fldChar w:fldCharType="end"/>
      </w:r>
    </w:p>
    <w:p>
      <w:pPr>
        <w:pStyle w:val="TOC8"/>
        <w:rPr>
          <w:rFonts w:asciiTheme="minorHAnsi" w:eastAsiaTheme="minorEastAsia" w:hAnsiTheme="minorHAnsi" w:cstheme="minorBidi"/>
          <w:szCs w:val="22"/>
        </w:rPr>
      </w:pPr>
      <w:r>
        <w:t>47.</w:t>
      </w:r>
      <w:r>
        <w:tab/>
        <w:t>Veterinary service expenses recoverable from local government</w:t>
      </w:r>
      <w:r>
        <w:tab/>
      </w:r>
      <w:r>
        <w:fldChar w:fldCharType="begin"/>
      </w:r>
      <w:r>
        <w:instrText xml:space="preserve"> PAGEREF _Toc375130907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IX — Local laws</w:t>
      </w:r>
    </w:p>
    <w:p>
      <w:pPr>
        <w:pStyle w:val="TOC8"/>
        <w:rPr>
          <w:rFonts w:asciiTheme="minorHAnsi" w:eastAsiaTheme="minorEastAsia" w:hAnsiTheme="minorHAnsi" w:cstheme="minorBidi"/>
          <w:szCs w:val="22"/>
        </w:rPr>
      </w:pPr>
      <w:r>
        <w:t>48</w:t>
      </w:r>
      <w:r>
        <w:rPr>
          <w:snapToGrid w:val="0"/>
        </w:rPr>
        <w:t>.</w:t>
      </w:r>
      <w:r>
        <w:rPr>
          <w:snapToGrid w:val="0"/>
        </w:rPr>
        <w:tab/>
        <w:t>Regulations to operate as local laws</w:t>
      </w:r>
      <w:r>
        <w:tab/>
      </w:r>
      <w:r>
        <w:fldChar w:fldCharType="begin"/>
      </w:r>
      <w:r>
        <w:instrText xml:space="preserve"> PAGEREF _Toc375130909 \h </w:instrText>
      </w:r>
      <w:r>
        <w:fldChar w:fldCharType="separate"/>
      </w:r>
      <w:r>
        <w:t>96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Local laws</w:t>
      </w:r>
      <w:r>
        <w:tab/>
      </w:r>
      <w:r>
        <w:fldChar w:fldCharType="begin"/>
      </w:r>
      <w:r>
        <w:instrText xml:space="preserve"> PAGEREF _Toc375130910 \h </w:instrText>
      </w:r>
      <w:r>
        <w:fldChar w:fldCharType="separate"/>
      </w:r>
      <w:r>
        <w:t>96</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Model local laws</w:t>
      </w:r>
      <w:r>
        <w:tab/>
      </w:r>
      <w:r>
        <w:fldChar w:fldCharType="begin"/>
      </w:r>
      <w:r>
        <w:instrText xml:space="preserve"> PAGEREF _Toc375130911 \h </w:instrText>
      </w:r>
      <w:r>
        <w:fldChar w:fldCharType="separate"/>
      </w:r>
      <w:r>
        <w:t>97</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Governor may amend or repeal local laws</w:t>
      </w:r>
      <w:r>
        <w:tab/>
      </w:r>
      <w:r>
        <w:fldChar w:fldCharType="begin"/>
      </w:r>
      <w:r>
        <w:instrText xml:space="preserve"> PAGEREF _Toc375130912 \h </w:instrText>
      </w:r>
      <w:r>
        <w:fldChar w:fldCharType="separate"/>
      </w:r>
      <w:r>
        <w:t>97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General provisions relating to regulations and local laws</w:t>
      </w:r>
      <w:r>
        <w:tab/>
      </w:r>
      <w:r>
        <w:fldChar w:fldCharType="begin"/>
      </w:r>
      <w:r>
        <w:instrText xml:space="preserve"> PAGEREF _Toc375130913 \h </w:instrText>
      </w:r>
      <w:r>
        <w:fldChar w:fldCharType="separate"/>
      </w:r>
      <w:r>
        <w:t>98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Local law making powers</w:t>
      </w:r>
      <w:r>
        <w:tab/>
      </w:r>
      <w:r>
        <w:fldChar w:fldCharType="begin"/>
      </w:r>
      <w:r>
        <w:instrText xml:space="preserve"> PAGEREF _Toc375130914 \h </w:instrText>
      </w:r>
      <w:r>
        <w:fldChar w:fldCharType="separate"/>
      </w:r>
      <w:r>
        <w:t>99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Revocation of local laws</w:t>
      </w:r>
      <w:r>
        <w:tab/>
      </w:r>
      <w:r>
        <w:fldChar w:fldCharType="begin"/>
      </w:r>
      <w:r>
        <w:instrText xml:space="preserve"> PAGEREF _Toc375130915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54</w:t>
      </w:r>
      <w:r>
        <w:rPr>
          <w:snapToGrid w:val="0"/>
        </w:rPr>
        <w:t>.</w:t>
      </w:r>
      <w:r>
        <w:rPr>
          <w:snapToGrid w:val="0"/>
        </w:rPr>
        <w:tab/>
        <w:t>Regulations generally</w:t>
      </w:r>
      <w:r>
        <w:tab/>
      </w:r>
      <w:r>
        <w:fldChar w:fldCharType="begin"/>
      </w:r>
      <w:r>
        <w:instrText xml:space="preserve"> PAGEREF _Toc375130917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rPr>
      </w:pPr>
      <w:r>
        <w:t>Part XI</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arising from certain amendments made by the </w:t>
      </w:r>
      <w:r>
        <w:rPr>
          <w:i/>
        </w:rPr>
        <w:t>Dog Amendment Act 2013</w:t>
      </w:r>
    </w:p>
    <w:p>
      <w:pPr>
        <w:pStyle w:val="TOC8"/>
        <w:rPr>
          <w:rFonts w:asciiTheme="minorHAnsi" w:eastAsiaTheme="minorEastAsia" w:hAnsiTheme="minorHAnsi" w:cstheme="minorBidi"/>
          <w:szCs w:val="22"/>
        </w:rPr>
      </w:pPr>
      <w:r>
        <w:t>55.</w:t>
      </w:r>
      <w:r>
        <w:tab/>
        <w:t xml:space="preserve">Application of the </w:t>
      </w:r>
      <w:r>
        <w:rPr>
          <w:i/>
          <w:iCs/>
        </w:rPr>
        <w:t>Interpretation Act 1984</w:t>
      </w:r>
      <w:r>
        <w:tab/>
      </w:r>
      <w:r>
        <w:fldChar w:fldCharType="begin"/>
      </w:r>
      <w:r>
        <w:instrText xml:space="preserve"> PAGEREF _Toc375130920 \h </w:instrText>
      </w:r>
      <w:r>
        <w:fldChar w:fldCharType="separate"/>
      </w:r>
      <w:r>
        <w:t>102</w:t>
      </w:r>
      <w:r>
        <w:fldChar w:fldCharType="end"/>
      </w:r>
    </w:p>
    <w:p>
      <w:pPr>
        <w:pStyle w:val="TOC8"/>
        <w:rPr>
          <w:rFonts w:asciiTheme="minorHAnsi" w:eastAsiaTheme="minorEastAsia" w:hAnsiTheme="minorHAnsi" w:cstheme="minorBidi"/>
          <w:szCs w:val="22"/>
        </w:rPr>
      </w:pPr>
      <w:r>
        <w:t>56.</w:t>
      </w:r>
      <w:r>
        <w:tab/>
        <w:t>Authorisations in relation to assistance dogs</w:t>
      </w:r>
      <w:r>
        <w:tab/>
      </w:r>
      <w:r>
        <w:fldChar w:fldCharType="begin"/>
      </w:r>
      <w:r>
        <w:instrText xml:space="preserve"> PAGEREF _Toc375130921 \h </w:instrText>
      </w:r>
      <w:r>
        <w:fldChar w:fldCharType="separate"/>
      </w:r>
      <w:r>
        <w:t>102</w:t>
      </w:r>
      <w:r>
        <w:fldChar w:fldCharType="end"/>
      </w:r>
    </w:p>
    <w:p>
      <w:pPr>
        <w:pStyle w:val="TOC8"/>
        <w:rPr>
          <w:rFonts w:asciiTheme="minorHAnsi" w:eastAsiaTheme="minorEastAsia" w:hAnsiTheme="minorHAnsi" w:cstheme="minorBidi"/>
          <w:szCs w:val="22"/>
        </w:rPr>
      </w:pPr>
      <w:r>
        <w:t>57.</w:t>
      </w:r>
      <w:r>
        <w:tab/>
        <w:t>Registration procedure</w:t>
      </w:r>
      <w:r>
        <w:tab/>
      </w:r>
      <w:r>
        <w:fldChar w:fldCharType="begin"/>
      </w:r>
      <w:r>
        <w:instrText xml:space="preserve"> PAGEREF _Toc375130922 \h </w:instrText>
      </w:r>
      <w:r>
        <w:fldChar w:fldCharType="separate"/>
      </w:r>
      <w:r>
        <w:t>102</w:t>
      </w:r>
      <w:r>
        <w:fldChar w:fldCharType="end"/>
      </w:r>
    </w:p>
    <w:p>
      <w:pPr>
        <w:pStyle w:val="TOC8"/>
        <w:rPr>
          <w:rFonts w:asciiTheme="minorHAnsi" w:eastAsiaTheme="minorEastAsia" w:hAnsiTheme="minorHAnsi" w:cstheme="minorBidi"/>
          <w:szCs w:val="22"/>
        </w:rPr>
      </w:pPr>
      <w:r>
        <w:t>58.</w:t>
      </w:r>
      <w:r>
        <w:tab/>
        <w:t>Detained dogs</w:t>
      </w:r>
      <w:r>
        <w:tab/>
      </w:r>
      <w:r>
        <w:fldChar w:fldCharType="begin"/>
      </w:r>
      <w:r>
        <w:instrText xml:space="preserve"> PAGEREF _Toc375130923 \h </w:instrText>
      </w:r>
      <w:r>
        <w:fldChar w:fldCharType="separate"/>
      </w:r>
      <w:r>
        <w:t>103</w:t>
      </w:r>
      <w:r>
        <w:fldChar w:fldCharType="end"/>
      </w:r>
    </w:p>
    <w:p>
      <w:pPr>
        <w:pStyle w:val="TOC8"/>
        <w:rPr>
          <w:rFonts w:asciiTheme="minorHAnsi" w:eastAsiaTheme="minorEastAsia" w:hAnsiTheme="minorHAnsi" w:cstheme="minorBidi"/>
          <w:szCs w:val="22"/>
        </w:rPr>
      </w:pPr>
      <w:r>
        <w:t>59.</w:t>
      </w:r>
      <w:r>
        <w:tab/>
        <w:t>Dogs declared to be dangerous dogs</w:t>
      </w:r>
      <w:r>
        <w:tab/>
      </w:r>
      <w:r>
        <w:fldChar w:fldCharType="begin"/>
      </w:r>
      <w:r>
        <w:instrText xml:space="preserve"> PAGEREF _Toc375130924 \h </w:instrText>
      </w:r>
      <w:r>
        <w:fldChar w:fldCharType="separate"/>
      </w:r>
      <w:r>
        <w:t>103</w:t>
      </w:r>
      <w:r>
        <w:fldChar w:fldCharType="end"/>
      </w:r>
    </w:p>
    <w:p>
      <w:pPr>
        <w:pStyle w:val="TOC8"/>
        <w:rPr>
          <w:rFonts w:asciiTheme="minorHAnsi" w:eastAsiaTheme="minorEastAsia" w:hAnsiTheme="minorHAnsi" w:cstheme="minorBidi"/>
          <w:szCs w:val="22"/>
        </w:rPr>
      </w:pPr>
      <w:r>
        <w:t>60.</w:t>
      </w:r>
      <w:r>
        <w:tab/>
        <w:t>Transitional regulations</w:t>
      </w:r>
      <w:r>
        <w:tab/>
      </w:r>
      <w:r>
        <w:fldChar w:fldCharType="begin"/>
      </w:r>
      <w:r>
        <w:instrText xml:space="preserve"> PAGEREF _Toc375130925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_Toc375130927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Dog Act 1976 </w:t>
      </w:r>
    </w:p>
    <w:p>
      <w:pPr>
        <w:pStyle w:val="LongTitle"/>
        <w:rPr>
          <w:snapToGrid w:val="0"/>
        </w:rPr>
      </w:pPr>
      <w:r>
        <w:rPr>
          <w:snapToGrid w:val="0"/>
        </w:rPr>
        <w:t xml:space="preserve">An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 w:name="_Toc375130599"/>
      <w:bookmarkStart w:id="2" w:name="_Toc375130709"/>
      <w:bookmarkStart w:id="3" w:name="_Toc375130819"/>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spacing w:before="180"/>
        <w:rPr>
          <w:snapToGrid w:val="0"/>
        </w:rPr>
      </w:pPr>
      <w:bookmarkStart w:id="4" w:name="_Toc375130820"/>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180"/>
        <w:rPr>
          <w:snapToGrid w:val="0"/>
        </w:rPr>
      </w:pPr>
      <w:bookmarkStart w:id="5" w:name="_Toc375130821"/>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180"/>
        <w:rPr>
          <w:snapToGrid w:val="0"/>
        </w:rPr>
      </w:pPr>
      <w:bookmarkStart w:id="6" w:name="_Toc375130822"/>
      <w:r>
        <w:rPr>
          <w:rStyle w:val="CharSectno"/>
        </w:rPr>
        <w:t>3</w:t>
      </w:r>
      <w:r>
        <w:rPr>
          <w:snapToGrid w:val="0"/>
        </w:rPr>
        <w:t>.</w:t>
      </w:r>
      <w:r>
        <w:rPr>
          <w:snapToGrid w:val="0"/>
        </w:rPr>
        <w:tab/>
        <w:t>Interpretation</w:t>
      </w:r>
      <w:bookmarkEnd w:id="6"/>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pPr>
      <w:r>
        <w:rPr>
          <w:b/>
        </w:rPr>
        <w:tab/>
      </w:r>
      <w:r>
        <w:rPr>
          <w:rStyle w:val="CharDefText"/>
        </w:rPr>
        <w:t>authorised person</w:t>
      </w:r>
      <w:r>
        <w:t xml:space="preserve"> means a person who is appointed by a local government, to exercise powers on behalf of the local government, under section 29(1);</w:t>
      </w:r>
    </w:p>
    <w:p>
      <w:pPr>
        <w:pStyle w:val="Defstart"/>
      </w:pPr>
      <w:r>
        <w:rPr>
          <w:i/>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pPr>
      <w:r>
        <w:rPr>
          <w:b/>
        </w:rPr>
        <w:tab/>
      </w:r>
      <w:r>
        <w:rPr>
          <w:rStyle w:val="CharDefText"/>
        </w:rPr>
        <w:t>person liable for the control of the dog</w:t>
      </w:r>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r>
        <w:tab/>
        <w:t>but does not include — </w:t>
      </w:r>
    </w:p>
    <w:p>
      <w:pPr>
        <w:pStyle w:val="Defpara"/>
      </w:pPr>
      <w:r>
        <w:tab/>
        <w:t>(e)</w:t>
      </w:r>
      <w:r>
        <w:tab/>
        <w:t>a registered veterinary surgeon, or a person acting on his behalf, in the course of his professional practice; or</w:t>
      </w:r>
    </w:p>
    <w:p>
      <w:pPr>
        <w:pStyle w:val="Defpara"/>
        <w:keepLines/>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 Act;</w:t>
      </w:r>
    </w:p>
    <w:p>
      <w:pPr>
        <w:pStyle w:val="Defstart"/>
        <w:keepNex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rPr>
          <w:snapToGrid w:val="0"/>
        </w:rPr>
      </w:pPr>
      <w:r>
        <w:rPr>
          <w:snapToGrid w:val="0"/>
        </w:rPr>
        <w:tab/>
        <w:t>(i)</w:t>
      </w:r>
      <w:r>
        <w:rPr>
          <w:snapToGrid w:val="0"/>
        </w:rPr>
        <w:tab/>
        <w:t>any teasing, tormenting, or abuse of the dog; or</w:t>
      </w:r>
    </w:p>
    <w:p>
      <w:pPr>
        <w:pStyle w:val="Defsubpara"/>
        <w:keepLines w:val="0"/>
        <w:rPr>
          <w:snapToGrid w:val="0"/>
        </w:rPr>
      </w:pPr>
      <w:r>
        <w:rPr>
          <w:snapToGrid w:val="0"/>
        </w:rPr>
        <w:tab/>
        <w:t>(ii)</w:t>
      </w:r>
      <w:r>
        <w:rPr>
          <w:snapToGrid w:val="0"/>
        </w:rPr>
        <w:tab/>
        <w:t>any assault on, or act of cruelty towards, the dog; or</w:t>
      </w:r>
    </w:p>
    <w:p>
      <w:pPr>
        <w:pStyle w:val="Defsubpara"/>
        <w:keepLines w:val="0"/>
        <w:rPr>
          <w:snapToGrid w:val="0"/>
        </w:rPr>
      </w:pPr>
      <w:r>
        <w:rPr>
          <w:snapToGrid w:val="0"/>
        </w:rPr>
        <w:tab/>
        <w:t>(iii)</w:t>
      </w:r>
      <w:r>
        <w:rPr>
          <w:snapToGrid w:val="0"/>
        </w:rPr>
        <w:tab/>
        <w:t xml:space="preserve">entry without lawful excuse on any land or premises of which the owner of the dog is an occupier or </w:t>
      </w:r>
      <w:r>
        <w:t>where</w:t>
      </w:r>
      <w:r>
        <w:rPr>
          <w:snapToGrid w:val="0"/>
        </w:rPr>
        <w:t xml:space="preserve"> the dog is ordinarily kept; or</w:t>
      </w:r>
    </w:p>
    <w:p>
      <w:pPr>
        <w:pStyle w:val="Defsubpara"/>
        <w:keepLines w:val="0"/>
        <w:rPr>
          <w:snapToGrid w:val="0"/>
        </w:rPr>
      </w:pPr>
      <w:r>
        <w:rPr>
          <w:snapToGrid w:val="0"/>
        </w:rPr>
        <w:tab/>
        <w:t>(iv)</w:t>
      </w:r>
      <w:r>
        <w:rPr>
          <w:snapToGrid w:val="0"/>
        </w:rPr>
        <w:tab/>
        <w:t xml:space="preserve">any intrusion into or upon any vehicle in </w:t>
      </w:r>
      <w:r>
        <w:t>or on</w:t>
      </w:r>
      <w:r>
        <w:rPr>
          <w:snapToGrid w:val="0"/>
        </w:rPr>
        <w:t xml:space="preserve"> which the dog is present; or</w:t>
      </w:r>
    </w:p>
    <w:p>
      <w:pPr>
        <w:pStyle w:val="Defsubpara"/>
        <w:keepLines w:val="0"/>
        <w:rPr>
          <w:snapToGrid w:val="0"/>
        </w:rPr>
      </w:pPr>
      <w:r>
        <w:rPr>
          <w:snapToGrid w:val="0"/>
        </w:rPr>
        <w:tab/>
        <w:t>(v)</w:t>
      </w:r>
      <w:r>
        <w:rPr>
          <w:snapToGrid w:val="0"/>
        </w:rPr>
        <w:tab/>
        <w:t>any threat to, or attack upon, another person or animal towards whom the dog could reasonably be expected to be protective;</w:t>
      </w:r>
    </w:p>
    <w:p>
      <w:pPr>
        <w:pStyle w:val="Defpara"/>
      </w:pPr>
      <w:r>
        <w:tab/>
      </w:r>
      <w:r>
        <w:tab/>
        <w:t>or</w:t>
      </w:r>
    </w:p>
    <w:p>
      <w:pPr>
        <w:pStyle w:val="Defpara"/>
      </w:pPr>
      <w:r>
        <w:tab/>
        <w:t>(b)</w:t>
      </w:r>
      <w:r>
        <w:tab/>
        <w:t>on the part of another animal — </w:t>
      </w:r>
    </w:p>
    <w:p>
      <w:pPr>
        <w:pStyle w:val="Defsubpara"/>
        <w:keepLines w:val="0"/>
        <w:rPr>
          <w:snapToGrid w:val="0"/>
        </w:rPr>
      </w:pPr>
      <w:r>
        <w:rPr>
          <w:snapToGrid w:val="0"/>
        </w:rPr>
        <w:tab/>
        <w:t>(i)</w:t>
      </w:r>
      <w:r>
        <w:rPr>
          <w:snapToGrid w:val="0"/>
        </w:rPr>
        <w:tab/>
        <w:t>an attack on the dog made by any other animal; or</w:t>
      </w:r>
    </w:p>
    <w:p>
      <w:pPr>
        <w:pStyle w:val="Defsubpara"/>
        <w:keepLines w:val="0"/>
        <w:rPr>
          <w:snapToGrid w:val="0"/>
        </w:rPr>
      </w:pPr>
      <w:r>
        <w:rPr>
          <w:snapToGrid w:val="0"/>
        </w:rPr>
        <w:tab/>
        <w:t>(ii)</w:t>
      </w:r>
      <w:r>
        <w:rPr>
          <w:snapToGrid w:val="0"/>
        </w:rPr>
        <w:tab/>
        <w:t xml:space="preserve">the entry of that other animal on any land or premises of which the owner of the dog is an occupier or </w:t>
      </w:r>
      <w:r>
        <w:t>where</w:t>
      </w:r>
      <w:r>
        <w:rPr>
          <w:snapToGrid w:val="0"/>
        </w:rPr>
        <w:t xml:space="preserve"> the dog is ordinarily kept; or</w:t>
      </w:r>
    </w:p>
    <w:p>
      <w:pPr>
        <w:pStyle w:val="Defsubpara"/>
        <w:keepLines w:val="0"/>
        <w:rPr>
          <w:snapToGrid w:val="0"/>
        </w:rPr>
      </w:pPr>
      <w:r>
        <w:rPr>
          <w:snapToGrid w:val="0"/>
        </w:rPr>
        <w:tab/>
        <w:t>(iii)</w:t>
      </w:r>
      <w:r>
        <w:rPr>
          <w:snapToGrid w:val="0"/>
        </w:rP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613"/>
          <w:tab w:val="clear" w:pos="1901"/>
          <w:tab w:val="right" w:pos="1330"/>
          <w:tab w:val="left" w:pos="1624"/>
        </w:tabs>
        <w:spacing w:before="80"/>
        <w:ind w:left="1638" w:hanging="1638"/>
        <w:rPr>
          <w:snapToGrid w:val="0"/>
        </w:rPr>
      </w:pPr>
      <w:r>
        <w:rPr>
          <w:snapToGrid w:val="0"/>
        </w:rPr>
        <w:tab/>
        <w:t>[(c)</w:t>
      </w:r>
      <w:r>
        <w:rPr>
          <w:snapToGrid w:val="0"/>
        </w:rP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Subsection"/>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 xml:space="preserve">[Section 3 amended by No. 23 of 1987 s. 4; No. 14 of 1996 s. 4; No. 24 of 1996 s. 4; No. 81 of 1996 s. 153(1); No. 31 of 1997 s. 141; No. 10 of 1998 s. 29(1); No. 38 of 2005 s. 15; No. 60 of 2006 s. 132; No. 18 of 2013 s. 4.] </w:t>
      </w:r>
    </w:p>
    <w:p>
      <w:pPr>
        <w:pStyle w:val="Ednotesection"/>
      </w:pPr>
      <w:r>
        <w:t>[</w:t>
      </w:r>
      <w:r>
        <w:rPr>
          <w:b/>
        </w:rPr>
        <w:t>4.</w:t>
      </w:r>
      <w:r>
        <w:tab/>
        <w:t xml:space="preserve">Deleted by No. 23 of 1987 s. 5.] </w:t>
      </w:r>
    </w:p>
    <w:p>
      <w:pPr>
        <w:pStyle w:val="Ednotesection"/>
      </w:pPr>
      <w:r>
        <w:t>[</w:t>
      </w:r>
      <w:r>
        <w:rPr>
          <w:b/>
        </w:rPr>
        <w:t>5.</w:t>
      </w:r>
      <w:r>
        <w:tab/>
        <w:t>Omitted under the Reprints Act 1984 s. 7(4)(f) and (g).]</w:t>
      </w:r>
    </w:p>
    <w:p>
      <w:pPr>
        <w:pStyle w:val="Heading5"/>
        <w:rPr>
          <w:snapToGrid w:val="0"/>
        </w:rPr>
      </w:pPr>
      <w:bookmarkStart w:id="7" w:name="_Toc375130823"/>
      <w:r>
        <w:rPr>
          <w:rStyle w:val="CharSectno"/>
        </w:rPr>
        <w:t>6</w:t>
      </w:r>
      <w:r>
        <w:rPr>
          <w:snapToGrid w:val="0"/>
        </w:rPr>
        <w:t>.</w:t>
      </w:r>
      <w:r>
        <w:rPr>
          <w:snapToGrid w:val="0"/>
        </w:rPr>
        <w:tab/>
        <w:t>Application</w:t>
      </w:r>
      <w:bookmarkEnd w:id="7"/>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pPr>
      <w:r>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pPr>
      <w:r>
        <w:tab/>
        <w:t>(6)</w:t>
      </w:r>
      <w:r>
        <w:tab/>
        <w:t xml:space="preserve">In subsection (5) — </w:t>
      </w:r>
    </w:p>
    <w:p>
      <w:pPr>
        <w:pStyle w:val="Defstar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pPr>
      <w:r>
        <w:tab/>
        <w:t>(d)</w:t>
      </w:r>
      <w:r>
        <w:tab/>
        <w:t xml:space="preserve">a member of — </w:t>
      </w:r>
    </w:p>
    <w:p>
      <w:pPr>
        <w:pStyle w:val="Defsubpara"/>
      </w:pPr>
      <w:r>
        <w:tab/>
        <w:t>(i)</w:t>
      </w:r>
      <w:r>
        <w:tab/>
        <w:t>the armed forces of the Commonwealth; or</w:t>
      </w:r>
    </w:p>
    <w:p>
      <w:pPr>
        <w:pStyle w:val="Defsubpara"/>
      </w:pPr>
      <w:r>
        <w:tab/>
        <w:t>(ii)</w:t>
      </w:r>
      <w:r>
        <w:tab/>
        <w:t>the Australian Federal Police; or</w:t>
      </w:r>
    </w:p>
    <w:p>
      <w:pPr>
        <w:pStyle w:val="Defsubpara"/>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pPr>
      <w:r>
        <w:tab/>
        <w:t>(e)</w:t>
      </w:r>
      <w:r>
        <w:tab/>
        <w:t>a person of a prescribed class.</w:t>
      </w:r>
    </w:p>
    <w:p>
      <w:pPr>
        <w:pStyle w:val="Footnotesection"/>
        <w:spacing w:before="100"/>
        <w:ind w:left="890" w:hanging="890"/>
      </w:pPr>
      <w:r>
        <w:tab/>
        <w:t>[Section 6 amended by No. 64 of 1983 s. 3; No. 23 of 1987 s. 6; No. 24 of 1996 s. 5; No. 10 of 1998 s. 29(2); No. 18 of 2013 s. 5.]</w:t>
      </w:r>
    </w:p>
    <w:p>
      <w:pPr>
        <w:pStyle w:val="Heading5"/>
        <w:spacing w:before="200"/>
        <w:rPr>
          <w:snapToGrid w:val="0"/>
        </w:rPr>
      </w:pPr>
      <w:bookmarkStart w:id="8" w:name="_Toc375130824"/>
      <w:r>
        <w:rPr>
          <w:rStyle w:val="CharSectno"/>
        </w:rPr>
        <w:t>7</w:t>
      </w:r>
      <w:r>
        <w:rPr>
          <w:snapToGrid w:val="0"/>
        </w:rPr>
        <w:t>.</w:t>
      </w:r>
      <w:r>
        <w:rPr>
          <w:snapToGrid w:val="0"/>
        </w:rPr>
        <w:tab/>
        <w:t>Dogs to be registered</w:t>
      </w:r>
      <w:bookmarkEnd w:id="8"/>
      <w:r>
        <w:rPr>
          <w:snapToGrid w:val="0"/>
        </w:rPr>
        <w:t xml:space="preserve"> </w:t>
      </w:r>
    </w:p>
    <w:p>
      <w:pPr>
        <w:pStyle w:val="Subsection"/>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pPr>
      <w:r>
        <w:tab/>
        <w:t>(b)</w:t>
      </w:r>
      <w:r>
        <w:tab/>
        <w:t xml:space="preserve">if the dog is ordinarily kept or permitted to live in or at premises in </w:t>
      </w:r>
      <w:smartTag w:uri="urn:schemas-microsoft-com:office:smarttags" w:element="place">
        <w:smartTag w:uri="urn:schemas-microsoft-com:office:smarttags" w:element="State">
          <w:smartTag w:uri="urn:schemas-microsoft-com:office:smarttags" w:element="country-region">
            <w:r>
              <w:t>Western Australia</w:t>
            </w:r>
          </w:smartTag>
        </w:smartTag>
      </w:smartTag>
      <w:r>
        <w:t>,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pPr>
      <w:r>
        <w:tab/>
        <w:t>(ii)</w:t>
      </w:r>
      <w:r>
        <w:tab/>
        <w:t>a police officer in the performance of the officer’s functions; or</w:t>
      </w:r>
    </w:p>
    <w:p>
      <w:pPr>
        <w:pStyle w:val="Indenti"/>
      </w:pPr>
      <w:r>
        <w:tab/>
        <w:t>(iii)</w:t>
      </w:r>
      <w:r>
        <w:tab/>
        <w:t>any other person in the performance of a function under this Act or any other written law;</w:t>
      </w:r>
    </w:p>
    <w:p>
      <w:pPr>
        <w:pStyle w:val="Indenta"/>
      </w:pPr>
      <w:r>
        <w:tab/>
      </w:r>
      <w:r>
        <w:tab/>
        <w:t>or</w:t>
      </w:r>
    </w:p>
    <w:p>
      <w:pPr>
        <w:pStyle w:val="Indenta"/>
      </w:pPr>
      <w:r>
        <w:tab/>
        <w:t>(d)</w:t>
      </w:r>
      <w:r>
        <w:tab/>
        <w:t xml:space="preserve">a greyhound that is registered under the </w:t>
      </w:r>
      <w:r>
        <w:rPr>
          <w:i/>
        </w:rPr>
        <w:t>Racing and Wagering Western Australia Act 2003</w:t>
      </w:r>
      <w:r>
        <w:t xml:space="preserve"> section 41 while the registration is in effect.</w:t>
      </w:r>
    </w:p>
    <w:p>
      <w:pPr>
        <w:pStyle w:val="Ednotepara"/>
      </w:pPr>
      <w:r>
        <w:tab/>
        <w:t>[(e)</w:t>
      </w:r>
      <w:r>
        <w:tab/>
        <w:t>deleted]</w:t>
      </w:r>
    </w:p>
    <w:p>
      <w:pPr>
        <w:pStyle w:val="Footnotesection"/>
      </w:pPr>
      <w:r>
        <w:tab/>
        <w:t xml:space="preserve">[Section 7 amended by No. 57 of 1977 s. 2; No. 23 of 1987 s. 7; No. 24 of 1996 s. 16; No. 55 of 2004 s. 252 and 268; No. 18 of 2013 s. 6.] </w:t>
      </w:r>
    </w:p>
    <w:p>
      <w:pPr>
        <w:pStyle w:val="Heading5"/>
      </w:pPr>
      <w:bookmarkStart w:id="9" w:name="_Toc375130825"/>
      <w:r>
        <w:rPr>
          <w:rStyle w:val="CharSectno"/>
        </w:rPr>
        <w:t>8</w:t>
      </w:r>
      <w:r>
        <w:t>.</w:t>
      </w:r>
      <w:r>
        <w:tab/>
        <w:t>Assistance dogs</w:t>
      </w:r>
      <w:bookmarkEnd w:id="9"/>
    </w:p>
    <w:p>
      <w:pPr>
        <w:pStyle w:val="Subsection"/>
      </w:pPr>
      <w:r>
        <w:tab/>
        <w:t>(1)</w:t>
      </w:r>
      <w:r>
        <w:tab/>
        <w:t xml:space="preserve">In this section — </w:t>
      </w:r>
    </w:p>
    <w:p>
      <w:pPr>
        <w:pStyle w:val="Defstar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w:t>
      </w:r>
      <w:r>
        <w:rPr>
          <w:i/>
        </w:rPr>
        <w:t xml:space="preserve"> </w:t>
      </w:r>
      <w:r>
        <w:t>as being competent to be an assistance dog; or</w:t>
      </w:r>
    </w:p>
    <w:p>
      <w:pPr>
        <w:pStyle w:val="Defpara"/>
      </w:pPr>
      <w:r>
        <w:tab/>
        <w:t>(d)</w:t>
      </w:r>
      <w:r>
        <w:tab/>
        <w:t>that is being assessed by a person mentioned in paragraph (a) or (b)</w:t>
      </w:r>
      <w:r>
        <w:rPr>
          <w:i/>
        </w:rPr>
        <w:t xml:space="preserve"> </w:t>
      </w:r>
      <w:r>
        <w:t>to decide whether the dog is competent to be an assistance dog; or</w:t>
      </w:r>
    </w:p>
    <w:p>
      <w:pPr>
        <w:pStyle w:val="Defpara"/>
      </w:pPr>
      <w:r>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pPr>
      <w:r>
        <w:tab/>
        <w:t>(7)</w:t>
      </w:r>
      <w:r>
        <w:tab/>
        <w:t>This section applies despite any other provision of this Act or other written law.</w:t>
      </w:r>
    </w:p>
    <w:p>
      <w:pPr>
        <w:pStyle w:val="Footnotesection"/>
      </w:pPr>
      <w:r>
        <w:tab/>
        <w:t xml:space="preserve">[Section 8 inserted by No. 18 of 2013 s. 7.] </w:t>
      </w:r>
    </w:p>
    <w:p>
      <w:pPr>
        <w:pStyle w:val="Heading2"/>
      </w:pPr>
      <w:bookmarkStart w:id="10" w:name="_Toc375130606"/>
      <w:bookmarkStart w:id="11" w:name="_Toc375130716"/>
      <w:bookmarkStart w:id="12" w:name="_Toc375130826"/>
      <w:r>
        <w:rPr>
          <w:rStyle w:val="CharPartNo"/>
        </w:rPr>
        <w:t>Part II</w:t>
      </w:r>
      <w:r>
        <w:rPr>
          <w:rStyle w:val="CharDivNo"/>
        </w:rPr>
        <w:t> </w:t>
      </w:r>
      <w:r>
        <w:t>—</w:t>
      </w:r>
      <w:r>
        <w:rPr>
          <w:rStyle w:val="CharDivText"/>
        </w:rPr>
        <w:t> </w:t>
      </w:r>
      <w:r>
        <w:rPr>
          <w:rStyle w:val="CharPartText"/>
        </w:rPr>
        <w:t>Administration</w:t>
      </w:r>
      <w:bookmarkEnd w:id="10"/>
      <w:bookmarkEnd w:id="11"/>
      <w:bookmarkEnd w:id="12"/>
      <w:r>
        <w:rPr>
          <w:rStyle w:val="CharPartText"/>
        </w:rPr>
        <w:t xml:space="preserve"> </w:t>
      </w:r>
    </w:p>
    <w:p>
      <w:pPr>
        <w:pStyle w:val="Heading5"/>
        <w:spacing w:before="120"/>
        <w:rPr>
          <w:snapToGrid w:val="0"/>
        </w:rPr>
      </w:pPr>
      <w:bookmarkStart w:id="13" w:name="_Toc375130827"/>
      <w:r>
        <w:rPr>
          <w:rStyle w:val="CharSectno"/>
        </w:rPr>
        <w:t>9</w:t>
      </w:r>
      <w:r>
        <w:rPr>
          <w:snapToGrid w:val="0"/>
        </w:rPr>
        <w:t>.</w:t>
      </w:r>
      <w:r>
        <w:rPr>
          <w:snapToGrid w:val="0"/>
        </w:rPr>
        <w:tab/>
        <w:t>Administrative responsibility</w:t>
      </w:r>
      <w:bookmarkEnd w:id="13"/>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spacing w:before="120"/>
        <w:rPr>
          <w:snapToGrid w:val="0"/>
        </w:rPr>
      </w:pPr>
      <w:bookmarkStart w:id="14" w:name="_Toc375130828"/>
      <w:r>
        <w:rPr>
          <w:rStyle w:val="CharSectno"/>
        </w:rPr>
        <w:t>10</w:t>
      </w:r>
      <w:r>
        <w:rPr>
          <w:snapToGrid w:val="0"/>
        </w:rPr>
        <w:t>.</w:t>
      </w:r>
      <w:r>
        <w:rPr>
          <w:snapToGrid w:val="0"/>
        </w:rPr>
        <w:tab/>
        <w:t>Dogs not kept in a district</w:t>
      </w:r>
      <w:bookmarkEnd w:id="1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spacing w:before="120"/>
      </w:pPr>
      <w:bookmarkStart w:id="15" w:name="_Toc375130829"/>
      <w:r>
        <w:rPr>
          <w:rStyle w:val="CharSectno"/>
        </w:rPr>
        <w:t>10AA</w:t>
      </w:r>
      <w:r>
        <w:t>.</w:t>
      </w:r>
      <w:r>
        <w:tab/>
        <w:t xml:space="preserve">Delegation of </w:t>
      </w:r>
      <w:r>
        <w:rPr>
          <w:snapToGrid w:val="0"/>
        </w:rPr>
        <w:t>local</w:t>
      </w:r>
      <w:r>
        <w:t xml:space="preserve"> government powers and duties</w:t>
      </w:r>
      <w:bookmarkEnd w:id="15"/>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A local government’s chief executive officer who is exercising or performing a power or duty that has been delegated as authorised under this section, is to be taken to do so in accordance with the terms of the delegation unless the contrary is shown.</w:t>
      </w:r>
    </w:p>
    <w:p>
      <w:pPr>
        <w:pStyle w:val="Subsection"/>
        <w:pageBreakBefore/>
      </w:pPr>
      <w:r>
        <w:tab/>
        <w:t>(5)</w:t>
      </w:r>
      <w:r>
        <w:tab/>
        <w:t>Nothing in this section limits the ability of a local government’s chief executive officer to perform a function through an officer or agent.</w:t>
      </w:r>
    </w:p>
    <w:p>
      <w:pPr>
        <w:pStyle w:val="Footnotesection"/>
      </w:pPr>
      <w:r>
        <w:tab/>
        <w:t xml:space="preserve">[Section 10AA inserted by No. 18 of 2013 s. 8.] </w:t>
      </w:r>
    </w:p>
    <w:p>
      <w:pPr>
        <w:pStyle w:val="Heading5"/>
      </w:pPr>
      <w:bookmarkStart w:id="16" w:name="_Toc375130830"/>
      <w:r>
        <w:rPr>
          <w:rStyle w:val="CharSectno"/>
        </w:rPr>
        <w:t>10AB</w:t>
      </w:r>
      <w:r>
        <w:t>.</w:t>
      </w:r>
      <w:r>
        <w:tab/>
        <w:t>Register of, and review of, delegations</w:t>
      </w:r>
      <w:bookmarkEnd w:id="16"/>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 xml:space="preserve">[Section 10AB inserted by No. 18 of 2013 s. 8.] </w:t>
      </w:r>
    </w:p>
    <w:p>
      <w:pPr>
        <w:pStyle w:val="Heading5"/>
        <w:rPr>
          <w:snapToGrid w:val="0"/>
        </w:rPr>
      </w:pPr>
      <w:bookmarkStart w:id="17" w:name="_Toc375130831"/>
      <w:r>
        <w:rPr>
          <w:rStyle w:val="CharSectno"/>
        </w:rPr>
        <w:t>10A</w:t>
      </w:r>
      <w:r>
        <w:rPr>
          <w:snapToGrid w:val="0"/>
        </w:rPr>
        <w:t>.</w:t>
      </w:r>
      <w:r>
        <w:rPr>
          <w:snapToGrid w:val="0"/>
        </w:rPr>
        <w:tab/>
        <w:t>Payments to veterinary surgeons towards cost of sterilization</w:t>
      </w:r>
      <w:bookmarkEnd w:id="17"/>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18" w:name="_Toc375130832"/>
      <w:r>
        <w:rPr>
          <w:rStyle w:val="CharSectno"/>
        </w:rPr>
        <w:t>11</w:t>
      </w:r>
      <w:r>
        <w:rPr>
          <w:snapToGrid w:val="0"/>
        </w:rPr>
        <w:t>.</w:t>
      </w:r>
      <w:r>
        <w:rPr>
          <w:snapToGrid w:val="0"/>
        </w:rPr>
        <w:tab/>
        <w:t>Staff and services</w:t>
      </w:r>
      <w:bookmarkEnd w:id="18"/>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No. 18 of 2013 s. 9.] </w:t>
      </w:r>
    </w:p>
    <w:p>
      <w:pPr>
        <w:pStyle w:val="Heading5"/>
        <w:rPr>
          <w:snapToGrid w:val="0"/>
        </w:rPr>
      </w:pPr>
      <w:bookmarkStart w:id="19" w:name="_Toc375130833"/>
      <w:r>
        <w:rPr>
          <w:rStyle w:val="CharSectno"/>
        </w:rPr>
        <w:t>12</w:t>
      </w:r>
      <w:r>
        <w:rPr>
          <w:snapToGrid w:val="0"/>
        </w:rPr>
        <w:t>.</w:t>
      </w:r>
      <w:r>
        <w:rPr>
          <w:snapToGrid w:val="0"/>
        </w:rPr>
        <w:tab/>
        <w:t>Joint jurisdiction</w:t>
      </w:r>
      <w:bookmarkEnd w:id="19"/>
      <w:r>
        <w:rPr>
          <w:snapToGrid w:val="0"/>
        </w:rPr>
        <w:t xml:space="preserve"> </w:t>
      </w:r>
    </w:p>
    <w:p>
      <w:pPr>
        <w:pStyle w:val="Subsection"/>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rPr>
          <w:snapToGrid w:val="0"/>
        </w:rPr>
      </w:pPr>
      <w:bookmarkStart w:id="20" w:name="_Toc375130834"/>
      <w:r>
        <w:rPr>
          <w:rStyle w:val="CharSectno"/>
        </w:rPr>
        <w:t>12A</w:t>
      </w:r>
      <w:r>
        <w:rPr>
          <w:snapToGrid w:val="0"/>
        </w:rPr>
        <w:t>.</w:t>
      </w:r>
      <w:r>
        <w:rPr>
          <w:snapToGrid w:val="0"/>
        </w:rPr>
        <w:tab/>
        <w:t>Entry of premises</w:t>
      </w:r>
      <w:bookmarkEnd w:id="20"/>
      <w:r>
        <w:rPr>
          <w:snapToGrid w:val="0"/>
        </w:rPr>
        <w:t xml:space="preserve"> </w:t>
      </w:r>
    </w:p>
    <w:p>
      <w:pPr>
        <w:pStyle w:val="Subsection"/>
        <w:rPr>
          <w:snapToGrid w:val="0"/>
        </w:rPr>
      </w:pPr>
      <w:r>
        <w:rPr>
          <w:snapToGrid w:val="0"/>
        </w:rPr>
        <w:tab/>
        <w:t>(1)</w:t>
      </w:r>
      <w:r>
        <w:rPr>
          <w:snapToGrid w:val="0"/>
        </w:rPr>
        <w:tab/>
        <w:t>A registration officer may, with the consent of the occupier, enter and inspect — </w:t>
      </w:r>
    </w:p>
    <w:p>
      <w:pPr>
        <w:pStyle w:val="Indenta"/>
      </w:pPr>
      <w:r>
        <w:tab/>
        <w:t>(a)</w:t>
      </w:r>
      <w:r>
        <w:tab/>
        <w:t xml:space="preserve">any premises — </w:t>
      </w:r>
    </w:p>
    <w:p>
      <w:pPr>
        <w:pStyle w:val="Indenti"/>
      </w:pPr>
      <w:r>
        <w:tab/>
        <w:t>(i)</w:t>
      </w:r>
      <w:r>
        <w:tab/>
        <w:t>where a dog is registered to be ordinarily kept; or</w:t>
      </w:r>
    </w:p>
    <w:p>
      <w:pPr>
        <w:pStyle w:val="Indenti"/>
      </w:pPr>
      <w:r>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pPr>
      <w:r>
        <w:tab/>
        <w:t>(b)</w:t>
      </w:r>
      <w:r>
        <w:tab/>
        <w:t>any premises, for the purpose of ascertaining whether a dog that is reasonably suspected to be in or at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 xml:space="preserve">[Section 12A inserted by No. 23 of 1987 s. 11; amended by No. 18 of 2013 s. 10.] </w:t>
      </w:r>
    </w:p>
    <w:p>
      <w:pPr>
        <w:pStyle w:val="Heading5"/>
        <w:rPr>
          <w:snapToGrid w:val="0"/>
        </w:rPr>
      </w:pPr>
      <w:bookmarkStart w:id="21" w:name="_Toc375130835"/>
      <w:r>
        <w:rPr>
          <w:rStyle w:val="CharSectno"/>
        </w:rPr>
        <w:t>13</w:t>
      </w:r>
      <w:r>
        <w:rPr>
          <w:snapToGrid w:val="0"/>
        </w:rPr>
        <w:t>.</w:t>
      </w:r>
      <w:r>
        <w:rPr>
          <w:snapToGrid w:val="0"/>
        </w:rPr>
        <w:tab/>
        <w:t>Immunity of persons acting in good faith</w:t>
      </w:r>
      <w:bookmarkEnd w:id="21"/>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22" w:name="_Toc375130616"/>
      <w:bookmarkStart w:id="23" w:name="_Toc375130726"/>
      <w:bookmarkStart w:id="24" w:name="_Toc375130836"/>
      <w:r>
        <w:rPr>
          <w:rStyle w:val="CharPartNo"/>
        </w:rPr>
        <w:t>Part III</w:t>
      </w:r>
      <w:r>
        <w:rPr>
          <w:b w:val="0"/>
        </w:rPr>
        <w:t> </w:t>
      </w:r>
      <w:r>
        <w:t>—</w:t>
      </w:r>
      <w:r>
        <w:rPr>
          <w:b w:val="0"/>
        </w:rPr>
        <w:t> </w:t>
      </w:r>
      <w:r>
        <w:rPr>
          <w:rStyle w:val="CharPartText"/>
        </w:rPr>
        <w:t>Registration and identification</w:t>
      </w:r>
      <w:bookmarkEnd w:id="22"/>
      <w:bookmarkEnd w:id="23"/>
      <w:bookmarkEnd w:id="24"/>
    </w:p>
    <w:p>
      <w:pPr>
        <w:pStyle w:val="Footnoteheading"/>
      </w:pPr>
      <w:r>
        <w:tab/>
        <w:t xml:space="preserve">[Heading inserted by No. 18 of 2013 s. 11.] </w:t>
      </w:r>
    </w:p>
    <w:p>
      <w:pPr>
        <w:pStyle w:val="Heading3"/>
      </w:pPr>
      <w:bookmarkStart w:id="25" w:name="_Toc375130617"/>
      <w:bookmarkStart w:id="26" w:name="_Toc375130727"/>
      <w:bookmarkStart w:id="27" w:name="_Toc375130837"/>
      <w:r>
        <w:rPr>
          <w:rStyle w:val="CharDivNo"/>
        </w:rPr>
        <w:t>Division 1</w:t>
      </w:r>
      <w:r>
        <w:t> — </w:t>
      </w:r>
      <w:r>
        <w:rPr>
          <w:rStyle w:val="CharDivText"/>
        </w:rPr>
        <w:t>Registration</w:t>
      </w:r>
      <w:bookmarkEnd w:id="25"/>
      <w:bookmarkEnd w:id="26"/>
      <w:bookmarkEnd w:id="27"/>
    </w:p>
    <w:p>
      <w:pPr>
        <w:pStyle w:val="Footnoteheading"/>
      </w:pPr>
      <w:r>
        <w:tab/>
        <w:t xml:space="preserve">[Heading inserted by No. 18 of 2013 s. 11.] </w:t>
      </w:r>
    </w:p>
    <w:p>
      <w:pPr>
        <w:pStyle w:val="Heading5"/>
      </w:pPr>
      <w:bookmarkStart w:id="28" w:name="_Toc375130838"/>
      <w:r>
        <w:rPr>
          <w:rStyle w:val="CharSectno"/>
        </w:rPr>
        <w:t>14</w:t>
      </w:r>
      <w:r>
        <w:t>.</w:t>
      </w:r>
      <w:r>
        <w:tab/>
        <w:t>Register of dogs</w:t>
      </w:r>
      <w:bookmarkEnd w:id="28"/>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 by No. 18 of 2013 s. 12.]</w:t>
      </w:r>
    </w:p>
    <w:p>
      <w:pPr>
        <w:pStyle w:val="Heading5"/>
        <w:rPr>
          <w:snapToGrid w:val="0"/>
        </w:rPr>
      </w:pPr>
      <w:bookmarkStart w:id="29" w:name="_Toc375130839"/>
      <w:r>
        <w:rPr>
          <w:rStyle w:val="CharSectno"/>
        </w:rPr>
        <w:t>15</w:t>
      </w:r>
      <w:r>
        <w:rPr>
          <w:snapToGrid w:val="0"/>
        </w:rPr>
        <w:t>.</w:t>
      </w:r>
      <w:r>
        <w:rPr>
          <w:snapToGrid w:val="0"/>
        </w:rPr>
        <w:tab/>
        <w:t>Registration periods and fees</w:t>
      </w:r>
      <w:bookmarkEnd w:id="29"/>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spacing w:before="100"/>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spacing w:before="100"/>
      </w:pPr>
      <w:r>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in respect of a dog that is proved, in such manner as is prescribed, to have been sterilized;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 xml:space="preserve">[Section 15 amended by No. 57 of 1977 s. 3; No. 23 of 1987 s. 13; No. 18 of 2013 s. 13.] </w:t>
      </w:r>
    </w:p>
    <w:p>
      <w:pPr>
        <w:pStyle w:val="Heading5"/>
        <w:rPr>
          <w:snapToGrid w:val="0"/>
        </w:rPr>
      </w:pPr>
      <w:bookmarkStart w:id="30" w:name="_Toc375130840"/>
      <w:r>
        <w:rPr>
          <w:rStyle w:val="CharSectno"/>
        </w:rPr>
        <w:t>16</w:t>
      </w:r>
      <w:r>
        <w:rPr>
          <w:snapToGrid w:val="0"/>
        </w:rPr>
        <w:t>.</w:t>
      </w:r>
      <w:r>
        <w:rPr>
          <w:snapToGrid w:val="0"/>
        </w:rPr>
        <w:tab/>
        <w:t>Registration procedure</w:t>
      </w:r>
      <w:bookmarkEnd w:id="30"/>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pPr>
      <w:r>
        <w:tab/>
        <w:t>(a)</w:t>
      </w:r>
      <w:r>
        <w:tab/>
        <w:t>the registration officer of the local government district in which a dog is registered in the person’s name is to cancel the registration of the dog in the person’s name; and</w:t>
      </w:r>
    </w:p>
    <w:p>
      <w:pPr>
        <w:pStyle w:val="Indenta"/>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para"/>
      </w:pPr>
      <w:r>
        <w:tab/>
        <w:t>[(e)</w:t>
      </w:r>
      <w:r>
        <w:tab/>
        <w:t>deleted]</w:t>
      </w:r>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 xml:space="preserve">[Section 16 amended by No. 23 of 1987 s. 14 and 44; No. 14 of 1996 s. 4; No. 24 of 1996 s. 6; No. 10 of 1998 s. 29(1); No. 18 of 2013 s. 14.] </w:t>
      </w:r>
    </w:p>
    <w:p>
      <w:pPr>
        <w:pStyle w:val="Heading5"/>
      </w:pPr>
      <w:bookmarkStart w:id="31" w:name="_Toc375130841"/>
      <w:r>
        <w:rPr>
          <w:rStyle w:val="CharSectno"/>
        </w:rPr>
        <w:t>16AA</w:t>
      </w:r>
      <w:r>
        <w:rPr>
          <w:snapToGrid w:val="0"/>
        </w:rPr>
        <w:t>.</w:t>
      </w:r>
      <w:r>
        <w:rPr>
          <w:snapToGrid w:val="0"/>
        </w:rPr>
        <w:tab/>
        <w:t>Owner’s delegate</w:t>
      </w:r>
      <w:bookmarkEnd w:id="31"/>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 by No. 18 of 2013 s. 15.]</w:t>
      </w:r>
    </w:p>
    <w:p>
      <w:pPr>
        <w:pStyle w:val="Heading5"/>
        <w:rPr>
          <w:snapToGrid w:val="0"/>
        </w:rPr>
      </w:pPr>
      <w:bookmarkStart w:id="32" w:name="_Toc375130842"/>
      <w:r>
        <w:rPr>
          <w:rStyle w:val="CharSectno"/>
        </w:rPr>
        <w:t>16A</w:t>
      </w:r>
      <w:r>
        <w:rPr>
          <w:snapToGrid w:val="0"/>
        </w:rPr>
        <w:t>.</w:t>
      </w:r>
      <w:r>
        <w:rPr>
          <w:snapToGrid w:val="0"/>
        </w:rPr>
        <w:tab/>
        <w:t>Change of ownership</w:t>
      </w:r>
      <w:bookmarkEnd w:id="32"/>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No. 18 of 2013 s. 16.] </w:t>
      </w:r>
    </w:p>
    <w:p>
      <w:pPr>
        <w:pStyle w:val="Heading5"/>
      </w:pPr>
      <w:bookmarkStart w:id="33" w:name="_Toc375130843"/>
      <w:r>
        <w:rPr>
          <w:rStyle w:val="CharSectno"/>
        </w:rPr>
        <w:t>17A</w:t>
      </w:r>
      <w:r>
        <w:t>.</w:t>
      </w:r>
      <w:r>
        <w:tab/>
        <w:t>If no application for registration made</w:t>
      </w:r>
      <w:bookmarkEnd w:id="33"/>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 xml:space="preserve">[Section 17A inserted by No. 18 of 2013 s. 17.] </w:t>
      </w:r>
    </w:p>
    <w:p>
      <w:pPr>
        <w:pStyle w:val="Heading5"/>
        <w:rPr>
          <w:snapToGrid w:val="0"/>
        </w:rPr>
      </w:pPr>
      <w:bookmarkStart w:id="34" w:name="_Toc375130844"/>
      <w:r>
        <w:rPr>
          <w:rStyle w:val="CharSectno"/>
        </w:rPr>
        <w:t>17</w:t>
      </w:r>
      <w:r>
        <w:rPr>
          <w:snapToGrid w:val="0"/>
        </w:rPr>
        <w:t>.</w:t>
      </w:r>
      <w:r>
        <w:rPr>
          <w:snapToGrid w:val="0"/>
        </w:rPr>
        <w:tab/>
        <w:t>Refusal or cancellation of registration</w:t>
      </w:r>
      <w:bookmarkEnd w:id="34"/>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rPr>
          <w:snapToGrid w:val="0"/>
        </w:rPr>
      </w:pPr>
      <w:r>
        <w:rPr>
          <w:snapToGrid w:val="0"/>
        </w:rPr>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 xml:space="preserve">[Section 17 amended by No. 23 of 1987 s. 16; No. 14 of 1996 s. 4; No. 55 of 2004 s. 255; No. 18 of 2013 s. 18.] </w:t>
      </w:r>
    </w:p>
    <w:p>
      <w:pPr>
        <w:pStyle w:val="Heading5"/>
        <w:spacing w:before="180"/>
        <w:rPr>
          <w:snapToGrid w:val="0"/>
        </w:rPr>
      </w:pPr>
      <w:bookmarkStart w:id="35" w:name="_Toc375130845"/>
      <w:r>
        <w:rPr>
          <w:rStyle w:val="CharSectno"/>
        </w:rPr>
        <w:t>18</w:t>
      </w:r>
      <w:r>
        <w:rPr>
          <w:snapToGrid w:val="0"/>
        </w:rPr>
        <w:t>.</w:t>
      </w:r>
      <w:r>
        <w:rPr>
          <w:snapToGrid w:val="0"/>
        </w:rPr>
        <w:tab/>
        <w:t>Registration tags</w:t>
      </w:r>
      <w:bookmarkEnd w:id="35"/>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to in section 15(2)(b), </w:t>
      </w:r>
      <w:r>
        <w:rPr>
          <w:snapToGrid w:val="0"/>
        </w:rPr>
        <w:t>specify the colour of registration tags for that registration period or extended registration period.</w:t>
      </w:r>
    </w:p>
    <w:p>
      <w:pPr>
        <w:pStyle w:val="Subsection"/>
        <w:keepNext/>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amended by No. 18 of 2013 s. 19.] </w:t>
      </w:r>
    </w:p>
    <w:p>
      <w:pPr>
        <w:pStyle w:val="Heading5"/>
        <w:spacing w:before="180"/>
        <w:rPr>
          <w:snapToGrid w:val="0"/>
        </w:rPr>
      </w:pPr>
      <w:bookmarkStart w:id="36" w:name="_Toc375130846"/>
      <w:r>
        <w:rPr>
          <w:rStyle w:val="CharSectno"/>
        </w:rPr>
        <w:t>19</w:t>
      </w:r>
      <w:r>
        <w:rPr>
          <w:snapToGrid w:val="0"/>
        </w:rPr>
        <w:t>.</w:t>
      </w:r>
      <w:r>
        <w:rPr>
          <w:snapToGrid w:val="0"/>
        </w:rPr>
        <w:tab/>
        <w:t>Refund of fee on cancellation</w:t>
      </w:r>
      <w:bookmarkEnd w:id="36"/>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keepNext w:val="0"/>
        <w:spacing w:before="180"/>
        <w:rPr>
          <w:snapToGrid w:val="0"/>
        </w:rPr>
      </w:pPr>
      <w:bookmarkStart w:id="37" w:name="_Toc375130847"/>
      <w:r>
        <w:rPr>
          <w:rStyle w:val="CharSectno"/>
        </w:rPr>
        <w:t>20</w:t>
      </w:r>
      <w:r>
        <w:rPr>
          <w:snapToGrid w:val="0"/>
        </w:rPr>
        <w:t>.</w:t>
      </w:r>
      <w:r>
        <w:rPr>
          <w:snapToGrid w:val="0"/>
        </w:rPr>
        <w:tab/>
        <w:t>Offences relating to registration, etc.</w:t>
      </w:r>
      <w:bookmarkEnd w:id="37"/>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80"/>
        <w:rPr>
          <w:snapToGrid w:val="0"/>
        </w:rPr>
      </w:pPr>
      <w:r>
        <w:rPr>
          <w:snapToGrid w:val="0"/>
        </w:rPr>
        <w:tab/>
      </w:r>
      <w:r>
        <w:rPr>
          <w:snapToGrid w:val="0"/>
        </w:rPr>
        <w:tab/>
        <w:t>commits an offence.</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pPr>
      <w:r>
        <w:tab/>
        <w:t>Penalty: a fine of $5 000.</w:t>
      </w:r>
    </w:p>
    <w:p>
      <w:pPr>
        <w:pStyle w:val="Footnotesection"/>
        <w:keepNext/>
      </w:pPr>
      <w:r>
        <w:tab/>
        <w:t xml:space="preserve">[Section 20 amended by No. 23 of 1987 s. 19 and 44; No. 14 of 1996 s. 4; No. 24 of 1996 s. 16; No. 18 of 2013 s. 20.] </w:t>
      </w:r>
    </w:p>
    <w:p>
      <w:pPr>
        <w:pStyle w:val="Heading3"/>
      </w:pPr>
      <w:bookmarkStart w:id="38" w:name="_Toc375130628"/>
      <w:bookmarkStart w:id="39" w:name="_Toc375130738"/>
      <w:bookmarkStart w:id="40" w:name="_Toc375130848"/>
      <w:r>
        <w:rPr>
          <w:rStyle w:val="CharDivNo"/>
        </w:rPr>
        <w:t>Division 2</w:t>
      </w:r>
      <w:r>
        <w:t> — </w:t>
      </w:r>
      <w:r>
        <w:rPr>
          <w:rStyle w:val="CharDivText"/>
        </w:rPr>
        <w:t>Microchipping</w:t>
      </w:r>
      <w:bookmarkEnd w:id="38"/>
      <w:bookmarkEnd w:id="39"/>
      <w:bookmarkEnd w:id="40"/>
    </w:p>
    <w:p>
      <w:pPr>
        <w:pStyle w:val="Footnoteheading"/>
        <w:keepNext/>
      </w:pPr>
      <w:r>
        <w:tab/>
        <w:t xml:space="preserve">[Heading inserted by No. 18 of 2013 s. 21.] </w:t>
      </w:r>
    </w:p>
    <w:p>
      <w:pPr>
        <w:pStyle w:val="Heading5"/>
      </w:pPr>
      <w:bookmarkStart w:id="41" w:name="_Toc375130849"/>
      <w:r>
        <w:rPr>
          <w:rStyle w:val="CharSectno"/>
        </w:rPr>
        <w:t>21</w:t>
      </w:r>
      <w:r>
        <w:t>.</w:t>
      </w:r>
      <w:r>
        <w:tab/>
        <w:t>Microchipping of dogs other than dangerous dogs</w:t>
      </w:r>
      <w:bookmarkEnd w:id="41"/>
    </w:p>
    <w:p>
      <w:pPr>
        <w:pStyle w:val="Subsection"/>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pPr>
      <w:r>
        <w:tab/>
        <w:t>(b)</w:t>
      </w:r>
      <w:r>
        <w:tab/>
        <w:t>the dog was not registered under this Act or the law of another State or a Territory so that its registration was in effect on 31 October 2013.</w:t>
      </w:r>
    </w:p>
    <w:p>
      <w:pPr>
        <w:pStyle w:val="Penstar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pPr>
      <w:r>
        <w:tab/>
        <w:t xml:space="preserve">[Section 21 inserted by No. 18 of 2013 s. 21.] </w:t>
      </w:r>
    </w:p>
    <w:p>
      <w:pPr>
        <w:pStyle w:val="Heading5"/>
      </w:pPr>
      <w:bookmarkStart w:id="42" w:name="_Toc375130850"/>
      <w:r>
        <w:rPr>
          <w:rStyle w:val="CharSectno"/>
        </w:rPr>
        <w:t>22</w:t>
      </w:r>
      <w:r>
        <w:t>.</w:t>
      </w:r>
      <w:r>
        <w:tab/>
        <w:t>Microchipping of dangerous dogs</w:t>
      </w:r>
      <w:bookmarkEnd w:id="42"/>
    </w:p>
    <w:p>
      <w:pPr>
        <w:pStyle w:val="Subsection"/>
        <w:keepNext/>
      </w:pPr>
      <w:r>
        <w:tab/>
        <w:t>(1)</w:t>
      </w:r>
      <w:r>
        <w:tab/>
        <w:t xml:space="preserve">In this section — </w:t>
      </w:r>
    </w:p>
    <w:p>
      <w:pPr>
        <w:pStyle w:val="Defstart"/>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p>
    <w:p>
      <w:pPr>
        <w:pStyle w:val="Subsection"/>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 xml:space="preserve">Subsection (2) does not apply in relation to a dangerous dog (declared) — </w:t>
      </w:r>
    </w:p>
    <w:p>
      <w:pPr>
        <w:pStyle w:val="Indenta"/>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dangerous dog that is under 3 months of age.</w:t>
      </w:r>
    </w:p>
    <w:p>
      <w:pPr>
        <w:pStyle w:val="Subsection"/>
        <w:keepNext/>
      </w:pPr>
      <w:r>
        <w:tab/>
        <w:t>(6)</w:t>
      </w:r>
      <w:r>
        <w:tab/>
        <w:t>Nothing in subsection (3) affects the operation of section 21(1) or (2) in relation to a particular dog.</w:t>
      </w:r>
    </w:p>
    <w:p>
      <w:pPr>
        <w:pStyle w:val="Footnotesection"/>
      </w:pPr>
      <w:r>
        <w:tab/>
        <w:t xml:space="preserve">[Section 22 inserted by No. 18 of 2013 s. 21.] </w:t>
      </w:r>
    </w:p>
    <w:p>
      <w:pPr>
        <w:pStyle w:val="Heading5"/>
      </w:pPr>
      <w:bookmarkStart w:id="43" w:name="_Toc375130851"/>
      <w:r>
        <w:rPr>
          <w:rStyle w:val="CharSectno"/>
        </w:rPr>
        <w:t>23</w:t>
      </w:r>
      <w:r>
        <w:t>.</w:t>
      </w:r>
      <w:r>
        <w:tab/>
        <w:t>Notice to be given of microchip information</w:t>
      </w:r>
      <w:bookmarkEnd w:id="43"/>
    </w:p>
    <w:p>
      <w:pPr>
        <w:pStyle w:val="Subsection"/>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 xml:space="preserve">[Section 23 inserted by No. 18 of 2013 s. 21.] </w:t>
      </w:r>
    </w:p>
    <w:p>
      <w:pPr>
        <w:pStyle w:val="Heading5"/>
      </w:pPr>
      <w:bookmarkStart w:id="44" w:name="_Toc375130852"/>
      <w:r>
        <w:rPr>
          <w:rStyle w:val="CharSectno"/>
        </w:rPr>
        <w:t>24</w:t>
      </w:r>
      <w:r>
        <w:t>.</w:t>
      </w:r>
      <w:r>
        <w:tab/>
        <w:t>Microchip implanter to give information to microchip database company</w:t>
      </w:r>
      <w:bookmarkEnd w:id="44"/>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 xml:space="preserve">[Section 24 inserted by No. 18 of 2013 s. 21.] </w:t>
      </w:r>
    </w:p>
    <w:p>
      <w:pPr>
        <w:pStyle w:val="Heading5"/>
      </w:pPr>
      <w:bookmarkStart w:id="45" w:name="_Toc375130853"/>
      <w:r>
        <w:rPr>
          <w:rStyle w:val="CharSectno"/>
        </w:rPr>
        <w:t>25</w:t>
      </w:r>
      <w:r>
        <w:t>.</w:t>
      </w:r>
      <w:r>
        <w:tab/>
        <w:t>Microchip database company’s obligations</w:t>
      </w:r>
      <w:bookmarkEnd w:id="45"/>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 xml:space="preserve">[Section 25 inserted by No. 18 of 2013 s. 21.] </w:t>
      </w:r>
    </w:p>
    <w:p>
      <w:pPr>
        <w:pStyle w:val="Heading5"/>
      </w:pPr>
      <w:bookmarkStart w:id="46" w:name="_Toc375130854"/>
      <w:r>
        <w:rPr>
          <w:rStyle w:val="CharSectno"/>
        </w:rPr>
        <w:t>26A</w:t>
      </w:r>
      <w:r>
        <w:t>.</w:t>
      </w:r>
      <w:r>
        <w:tab/>
        <w:t>Interference with microchips</w:t>
      </w:r>
      <w:bookmarkEnd w:id="46"/>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 xml:space="preserve">[Section 26A inserted by No. 18 of 2013 s. 21.] </w:t>
      </w:r>
    </w:p>
    <w:p>
      <w:pPr>
        <w:pStyle w:val="Heading5"/>
      </w:pPr>
      <w:bookmarkStart w:id="47" w:name="_Toc375130855"/>
      <w:r>
        <w:rPr>
          <w:rStyle w:val="CharSectno"/>
        </w:rPr>
        <w:t>26B</w:t>
      </w:r>
      <w:r>
        <w:t>.</w:t>
      </w:r>
      <w:r>
        <w:tab/>
        <w:t>Transfer of ownership of unmicrochipped dogs</w:t>
      </w:r>
      <w:bookmarkEnd w:id="47"/>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 xml:space="preserve">[Section 26B inserted by No. 18 of 2013 s. 21.] </w:t>
      </w:r>
    </w:p>
    <w:p>
      <w:pPr>
        <w:pStyle w:val="Heading5"/>
      </w:pPr>
      <w:bookmarkStart w:id="48" w:name="_Toc375130856"/>
      <w:r>
        <w:rPr>
          <w:rStyle w:val="CharSectno"/>
        </w:rPr>
        <w:t>26C</w:t>
      </w:r>
      <w:r>
        <w:t>.</w:t>
      </w:r>
      <w:r>
        <w:tab/>
        <w:t>Transfer of ownership of microchipped dogs</w:t>
      </w:r>
      <w:bookmarkEnd w:id="48"/>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 xml:space="preserve">[Section 26C inserted by No. 18 of 2013 s. 21.] </w:t>
      </w:r>
    </w:p>
    <w:p>
      <w:pPr>
        <w:pStyle w:val="Heading3"/>
      </w:pPr>
      <w:bookmarkStart w:id="49" w:name="_Toc375130637"/>
      <w:bookmarkStart w:id="50" w:name="_Toc375130747"/>
      <w:bookmarkStart w:id="51" w:name="_Toc375130857"/>
      <w:r>
        <w:rPr>
          <w:rStyle w:val="CharDivNo"/>
        </w:rPr>
        <w:t>Division 3</w:t>
      </w:r>
      <w:r>
        <w:t> — </w:t>
      </w:r>
      <w:r>
        <w:rPr>
          <w:rStyle w:val="CharDivText"/>
        </w:rPr>
        <w:t>Changes to recorded information</w:t>
      </w:r>
      <w:bookmarkEnd w:id="49"/>
      <w:bookmarkEnd w:id="50"/>
      <w:bookmarkEnd w:id="51"/>
    </w:p>
    <w:p>
      <w:pPr>
        <w:pStyle w:val="Footnoteheading"/>
      </w:pPr>
      <w:r>
        <w:tab/>
        <w:t xml:space="preserve">[Heading inserted by No. 18 of 2013 s. 21.] </w:t>
      </w:r>
    </w:p>
    <w:p>
      <w:pPr>
        <w:pStyle w:val="Heading5"/>
      </w:pPr>
      <w:bookmarkStart w:id="52" w:name="_Toc375130858"/>
      <w:r>
        <w:rPr>
          <w:rStyle w:val="CharSectno"/>
        </w:rPr>
        <w:t>26D</w:t>
      </w:r>
      <w:r>
        <w:t>.</w:t>
      </w:r>
      <w:r>
        <w:tab/>
        <w:t>Notice to be given of changes to recorded information</w:t>
      </w:r>
      <w:bookmarkEnd w:id="52"/>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 xml:space="preserve">[Section 26D inserted by No. 18 of 2013 s. 21.] </w:t>
      </w:r>
    </w:p>
    <w:p>
      <w:pPr>
        <w:pStyle w:val="Heading2"/>
      </w:pPr>
      <w:bookmarkStart w:id="53" w:name="_Toc375130639"/>
      <w:bookmarkStart w:id="54" w:name="_Toc375130749"/>
      <w:bookmarkStart w:id="55" w:name="_Toc375130859"/>
      <w:r>
        <w:rPr>
          <w:rStyle w:val="CharPartNo"/>
        </w:rPr>
        <w:t>Part V</w:t>
      </w:r>
      <w:r>
        <w:rPr>
          <w:rStyle w:val="CharDivNo"/>
        </w:rPr>
        <w:t> </w:t>
      </w:r>
      <w:r>
        <w:t>—</w:t>
      </w:r>
      <w:r>
        <w:rPr>
          <w:rStyle w:val="CharDivText"/>
        </w:rPr>
        <w:t> </w:t>
      </w:r>
      <w:r>
        <w:rPr>
          <w:rStyle w:val="CharPartText"/>
        </w:rPr>
        <w:t>The keeping of dogs</w:t>
      </w:r>
      <w:bookmarkEnd w:id="53"/>
      <w:bookmarkEnd w:id="54"/>
      <w:bookmarkEnd w:id="55"/>
      <w:r>
        <w:rPr>
          <w:rStyle w:val="CharPartText"/>
        </w:rPr>
        <w:t xml:space="preserve"> </w:t>
      </w:r>
    </w:p>
    <w:p>
      <w:pPr>
        <w:pStyle w:val="Heading5"/>
        <w:spacing w:before="120"/>
        <w:rPr>
          <w:snapToGrid w:val="0"/>
        </w:rPr>
      </w:pPr>
      <w:bookmarkStart w:id="56" w:name="_Toc375130860"/>
      <w:r>
        <w:rPr>
          <w:rStyle w:val="CharSectno"/>
        </w:rPr>
        <w:t>26</w:t>
      </w:r>
      <w:r>
        <w:rPr>
          <w:snapToGrid w:val="0"/>
        </w:rPr>
        <w:t>.</w:t>
      </w:r>
      <w:r>
        <w:rPr>
          <w:snapToGrid w:val="0"/>
        </w:rPr>
        <w:tab/>
        <w:t>Limitation as to numbers</w:t>
      </w:r>
      <w:bookmarkEnd w:id="56"/>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pPr>
      <w:r>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No. 18 of 2013 s. 22.] </w:t>
      </w:r>
    </w:p>
    <w:p>
      <w:pPr>
        <w:pStyle w:val="Heading5"/>
        <w:rPr>
          <w:snapToGrid w:val="0"/>
        </w:rPr>
      </w:pPr>
      <w:bookmarkStart w:id="57" w:name="_Toc375130861"/>
      <w:r>
        <w:rPr>
          <w:rStyle w:val="CharSectno"/>
        </w:rPr>
        <w:t>27</w:t>
      </w:r>
      <w:r>
        <w:rPr>
          <w:snapToGrid w:val="0"/>
        </w:rPr>
        <w:t>.</w:t>
      </w:r>
      <w:r>
        <w:rPr>
          <w:snapToGrid w:val="0"/>
        </w:rPr>
        <w:tab/>
        <w:t>Licensing of approved kennel establishments</w:t>
      </w:r>
      <w:bookmarkEnd w:id="57"/>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No. 18 of 2013 s. 23.] </w:t>
      </w:r>
    </w:p>
    <w:p>
      <w:pPr>
        <w:pStyle w:val="Heading2"/>
      </w:pPr>
      <w:bookmarkStart w:id="58" w:name="_Toc375130642"/>
      <w:bookmarkStart w:id="59" w:name="_Toc375130752"/>
      <w:bookmarkStart w:id="60" w:name="_Toc375130862"/>
      <w:r>
        <w:rPr>
          <w:rStyle w:val="CharPartNo"/>
        </w:rPr>
        <w:t>Part VI</w:t>
      </w:r>
      <w:r>
        <w:t> — </w:t>
      </w:r>
      <w:r>
        <w:rPr>
          <w:rStyle w:val="CharPartText"/>
        </w:rPr>
        <w:t>Control of dogs</w:t>
      </w:r>
      <w:bookmarkEnd w:id="58"/>
      <w:bookmarkEnd w:id="59"/>
      <w:bookmarkEnd w:id="60"/>
      <w:r>
        <w:rPr>
          <w:rStyle w:val="CharPartText"/>
        </w:rPr>
        <w:t xml:space="preserve"> </w:t>
      </w:r>
    </w:p>
    <w:p>
      <w:pPr>
        <w:pStyle w:val="Footnoteheading"/>
        <w:spacing w:before="100"/>
        <w:ind w:left="890"/>
        <w:rPr>
          <w:snapToGrid w:val="0"/>
        </w:rPr>
      </w:pPr>
      <w:r>
        <w:rPr>
          <w:snapToGrid w:val="0"/>
        </w:rPr>
        <w:tab/>
        <w:t>[Heading inserted by No. 23 of 1987 s. 24.]</w:t>
      </w:r>
    </w:p>
    <w:p>
      <w:pPr>
        <w:pStyle w:val="Heading3"/>
        <w:rPr>
          <w:snapToGrid w:val="0"/>
        </w:rPr>
      </w:pPr>
      <w:bookmarkStart w:id="61" w:name="_Toc375130643"/>
      <w:bookmarkStart w:id="62" w:name="_Toc375130753"/>
      <w:bookmarkStart w:id="63" w:name="_Toc375130863"/>
      <w:r>
        <w:rPr>
          <w:rStyle w:val="CharDivNo"/>
        </w:rPr>
        <w:t>Division 1</w:t>
      </w:r>
      <w:r>
        <w:rPr>
          <w:snapToGrid w:val="0"/>
        </w:rPr>
        <w:t> — </w:t>
      </w:r>
      <w:r>
        <w:rPr>
          <w:rStyle w:val="CharDivText"/>
        </w:rPr>
        <w:t>Dogs generally</w:t>
      </w:r>
      <w:bookmarkEnd w:id="61"/>
      <w:bookmarkEnd w:id="62"/>
      <w:bookmarkEnd w:id="63"/>
      <w:r>
        <w:rPr>
          <w:rStyle w:val="CharDivText"/>
        </w:rPr>
        <w:t xml:space="preserve"> </w:t>
      </w:r>
    </w:p>
    <w:p>
      <w:pPr>
        <w:pStyle w:val="Footnoteheading"/>
        <w:spacing w:before="100"/>
        <w:ind w:left="890"/>
        <w:rPr>
          <w:snapToGrid w:val="0"/>
        </w:rPr>
      </w:pPr>
      <w:r>
        <w:rPr>
          <w:snapToGrid w:val="0"/>
        </w:rPr>
        <w:tab/>
        <w:t xml:space="preserve">[Heading inserted by No. 24 of 1996 s. 7.] </w:t>
      </w:r>
    </w:p>
    <w:p>
      <w:pPr>
        <w:pStyle w:val="Heading5"/>
      </w:pPr>
      <w:bookmarkStart w:id="64" w:name="_Toc375130864"/>
      <w:r>
        <w:rPr>
          <w:rStyle w:val="CharSectno"/>
        </w:rPr>
        <w:t>28</w:t>
      </w:r>
      <w:r>
        <w:t>.</w:t>
      </w:r>
      <w:r>
        <w:tab/>
        <w:t>Obligation to identify a dog’s owner</w:t>
      </w:r>
      <w:bookmarkEnd w:id="64"/>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 xml:space="preserve">[Section 28 inserted by No. 18 of 2013 s. 24.] </w:t>
      </w:r>
    </w:p>
    <w:p>
      <w:pPr>
        <w:pStyle w:val="Heading5"/>
        <w:rPr>
          <w:snapToGrid w:val="0"/>
        </w:rPr>
      </w:pPr>
      <w:bookmarkStart w:id="65" w:name="_Toc375130865"/>
      <w:r>
        <w:rPr>
          <w:rStyle w:val="CharSectno"/>
        </w:rPr>
        <w:t>29</w:t>
      </w:r>
      <w:r>
        <w:rPr>
          <w:snapToGrid w:val="0"/>
        </w:rPr>
        <w:t>.</w:t>
      </w:r>
      <w:r>
        <w:rPr>
          <w:snapToGrid w:val="0"/>
        </w:rPr>
        <w:tab/>
        <w:t>Power to seize dogs</w:t>
      </w:r>
      <w:bookmarkEnd w:id="65"/>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spacing w:before="120"/>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spacing w:before="100"/>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spacing w:before="100"/>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spacing w:before="100"/>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tab/>
        <w:t>(e)</w:t>
      </w:r>
      <w:r>
        <w:tab/>
        <w:t>an authorised person is satisfied that to deliver up the dog under subsection (8) or (8A) would create circumstances that give rise to an offence against this 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No. 18 of 2013 s. 25.] </w:t>
      </w:r>
    </w:p>
    <w:p>
      <w:pPr>
        <w:pStyle w:val="Heading5"/>
      </w:pPr>
      <w:bookmarkStart w:id="66" w:name="_Toc375130866"/>
      <w:r>
        <w:rPr>
          <w:rStyle w:val="CharSectno"/>
        </w:rPr>
        <w:t>30A</w:t>
      </w:r>
      <w:r>
        <w:t>.</w:t>
      </w:r>
      <w:r>
        <w:tab/>
        <w:t>Operator of dog management facility may have dog microchipped at owner’s expense</w:t>
      </w:r>
      <w:bookmarkEnd w:id="66"/>
    </w:p>
    <w:p>
      <w:pPr>
        <w:pStyle w:val="Subsection"/>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pPr>
      <w:r>
        <w:tab/>
        <w:t>(2)</w:t>
      </w:r>
      <w:r>
        <w:tab/>
        <w:t>The owner of a dog kept at a dog management facility is liable to pay to the operator of the facility the reasonable costs associated with the implantation of a microchip in the dog under subsection (1).</w:t>
      </w:r>
    </w:p>
    <w:p>
      <w:pPr>
        <w:pStyle w:val="Subsection"/>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 by No. 18 of 2013 s. 26.]</w:t>
      </w:r>
    </w:p>
    <w:p>
      <w:pPr>
        <w:pStyle w:val="Heading5"/>
        <w:rPr>
          <w:snapToGrid w:val="0"/>
        </w:rPr>
      </w:pPr>
      <w:bookmarkStart w:id="67" w:name="_Toc375130867"/>
      <w:r>
        <w:rPr>
          <w:rStyle w:val="CharSectno"/>
        </w:rPr>
        <w:t>30</w:t>
      </w:r>
      <w:r>
        <w:rPr>
          <w:snapToGrid w:val="0"/>
        </w:rPr>
        <w:t>.</w:t>
      </w:r>
      <w:r>
        <w:rPr>
          <w:snapToGrid w:val="0"/>
        </w:rPr>
        <w:tab/>
        <w:t>Dogs to wear collars, registration tags, etc.</w:t>
      </w:r>
      <w:bookmarkEnd w:id="67"/>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Ednotepara"/>
      </w:pPr>
      <w:r>
        <w:tab/>
        <w:t>[(b), (c)</w:t>
      </w:r>
      <w:r>
        <w:tab/>
        <w:t>deleted]</w:t>
      </w:r>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keepNext/>
        <w:keepLines/>
      </w:pPr>
      <w:r>
        <w:tab/>
        <w:t>(4)</w:t>
      </w:r>
      <w:r>
        <w:tab/>
        <w:t>This section does not apply to a dangerous dog.</w:t>
      </w:r>
    </w:p>
    <w:p>
      <w:pPr>
        <w:pStyle w:val="Footnotesection"/>
      </w:pPr>
      <w:r>
        <w:tab/>
        <w:t xml:space="preserve">[Section 30 inserted by No. 23 of 1987 s. 27; amended by No. 14 of 1996 s. 4; No. 24 of 1996 s. 16; No. 23 of 1998 s. 20; No. 35 of 2003 s. 220(2); No. 18 of 2013 s. 27.] </w:t>
      </w:r>
    </w:p>
    <w:p>
      <w:pPr>
        <w:pStyle w:val="Heading5"/>
        <w:spacing w:before="260"/>
        <w:rPr>
          <w:snapToGrid w:val="0"/>
        </w:rPr>
      </w:pPr>
      <w:bookmarkStart w:id="68" w:name="_Toc375130868"/>
      <w:r>
        <w:rPr>
          <w:rStyle w:val="CharSectno"/>
        </w:rPr>
        <w:t>31</w:t>
      </w:r>
      <w:r>
        <w:rPr>
          <w:snapToGrid w:val="0"/>
        </w:rPr>
        <w:t>.</w:t>
      </w:r>
      <w:r>
        <w:rPr>
          <w:snapToGrid w:val="0"/>
        </w:rPr>
        <w:tab/>
        <w:t>Control of dogs in certain public places</w:t>
      </w:r>
      <w:bookmarkEnd w:id="68"/>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keepNext/>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or (2A), every person liable for the control of the dog at that time commits an offence unless the person</w:t>
      </w:r>
      <w:r>
        <w:rPr>
          <w:snapToGrid w:val="0"/>
        </w:rPr>
        <w:t xml:space="preserve"> establishes a defence under section 33B.</w:t>
      </w:r>
    </w:p>
    <w:p>
      <w:pPr>
        <w:pStyle w:val="Penstart"/>
      </w:pPr>
      <w:r>
        <w:tab/>
        <w:t>Penalty:</w:t>
      </w:r>
      <w:r>
        <w:tab/>
        <w:t>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 xml:space="preserve">[Section 31 inserted by No. 23 of 1987 s. 27; amended by No. 14 of 1996 s. 4; No. 24 of 1996 s. 16; No. 18 of 2013 s. 28.] </w:t>
      </w:r>
    </w:p>
    <w:p>
      <w:pPr>
        <w:pStyle w:val="Heading5"/>
        <w:rPr>
          <w:snapToGrid w:val="0"/>
        </w:rPr>
      </w:pPr>
      <w:bookmarkStart w:id="69" w:name="_Toc375130869"/>
      <w:r>
        <w:rPr>
          <w:rStyle w:val="CharSectno"/>
        </w:rPr>
        <w:t>32</w:t>
      </w:r>
      <w:r>
        <w:rPr>
          <w:snapToGrid w:val="0"/>
        </w:rPr>
        <w:t>.</w:t>
      </w:r>
      <w:r>
        <w:rPr>
          <w:snapToGrid w:val="0"/>
        </w:rPr>
        <w:tab/>
        <w:t>Control of dogs in exercise areas and rural areas</w:t>
      </w:r>
      <w:bookmarkEnd w:id="69"/>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keepNext/>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 xml:space="preserve">[Section 32 inserted by No. 23 of 1987 s. 27; amended by No. 14 of 1996 s. 4; No. 24 of 1996 s. 16; No. 18 of 2013 s. 29.] </w:t>
      </w:r>
    </w:p>
    <w:p>
      <w:pPr>
        <w:pStyle w:val="Heading5"/>
        <w:spacing w:before="260"/>
        <w:rPr>
          <w:snapToGrid w:val="0"/>
        </w:rPr>
      </w:pPr>
      <w:bookmarkStart w:id="70" w:name="_Toc375130870"/>
      <w:r>
        <w:rPr>
          <w:rStyle w:val="CharSectno"/>
        </w:rPr>
        <w:t>33</w:t>
      </w:r>
      <w:r>
        <w:rPr>
          <w:snapToGrid w:val="0"/>
        </w:rPr>
        <w:t>.</w:t>
      </w:r>
      <w:r>
        <w:rPr>
          <w:snapToGrid w:val="0"/>
        </w:rPr>
        <w:tab/>
        <w:t>Special provision for greyhounds</w:t>
      </w:r>
      <w:bookmarkEnd w:id="70"/>
      <w:r>
        <w:rPr>
          <w:snapToGrid w:val="0"/>
        </w:rPr>
        <w:t xml:space="preserve"> </w:t>
      </w:r>
    </w:p>
    <w:p>
      <w:pPr>
        <w:pStyle w:val="Subsection"/>
        <w:rPr>
          <w:snapToGrid w:val="0"/>
        </w:rPr>
      </w:pPr>
      <w:r>
        <w:rPr>
          <w:snapToGrid w:val="0"/>
        </w:rPr>
        <w:tab/>
        <w:t>(1)</w:t>
      </w:r>
      <w:r>
        <w:rPr>
          <w:snapToGrid w:val="0"/>
        </w:rPr>
        <w:tab/>
        <w:t xml:space="preserve">A greyhound must be muzzled in such a manner as will prevent it from biting a person or animal unless — </w:t>
      </w:r>
    </w:p>
    <w:p>
      <w:pPr>
        <w:pStyle w:val="Indenta"/>
        <w:rPr>
          <w:snapToGrid w:val="0"/>
        </w:rPr>
      </w:pPr>
      <w:r>
        <w:tab/>
        <w:t>(a)</w:t>
      </w:r>
      <w:r>
        <w:tab/>
      </w:r>
      <w:r>
        <w:rPr>
          <w:snapToGrid w:val="0"/>
        </w:rPr>
        <w:t>it is in or at premises occupied by its owner; or</w:t>
      </w:r>
    </w:p>
    <w:p>
      <w:pPr>
        <w:pStyle w:val="Indenta"/>
      </w:pPr>
      <w:r>
        <w:tab/>
        <w:t>(b)</w:t>
      </w:r>
      <w:r>
        <w:tab/>
        <w:t>it has successfully completed a prescribed training programme.</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keepNext/>
        <w:keepLines/>
        <w:spacing w:before="120"/>
        <w:rPr>
          <w:snapToGrid w:val="0"/>
        </w:rPr>
      </w:pPr>
      <w:r>
        <w:rPr>
          <w:snapToGrid w:val="0"/>
        </w:rPr>
        <w:tab/>
        <w:t>(3)</w:t>
      </w:r>
      <w:r>
        <w:rPr>
          <w:snapToGrid w:val="0"/>
        </w:rPr>
        <w:tab/>
        <w:t xml:space="preserve">If a greyhound is at any time not muzzled as required by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Footnotesection"/>
        <w:ind w:left="890" w:hanging="890"/>
      </w:pPr>
      <w:r>
        <w:tab/>
        <w:t xml:space="preserve">[Section 33 inserted by No. 23 of 1987 s. 27; amended by No. 24 of 1996 s. 16; No. 23 of 1998 s. 20; No. 35 of 2003 s. 220(3); No. 18 of 2013 s. 30.] </w:t>
      </w:r>
    </w:p>
    <w:p>
      <w:pPr>
        <w:pStyle w:val="Heading5"/>
        <w:spacing w:before="260"/>
        <w:rPr>
          <w:snapToGrid w:val="0"/>
        </w:rPr>
      </w:pPr>
      <w:bookmarkStart w:id="71" w:name="_Toc375130871"/>
      <w:r>
        <w:rPr>
          <w:rStyle w:val="CharSectno"/>
        </w:rPr>
        <w:t>33A</w:t>
      </w:r>
      <w:r>
        <w:rPr>
          <w:snapToGrid w:val="0"/>
        </w:rPr>
        <w:t>.</w:t>
      </w:r>
      <w:r>
        <w:rPr>
          <w:snapToGrid w:val="0"/>
        </w:rPr>
        <w:tab/>
        <w:t>Control of dogs in places that are not public</w:t>
      </w:r>
      <w:bookmarkEnd w:id="71"/>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spacing w:before="90"/>
        <w:rPr>
          <w:snapToGrid w:val="0"/>
        </w:rPr>
      </w:pPr>
      <w:r>
        <w:rPr>
          <w:snapToGrid w:val="0"/>
        </w:rPr>
        <w:tab/>
        <w:t>(i)</w:t>
      </w:r>
      <w:r>
        <w:rPr>
          <w:snapToGrid w:val="0"/>
        </w:rPr>
        <w:tab/>
        <w:t>by the occupier or a person apparently authorised to consent on behalf of the occupier; or</w:t>
      </w:r>
    </w:p>
    <w:p>
      <w:pPr>
        <w:pStyle w:val="Indenti"/>
        <w:spacing w:before="9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9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90"/>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w:t>
      </w:r>
    </w:p>
    <w:p>
      <w:pPr>
        <w:pStyle w:val="Indenta"/>
      </w:pPr>
      <w:r>
        <w:tab/>
        <w:t>(a)</w:t>
      </w:r>
      <w:r>
        <w:tab/>
        <w:t>in a pet shop or premises used for the practice of a registered veterinary surgeon; or</w:t>
      </w:r>
    </w:p>
    <w:p>
      <w:pPr>
        <w:pStyle w:val="Indenta"/>
      </w:pPr>
      <w:r>
        <w:tab/>
        <w:t>(b)</w:t>
      </w:r>
      <w:r>
        <w:tab/>
        <w:t>in or on a vehicle.</w:t>
      </w:r>
    </w:p>
    <w:p>
      <w:pPr>
        <w:pStyle w:val="Subsection"/>
        <w:keepLines/>
        <w:spacing w:before="180"/>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 xml:space="preserve">[Section 33A inserted by No. 23 of 1987 s. 27; amended by No. 24 of 1996 s. 16; No. 18 of 2013 s. 31.] </w:t>
      </w:r>
    </w:p>
    <w:p>
      <w:pPr>
        <w:pStyle w:val="Heading5"/>
        <w:rPr>
          <w:snapToGrid w:val="0"/>
        </w:rPr>
      </w:pPr>
      <w:bookmarkStart w:id="72" w:name="_Toc375130872"/>
      <w:r>
        <w:rPr>
          <w:rStyle w:val="CharSectno"/>
        </w:rPr>
        <w:t>33B</w:t>
      </w:r>
      <w:r>
        <w:rPr>
          <w:snapToGrid w:val="0"/>
        </w:rPr>
        <w:t>.</w:t>
      </w:r>
      <w:r>
        <w:rPr>
          <w:snapToGrid w:val="0"/>
        </w:rPr>
        <w:tab/>
        <w:t>Defences applicable to offences under this Division</w:t>
      </w:r>
      <w:bookmarkEnd w:id="72"/>
    </w:p>
    <w:p>
      <w:pPr>
        <w:pStyle w:val="Subsection"/>
        <w:rPr>
          <w:snapToGrid w:val="0"/>
        </w:rPr>
      </w:pPr>
      <w:r>
        <w:rPr>
          <w:snapToGrid w:val="0"/>
        </w:rPr>
        <w:tab/>
      </w:r>
      <w:r>
        <w:rPr>
          <w:snapToGrid w:val="0"/>
        </w:rPr>
        <w:tab/>
        <w:t>It is a defence to a charge of an offence under section 30(2), 31(3), 32(4), 33(3) or 33A(3)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amended by No. 18 of 2013 s. 32.] </w:t>
      </w:r>
    </w:p>
    <w:p>
      <w:pPr>
        <w:pStyle w:val="Heading5"/>
        <w:keepLines w:val="0"/>
        <w:rPr>
          <w:snapToGrid w:val="0"/>
        </w:rPr>
      </w:pPr>
      <w:bookmarkStart w:id="73" w:name="_Toc375130873"/>
      <w:r>
        <w:rPr>
          <w:rStyle w:val="CharSectno"/>
        </w:rPr>
        <w:t>33C</w:t>
      </w:r>
      <w:r>
        <w:rPr>
          <w:snapToGrid w:val="0"/>
        </w:rPr>
        <w:t>.</w:t>
      </w:r>
      <w:r>
        <w:rPr>
          <w:snapToGrid w:val="0"/>
        </w:rPr>
        <w:tab/>
        <w:t>Saving</w:t>
      </w:r>
      <w:bookmarkEnd w:id="73"/>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74" w:name="_Toc375130874"/>
      <w:r>
        <w:rPr>
          <w:rStyle w:val="CharSectno"/>
        </w:rPr>
        <w:t>33D</w:t>
      </w:r>
      <w:r>
        <w:rPr>
          <w:snapToGrid w:val="0"/>
        </w:rPr>
        <w:t>.</w:t>
      </w:r>
      <w:r>
        <w:rPr>
          <w:snapToGrid w:val="0"/>
        </w:rPr>
        <w:tab/>
        <w:t>Dog attacks, etc.</w:t>
      </w:r>
      <w:bookmarkEnd w:id="74"/>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spacing w:before="60"/>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pPr>
      <w:r>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spacing w:before="100"/>
        <w:ind w:left="890" w:hanging="890"/>
      </w:pPr>
      <w:r>
        <w:tab/>
        <w:t xml:space="preserve">[Section 33D inserted by No. 23 of 1987 s. 27; amended by No. 24 of 1996 s. 9 and 16; No. 18 of 2013 s. 33.] </w:t>
      </w:r>
    </w:p>
    <w:p>
      <w:pPr>
        <w:pStyle w:val="Heading3"/>
        <w:spacing w:before="220"/>
        <w:rPr>
          <w:snapToGrid w:val="0"/>
        </w:rPr>
      </w:pPr>
      <w:bookmarkStart w:id="75" w:name="_Toc375130655"/>
      <w:bookmarkStart w:id="76" w:name="_Toc375130765"/>
      <w:bookmarkStart w:id="77" w:name="_Toc375130875"/>
      <w:r>
        <w:rPr>
          <w:rStyle w:val="CharDivNo"/>
        </w:rPr>
        <w:t>Division 2</w:t>
      </w:r>
      <w:r>
        <w:rPr>
          <w:snapToGrid w:val="0"/>
        </w:rPr>
        <w:t> — </w:t>
      </w:r>
      <w:r>
        <w:rPr>
          <w:rStyle w:val="CharDivText"/>
        </w:rPr>
        <w:t>Dangerous dogs</w:t>
      </w:r>
      <w:bookmarkEnd w:id="75"/>
      <w:bookmarkEnd w:id="76"/>
      <w:bookmarkEnd w:id="77"/>
      <w:r>
        <w:rPr>
          <w:rStyle w:val="CharDivText"/>
        </w:rPr>
        <w:t xml:space="preserve"> </w:t>
      </w:r>
    </w:p>
    <w:p>
      <w:pPr>
        <w:pStyle w:val="Footnoteheading"/>
        <w:spacing w:before="100"/>
        <w:ind w:left="890"/>
        <w:rPr>
          <w:snapToGrid w:val="0"/>
        </w:rPr>
      </w:pPr>
      <w:r>
        <w:rPr>
          <w:snapToGrid w:val="0"/>
        </w:rPr>
        <w:tab/>
        <w:t xml:space="preserve">[Heading inserted by No. 24 of 1996 s. 10.] </w:t>
      </w:r>
    </w:p>
    <w:p>
      <w:pPr>
        <w:pStyle w:val="Heading5"/>
        <w:spacing w:before="180"/>
        <w:rPr>
          <w:snapToGrid w:val="0"/>
        </w:rPr>
      </w:pPr>
      <w:bookmarkStart w:id="78" w:name="_Toc375130876"/>
      <w:r>
        <w:rPr>
          <w:rStyle w:val="CharSectno"/>
        </w:rPr>
        <w:t>33E</w:t>
      </w:r>
      <w:r>
        <w:rPr>
          <w:snapToGrid w:val="0"/>
        </w:rPr>
        <w:t>.</w:t>
      </w:r>
      <w:r>
        <w:rPr>
          <w:snapToGrid w:val="0"/>
        </w:rPr>
        <w:tab/>
        <w:t>Individual dog may be declared to be a dangerous dog (declared)</w:t>
      </w:r>
      <w:bookmarkEnd w:id="78"/>
    </w:p>
    <w:p>
      <w:pPr>
        <w:pStyle w:val="Subsection"/>
        <w:spacing w:before="120"/>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spacing w:before="60"/>
      </w:pPr>
      <w:r>
        <w:tab/>
        <w:t>(a)</w:t>
      </w:r>
      <w:r>
        <w:tab/>
        <w:t>the dog has caused injury or damage by an attack on, or chasing, a person, animal or vehicle;</w:t>
      </w:r>
    </w:p>
    <w:p>
      <w:pPr>
        <w:pStyle w:val="Indenta"/>
        <w:spacing w:before="60"/>
      </w:pPr>
      <w:r>
        <w:tab/>
        <w:t>(b)</w:t>
      </w:r>
      <w:r>
        <w:tab/>
        <w:t>the dog has, repeatedly, shown a tendency — </w:t>
      </w:r>
    </w:p>
    <w:p>
      <w:pPr>
        <w:pStyle w:val="Indenti"/>
        <w:spacing w:before="60"/>
        <w:rPr>
          <w:snapToGrid w:val="0"/>
        </w:rPr>
      </w:pPr>
      <w:r>
        <w:rPr>
          <w:snapToGrid w:val="0"/>
        </w:rPr>
        <w:tab/>
        <w:t>(i)</w:t>
      </w:r>
      <w:r>
        <w:rPr>
          <w:snapToGrid w:val="0"/>
        </w:rPr>
        <w:tab/>
        <w:t>to attack, or chase, a person, animal or vehicle even though no injury has been caused by that behaviour; or</w:t>
      </w:r>
    </w:p>
    <w:p>
      <w:pPr>
        <w:pStyle w:val="Indenti"/>
        <w:spacing w:before="60"/>
        <w:rPr>
          <w:snapToGrid w:val="0"/>
        </w:rPr>
      </w:pPr>
      <w:r>
        <w:rPr>
          <w:snapToGrid w:val="0"/>
        </w:rPr>
        <w:tab/>
        <w:t>(ii)</w:t>
      </w:r>
      <w:r>
        <w:rPr>
          <w:snapToGrid w:val="0"/>
        </w:rPr>
        <w:tab/>
        <w:t>to threaten to attack;</w:t>
      </w:r>
    </w:p>
    <w:p>
      <w:pPr>
        <w:pStyle w:val="Indenta"/>
        <w:spacing w:before="60"/>
      </w:pPr>
      <w:r>
        <w:tab/>
      </w:r>
      <w:r>
        <w:tab/>
        <w:t>or</w:t>
      </w:r>
    </w:p>
    <w:p>
      <w:pPr>
        <w:pStyle w:val="Indenta"/>
        <w:spacing w:before="60"/>
      </w:pPr>
      <w:r>
        <w:tab/>
        <w:t>(c)</w:t>
      </w:r>
      <w:r>
        <w:tab/>
        <w:t>the behaviour of the dog meets other criteria prescribed for the purpose of this section.</w:t>
      </w:r>
    </w:p>
    <w:p>
      <w:pPr>
        <w:pStyle w:val="Subsection"/>
        <w:spacing w:before="12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spacing w:before="120"/>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spacing w:before="100"/>
        <w:ind w:left="890" w:hanging="890"/>
      </w:pPr>
      <w:r>
        <w:tab/>
        <w:t xml:space="preserve">[Section 33E inserted by No. 24 of 1996 s. 10; amended by No. 10 of 1998 s. 29(1); No. 55 of 2004 s. 259; No. 18 of 2013 s. 34.] </w:t>
      </w:r>
    </w:p>
    <w:p>
      <w:pPr>
        <w:pStyle w:val="Heading5"/>
        <w:rPr>
          <w:snapToGrid w:val="0"/>
        </w:rPr>
      </w:pPr>
      <w:bookmarkStart w:id="79" w:name="_Toc375130877"/>
      <w:r>
        <w:rPr>
          <w:rStyle w:val="CharSectno"/>
        </w:rPr>
        <w:t>33F</w:t>
      </w:r>
      <w:r>
        <w:rPr>
          <w:snapToGrid w:val="0"/>
        </w:rPr>
        <w:t>.</w:t>
      </w:r>
      <w:r>
        <w:rPr>
          <w:snapToGrid w:val="0"/>
        </w:rPr>
        <w:tab/>
        <w:t>Owner to be notified of making of declaration</w:t>
      </w:r>
      <w:bookmarkEnd w:id="79"/>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Ednotepara"/>
      </w:pPr>
      <w:r>
        <w:tab/>
        <w:t>[(c)</w:t>
      </w:r>
      <w:r>
        <w:tab/>
        <w:t>deleted]</w:t>
      </w:r>
    </w:p>
    <w:p>
      <w:pPr>
        <w:pStyle w:val="Subsection"/>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pPr>
      <w:r>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Ednotesubsection"/>
      </w:pPr>
      <w:r>
        <w:tab/>
        <w:t>[(8), (9)</w:t>
      </w:r>
      <w:r>
        <w:tab/>
        <w:t>deleted]</w:t>
      </w:r>
    </w:p>
    <w:p>
      <w:pPr>
        <w:pStyle w:val="Footnotesection"/>
      </w:pPr>
      <w:r>
        <w:tab/>
        <w:t xml:space="preserve">[Section 33F inserted by No. 24 of 1996 s. 10; amended by No. 10 of 1998 s. 29(1); No. 55 of 2004 s. 260 and 268; No. 18 of 2013 s. 35.] </w:t>
      </w:r>
    </w:p>
    <w:p>
      <w:pPr>
        <w:pStyle w:val="Heading5"/>
      </w:pPr>
      <w:bookmarkStart w:id="80" w:name="_Toc375130878"/>
      <w:r>
        <w:rPr>
          <w:rStyle w:val="CharSectno"/>
        </w:rPr>
        <w:t>33GA</w:t>
      </w:r>
      <w:r>
        <w:t>.</w:t>
      </w:r>
      <w:r>
        <w:tab/>
        <w:t>Offences relating to dangerous dogs</w:t>
      </w:r>
      <w:bookmarkEnd w:id="80"/>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spacing w:before="120"/>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pPr>
        <w:pStyle w:val="Penstart"/>
        <w:spacing w:before="120"/>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pPr>
      <w:r>
        <w:tab/>
        <w:t xml:space="preserve">[Section 33GA inserted by No. 18 of 2013 s. 36.] </w:t>
      </w:r>
    </w:p>
    <w:p>
      <w:pPr>
        <w:pStyle w:val="Heading5"/>
      </w:pPr>
      <w:bookmarkStart w:id="81" w:name="_Toc375130879"/>
      <w:r>
        <w:rPr>
          <w:rStyle w:val="CharSectno"/>
        </w:rPr>
        <w:t>33GB</w:t>
      </w:r>
      <w:r>
        <w:t>.</w:t>
      </w:r>
      <w:r>
        <w:tab/>
        <w:t>Dangerous dogs (restricted breed) to be sterilised</w:t>
      </w:r>
      <w:bookmarkEnd w:id="81"/>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pPr>
      <w:r>
        <w:tab/>
        <w:t>(b)</w:t>
      </w:r>
      <w:r>
        <w:tab/>
        <w:t>is sterile.</w:t>
      </w:r>
    </w:p>
    <w:p>
      <w:pPr>
        <w:pStyle w:val="Footnotesection"/>
      </w:pPr>
      <w:r>
        <w:tab/>
        <w:t xml:space="preserve">[Section 33GB inserted by No. 18 of 2013 s. 36.] </w:t>
      </w:r>
    </w:p>
    <w:p>
      <w:pPr>
        <w:pStyle w:val="Heading5"/>
      </w:pPr>
      <w:bookmarkStart w:id="82" w:name="_Toc375130880"/>
      <w:r>
        <w:rPr>
          <w:rStyle w:val="CharSectno"/>
        </w:rPr>
        <w:t>33GC</w:t>
      </w:r>
      <w:r>
        <w:t>.</w:t>
      </w:r>
      <w:r>
        <w:tab/>
        <w:t>Restrictions on transferring ownership of dangerous dogs (restricted breed)</w:t>
      </w:r>
      <w:bookmarkEnd w:id="82"/>
    </w:p>
    <w:p>
      <w:pPr>
        <w:pStyle w:val="Subsection"/>
      </w:pPr>
      <w:r>
        <w:tab/>
        <w:t>(1)</w:t>
      </w:r>
      <w:r>
        <w:tab/>
        <w:t xml:space="preserve">In this section — </w:t>
      </w:r>
    </w:p>
    <w:p>
      <w:pPr>
        <w:pStyle w:val="Defstar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w:t>
      </w:r>
    </w:p>
    <w:p>
      <w:pPr>
        <w:pStyle w:val="Indenta"/>
      </w:pPr>
      <w:r>
        <w:tab/>
      </w:r>
      <w:r>
        <w:tab/>
        <w:t>or</w:t>
      </w:r>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pPr>
      <w:r>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pPr>
      <w:r>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pPr>
      <w:r>
        <w:tab/>
        <w:t xml:space="preserve">[Section 33GC inserted by No. 18 of 2013 s. 36.] </w:t>
      </w:r>
    </w:p>
    <w:p>
      <w:pPr>
        <w:pStyle w:val="Heading5"/>
      </w:pPr>
      <w:bookmarkStart w:id="83" w:name="_Toc375130881"/>
      <w:r>
        <w:rPr>
          <w:rStyle w:val="CharSectno"/>
        </w:rPr>
        <w:t>33GD</w:t>
      </w:r>
      <w:r>
        <w:t>.</w:t>
      </w:r>
      <w:r>
        <w:tab/>
        <w:t>Dangerous dogs (restricted breed) not to be bred</w:t>
      </w:r>
      <w:bookmarkEnd w:id="83"/>
    </w:p>
    <w:p>
      <w:pPr>
        <w:pStyle w:val="Subsection"/>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pPr>
      <w:r>
        <w:tab/>
        <w:t>Penalty: a fine of $10 000, but the minimum penalty is a fine of $500.</w:t>
      </w:r>
    </w:p>
    <w:p>
      <w:pPr>
        <w:pStyle w:val="Footnotesection"/>
      </w:pPr>
      <w:r>
        <w:tab/>
        <w:t xml:space="preserve">[Section 33GD inserted by No. 18 of 2013 s. 36.] </w:t>
      </w:r>
    </w:p>
    <w:p>
      <w:pPr>
        <w:pStyle w:val="Heading5"/>
      </w:pPr>
      <w:bookmarkStart w:id="84" w:name="_Toc375130882"/>
      <w:r>
        <w:rPr>
          <w:rStyle w:val="CharSectno"/>
        </w:rPr>
        <w:t>33GE</w:t>
      </w:r>
      <w:r>
        <w:t>.</w:t>
      </w:r>
      <w:r>
        <w:tab/>
        <w:t>Prohibition on transfer of ownership of dangerous dogs (declared) to persons under 18</w:t>
      </w:r>
      <w:bookmarkEnd w:id="84"/>
    </w:p>
    <w:p>
      <w:pPr>
        <w:pStyle w:val="Subsection"/>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tab/>
      </w:r>
      <w:r>
        <w:rPr>
          <w:rStyle w:val="CharDefText"/>
        </w:rPr>
        <w:t>relevant time</w:t>
      </w:r>
      <w:r>
        <w:t xml:space="preserve"> means the time at which an offence under subsection (2) is alleged to have been committed.</w:t>
      </w:r>
    </w:p>
    <w:p>
      <w:pPr>
        <w:pStyle w:val="Subsection"/>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pPr>
      <w:r>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pPr>
      <w:r>
        <w:tab/>
        <w:t xml:space="preserve">[Section 33GE inserted by No. 18 of 2013 s. 36.] </w:t>
      </w:r>
    </w:p>
    <w:p>
      <w:pPr>
        <w:pStyle w:val="Heading5"/>
        <w:spacing w:before="120"/>
        <w:rPr>
          <w:snapToGrid w:val="0"/>
        </w:rPr>
      </w:pPr>
      <w:bookmarkStart w:id="85" w:name="_Toc375130883"/>
      <w:r>
        <w:rPr>
          <w:rStyle w:val="CharSectno"/>
        </w:rPr>
        <w:t>33G</w:t>
      </w:r>
      <w:r>
        <w:rPr>
          <w:snapToGrid w:val="0"/>
        </w:rPr>
        <w:t>.</w:t>
      </w:r>
      <w:r>
        <w:rPr>
          <w:snapToGrid w:val="0"/>
        </w:rPr>
        <w:tab/>
        <w:t>Seizure and destruction</w:t>
      </w:r>
      <w:bookmarkEnd w:id="85"/>
      <w:r>
        <w:rPr>
          <w:snapToGrid w:val="0"/>
        </w:rPr>
        <w:t xml:space="preserve"> </w:t>
      </w:r>
    </w:p>
    <w:p>
      <w:pPr>
        <w:pStyle w:val="Subsection"/>
        <w:spacing w:before="10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0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tab/>
        <w:t>(c)</w:t>
      </w:r>
      <w:r>
        <w:rPr>
          <w:snapToGrid w:val="0"/>
        </w:rPr>
        <w:tab/>
        <w:t>detain each pup under section 29(3).</w:t>
      </w:r>
    </w:p>
    <w:p>
      <w:pPr>
        <w:pStyle w:val="Subsection"/>
        <w:spacing w:before="10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and 268; No. 8 of 2009 s. 47(2); No. 18 of 2013 s. 37.] </w:t>
      </w:r>
    </w:p>
    <w:p>
      <w:pPr>
        <w:pStyle w:val="Heading5"/>
        <w:rPr>
          <w:snapToGrid w:val="0"/>
        </w:rPr>
      </w:pPr>
      <w:bookmarkStart w:id="86" w:name="_Toc375130884"/>
      <w:r>
        <w:rPr>
          <w:rStyle w:val="CharSectno"/>
        </w:rPr>
        <w:t>33H</w:t>
      </w:r>
      <w:r>
        <w:rPr>
          <w:snapToGrid w:val="0"/>
        </w:rPr>
        <w:t>.</w:t>
      </w:r>
      <w:r>
        <w:rPr>
          <w:snapToGrid w:val="0"/>
        </w:rPr>
        <w:tab/>
        <w:t>Local government may revoke a declaration or proposal to destroy</w:t>
      </w:r>
      <w:bookmarkEnd w:id="86"/>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spacing w:before="10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spacing w:before="100"/>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 xml:space="preserve">[Section 33H inserted by No. 24 of 1996 s. 10; amended by No. 10 of 1998 s. 29(1); No. 55 of 2004 s. 262; No. 18 of 2013 s. 38.] </w:t>
      </w:r>
    </w:p>
    <w:p>
      <w:pPr>
        <w:pStyle w:val="Heading5"/>
        <w:rPr>
          <w:snapToGrid w:val="0"/>
        </w:rPr>
      </w:pPr>
      <w:bookmarkStart w:id="87" w:name="_Toc375130885"/>
      <w:r>
        <w:rPr>
          <w:rStyle w:val="CharSectno"/>
        </w:rPr>
        <w:t>33I</w:t>
      </w:r>
      <w:r>
        <w:rPr>
          <w:snapToGrid w:val="0"/>
        </w:rPr>
        <w:t>.</w:t>
      </w:r>
      <w:r>
        <w:rPr>
          <w:snapToGrid w:val="0"/>
        </w:rPr>
        <w:tab/>
        <w:t>Jurisdiction of State Administrative Tribunal</w:t>
      </w:r>
      <w:bookmarkEnd w:id="87"/>
      <w:r>
        <w:rPr>
          <w:snapToGrid w:val="0"/>
        </w:rPr>
        <w:t xml:space="preserve"> </w:t>
      </w:r>
    </w:p>
    <w:p>
      <w:pPr>
        <w:pStyle w:val="Subsection"/>
        <w:spacing w:before="100"/>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 (declared),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by No. 24 of 1996 s. 10; amended by No. 10 of 1998 s. 29(1); No. 55 of 2004 s. 263; No. 18 of 2013 s. 39.] </w:t>
      </w:r>
    </w:p>
    <w:p>
      <w:pPr>
        <w:pStyle w:val="Heading5"/>
        <w:rPr>
          <w:snapToGrid w:val="0"/>
        </w:rPr>
      </w:pPr>
      <w:bookmarkStart w:id="88" w:name="_Toc375130886"/>
      <w:r>
        <w:rPr>
          <w:rStyle w:val="CharSectno"/>
        </w:rPr>
        <w:t>33J</w:t>
      </w:r>
      <w:r>
        <w:rPr>
          <w:snapToGrid w:val="0"/>
        </w:rPr>
        <w:t>.</w:t>
      </w:r>
      <w:r>
        <w:rPr>
          <w:snapToGrid w:val="0"/>
        </w:rPr>
        <w:tab/>
        <w:t>Duration of a declaration</w:t>
      </w:r>
      <w:bookmarkEnd w:id="88"/>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tab/>
        <w:t>(c)</w:t>
      </w:r>
      <w:r>
        <w:tab/>
        <w:t>the decision pursuant to which the notice was given is quashed by the State Administrative Tribunal,</w:t>
      </w:r>
    </w:p>
    <w:p>
      <w:pPr>
        <w:pStyle w:val="Ednotepara"/>
      </w:pPr>
      <w:r>
        <w:tab/>
        <w:t>[(d)</w:t>
      </w:r>
      <w:r>
        <w:tab/>
        <w:t>deleted]</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No. 8 of 2009 s. 47(3); No. 18 of 2013 s. 40.] </w:t>
      </w:r>
    </w:p>
    <w:p>
      <w:pPr>
        <w:pStyle w:val="Heading5"/>
        <w:rPr>
          <w:snapToGrid w:val="0"/>
        </w:rPr>
      </w:pPr>
      <w:bookmarkStart w:id="89" w:name="_Toc375130887"/>
      <w:r>
        <w:rPr>
          <w:rStyle w:val="CharSectno"/>
        </w:rPr>
        <w:t>33K</w:t>
      </w:r>
      <w:r>
        <w:rPr>
          <w:snapToGrid w:val="0"/>
        </w:rPr>
        <w:t>.</w:t>
      </w:r>
      <w:r>
        <w:rPr>
          <w:snapToGrid w:val="0"/>
        </w:rPr>
        <w:tab/>
        <w:t>Duty to notify persons</w:t>
      </w:r>
      <w:bookmarkEnd w:id="89"/>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spacing w:before="100"/>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spacing w:before="100"/>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pPr>
      <w:r>
        <w:tab/>
        <w:t>(b)</w:t>
      </w:r>
      <w:r>
        <w:tab/>
        <w:t>a copy of the notice given under section 33F(1).</w:t>
      </w:r>
    </w:p>
    <w:p>
      <w:pPr>
        <w:pStyle w:val="Penstart"/>
      </w:pPr>
      <w:r>
        <w:tab/>
        <w:t>Penalty: a fine of $10 000, but the minimum penalty is a fine of $500.</w:t>
      </w:r>
    </w:p>
    <w:p>
      <w:pPr>
        <w:pStyle w:val="Subsection"/>
        <w:spacing w:before="100"/>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keepNext/>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pPr>
      <w:r>
        <w:tab/>
        <w:t xml:space="preserve">[Section 33K inserted by No. 24 of 1996 s. 10; amended by No. 10 of 1998 s. 29(1); No. 18 of 2013 s. 41.] </w:t>
      </w:r>
    </w:p>
    <w:p>
      <w:pPr>
        <w:pStyle w:val="Heading5"/>
      </w:pPr>
      <w:bookmarkStart w:id="90" w:name="_Toc375130888"/>
      <w:r>
        <w:rPr>
          <w:rStyle w:val="CharSectno"/>
        </w:rPr>
        <w:t>33L</w:t>
      </w:r>
      <w:r>
        <w:t>.</w:t>
      </w:r>
      <w:r>
        <w:tab/>
        <w:t>Defences applicable to this Division</w:t>
      </w:r>
      <w:bookmarkEnd w:id="90"/>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pPr>
      <w:r>
        <w:tab/>
        <w:t xml:space="preserve">[Section 33L inserted by No. 18 of 2013 s. 42.] </w:t>
      </w:r>
    </w:p>
    <w:p>
      <w:pPr>
        <w:pStyle w:val="Heading5"/>
        <w:spacing w:before="260"/>
        <w:rPr>
          <w:snapToGrid w:val="0"/>
        </w:rPr>
      </w:pPr>
      <w:bookmarkStart w:id="91" w:name="_Toc375130889"/>
      <w:r>
        <w:rPr>
          <w:rStyle w:val="CharSectno"/>
        </w:rPr>
        <w:t>33M</w:t>
      </w:r>
      <w:r>
        <w:rPr>
          <w:snapToGrid w:val="0"/>
        </w:rPr>
        <w:t>.</w:t>
      </w:r>
      <w:r>
        <w:rPr>
          <w:snapToGrid w:val="0"/>
        </w:rPr>
        <w:tab/>
        <w:t>Local government expenses to be recoverable</w:t>
      </w:r>
      <w:bookmarkEnd w:id="91"/>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 xml:space="preserve">[Section 33M inserted by No. 24 of 1996 s. 10; amended by No. 10 of 1998 s. 29(1); No. 18 of 2013 s. 43.] </w:t>
      </w:r>
    </w:p>
    <w:p>
      <w:pPr>
        <w:pStyle w:val="Heading3"/>
        <w:rPr>
          <w:snapToGrid w:val="0"/>
          <w:sz w:val="24"/>
        </w:rPr>
      </w:pPr>
      <w:bookmarkStart w:id="92" w:name="_Toc375130670"/>
      <w:bookmarkStart w:id="93" w:name="_Toc375130780"/>
      <w:bookmarkStart w:id="94" w:name="_Toc375130890"/>
      <w:r>
        <w:rPr>
          <w:rStyle w:val="CharDivNo"/>
        </w:rPr>
        <w:t>Division 3</w:t>
      </w:r>
      <w:r>
        <w:rPr>
          <w:snapToGrid w:val="0"/>
        </w:rPr>
        <w:t> — </w:t>
      </w:r>
      <w:r>
        <w:rPr>
          <w:rStyle w:val="CharDivText"/>
        </w:rPr>
        <w:t>Protection of stock; vermin disease and parasite control</w:t>
      </w:r>
      <w:bookmarkEnd w:id="92"/>
      <w:bookmarkEnd w:id="93"/>
      <w:bookmarkEnd w:id="94"/>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spacing w:before="120"/>
        <w:rPr>
          <w:snapToGrid w:val="0"/>
        </w:rPr>
      </w:pPr>
      <w:bookmarkStart w:id="95" w:name="_Toc375130891"/>
      <w:r>
        <w:rPr>
          <w:rStyle w:val="CharSectno"/>
        </w:rPr>
        <w:t>34</w:t>
      </w:r>
      <w:r>
        <w:rPr>
          <w:snapToGrid w:val="0"/>
        </w:rPr>
        <w:t>.</w:t>
      </w:r>
      <w:r>
        <w:rPr>
          <w:snapToGrid w:val="0"/>
        </w:rPr>
        <w:tab/>
        <w:t>Protection of livestock</w:t>
      </w:r>
      <w:bookmarkEnd w:id="95"/>
      <w:r>
        <w:rPr>
          <w:snapToGrid w:val="0"/>
        </w:rPr>
        <w:t xml:space="preserve"> </w:t>
      </w:r>
    </w:p>
    <w:p>
      <w:pPr>
        <w:pStyle w:val="Subsection"/>
        <w:spacing w:before="10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0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spacing w:before="10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spacing w:before="10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[Section 34 amended by No. 23 of 1987 s. 28; No. 24 of 1996 s. 16; No. 18 of 2013 s. 44.] </w:t>
      </w:r>
    </w:p>
    <w:p>
      <w:pPr>
        <w:pStyle w:val="Heading5"/>
        <w:rPr>
          <w:snapToGrid w:val="0"/>
        </w:rPr>
      </w:pPr>
      <w:bookmarkStart w:id="96" w:name="_Toc375130892"/>
      <w:r>
        <w:rPr>
          <w:rStyle w:val="CharSectno"/>
        </w:rPr>
        <w:t>35</w:t>
      </w:r>
      <w:r>
        <w:rPr>
          <w:snapToGrid w:val="0"/>
        </w:rPr>
        <w:t>.</w:t>
      </w:r>
      <w:r>
        <w:rPr>
          <w:snapToGrid w:val="0"/>
        </w:rPr>
        <w:tab/>
        <w:t>Destruction of vermin, etc.</w:t>
      </w:r>
      <w:bookmarkEnd w:id="96"/>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pPr>
      <w:r>
        <w:t>[</w:t>
      </w:r>
      <w:r>
        <w:rPr>
          <w:b/>
        </w:rPr>
        <w:t>36.</w:t>
      </w:r>
      <w:r>
        <w:tab/>
        <w:t>Deleted by No. 18 of 2013 s. 45.]</w:t>
      </w:r>
    </w:p>
    <w:p>
      <w:pPr>
        <w:pStyle w:val="Ednotesection"/>
      </w:pPr>
      <w:r>
        <w:t>[</w:t>
      </w:r>
      <w:r>
        <w:rPr>
          <w:b/>
        </w:rPr>
        <w:t>37.</w:t>
      </w:r>
      <w:r>
        <w:rPr>
          <w:b/>
        </w:rPr>
        <w:tab/>
      </w:r>
      <w:r>
        <w:t xml:space="preserve">Deleted by No. 23 of 1987 s. 30.] </w:t>
      </w:r>
    </w:p>
    <w:p>
      <w:pPr>
        <w:pStyle w:val="Heading3"/>
        <w:rPr>
          <w:snapToGrid w:val="0"/>
        </w:rPr>
      </w:pPr>
      <w:bookmarkStart w:id="97" w:name="_Toc375130673"/>
      <w:bookmarkStart w:id="98" w:name="_Toc375130783"/>
      <w:bookmarkStart w:id="99" w:name="_Toc375130893"/>
      <w:r>
        <w:rPr>
          <w:rStyle w:val="CharDivNo"/>
        </w:rPr>
        <w:t>Division 4</w:t>
      </w:r>
      <w:r>
        <w:rPr>
          <w:snapToGrid w:val="0"/>
        </w:rPr>
        <w:t> — </w:t>
      </w:r>
      <w:r>
        <w:rPr>
          <w:rStyle w:val="CharDivText"/>
        </w:rPr>
        <w:t>Control of nuisance</w:t>
      </w:r>
      <w:bookmarkEnd w:id="97"/>
      <w:bookmarkEnd w:id="98"/>
      <w:bookmarkEnd w:id="99"/>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pPr>
      <w:bookmarkStart w:id="100" w:name="_Toc375130894"/>
      <w:r>
        <w:rPr>
          <w:rStyle w:val="CharSectno"/>
        </w:rPr>
        <w:t>38</w:t>
      </w:r>
      <w:r>
        <w:t>.</w:t>
      </w:r>
      <w:r>
        <w:tab/>
        <w:t>Nuisance dogs</w:t>
      </w:r>
      <w:bookmarkEnd w:id="100"/>
    </w:p>
    <w:p>
      <w:pPr>
        <w:pStyle w:val="Subsection"/>
      </w:pPr>
      <w:r>
        <w:tab/>
        <w:t>(1)</w:t>
      </w:r>
      <w:r>
        <w:tab/>
        <w:t xml:space="preserve">For the purposes of this section, a dog is a nuisance if the dog — </w:t>
      </w:r>
    </w:p>
    <w:p>
      <w:pPr>
        <w:pStyle w:val="Indenta"/>
      </w:pPr>
      <w:r>
        <w:tab/>
        <w:t>(a)</w:t>
      </w:r>
      <w:r>
        <w:tab/>
        <w:t>makes a noise, by barking or otherwise, that persistently occurs or continues to such a degree or extent that it unreasonably interferes with the peace, comfort or convenience of any person in any place; or</w:t>
      </w:r>
    </w:p>
    <w:p>
      <w:pPr>
        <w:pStyle w:val="Indenta"/>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pPr>
      <w:r>
        <w:tab/>
        <w:t>(5)</w:t>
      </w:r>
      <w:r>
        <w:tab/>
        <w:t>A person to whom an order is issued must comply with the order during the period in which it has effect.</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 xml:space="preserve">[Section 38 inserted by No. 18 of 2013 s. 46.] </w:t>
      </w:r>
    </w:p>
    <w:p>
      <w:pPr>
        <w:pStyle w:val="Heading2"/>
      </w:pPr>
      <w:bookmarkStart w:id="101" w:name="_Toc375130675"/>
      <w:bookmarkStart w:id="102" w:name="_Toc375130785"/>
      <w:bookmarkStart w:id="103" w:name="_Toc375130895"/>
      <w:r>
        <w:rPr>
          <w:rStyle w:val="CharPartNo"/>
        </w:rPr>
        <w:t>Part VII</w:t>
      </w:r>
      <w:r>
        <w:rPr>
          <w:rStyle w:val="CharDivNo"/>
        </w:rPr>
        <w:t> </w:t>
      </w:r>
      <w:r>
        <w:t>—</w:t>
      </w:r>
      <w:r>
        <w:rPr>
          <w:rStyle w:val="CharDivText"/>
        </w:rPr>
        <w:t> </w:t>
      </w:r>
      <w:r>
        <w:rPr>
          <w:rStyle w:val="CharPartText"/>
        </w:rPr>
        <w:t>Enforcement</w:t>
      </w:r>
      <w:bookmarkEnd w:id="101"/>
      <w:bookmarkEnd w:id="102"/>
      <w:bookmarkEnd w:id="103"/>
      <w:r>
        <w:rPr>
          <w:rStyle w:val="CharPartText"/>
        </w:rPr>
        <w:t xml:space="preserve"> </w:t>
      </w:r>
    </w:p>
    <w:p>
      <w:pPr>
        <w:pStyle w:val="Heading5"/>
        <w:rPr>
          <w:snapToGrid w:val="0"/>
        </w:rPr>
      </w:pPr>
      <w:bookmarkStart w:id="104" w:name="_Toc375130896"/>
      <w:r>
        <w:rPr>
          <w:rStyle w:val="CharSectno"/>
        </w:rPr>
        <w:t>39</w:t>
      </w:r>
      <w:r>
        <w:rPr>
          <w:snapToGrid w:val="0"/>
        </w:rPr>
        <w:t>.</w:t>
      </w:r>
      <w:r>
        <w:rPr>
          <w:snapToGrid w:val="0"/>
        </w:rPr>
        <w:tab/>
        <w:t>Dogs causing injury or damage may be destroyed</w:t>
      </w:r>
      <w:bookmarkEnd w:id="104"/>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No. 18 of 2013 s. 47.] </w:t>
      </w:r>
    </w:p>
    <w:p>
      <w:pPr>
        <w:pStyle w:val="Heading5"/>
        <w:rPr>
          <w:snapToGrid w:val="0"/>
        </w:rPr>
      </w:pPr>
      <w:bookmarkStart w:id="105" w:name="_Toc375130897"/>
      <w:r>
        <w:rPr>
          <w:rStyle w:val="CharSectno"/>
        </w:rPr>
        <w:t>40</w:t>
      </w:r>
      <w:r>
        <w:rPr>
          <w:snapToGrid w:val="0"/>
        </w:rPr>
        <w:t>.</w:t>
      </w:r>
      <w:r>
        <w:rPr>
          <w:snapToGrid w:val="0"/>
        </w:rPr>
        <w:tab/>
        <w:t>Destruction of dogs, etc.</w:t>
      </w:r>
      <w:bookmarkEnd w:id="105"/>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w:t>
      </w:r>
    </w:p>
    <w:p>
      <w:pPr>
        <w:pStyle w:val="Indenta"/>
      </w:pPr>
      <w:r>
        <w:tab/>
        <w:t>(b)</w:t>
      </w:r>
      <w:r>
        <w:tab/>
        <w:t>provide that the order shall be remitted in specified circumstances;</w:t>
      </w:r>
    </w:p>
    <w:p>
      <w:pPr>
        <w:pStyle w:val="Indenta"/>
      </w:pPr>
      <w:r>
        <w:tab/>
        <w:t>(c)</w:t>
      </w:r>
      <w:r>
        <w:tab/>
        <w:t>order the seizure and detention of the dog, whether or not an order is made for the destruction of the dog;</w:t>
      </w:r>
    </w:p>
    <w:p>
      <w:pPr>
        <w:pStyle w:val="Indenta"/>
      </w:pPr>
      <w:r>
        <w:tab/>
        <w:t>(d)</w:t>
      </w:r>
      <w:r>
        <w:tab/>
        <w:t>make an order requiring that the dog be controlled, or be controlled in a specified manner;</w:t>
      </w:r>
    </w:p>
    <w:p>
      <w:pPr>
        <w:pStyle w:val="Indenta"/>
      </w:pPr>
      <w:r>
        <w:tab/>
        <w:t>(e)</w:t>
      </w:r>
      <w:r>
        <w:tab/>
        <w:t>make an order requiring that the dog be disposed of, or be disposed of in a specified manner;</w:t>
      </w:r>
    </w:p>
    <w:p>
      <w:pPr>
        <w:pStyle w:val="Indenta"/>
      </w:pPr>
      <w:r>
        <w:tab/>
        <w:t>(ea)</w:t>
      </w:r>
      <w:r>
        <w:tab/>
        <w:t>where the dog has been detained under section 29(5b) or an order is made under paragraph (c), make any order it thinks fit as to the payment of any cost, charge or fee of a kind referred to in section 29(4);</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spacing w:before="100"/>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spacing w:before="120"/>
        <w:rPr>
          <w:snapToGrid w:val="0"/>
        </w:rPr>
      </w:pPr>
      <w:bookmarkStart w:id="106" w:name="_Toc375130898"/>
      <w:r>
        <w:rPr>
          <w:rStyle w:val="CharSectno"/>
        </w:rPr>
        <w:t>41</w:t>
      </w:r>
      <w:r>
        <w:rPr>
          <w:snapToGrid w:val="0"/>
        </w:rPr>
        <w:t>.</w:t>
      </w:r>
      <w:r>
        <w:rPr>
          <w:snapToGrid w:val="0"/>
        </w:rPr>
        <w:tab/>
        <w:t>Indemnity as to destruction of dogs</w:t>
      </w:r>
      <w:bookmarkEnd w:id="106"/>
      <w:r>
        <w:rPr>
          <w:snapToGrid w:val="0"/>
        </w:rPr>
        <w:t xml:space="preserve"> </w:t>
      </w:r>
    </w:p>
    <w:p>
      <w:pPr>
        <w:pStyle w:val="Subsection"/>
        <w:spacing w:before="100"/>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r>
        <w:rPr>
          <w:b/>
        </w:rPr>
        <w:tab/>
      </w:r>
      <w:r>
        <w:t xml:space="preserve">Deleted by No. 23 of 1987 s. 33.] </w:t>
      </w:r>
    </w:p>
    <w:p>
      <w:pPr>
        <w:pStyle w:val="Heading5"/>
        <w:spacing w:before="120"/>
        <w:rPr>
          <w:snapToGrid w:val="0"/>
        </w:rPr>
      </w:pPr>
      <w:bookmarkStart w:id="107" w:name="_Toc375130899"/>
      <w:r>
        <w:rPr>
          <w:rStyle w:val="CharSectno"/>
        </w:rPr>
        <w:t>43</w:t>
      </w:r>
      <w:r>
        <w:rPr>
          <w:snapToGrid w:val="0"/>
        </w:rPr>
        <w:t>.</w:t>
      </w:r>
      <w:r>
        <w:rPr>
          <w:snapToGrid w:val="0"/>
        </w:rPr>
        <w:tab/>
        <w:t>Offences relating to enforcement, etc.</w:t>
      </w:r>
      <w:bookmarkEnd w:id="107"/>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pPr>
      <w:r>
        <w:tab/>
        <w:t>(b)</w:t>
      </w:r>
      <w:r>
        <w:tab/>
        <w:t>impedes, delays or in any way obstructs a person authorised under this Act in the exercise of his powers or the carrying out of his duties under this Act;</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No. 18 of 2013 s. 48.] </w:t>
      </w:r>
    </w:p>
    <w:p>
      <w:pPr>
        <w:pStyle w:val="Heading5"/>
        <w:rPr>
          <w:snapToGrid w:val="0"/>
        </w:rPr>
      </w:pPr>
      <w:bookmarkStart w:id="108" w:name="_Toc375130900"/>
      <w:r>
        <w:rPr>
          <w:rStyle w:val="CharSectno"/>
        </w:rPr>
        <w:t>43A</w:t>
      </w:r>
      <w:r>
        <w:rPr>
          <w:snapToGrid w:val="0"/>
        </w:rPr>
        <w:t>.</w:t>
      </w:r>
      <w:r>
        <w:rPr>
          <w:snapToGrid w:val="0"/>
        </w:rPr>
        <w:tab/>
        <w:t>Name and address to be supplied</w:t>
      </w:r>
      <w:bookmarkEnd w:id="108"/>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spacing w:before="100"/>
        <w:ind w:left="890" w:hanging="890"/>
      </w:pPr>
      <w:r>
        <w:tab/>
        <w:t xml:space="preserve">[Section 43A inserted by No. 23 of 1987 s. 35; amended by No. 24 of 1996 s. 16; No. 18 of 2013 s. 49.] </w:t>
      </w:r>
    </w:p>
    <w:p>
      <w:pPr>
        <w:pStyle w:val="Heading5"/>
        <w:spacing w:before="200"/>
        <w:rPr>
          <w:snapToGrid w:val="0"/>
        </w:rPr>
      </w:pPr>
      <w:bookmarkStart w:id="109" w:name="_Toc375130901"/>
      <w:r>
        <w:rPr>
          <w:rStyle w:val="CharSectno"/>
        </w:rPr>
        <w:t>44</w:t>
      </w:r>
      <w:r>
        <w:rPr>
          <w:snapToGrid w:val="0"/>
        </w:rPr>
        <w:t>.</w:t>
      </w:r>
      <w:r>
        <w:rPr>
          <w:snapToGrid w:val="0"/>
        </w:rPr>
        <w:tab/>
        <w:t>Enforcement proceedings</w:t>
      </w:r>
      <w:bookmarkEnd w:id="109"/>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 xml:space="preserve">[Section 44 amended by No. 14 of 1996 s. 4; No. 59 of 2004 s. 141; No. 18 of 2013 s. 50.] </w:t>
      </w:r>
    </w:p>
    <w:p>
      <w:pPr>
        <w:pStyle w:val="Heading5"/>
        <w:spacing w:before="200"/>
        <w:rPr>
          <w:snapToGrid w:val="0"/>
        </w:rPr>
      </w:pPr>
      <w:bookmarkStart w:id="110" w:name="_Toc375130902"/>
      <w:r>
        <w:rPr>
          <w:rStyle w:val="CharSectno"/>
        </w:rPr>
        <w:t>45</w:t>
      </w:r>
      <w:r>
        <w:rPr>
          <w:snapToGrid w:val="0"/>
        </w:rPr>
        <w:t>.</w:t>
      </w:r>
      <w:r>
        <w:rPr>
          <w:snapToGrid w:val="0"/>
        </w:rPr>
        <w:tab/>
        <w:t>Evidentiary provisions</w:t>
      </w:r>
      <w:bookmarkEnd w:id="110"/>
      <w:r>
        <w:rPr>
          <w:snapToGrid w:val="0"/>
        </w:rPr>
        <w:t xml:space="preserve"> </w:t>
      </w:r>
    </w:p>
    <w:p>
      <w:pPr>
        <w:pStyle w:val="Subsection"/>
      </w:pPr>
      <w:r>
        <w:tab/>
        <w:t>(1)</w:t>
      </w:r>
      <w:r>
        <w:tab/>
        <w:t xml:space="preserve">In any proceeding for an offence against this Act in relation to a specified dog — </w:t>
      </w:r>
    </w:p>
    <w:p>
      <w:pPr>
        <w:pStyle w:val="Indenta"/>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amended by No. 18 of 2013 s. 51.] </w:t>
      </w:r>
    </w:p>
    <w:p>
      <w:pPr>
        <w:pStyle w:val="Heading5"/>
        <w:rPr>
          <w:snapToGrid w:val="0"/>
        </w:rPr>
      </w:pPr>
      <w:bookmarkStart w:id="111" w:name="_Toc375130903"/>
      <w:r>
        <w:rPr>
          <w:rStyle w:val="CharSectno"/>
        </w:rPr>
        <w:t>45A</w:t>
      </w:r>
      <w:r>
        <w:rPr>
          <w:snapToGrid w:val="0"/>
        </w:rPr>
        <w:t>.</w:t>
      </w:r>
      <w:r>
        <w:rPr>
          <w:snapToGrid w:val="0"/>
        </w:rPr>
        <w:tab/>
        <w:t>Modified penalties</w:t>
      </w:r>
      <w:bookmarkEnd w:id="111"/>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No. 18 of 2013 s. 52.] </w:t>
      </w:r>
    </w:p>
    <w:p>
      <w:pPr>
        <w:pStyle w:val="Heading5"/>
      </w:pPr>
      <w:bookmarkStart w:id="112" w:name="_Toc375130904"/>
      <w:r>
        <w:rPr>
          <w:rStyle w:val="CharSectno"/>
        </w:rPr>
        <w:t>46A</w:t>
      </w:r>
      <w:r>
        <w:t>.</w:t>
      </w:r>
      <w:r>
        <w:tab/>
        <w:t>Order to attend a dog training course, ban on owning or keeping dogs</w:t>
      </w:r>
      <w:bookmarkEnd w:id="112"/>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pPr>
      <w:r>
        <w:tab/>
        <w:t>(3)</w:t>
      </w:r>
      <w:r>
        <w:tab/>
        <w:t xml:space="preserve">A court that makes an order made under subsection (1) or (2) is to provide a copy of the order to — </w:t>
      </w:r>
    </w:p>
    <w:p>
      <w:pPr>
        <w:pStyle w:val="Indenta"/>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 xml:space="preserve">[Section 46A inserted by No. 18 of 2013 s. 53.] </w:t>
      </w:r>
    </w:p>
    <w:p>
      <w:pPr>
        <w:pStyle w:val="Heading2"/>
      </w:pPr>
      <w:bookmarkStart w:id="113" w:name="_Toc375130685"/>
      <w:bookmarkStart w:id="114" w:name="_Toc375130795"/>
      <w:bookmarkStart w:id="115" w:name="_Toc375130905"/>
      <w:r>
        <w:rPr>
          <w:rStyle w:val="CharPartNo"/>
        </w:rPr>
        <w:t>Part VIII</w:t>
      </w:r>
      <w:r>
        <w:rPr>
          <w:rStyle w:val="CharDivNo"/>
        </w:rPr>
        <w:t> </w:t>
      </w:r>
      <w:r>
        <w:t>—</w:t>
      </w:r>
      <w:r>
        <w:rPr>
          <w:rStyle w:val="CharDivText"/>
        </w:rPr>
        <w:t> </w:t>
      </w:r>
      <w:r>
        <w:rPr>
          <w:rStyle w:val="CharPartText"/>
        </w:rPr>
        <w:t>Civil remedies, etc.</w:t>
      </w:r>
      <w:bookmarkEnd w:id="113"/>
      <w:bookmarkEnd w:id="114"/>
      <w:bookmarkEnd w:id="115"/>
      <w:r>
        <w:rPr>
          <w:rStyle w:val="CharPartText"/>
        </w:rPr>
        <w:t xml:space="preserve"> </w:t>
      </w:r>
    </w:p>
    <w:p>
      <w:pPr>
        <w:pStyle w:val="Heading5"/>
        <w:spacing w:before="260"/>
        <w:rPr>
          <w:snapToGrid w:val="0"/>
        </w:rPr>
      </w:pPr>
      <w:bookmarkStart w:id="116" w:name="_Toc375130906"/>
      <w:r>
        <w:rPr>
          <w:rStyle w:val="CharSectno"/>
        </w:rPr>
        <w:t>46</w:t>
      </w:r>
      <w:r>
        <w:rPr>
          <w:snapToGrid w:val="0"/>
        </w:rPr>
        <w:t>.</w:t>
      </w:r>
      <w:r>
        <w:rPr>
          <w:snapToGrid w:val="0"/>
        </w:rPr>
        <w:tab/>
        <w:t>Damages</w:t>
      </w:r>
      <w:bookmarkEnd w:id="116"/>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pPr>
      <w:bookmarkStart w:id="117" w:name="_Toc375130907"/>
      <w:r>
        <w:rPr>
          <w:rStyle w:val="CharSectno"/>
        </w:rPr>
        <w:t>47</w:t>
      </w:r>
      <w:r>
        <w:t>.</w:t>
      </w:r>
      <w:r>
        <w:tab/>
        <w:t>Veterinary service expenses recoverable from local government</w:t>
      </w:r>
      <w:bookmarkEnd w:id="117"/>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t>an authorised person appointed by the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 xml:space="preserve">[Section 47 inserted by No. 18 of 2013 s. 54.] </w:t>
      </w:r>
    </w:p>
    <w:p>
      <w:pPr>
        <w:pStyle w:val="Heading2"/>
      </w:pPr>
      <w:bookmarkStart w:id="118" w:name="_Toc375130688"/>
      <w:bookmarkStart w:id="119" w:name="_Toc375130798"/>
      <w:bookmarkStart w:id="120" w:name="_Toc375130908"/>
      <w:r>
        <w:rPr>
          <w:rStyle w:val="CharPartNo"/>
        </w:rPr>
        <w:t>Part IX</w:t>
      </w:r>
      <w:r>
        <w:rPr>
          <w:rStyle w:val="CharDivNo"/>
        </w:rPr>
        <w:t> </w:t>
      </w:r>
      <w:r>
        <w:t>—</w:t>
      </w:r>
      <w:r>
        <w:rPr>
          <w:rStyle w:val="CharDivText"/>
        </w:rPr>
        <w:t> </w:t>
      </w:r>
      <w:r>
        <w:rPr>
          <w:rStyle w:val="CharPartText"/>
        </w:rPr>
        <w:t>Local laws</w:t>
      </w:r>
      <w:bookmarkEnd w:id="118"/>
      <w:bookmarkEnd w:id="119"/>
      <w:bookmarkEnd w:id="120"/>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121" w:name="_Toc375130909"/>
      <w:r>
        <w:rPr>
          <w:rStyle w:val="CharSectno"/>
        </w:rPr>
        <w:t>48</w:t>
      </w:r>
      <w:r>
        <w:rPr>
          <w:snapToGrid w:val="0"/>
        </w:rPr>
        <w:t>.</w:t>
      </w:r>
      <w:r>
        <w:rPr>
          <w:snapToGrid w:val="0"/>
        </w:rPr>
        <w:tab/>
        <w:t>Regulations to operate as local laws</w:t>
      </w:r>
      <w:bookmarkEnd w:id="121"/>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122" w:name="_Toc375130910"/>
      <w:r>
        <w:rPr>
          <w:rStyle w:val="CharSectno"/>
        </w:rPr>
        <w:t>49</w:t>
      </w:r>
      <w:r>
        <w:rPr>
          <w:snapToGrid w:val="0"/>
        </w:rPr>
        <w:t>.</w:t>
      </w:r>
      <w:r>
        <w:rPr>
          <w:snapToGrid w:val="0"/>
        </w:rPr>
        <w:tab/>
        <w:t>Local laws</w:t>
      </w:r>
      <w:bookmarkEnd w:id="122"/>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123" w:name="_Toc375130911"/>
      <w:r>
        <w:rPr>
          <w:rStyle w:val="CharSectno"/>
        </w:rPr>
        <w:t>49A</w:t>
      </w:r>
      <w:r>
        <w:rPr>
          <w:snapToGrid w:val="0"/>
        </w:rPr>
        <w:t>.</w:t>
      </w:r>
      <w:r>
        <w:rPr>
          <w:snapToGrid w:val="0"/>
        </w:rPr>
        <w:tab/>
        <w:t>Model local laws</w:t>
      </w:r>
      <w:bookmarkEnd w:id="123"/>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124" w:name="_Toc375130912"/>
      <w:r>
        <w:rPr>
          <w:rStyle w:val="CharSectno"/>
        </w:rPr>
        <w:t>49B</w:t>
      </w:r>
      <w:r>
        <w:rPr>
          <w:snapToGrid w:val="0"/>
        </w:rPr>
        <w:t>.</w:t>
      </w:r>
      <w:r>
        <w:rPr>
          <w:snapToGrid w:val="0"/>
        </w:rPr>
        <w:tab/>
        <w:t>Governor may amend or repeal local laws</w:t>
      </w:r>
      <w:bookmarkEnd w:id="124"/>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125" w:name="_Toc375130913"/>
      <w:r>
        <w:rPr>
          <w:rStyle w:val="CharSectno"/>
        </w:rPr>
        <w:t>50</w:t>
      </w:r>
      <w:r>
        <w:rPr>
          <w:snapToGrid w:val="0"/>
        </w:rPr>
        <w:t>.</w:t>
      </w:r>
      <w:r>
        <w:rPr>
          <w:snapToGrid w:val="0"/>
        </w:rPr>
        <w:tab/>
        <w:t>General provisions relating to regulations and local laws</w:t>
      </w:r>
      <w:bookmarkEnd w:id="125"/>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No. 18 of 2013 s. 55.] </w:t>
      </w:r>
    </w:p>
    <w:p>
      <w:pPr>
        <w:pStyle w:val="Heading5"/>
        <w:rPr>
          <w:snapToGrid w:val="0"/>
        </w:rPr>
      </w:pPr>
      <w:bookmarkStart w:id="126" w:name="_Toc375130914"/>
      <w:r>
        <w:rPr>
          <w:rStyle w:val="CharSectno"/>
        </w:rPr>
        <w:t>51</w:t>
      </w:r>
      <w:r>
        <w:rPr>
          <w:snapToGrid w:val="0"/>
        </w:rPr>
        <w:t>.</w:t>
      </w:r>
      <w:r>
        <w:rPr>
          <w:snapToGrid w:val="0"/>
        </w:rPr>
        <w:tab/>
        <w:t>Local law making powers</w:t>
      </w:r>
      <w:bookmarkEnd w:id="126"/>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[(b)-(bb)</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No. 18 of 2013 s. 56.] </w:t>
      </w:r>
    </w:p>
    <w:p>
      <w:pPr>
        <w:pStyle w:val="Heading5"/>
        <w:rPr>
          <w:snapToGrid w:val="0"/>
        </w:rPr>
      </w:pPr>
      <w:bookmarkStart w:id="127" w:name="_Toc375130915"/>
      <w:r>
        <w:rPr>
          <w:rStyle w:val="CharSectno"/>
        </w:rPr>
        <w:t>52</w:t>
      </w:r>
      <w:r>
        <w:rPr>
          <w:snapToGrid w:val="0"/>
        </w:rPr>
        <w:t>.</w:t>
      </w:r>
      <w:r>
        <w:rPr>
          <w:snapToGrid w:val="0"/>
        </w:rPr>
        <w:tab/>
        <w:t>Revocation of local laws</w:t>
      </w:r>
      <w:bookmarkEnd w:id="127"/>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128" w:name="_Toc375130696"/>
      <w:bookmarkStart w:id="129" w:name="_Toc375130806"/>
      <w:bookmarkStart w:id="130" w:name="_Toc375130916"/>
      <w:r>
        <w:rPr>
          <w:rStyle w:val="CharPartNo"/>
        </w:rPr>
        <w:t>Part X</w:t>
      </w:r>
      <w:r>
        <w:rPr>
          <w:rStyle w:val="CharDivNo"/>
        </w:rPr>
        <w:t> </w:t>
      </w:r>
      <w:r>
        <w:t>—</w:t>
      </w:r>
      <w:r>
        <w:rPr>
          <w:rStyle w:val="CharDivText"/>
        </w:rPr>
        <w:t> </w:t>
      </w:r>
      <w:r>
        <w:rPr>
          <w:rStyle w:val="CharPartText"/>
        </w:rPr>
        <w:t>Regulations</w:t>
      </w:r>
      <w:bookmarkEnd w:id="128"/>
      <w:bookmarkEnd w:id="129"/>
      <w:bookmarkEnd w:id="130"/>
      <w:r>
        <w:rPr>
          <w:rStyle w:val="CharPartText"/>
        </w:rPr>
        <w:t xml:space="preserve"> </w:t>
      </w:r>
    </w:p>
    <w:p>
      <w:pPr>
        <w:pStyle w:val="Ednotesection"/>
      </w:pPr>
      <w:r>
        <w:t>[</w:t>
      </w:r>
      <w:r>
        <w:rPr>
          <w:b/>
        </w:rPr>
        <w:t>53.</w:t>
      </w:r>
      <w:r>
        <w:tab/>
        <w:t>Deleted by No. 18 of 2013 s. 57.]</w:t>
      </w:r>
    </w:p>
    <w:p>
      <w:pPr>
        <w:pStyle w:val="Heading5"/>
        <w:rPr>
          <w:snapToGrid w:val="0"/>
        </w:rPr>
      </w:pPr>
      <w:bookmarkStart w:id="131" w:name="_Toc375130917"/>
      <w:r>
        <w:rPr>
          <w:rStyle w:val="CharSectno"/>
        </w:rPr>
        <w:t>54</w:t>
      </w:r>
      <w:r>
        <w:rPr>
          <w:snapToGrid w:val="0"/>
        </w:rPr>
        <w:t>.</w:t>
      </w:r>
      <w:r>
        <w:rPr>
          <w:snapToGrid w:val="0"/>
        </w:rPr>
        <w:tab/>
        <w:t>Regulations generally</w:t>
      </w:r>
      <w:bookmarkEnd w:id="131"/>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spacing w:before="80"/>
        <w:ind w:left="890" w:hanging="890"/>
      </w:pPr>
      <w:r>
        <w:tab/>
        <w:t xml:space="preserve">[Section 54 amended by No. 14 of 1996 s. 4; No. 18 of 2013 s. 58.] </w:t>
      </w:r>
    </w:p>
    <w:p>
      <w:pPr>
        <w:pStyle w:val="Heading2"/>
      </w:pPr>
      <w:bookmarkStart w:id="132" w:name="_Toc375130698"/>
      <w:bookmarkStart w:id="133" w:name="_Toc375130808"/>
      <w:bookmarkStart w:id="134" w:name="_Toc375130918"/>
      <w:r>
        <w:rPr>
          <w:rStyle w:val="CharPartNo"/>
        </w:rPr>
        <w:t>Part XI</w:t>
      </w:r>
      <w:r>
        <w:rPr>
          <w:b w:val="0"/>
        </w:rPr>
        <w:t> </w:t>
      </w:r>
      <w:r>
        <w:t>—</w:t>
      </w:r>
      <w:r>
        <w:rPr>
          <w:b w:val="0"/>
        </w:rPr>
        <w:t> </w:t>
      </w:r>
      <w:r>
        <w:rPr>
          <w:rStyle w:val="CharPartText"/>
        </w:rPr>
        <w:t>Transitional provisions</w:t>
      </w:r>
      <w:bookmarkEnd w:id="132"/>
      <w:bookmarkEnd w:id="133"/>
      <w:bookmarkEnd w:id="134"/>
    </w:p>
    <w:p>
      <w:pPr>
        <w:pStyle w:val="Footnoteheading"/>
      </w:pPr>
      <w:r>
        <w:tab/>
        <w:t xml:space="preserve">[Heading inserted by No. 18 of 2013 s. 59.] </w:t>
      </w:r>
    </w:p>
    <w:p>
      <w:pPr>
        <w:pStyle w:val="Heading3"/>
      </w:pPr>
      <w:bookmarkStart w:id="135" w:name="_Toc375130699"/>
      <w:bookmarkStart w:id="136" w:name="_Toc375130809"/>
      <w:bookmarkStart w:id="137" w:name="_Toc375130919"/>
      <w:r>
        <w:rPr>
          <w:rStyle w:val="CharDivNo"/>
        </w:rPr>
        <w:t>Division 1</w:t>
      </w:r>
      <w:r>
        <w:t> — </w:t>
      </w:r>
      <w:r>
        <w:rPr>
          <w:rStyle w:val="CharDivText"/>
        </w:rPr>
        <w:t xml:space="preserve">Transitional provisions arising from certain amendments made by the </w:t>
      </w:r>
      <w:r>
        <w:rPr>
          <w:rStyle w:val="CharDivText"/>
          <w:i/>
        </w:rPr>
        <w:t>Dog Amendment Act 2013</w:t>
      </w:r>
      <w:bookmarkEnd w:id="135"/>
      <w:bookmarkEnd w:id="136"/>
      <w:bookmarkEnd w:id="137"/>
    </w:p>
    <w:p>
      <w:pPr>
        <w:pStyle w:val="Footnoteheading"/>
      </w:pPr>
      <w:r>
        <w:tab/>
        <w:t xml:space="preserve">[Heading inserted by No. 18 of 2013 s. 59.] </w:t>
      </w:r>
    </w:p>
    <w:p>
      <w:pPr>
        <w:pStyle w:val="Heading5"/>
      </w:pPr>
      <w:bookmarkStart w:id="138" w:name="_Toc375130920"/>
      <w:r>
        <w:rPr>
          <w:rStyle w:val="CharSectno"/>
        </w:rPr>
        <w:t>55</w:t>
      </w:r>
      <w:r>
        <w:t>.</w:t>
      </w:r>
      <w:r>
        <w:tab/>
        <w:t xml:space="preserve">Application of the </w:t>
      </w:r>
      <w:r>
        <w:rPr>
          <w:i/>
          <w:iCs/>
        </w:rPr>
        <w:t>Interpretation Act 1984</w:t>
      </w:r>
      <w:bookmarkEnd w:id="138"/>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 xml:space="preserve">[Section 55 inserted by No. 18 of 2013 s. 59.] </w:t>
      </w:r>
    </w:p>
    <w:p>
      <w:pPr>
        <w:pStyle w:val="Heading5"/>
      </w:pPr>
      <w:bookmarkStart w:id="139" w:name="_Toc375130921"/>
      <w:r>
        <w:rPr>
          <w:rStyle w:val="CharSectno"/>
        </w:rPr>
        <w:t>56</w:t>
      </w:r>
      <w:r>
        <w:t>.</w:t>
      </w:r>
      <w:r>
        <w:tab/>
        <w:t>Authorisations in relation to assistance dogs</w:t>
      </w:r>
      <w:bookmarkEnd w:id="139"/>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 xml:space="preserve">[Section 56 inserted by No. 18 of 2013 s. 59.] </w:t>
      </w:r>
    </w:p>
    <w:p>
      <w:pPr>
        <w:pStyle w:val="Heading5"/>
      </w:pPr>
      <w:bookmarkStart w:id="140" w:name="_Toc375130922"/>
      <w:r>
        <w:rPr>
          <w:rStyle w:val="CharSectno"/>
        </w:rPr>
        <w:t>57</w:t>
      </w:r>
      <w:r>
        <w:t>.</w:t>
      </w:r>
      <w:r>
        <w:tab/>
        <w:t>Registration procedure</w:t>
      </w:r>
      <w:bookmarkEnd w:id="140"/>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 is, on and from that day, to be dealt with as if the </w:t>
      </w:r>
      <w:r>
        <w:rPr>
          <w:i/>
          <w:iCs/>
        </w:rPr>
        <w:t>Dog Amendment Act 2013</w:t>
      </w:r>
      <w:r>
        <w:t xml:space="preserve"> section 14 had not been enacted.</w:t>
      </w:r>
    </w:p>
    <w:p>
      <w:pPr>
        <w:pStyle w:val="Footnotesection"/>
      </w:pPr>
      <w:r>
        <w:tab/>
        <w:t xml:space="preserve">[Section 57 inserted by No. 18 of 2013 s. 59.] </w:t>
      </w:r>
    </w:p>
    <w:p>
      <w:pPr>
        <w:pStyle w:val="Heading5"/>
      </w:pPr>
      <w:bookmarkStart w:id="141" w:name="_Toc375130923"/>
      <w:r>
        <w:rPr>
          <w:rStyle w:val="CharSectno"/>
        </w:rPr>
        <w:t>58</w:t>
      </w:r>
      <w:r>
        <w:t>.</w:t>
      </w:r>
      <w:r>
        <w:tab/>
        <w:t>Detained dogs</w:t>
      </w:r>
      <w:bookmarkEnd w:id="141"/>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 xml:space="preserve">[Section 58 inserted by No. 18 of 2013 s. 59.] </w:t>
      </w:r>
    </w:p>
    <w:p>
      <w:pPr>
        <w:pStyle w:val="Heading5"/>
      </w:pPr>
      <w:bookmarkStart w:id="142" w:name="_Toc375130924"/>
      <w:r>
        <w:rPr>
          <w:rStyle w:val="CharSectno"/>
        </w:rPr>
        <w:t>59</w:t>
      </w:r>
      <w:r>
        <w:t>.</w:t>
      </w:r>
      <w:r>
        <w:tab/>
        <w:t>Dogs declared to be dangerous dogs</w:t>
      </w:r>
      <w:bookmarkEnd w:id="142"/>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 xml:space="preserve">[Section 59 inserted by No. 18 of 2013 s. 59.] </w:t>
      </w:r>
    </w:p>
    <w:p>
      <w:pPr>
        <w:pStyle w:val="Heading5"/>
      </w:pPr>
      <w:bookmarkStart w:id="143" w:name="_Toc375130925"/>
      <w:r>
        <w:rPr>
          <w:rStyle w:val="CharSectno"/>
        </w:rPr>
        <w:t>60</w:t>
      </w:r>
      <w:r>
        <w:t>.</w:t>
      </w:r>
      <w:r>
        <w:tab/>
        <w:t>Transitional regulations</w:t>
      </w:r>
      <w:bookmarkEnd w:id="143"/>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 xml:space="preserve">[Section 60 inserted by No. 18 of 2013 s. 59.]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1134" w:right="2410" w:bottom="1134" w:left="2410" w:header="1134" w:footer="3380" w:gutter="0"/>
          <w:pgNumType w:start="1"/>
          <w:cols w:space="720"/>
          <w:noEndnote/>
          <w:titlePg/>
          <w:docGrid w:linePitch="326"/>
        </w:sectPr>
      </w:pPr>
    </w:p>
    <w:p>
      <w:pPr>
        <w:pStyle w:val="nHeading2"/>
      </w:pPr>
      <w:bookmarkStart w:id="144" w:name="_Toc375130706"/>
      <w:bookmarkStart w:id="145" w:name="_Toc375130816"/>
      <w:bookmarkStart w:id="146" w:name="_Toc375130926"/>
      <w:r>
        <w:t>Notes</w:t>
      </w:r>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Dog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7" w:name="_Toc375130927"/>
      <w:r>
        <w:rPr>
          <w:snapToGrid w:val="0"/>
        </w:rPr>
        <w:t>Compilation table</w:t>
      </w:r>
      <w:bookmarkEnd w:id="1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 Nov 1987 (see s. 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1996</w:t>
            </w:r>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vertAlign w:val="superscript"/>
              </w:rPr>
            </w:pPr>
            <w:r>
              <w:rPr>
                <w:i/>
                <w:iCs/>
                <w:snapToGrid w:val="0"/>
                <w:sz w:val="19"/>
              </w:rPr>
              <w:t>Courts Legislation Amendment and Repeal Act 2004</w:t>
            </w:r>
            <w:r>
              <w:rPr>
                <w:snapToGrid w:val="0"/>
                <w:sz w:val="19"/>
              </w:rPr>
              <w:t xml:space="preserve"> s. 141 </w:t>
            </w:r>
            <w:r>
              <w:rPr>
                <w:snapToGrid w:val="0"/>
                <w:sz w:val="19"/>
                <w:vertAlign w:val="superscript"/>
              </w:rPr>
              <w:t>6</w:t>
            </w:r>
          </w:p>
        </w:tc>
        <w:tc>
          <w:tcPr>
            <w:tcW w:w="1134" w:type="dxa"/>
          </w:tcPr>
          <w:p>
            <w:pPr>
              <w:pStyle w:val="nTable"/>
              <w:spacing w:after="40"/>
              <w:rPr>
                <w:sz w:val="19"/>
              </w:rPr>
            </w:pPr>
            <w:r>
              <w:rPr>
                <w:snapToGrid w:val="0"/>
                <w:sz w:val="19"/>
              </w:rPr>
              <w:t>59 of 2004 (as amended by No. 2 of 2008 s. 77(13))</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4,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ind w:right="113"/>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cantSplit/>
        </w:trPr>
        <w:tc>
          <w:tcPr>
            <w:tcW w:w="7088" w:type="dxa"/>
            <w:gridSpan w:val="4"/>
          </w:tcPr>
          <w:p>
            <w:pPr>
              <w:pStyle w:val="nTable"/>
              <w:spacing w:after="40"/>
              <w:rPr>
                <w:snapToGrid w:val="0"/>
                <w:sz w:val="19"/>
              </w:rPr>
            </w:pPr>
            <w:r>
              <w:rPr>
                <w:b/>
                <w:sz w:val="19"/>
              </w:rPr>
              <w:t xml:space="preserve">Reprint 5:  The </w:t>
            </w:r>
            <w:r>
              <w:rPr>
                <w:b/>
                <w:i/>
                <w:sz w:val="19"/>
              </w:rPr>
              <w:t>Dog Act 1976</w:t>
            </w:r>
            <w:r>
              <w:rPr>
                <w:b/>
                <w:sz w:val="19"/>
              </w:rPr>
              <w:t xml:space="preserve"> as at 4 Aug 2006</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rPr>
              <w:t>Land Information Authority Act 2006</w:t>
            </w:r>
            <w:r>
              <w:rPr>
                <w:iCs/>
                <w:snapToGrid w:val="0"/>
                <w:sz w:val="19"/>
              </w:rPr>
              <w:t xml:space="preserve"> s. 132 </w:t>
            </w:r>
          </w:p>
        </w:tc>
        <w:tc>
          <w:tcPr>
            <w:tcW w:w="1134" w:type="dxa"/>
          </w:tcPr>
          <w:p>
            <w:pPr>
              <w:pStyle w:val="nTable"/>
              <w:spacing w:after="40"/>
              <w:rPr>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sz w:val="19"/>
                <w:vertAlign w:val="superscript"/>
              </w:rPr>
            </w:pPr>
            <w:r>
              <w:rPr>
                <w:i/>
                <w:sz w:val="19"/>
              </w:rPr>
              <w:t>Dog Amendment Act 2013</w:t>
            </w:r>
            <w:r>
              <w:rPr>
                <w:sz w:val="19"/>
              </w:rPr>
              <w:t xml:space="preserve"> Pt. 2</w:t>
            </w:r>
            <w:r>
              <w:rPr>
                <w:sz w:val="19"/>
                <w:vertAlign w:val="superscript"/>
              </w:rPr>
              <w:t> 7</w:t>
            </w:r>
          </w:p>
        </w:tc>
        <w:tc>
          <w:tcPr>
            <w:tcW w:w="1134" w:type="dxa"/>
            <w:tcBorders>
              <w:bottom w:val="single" w:sz="8" w:space="0" w:color="auto"/>
            </w:tcBorders>
          </w:tcPr>
          <w:p>
            <w:pPr>
              <w:pStyle w:val="nTable"/>
              <w:spacing w:after="40"/>
              <w:rPr>
                <w:szCs w:val="18"/>
              </w:rPr>
            </w:pPr>
            <w:r>
              <w:rPr>
                <w:szCs w:val="18"/>
              </w:rPr>
              <w:t>18 of 2013</w:t>
            </w:r>
          </w:p>
        </w:tc>
        <w:tc>
          <w:tcPr>
            <w:tcW w:w="1134" w:type="dxa"/>
            <w:tcBorders>
              <w:bottom w:val="single" w:sz="8" w:space="0" w:color="auto"/>
            </w:tcBorders>
          </w:tcPr>
          <w:p>
            <w:pPr>
              <w:pStyle w:val="nTable"/>
              <w:spacing w:after="40"/>
              <w:rPr>
                <w:sz w:val="19"/>
              </w:rPr>
            </w:pPr>
            <w:r>
              <w:rPr>
                <w:sz w:val="19"/>
              </w:rPr>
              <w:t>29 Oct 2013</w:t>
            </w:r>
          </w:p>
        </w:tc>
        <w:tc>
          <w:tcPr>
            <w:tcW w:w="2551" w:type="dxa"/>
            <w:tcBorders>
              <w:bottom w:val="single" w:sz="8" w:space="0" w:color="auto"/>
            </w:tcBorders>
          </w:tcPr>
          <w:p>
            <w:pPr>
              <w:pStyle w:val="nTable"/>
              <w:spacing w:after="40"/>
              <w:rPr>
                <w:sz w:val="19"/>
              </w:rPr>
            </w:pPr>
            <w:r>
              <w:rPr>
                <w:sz w:val="19"/>
              </w:rPr>
              <w:t xml:space="preserve">1 Nov 2013 (see s. 2(b) and </w:t>
            </w:r>
            <w:r>
              <w:rPr>
                <w:i/>
                <w:sz w:val="19"/>
              </w:rPr>
              <w:t>Gazette</w:t>
            </w:r>
            <w:r>
              <w:rPr>
                <w:sz w:val="19"/>
              </w:rPr>
              <w:t xml:space="preserve"> 31 Oct 2013 p. 4829)</w:t>
            </w:r>
          </w:p>
        </w:tc>
      </w:tr>
    </w:tbl>
    <w:p>
      <w:pPr>
        <w:pStyle w:val="nSubsection"/>
        <w:rPr>
          <w:vertAlign w:val="superscript"/>
        </w:rPr>
      </w:pPr>
    </w:p>
    <w:p>
      <w:pPr>
        <w:pStyle w:val="nSubsection"/>
      </w:pPr>
      <w:r>
        <w:rPr>
          <w:vertAlign w:val="superscript"/>
        </w:rPr>
        <w:t>2</w:t>
      </w:r>
      <w:r>
        <w:tab/>
        <w:t>Footnote no longer applicable.</w:t>
      </w:r>
    </w:p>
    <w:p>
      <w:pPr>
        <w:pStyle w:val="nSubsection"/>
      </w:pPr>
      <w:r>
        <w:rPr>
          <w:vertAlign w:val="superscript"/>
        </w:rPr>
        <w:t>3</w:t>
      </w:r>
      <w:r>
        <w:tab/>
        <w:t xml:space="preserve">The </w:t>
      </w:r>
      <w:r>
        <w:rPr>
          <w:i/>
        </w:rPr>
        <w:t>Racing and Gambling Legislation Amendment and Repeal Act 2003</w:t>
      </w:r>
      <w:r>
        <w:t xml:space="preserve"> s. 19 reads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MiscOpen"/>
      </w:pPr>
      <w:r>
        <w:t>“</w:t>
      </w: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pStyle w:val="nSubsection"/>
        <w:tabs>
          <w:tab w:val="left" w:pos="2520"/>
        </w:tabs>
        <w:rPr>
          <w:snapToGrid w:val="0"/>
        </w:rPr>
      </w:pPr>
      <w:r>
        <w:rPr>
          <w:snapToGrid w:val="0"/>
          <w:vertAlign w:val="superscript"/>
        </w:rPr>
        <w:t>6</w:t>
      </w:r>
      <w:r>
        <w:rPr>
          <w:snapToGrid w:val="0"/>
        </w:rPr>
        <w:tab/>
        <w:t xml:space="preserve">The </w:t>
      </w:r>
      <w:r>
        <w:rPr>
          <w:i/>
          <w:iCs/>
          <w:snapToGrid w:val="0"/>
        </w:rPr>
        <w:t>Courts Legislation Amendment and Repeal Act 2004</w:t>
      </w:r>
      <w:r>
        <w:rPr>
          <w:snapToGrid w:val="0"/>
        </w:rPr>
        <w:t xml:space="preserve"> Sch. 2 cl. 15 was repealed by the </w:t>
      </w:r>
      <w:r>
        <w:rPr>
          <w:i/>
          <w:iCs/>
          <w:snapToGrid w:val="0"/>
        </w:rPr>
        <w:t>Criminal Law and Evidence Amendment Act 2008</w:t>
      </w:r>
      <w:r>
        <w:rPr>
          <w:snapToGrid w:val="0"/>
        </w:rPr>
        <w:t xml:space="preserve"> s. 77(13).</w:t>
      </w:r>
    </w:p>
    <w:p>
      <w:pPr>
        <w:pStyle w:val="nSubsection"/>
        <w:spacing w:before="120"/>
        <w:rPr>
          <w:iCs/>
        </w:rPr>
      </w:pPr>
      <w:r>
        <w:rPr>
          <w:iCs/>
          <w:vertAlign w:val="superscript"/>
        </w:rPr>
        <w:t>7</w:t>
      </w:r>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pPr>
        <w:pStyle w:val="BlankClose"/>
        <w:rPr>
          <w:snapToGrid w:val="0"/>
        </w:rPr>
      </w:pPr>
    </w:p>
    <w:p>
      <w:pPr>
        <w:rPr>
          <w:snapToGrid w:val="0"/>
        </w:rPr>
      </w:pPr>
    </w:p>
    <w:p>
      <w:pPr>
        <w:rPr>
          <w:snapToGrid w:val="0"/>
        </w:rPr>
        <w:sectPr>
          <w:headerReference w:type="even" r:id="rId26"/>
          <w:headerReference w:type="default" r:id="rId27"/>
          <w:headerReference w:type="first" r:id="rId28"/>
          <w:pgSz w:w="11906" w:h="16838" w:code="9"/>
          <w:pgMar w:top="1134" w:right="2410" w:bottom="1134" w:left="2410" w:header="1134" w:footer="3380" w:gutter="0"/>
          <w:cols w:space="720"/>
          <w:noEndnote/>
          <w:docGrid w:linePitch="326"/>
        </w:sectPr>
      </w:pPr>
    </w:p>
    <w:p>
      <w:pPr>
        <w:pStyle w:val="nHeading2"/>
        <w:rPr>
          <w:sz w:val="28"/>
        </w:rPr>
      </w:pPr>
      <w:bookmarkStart w:id="148" w:name="_Toc375130708"/>
      <w:bookmarkStart w:id="149" w:name="_Toc375130818"/>
      <w:bookmarkStart w:id="150" w:name="_Toc375130928"/>
      <w:r>
        <w:rPr>
          <w:sz w:val="28"/>
        </w:rPr>
        <w:t>Defined terms</w:t>
      </w:r>
      <w:bookmarkEnd w:id="148"/>
      <w:bookmarkEnd w:id="149"/>
      <w:bookmarkEnd w:id="15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51" w:name="DefinedTerms"/>
      <w:bookmarkEnd w:id="151"/>
      <w:r>
        <w:rPr>
          <w:snapToGrid w:val="0"/>
        </w:rPr>
        <w:t>amending provision</w:t>
      </w:r>
      <w:r>
        <w:rPr>
          <w:snapToGrid w:val="0"/>
        </w:rPr>
        <w:tab/>
        <w:t>60(2)</w:t>
      </w:r>
    </w:p>
    <w:p>
      <w:pPr>
        <w:pStyle w:val="DefinedTerms"/>
        <w:rPr>
          <w:snapToGrid w:val="0"/>
        </w:rPr>
      </w:pPr>
      <w:r>
        <w:rPr>
          <w:snapToGrid w:val="0"/>
        </w:rPr>
        <w:t>assistance dog</w:t>
      </w:r>
      <w:r>
        <w:rPr>
          <w:snapToGrid w:val="0"/>
        </w:rPr>
        <w:tab/>
        <w:t>8(1)</w:t>
      </w:r>
    </w:p>
    <w:p>
      <w:pPr>
        <w:pStyle w:val="DefinedTerms"/>
        <w:rPr>
          <w:snapToGrid w:val="0"/>
        </w:rPr>
      </w:pPr>
      <w:r>
        <w:rPr>
          <w:snapToGrid w:val="0"/>
        </w:rPr>
        <w:t>attack</w:t>
      </w:r>
      <w:r>
        <w:rPr>
          <w:snapToGrid w:val="0"/>
        </w:rPr>
        <w:tab/>
        <w:t>3(1)</w:t>
      </w:r>
    </w:p>
    <w:p>
      <w:pPr>
        <w:pStyle w:val="DefinedTerms"/>
        <w:rPr>
          <w:snapToGrid w:val="0"/>
        </w:rPr>
      </w:pPr>
      <w:r>
        <w:rPr>
          <w:snapToGrid w:val="0"/>
        </w:rPr>
        <w:t>attack dog</w:t>
      </w:r>
      <w:r>
        <w:rPr>
          <w:snapToGrid w:val="0"/>
        </w:rPr>
        <w:tab/>
        <w:t>29(5a)</w:t>
      </w:r>
    </w:p>
    <w:p>
      <w:pPr>
        <w:pStyle w:val="DefinedTerms"/>
        <w:rPr>
          <w:snapToGrid w:val="0"/>
        </w:rPr>
      </w:pPr>
      <w:r>
        <w:rPr>
          <w:snapToGrid w:val="0"/>
        </w:rPr>
        <w:t>authorised person</w:t>
      </w:r>
      <w:r>
        <w:rPr>
          <w:snapToGrid w:val="0"/>
        </w:rPr>
        <w:tab/>
        <w:t>3(1)</w:t>
      </w:r>
    </w:p>
    <w:p>
      <w:pPr>
        <w:pStyle w:val="DefinedTerms"/>
        <w:rPr>
          <w:snapToGrid w:val="0"/>
        </w:rPr>
      </w:pPr>
      <w:r>
        <w:rPr>
          <w:snapToGrid w:val="0"/>
        </w:rPr>
        <w:t>CEO</w:t>
      </w:r>
      <w:r>
        <w:rPr>
          <w:snapToGrid w:val="0"/>
        </w:rPr>
        <w:tab/>
        <w:t>3(1)</w:t>
      </w:r>
    </w:p>
    <w:p>
      <w:pPr>
        <w:pStyle w:val="DefinedTerms"/>
        <w:rPr>
          <w:snapToGrid w:val="0"/>
        </w:rPr>
      </w:pPr>
      <w:r>
        <w:rPr>
          <w:snapToGrid w:val="0"/>
        </w:rPr>
        <w:t>commencement day</w:t>
      </w:r>
      <w:r>
        <w:rPr>
          <w:snapToGrid w:val="0"/>
        </w:rPr>
        <w:tab/>
        <w:t>60(1)</w:t>
      </w:r>
    </w:p>
    <w:p>
      <w:pPr>
        <w:pStyle w:val="DefinedTerms"/>
        <w:rPr>
          <w:snapToGrid w:val="0"/>
        </w:rPr>
      </w:pPr>
      <w:r>
        <w:rPr>
          <w:snapToGrid w:val="0"/>
        </w:rPr>
        <w:t>commercial security dog</w:t>
      </w:r>
      <w:r>
        <w:rPr>
          <w:snapToGrid w:val="0"/>
        </w:rPr>
        <w:tab/>
        <w:t>3(1)</w:t>
      </w:r>
    </w:p>
    <w:p>
      <w:pPr>
        <w:pStyle w:val="DefinedTerms"/>
        <w:rPr>
          <w:snapToGrid w:val="0"/>
        </w:rPr>
      </w:pPr>
      <w:r>
        <w:rPr>
          <w:snapToGrid w:val="0"/>
        </w:rPr>
        <w:t>dangerous dog</w:t>
      </w:r>
      <w:r>
        <w:rPr>
          <w:snapToGrid w:val="0"/>
        </w:rPr>
        <w:tab/>
        <w:t>3(1)</w:t>
      </w:r>
    </w:p>
    <w:p>
      <w:pPr>
        <w:pStyle w:val="DefinedTerms"/>
        <w:rPr>
          <w:snapToGrid w:val="0"/>
        </w:rPr>
      </w:pPr>
      <w:r>
        <w:rPr>
          <w:snapToGrid w:val="0"/>
        </w:rPr>
        <w:t>dangerous dog (declared)</w:t>
      </w:r>
      <w:r>
        <w:rPr>
          <w:snapToGrid w:val="0"/>
        </w:rPr>
        <w:tab/>
        <w:t>3(1)</w:t>
      </w:r>
    </w:p>
    <w:p>
      <w:pPr>
        <w:pStyle w:val="DefinedTerms"/>
        <w:rPr>
          <w:snapToGrid w:val="0"/>
        </w:rPr>
      </w:pPr>
      <w:r>
        <w:rPr>
          <w:snapToGrid w:val="0"/>
        </w:rPr>
        <w:t>dangerous dog (restricted breed)</w:t>
      </w:r>
      <w:r>
        <w:rPr>
          <w:snapToGrid w:val="0"/>
        </w:rPr>
        <w:tab/>
        <w:t>3(1)</w:t>
      </w:r>
    </w:p>
    <w:p>
      <w:pPr>
        <w:pStyle w:val="DefinedTerms"/>
        <w:rPr>
          <w:snapToGrid w:val="0"/>
        </w:rPr>
      </w:pPr>
      <w:r>
        <w:rPr>
          <w:snapToGrid w:val="0"/>
        </w:rPr>
        <w:t>detention period</w:t>
      </w:r>
      <w:r>
        <w:rPr>
          <w:snapToGrid w:val="0"/>
        </w:rPr>
        <w:tab/>
        <w:t>29(8A)</w:t>
      </w:r>
    </w:p>
    <w:p>
      <w:pPr>
        <w:pStyle w:val="DefinedTerms"/>
        <w:rPr>
          <w:snapToGrid w:val="0"/>
        </w:rPr>
      </w:pPr>
      <w:r>
        <w:rPr>
          <w:snapToGrid w:val="0"/>
        </w:rPr>
        <w:t>district</w:t>
      </w:r>
      <w:r>
        <w:rPr>
          <w:snapToGrid w:val="0"/>
        </w:rPr>
        <w:tab/>
        <w:t>3(1)</w:t>
      </w:r>
    </w:p>
    <w:p>
      <w:pPr>
        <w:pStyle w:val="DefinedTerms"/>
        <w:rPr>
          <w:snapToGrid w:val="0"/>
        </w:rPr>
      </w:pPr>
      <w:r>
        <w:rPr>
          <w:snapToGrid w:val="0"/>
        </w:rPr>
        <w:t>dog</w:t>
      </w:r>
      <w:r>
        <w:rPr>
          <w:snapToGrid w:val="0"/>
        </w:rPr>
        <w:tab/>
        <w:t>17A(1)</w:t>
      </w:r>
    </w:p>
    <w:p>
      <w:pPr>
        <w:pStyle w:val="DefinedTerms"/>
        <w:rPr>
          <w:snapToGrid w:val="0"/>
        </w:rPr>
      </w:pPr>
      <w:r>
        <w:rPr>
          <w:snapToGrid w:val="0"/>
        </w:rPr>
        <w:t>dog management facility</w:t>
      </w:r>
      <w:r>
        <w:rPr>
          <w:snapToGrid w:val="0"/>
        </w:rPr>
        <w:tab/>
        <w:t>3(1)</w:t>
      </w:r>
    </w:p>
    <w:p>
      <w:pPr>
        <w:pStyle w:val="DefinedTerms"/>
        <w:rPr>
          <w:snapToGrid w:val="0"/>
        </w:rPr>
      </w:pPr>
      <w:r>
        <w:rPr>
          <w:snapToGrid w:val="0"/>
        </w:rPr>
        <w:t>dwelling</w:t>
      </w:r>
      <w:r>
        <w:rPr>
          <w:snapToGrid w:val="0"/>
        </w:rPr>
        <w:tab/>
        <w:t>3(1)</w:t>
      </w:r>
    </w:p>
    <w:p>
      <w:pPr>
        <w:pStyle w:val="DefinedTerms"/>
        <w:rPr>
          <w:snapToGrid w:val="0"/>
        </w:rPr>
      </w:pPr>
      <w:r>
        <w:rPr>
          <w:snapToGrid w:val="0"/>
        </w:rPr>
        <w:t>effectively confined</w:t>
      </w:r>
      <w:r>
        <w:rPr>
          <w:snapToGrid w:val="0"/>
        </w:rPr>
        <w:tab/>
        <w:t>3(1)</w:t>
      </w:r>
    </w:p>
    <w:p>
      <w:pPr>
        <w:pStyle w:val="DefinedTerms"/>
        <w:rPr>
          <w:snapToGrid w:val="0"/>
        </w:rPr>
      </w:pPr>
      <w:r>
        <w:rPr>
          <w:snapToGrid w:val="0"/>
        </w:rPr>
        <w:t>Gazettal day</w:t>
      </w:r>
      <w:r>
        <w:rPr>
          <w:snapToGrid w:val="0"/>
        </w:rPr>
        <w:tab/>
        <w:t>60(1)</w:t>
      </w:r>
    </w:p>
    <w:p>
      <w:pPr>
        <w:pStyle w:val="DefinedTerms"/>
        <w:rPr>
          <w:snapToGrid w:val="0"/>
        </w:rPr>
      </w:pPr>
      <w:r>
        <w:rPr>
          <w:snapToGrid w:val="0"/>
        </w:rPr>
        <w:t>livestock</w:t>
      </w:r>
      <w:r>
        <w:rPr>
          <w:snapToGrid w:val="0"/>
        </w:rPr>
        <w:tab/>
        <w:t>34(2)</w:t>
      </w:r>
    </w:p>
    <w:p>
      <w:pPr>
        <w:pStyle w:val="DefinedTerms"/>
        <w:rPr>
          <w:snapToGrid w:val="0"/>
        </w:rPr>
      </w:pPr>
      <w:r>
        <w:rPr>
          <w:snapToGrid w:val="0"/>
        </w:rPr>
        <w:t>metropolitan region</w:t>
      </w:r>
      <w:r>
        <w:rPr>
          <w:snapToGrid w:val="0"/>
        </w:rPr>
        <w:tab/>
        <w:t>3(1)</w:t>
      </w:r>
    </w:p>
    <w:p>
      <w:pPr>
        <w:pStyle w:val="DefinedTerms"/>
        <w:rPr>
          <w:snapToGrid w:val="0"/>
        </w:rPr>
      </w:pPr>
      <w:r>
        <w:rPr>
          <w:snapToGrid w:val="0"/>
        </w:rPr>
        <w:t>microchip</w:t>
      </w:r>
      <w:r>
        <w:rPr>
          <w:snapToGrid w:val="0"/>
        </w:rPr>
        <w:tab/>
        <w:t>3(1)</w:t>
      </w:r>
    </w:p>
    <w:p>
      <w:pPr>
        <w:pStyle w:val="DefinedTerms"/>
        <w:rPr>
          <w:snapToGrid w:val="0"/>
        </w:rPr>
      </w:pPr>
      <w:r>
        <w:rPr>
          <w:snapToGrid w:val="0"/>
        </w:rPr>
        <w:t>microchip database</w:t>
      </w:r>
      <w:r>
        <w:rPr>
          <w:snapToGrid w:val="0"/>
        </w:rPr>
        <w:tab/>
        <w:t>3(1)</w:t>
      </w:r>
    </w:p>
    <w:p>
      <w:pPr>
        <w:pStyle w:val="DefinedTerms"/>
        <w:rPr>
          <w:snapToGrid w:val="0"/>
        </w:rPr>
      </w:pPr>
      <w:r>
        <w:rPr>
          <w:snapToGrid w:val="0"/>
        </w:rPr>
        <w:t>microchip database company</w:t>
      </w:r>
      <w:r>
        <w:rPr>
          <w:snapToGrid w:val="0"/>
        </w:rPr>
        <w:tab/>
        <w:t>3(1)</w:t>
      </w:r>
    </w:p>
    <w:p>
      <w:pPr>
        <w:pStyle w:val="DefinedTerms"/>
        <w:rPr>
          <w:snapToGrid w:val="0"/>
        </w:rPr>
      </w:pPr>
      <w:r>
        <w:rPr>
          <w:snapToGrid w:val="0"/>
        </w:rPr>
        <w:t>microchip implanter</w:t>
      </w:r>
      <w:r>
        <w:rPr>
          <w:snapToGrid w:val="0"/>
        </w:rPr>
        <w:tab/>
        <w:t>3(1)</w:t>
      </w:r>
    </w:p>
    <w:p>
      <w:pPr>
        <w:pStyle w:val="DefinedTerms"/>
        <w:rPr>
          <w:snapToGrid w:val="0"/>
        </w:rPr>
      </w:pPr>
      <w:r>
        <w:rPr>
          <w:snapToGrid w:val="0"/>
        </w:rPr>
        <w:t>microchipped</w:t>
      </w:r>
      <w:r>
        <w:rPr>
          <w:snapToGrid w:val="0"/>
        </w:rPr>
        <w:tab/>
        <w:t>3(1)</w:t>
      </w:r>
    </w:p>
    <w:p>
      <w:pPr>
        <w:pStyle w:val="DefinedTerms"/>
        <w:rPr>
          <w:snapToGrid w:val="0"/>
        </w:rPr>
      </w:pPr>
      <w:r>
        <w:rPr>
          <w:snapToGrid w:val="0"/>
        </w:rPr>
        <w:t>mobile home</w:t>
      </w:r>
      <w:r>
        <w:rPr>
          <w:snapToGrid w:val="0"/>
        </w:rPr>
        <w:tab/>
        <w:t>3(1)</w:t>
      </w:r>
    </w:p>
    <w:p>
      <w:pPr>
        <w:pStyle w:val="DefinedTerms"/>
        <w:rPr>
          <w:snapToGrid w:val="0"/>
        </w:rPr>
      </w:pPr>
      <w:r>
        <w:rPr>
          <w:snapToGrid w:val="0"/>
        </w:rPr>
        <w:t>operative day</w:t>
      </w:r>
      <w:r>
        <w:rPr>
          <w:snapToGrid w:val="0"/>
        </w:rPr>
        <w:tab/>
        <w:t>60(4)</w:t>
      </w:r>
    </w:p>
    <w:p>
      <w:pPr>
        <w:pStyle w:val="DefinedTerms"/>
        <w:rPr>
          <w:snapToGrid w:val="0"/>
        </w:rPr>
      </w:pPr>
      <w:r>
        <w:rPr>
          <w:snapToGrid w:val="0"/>
        </w:rPr>
        <w:t>owner</w:t>
      </w:r>
      <w:r>
        <w:rPr>
          <w:snapToGrid w:val="0"/>
        </w:rPr>
        <w:tab/>
        <w:t>3(1), 33L</w:t>
      </w:r>
    </w:p>
    <w:p>
      <w:pPr>
        <w:pStyle w:val="DefinedTerms"/>
        <w:rPr>
          <w:snapToGrid w:val="0"/>
        </w:rPr>
      </w:pPr>
      <w:r>
        <w:rPr>
          <w:snapToGrid w:val="0"/>
        </w:rPr>
        <w:t>owner’s delegate</w:t>
      </w:r>
      <w:r>
        <w:rPr>
          <w:snapToGrid w:val="0"/>
        </w:rPr>
        <w:tab/>
        <w:t>3(1)</w:t>
      </w:r>
    </w:p>
    <w:p>
      <w:pPr>
        <w:pStyle w:val="DefinedTerms"/>
        <w:rPr>
          <w:snapToGrid w:val="0"/>
        </w:rPr>
      </w:pPr>
      <w:r>
        <w:rPr>
          <w:snapToGrid w:val="0"/>
        </w:rPr>
        <w:t>person liable for the control of the dog</w:t>
      </w:r>
      <w:r>
        <w:rPr>
          <w:snapToGrid w:val="0"/>
        </w:rPr>
        <w:tab/>
        <w:t>3(1)</w:t>
      </w:r>
    </w:p>
    <w:p>
      <w:pPr>
        <w:pStyle w:val="DefinedTerms"/>
        <w:rPr>
          <w:snapToGrid w:val="0"/>
        </w:rPr>
      </w:pPr>
      <w:r>
        <w:rPr>
          <w:snapToGrid w:val="0"/>
        </w:rPr>
        <w:t>police officer</w:t>
      </w:r>
      <w:r>
        <w:rPr>
          <w:snapToGrid w:val="0"/>
        </w:rPr>
        <w:tab/>
        <w:t>3(1)</w:t>
      </w:r>
    </w:p>
    <w:p>
      <w:pPr>
        <w:pStyle w:val="DefinedTerms"/>
        <w:rPr>
          <w:snapToGrid w:val="0"/>
        </w:rPr>
      </w:pPr>
      <w:r>
        <w:rPr>
          <w:snapToGrid w:val="0"/>
        </w:rPr>
        <w:t>premises</w:t>
      </w:r>
      <w:r>
        <w:rPr>
          <w:snapToGrid w:val="0"/>
        </w:rPr>
        <w:tab/>
        <w:t>3(1)</w:t>
      </w:r>
    </w:p>
    <w:p>
      <w:pPr>
        <w:pStyle w:val="DefinedTerms"/>
        <w:rPr>
          <w:snapToGrid w:val="0"/>
        </w:rPr>
      </w:pPr>
      <w:r>
        <w:rPr>
          <w:snapToGrid w:val="0"/>
        </w:rPr>
        <w:t>prescribed</w:t>
      </w:r>
      <w:r>
        <w:rPr>
          <w:snapToGrid w:val="0"/>
        </w:rPr>
        <w:tab/>
        <w:t>3(1)</w:t>
      </w:r>
    </w:p>
    <w:p>
      <w:pPr>
        <w:pStyle w:val="DefinedTerms"/>
        <w:rPr>
          <w:snapToGrid w:val="0"/>
        </w:rPr>
      </w:pPr>
      <w:r>
        <w:rPr>
          <w:snapToGrid w:val="0"/>
        </w:rPr>
        <w:t>provocation</w:t>
      </w:r>
      <w:r>
        <w:rPr>
          <w:snapToGrid w:val="0"/>
        </w:rPr>
        <w:tab/>
        <w:t>3(1)</w:t>
      </w:r>
    </w:p>
    <w:p>
      <w:pPr>
        <w:pStyle w:val="DefinedTerms"/>
        <w:rPr>
          <w:snapToGrid w:val="0"/>
        </w:rPr>
      </w:pPr>
      <w:r>
        <w:rPr>
          <w:snapToGrid w:val="0"/>
        </w:rPr>
        <w:t>public officer</w:t>
      </w:r>
      <w:r>
        <w:rPr>
          <w:snapToGrid w:val="0"/>
        </w:rPr>
        <w:tab/>
        <w:t>6(6)</w:t>
      </w:r>
    </w:p>
    <w:p>
      <w:pPr>
        <w:pStyle w:val="DefinedTerms"/>
        <w:rPr>
          <w:snapToGrid w:val="0"/>
        </w:rPr>
      </w:pPr>
      <w:r>
        <w:rPr>
          <w:snapToGrid w:val="0"/>
        </w:rPr>
        <w:t>public place</w:t>
      </w:r>
      <w:r>
        <w:rPr>
          <w:snapToGrid w:val="0"/>
        </w:rPr>
        <w:tab/>
        <w:t>3(1)</w:t>
      </w:r>
    </w:p>
    <w:p>
      <w:pPr>
        <w:pStyle w:val="DefinedTerms"/>
        <w:rPr>
          <w:snapToGrid w:val="0"/>
        </w:rPr>
      </w:pPr>
      <w:r>
        <w:rPr>
          <w:snapToGrid w:val="0"/>
        </w:rPr>
        <w:t>receiver</w:t>
      </w:r>
      <w:r>
        <w:rPr>
          <w:snapToGrid w:val="0"/>
        </w:rPr>
        <w:tab/>
        <w:t>33GE(1)</w:t>
      </w:r>
    </w:p>
    <w:p>
      <w:pPr>
        <w:pStyle w:val="DefinedTerms"/>
        <w:rPr>
          <w:snapToGrid w:val="0"/>
        </w:rPr>
      </w:pPr>
      <w:r>
        <w:rPr>
          <w:snapToGrid w:val="0"/>
        </w:rPr>
        <w:t>registered owner</w:t>
      </w:r>
      <w:r>
        <w:rPr>
          <w:snapToGrid w:val="0"/>
        </w:rPr>
        <w:tab/>
        <w:t>3(1)</w:t>
      </w:r>
    </w:p>
    <w:p>
      <w:pPr>
        <w:pStyle w:val="DefinedTerms"/>
        <w:rPr>
          <w:snapToGrid w:val="0"/>
        </w:rPr>
      </w:pPr>
      <w:r>
        <w:rPr>
          <w:snapToGrid w:val="0"/>
        </w:rPr>
        <w:t>registered veterinary surgeon</w:t>
      </w:r>
      <w:r>
        <w:rPr>
          <w:snapToGrid w:val="0"/>
        </w:rPr>
        <w:tab/>
        <w:t>3(1)</w:t>
      </w:r>
    </w:p>
    <w:p>
      <w:pPr>
        <w:pStyle w:val="DefinedTerms"/>
        <w:rPr>
          <w:snapToGrid w:val="0"/>
        </w:rPr>
      </w:pPr>
      <w:r>
        <w:rPr>
          <w:snapToGrid w:val="0"/>
        </w:rPr>
        <w:t>registration officer</w:t>
      </w:r>
      <w:r>
        <w:rPr>
          <w:snapToGrid w:val="0"/>
        </w:rPr>
        <w:tab/>
        <w:t>3(1)</w:t>
      </w:r>
    </w:p>
    <w:p>
      <w:pPr>
        <w:pStyle w:val="DefinedTerms"/>
        <w:rPr>
          <w:snapToGrid w:val="0"/>
        </w:rPr>
      </w:pPr>
      <w:r>
        <w:rPr>
          <w:snapToGrid w:val="0"/>
        </w:rPr>
        <w:t xml:space="preserve">relevant day </w:t>
      </w:r>
      <w:r>
        <w:rPr>
          <w:snapToGrid w:val="0"/>
        </w:rPr>
        <w:tab/>
        <w:t>22(1)</w:t>
      </w:r>
    </w:p>
    <w:p>
      <w:pPr>
        <w:pStyle w:val="DefinedTerms"/>
        <w:rPr>
          <w:snapToGrid w:val="0"/>
        </w:rPr>
      </w:pPr>
      <w:r>
        <w:rPr>
          <w:snapToGrid w:val="0"/>
        </w:rPr>
        <w:t>relevant time</w:t>
      </w:r>
      <w:r>
        <w:rPr>
          <w:snapToGrid w:val="0"/>
        </w:rPr>
        <w:tab/>
        <w:t>33GE(1)</w:t>
      </w:r>
    </w:p>
    <w:p>
      <w:pPr>
        <w:pStyle w:val="DefinedTerms"/>
        <w:rPr>
          <w:snapToGrid w:val="0"/>
        </w:rPr>
      </w:pPr>
      <w:r>
        <w:rPr>
          <w:snapToGrid w:val="0"/>
        </w:rPr>
        <w:t>representative</w:t>
      </w:r>
      <w:r>
        <w:rPr>
          <w:snapToGrid w:val="0"/>
        </w:rPr>
        <w:tab/>
        <w:t>47(1)</w:t>
      </w:r>
    </w:p>
    <w:p>
      <w:pPr>
        <w:pStyle w:val="DefinedTerms"/>
        <w:rPr>
          <w:snapToGrid w:val="0"/>
        </w:rPr>
      </w:pPr>
      <w:r>
        <w:rPr>
          <w:snapToGrid w:val="0"/>
        </w:rPr>
        <w:t>restricted breed pup</w:t>
      </w:r>
      <w:r>
        <w:rPr>
          <w:snapToGrid w:val="0"/>
        </w:rPr>
        <w:tab/>
        <w:t>33GC(1)</w:t>
      </w:r>
    </w:p>
    <w:p>
      <w:pPr>
        <w:pStyle w:val="DefinedTerms"/>
        <w:rPr>
          <w:snapToGrid w:val="0"/>
        </w:rPr>
      </w:pPr>
      <w:r>
        <w:rPr>
          <w:snapToGrid w:val="0"/>
        </w:rPr>
        <w:t>scan</w:t>
      </w:r>
      <w:r>
        <w:rPr>
          <w:snapToGrid w:val="0"/>
        </w:rPr>
        <w:tab/>
        <w:t>3(1)</w:t>
      </w:r>
    </w:p>
    <w:p>
      <w:pPr>
        <w:pStyle w:val="DefinedTerms"/>
        <w:rPr>
          <w:snapToGrid w:val="0"/>
        </w:rPr>
      </w:pPr>
      <w:r>
        <w:rPr>
          <w:snapToGrid w:val="0"/>
        </w:rPr>
        <w:t>specified</w:t>
      </w:r>
      <w:r>
        <w:rPr>
          <w:snapToGrid w:val="0"/>
        </w:rPr>
        <w:tab/>
        <w:t>50(3)</w:t>
      </w:r>
    </w:p>
    <w:p>
      <w:pPr>
        <w:pStyle w:val="DefinedTerms"/>
        <w:rPr>
          <w:snapToGrid w:val="0"/>
        </w:rPr>
      </w:pPr>
      <w:r>
        <w:rPr>
          <w:snapToGrid w:val="0"/>
        </w:rPr>
        <w:t>sterilised</w:t>
      </w:r>
      <w:r>
        <w:rPr>
          <w:snapToGrid w:val="0"/>
        </w:rPr>
        <w:tab/>
        <w:t>3(1)</w:t>
      </w:r>
    </w:p>
    <w:p>
      <w:pPr>
        <w:pStyle w:val="DefinedTerms"/>
        <w:rPr>
          <w:snapToGrid w:val="0"/>
        </w:rPr>
      </w:pPr>
      <w:r>
        <w:rPr>
          <w:snapToGrid w:val="0"/>
        </w:rPr>
        <w:t>townsite</w:t>
      </w:r>
      <w:r>
        <w:rPr>
          <w:snapToGrid w:val="0"/>
        </w:rPr>
        <w:tab/>
        <w:t>3(1)</w:t>
      </w:r>
    </w:p>
    <w:p>
      <w:pPr>
        <w:pStyle w:val="DefinedTerms"/>
        <w:rPr>
          <w:snapToGrid w:val="0"/>
        </w:rPr>
      </w:pPr>
      <w:r>
        <w:rPr>
          <w:snapToGrid w:val="0"/>
        </w:rPr>
        <w:t>transfer</w:t>
      </w:r>
      <w:r>
        <w:rPr>
          <w:snapToGrid w:val="0"/>
        </w:rPr>
        <w:tab/>
        <w:t>3(1)</w:t>
      </w:r>
    </w:p>
    <w:p>
      <w:pPr>
        <w:pStyle w:val="DefinedTerms"/>
        <w:rPr>
          <w:snapToGrid w:val="0"/>
        </w:rPr>
      </w:pPr>
      <w:r>
        <w:rPr>
          <w:snapToGrid w:val="0"/>
        </w:rPr>
        <w:t>transitional matter</w:t>
      </w:r>
      <w:r>
        <w:rPr>
          <w:snapToGrid w:val="0"/>
        </w:rPr>
        <w:tab/>
        <w:t>60(1)</w:t>
      </w:r>
    </w:p>
    <w:p>
      <w:pPr>
        <w:pStyle w:val="DefinedTerms"/>
        <w:rPr>
          <w:snapToGrid w:val="0"/>
        </w:rPr>
      </w:pPr>
      <w:r>
        <w:rPr>
          <w:snapToGrid w:val="0"/>
        </w:rPr>
        <w:t>transitional regulations</w:t>
      </w:r>
      <w:r>
        <w:rPr>
          <w:snapToGrid w:val="0"/>
        </w:rPr>
        <w:tab/>
        <w:t>60(1)</w:t>
      </w:r>
    </w:p>
    <w:p>
      <w:pPr>
        <w:pStyle w:val="DefinedTerms"/>
        <w:rPr>
          <w:snapToGrid w:val="0"/>
        </w:rPr>
      </w:pPr>
      <w:r>
        <w:rPr>
          <w:snapToGrid w:val="0"/>
        </w:rPr>
        <w:t>vehicle</w:t>
      </w:r>
      <w:r>
        <w:rPr>
          <w:snapToGrid w:val="0"/>
        </w:rPr>
        <w:tab/>
        <w:t>3(1)</w:t>
      </w:r>
    </w:p>
    <w:p>
      <w:pPr>
        <w:pStyle w:val="DefinedTerms"/>
        <w:rPr>
          <w:snapToGrid w:val="0"/>
        </w:rPr>
      </w:pPr>
      <w:r>
        <w:rPr>
          <w:snapToGrid w:val="0"/>
        </w:rPr>
        <w:t>veterinarian</w:t>
      </w:r>
      <w:r>
        <w:rPr>
          <w:snapToGrid w:val="0"/>
        </w:rPr>
        <w:tab/>
        <w:t>3(1)</w:t>
      </w:r>
    </w:p>
    <w:p>
      <w:pPr>
        <w:pStyle w:val="DefinedTerms"/>
        <w:rPr>
          <w:snapToGrid w:val="0"/>
        </w:rPr>
      </w:pPr>
      <w:r>
        <w:rPr>
          <w:snapToGrid w:val="0"/>
        </w:rPr>
        <w:t>working</w:t>
      </w:r>
      <w:r>
        <w:rPr>
          <w:snapToGrid w:val="0"/>
        </w:rPr>
        <w:tab/>
        <w:t>3(1)</w:t>
      </w:r>
    </w:p>
    <w:p>
      <w:pPr>
        <w:rPr>
          <w:snapToGrid w:val="0"/>
        </w:rPr>
      </w:pPr>
    </w:p>
    <w:p>
      <w:pPr>
        <w:rPr>
          <w:snapToGrid w:val="0"/>
        </w:rPr>
        <w:sectPr>
          <w:headerReference w:type="even" r:id="rId29"/>
          <w:headerReference w:type="default" r:id="rId30"/>
          <w:footerReference w:type="even" r:id="rId31"/>
          <w:footerReference w:type="default" r:id="rId32"/>
          <w:headerReference w:type="first" r:id="rId33"/>
          <w:footerReference w:type="first" r:id="rId34"/>
          <w:pgSz w:w="11906" w:h="16838" w:code="9"/>
          <w:pgMar w:top="1134" w:right="2410" w:bottom="1134" w:left="2410" w:header="1134" w:footer="3380" w:gutter="0"/>
          <w:cols w:space="720"/>
          <w:noEndnote/>
          <w:docGrid w:linePitch="326"/>
        </w:sectPr>
      </w:pPr>
    </w:p>
    <w:p>
      <w:pPr>
        <w:rPr>
          <w:snapToGrid w:val="0"/>
        </w:rPr>
      </w:pPr>
    </w:p>
    <w:sectPr>
      <w:headerReference w:type="even" r:id="rId35"/>
      <w:headerReference w:type="default" r:id="rId36"/>
      <w:headerReference w:type="first" r:id="rId37"/>
      <w:type w:val="continuous"/>
      <w:pgSz w:w="11906" w:h="16838" w:code="9"/>
      <w:pgMar w:top="1134" w:right="2410" w:bottom="1134" w:left="2410" w:header="1134"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Fonts w:ascii="Arial" w:hAnsi="Arial" w:cs="Arial"/>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p>
  <w:p>
    <w:pPr>
      <w:rPr>
        <w:rFonts w:ascii="Arial" w:hAnsi="Arial" w:cs="Arial"/>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Fonts w:ascii="Arial" w:hAnsi="Arial" w:cs="Arial"/>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ascii="Arial" w:hAnsi="Arial"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12922"/>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28643</Words>
  <Characters>128608</Characters>
  <Application>Microsoft Office Word</Application>
  <DocSecurity>0</DocSecurity>
  <Lines>3475</Lines>
  <Paragraphs>1941</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155310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1976 - 05-g0-03</dc:title>
  <dc:subject/>
  <dc:creator/>
  <cp:keywords/>
  <dc:description/>
  <cp:lastModifiedBy>svcMRProcess</cp:lastModifiedBy>
  <cp:revision>4</cp:revision>
  <cp:lastPrinted>2013-10-31T06:53:00Z</cp:lastPrinted>
  <dcterms:created xsi:type="dcterms:W3CDTF">2018-08-28T03:39:00Z</dcterms:created>
  <dcterms:modified xsi:type="dcterms:W3CDTF">2018-08-28T03:39:00Z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20131101</vt:lpwstr>
  </property>
  <property fmtid="{D5CDD505-2E9C-101B-9397-08002B2CF9AE}" pid="4" name="DocumentType">
    <vt:lpwstr>Act</vt:lpwstr>
  </property>
  <property fmtid="{D5CDD505-2E9C-101B-9397-08002B2CF9AE}" pid="5" name="OwlsUID">
    <vt:i4>230</vt:i4>
  </property>
  <property fmtid="{D5CDD505-2E9C-101B-9397-08002B2CF9AE}" pid="6" name="ReprintNo">
    <vt:lpwstr>5</vt:lpwstr>
  </property>
  <property fmtid="{D5CDD505-2E9C-101B-9397-08002B2CF9AE}" pid="7" name="AsAtDate">
    <vt:lpwstr>01 Nov 2013</vt:lpwstr>
  </property>
  <property fmtid="{D5CDD505-2E9C-101B-9397-08002B2CF9AE}" pid="8" name="Suffix">
    <vt:lpwstr>05-g0-03</vt:lpwstr>
  </property>
</Properties>
</file>