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Sexual Offenders Act 2006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_Toc365364397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_Toc365364398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_Toc365364399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_Toc365364400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_Toc365364401 \h </w:instrText>
      </w:r>
      <w:r>
        <w:fldChar w:fldCharType="separate"/>
      </w:r>
      <w:r>
        <w:t>4</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_Toc365364402 \h </w:instrText>
      </w:r>
      <w:r>
        <w:fldChar w:fldCharType="separate"/>
      </w:r>
      <w:r>
        <w:t>4</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_Toc365364403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Continuing detention or supervision</w:t>
      </w:r>
    </w:p>
    <w:p>
      <w:pPr>
        <w:pStyle w:val="TOC4"/>
        <w:tabs>
          <w:tab w:val="right" w:leader="dot" w:pos="7086"/>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_Toc365364406 \h </w:instrText>
      </w:r>
      <w:r>
        <w:fldChar w:fldCharType="separate"/>
      </w:r>
      <w:r>
        <w:t>6</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_Toc365364407 \h </w:instrText>
      </w:r>
      <w:r>
        <w:fldChar w:fldCharType="separate"/>
      </w:r>
      <w:r>
        <w:t>7</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_Toc365364408 \h </w:instrText>
      </w:r>
      <w:r>
        <w:fldChar w:fldCharType="separate"/>
      </w:r>
      <w:r>
        <w:t>7</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_Toc365364409 \h </w:instrText>
      </w:r>
      <w:r>
        <w:fldChar w:fldCharType="separate"/>
      </w:r>
      <w:r>
        <w:t>7</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_Toc365364410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_Toc365364411 \h </w:instrText>
      </w:r>
      <w:r>
        <w:fldChar w:fldCharType="separate"/>
      </w:r>
      <w:r>
        <w:t>8</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_Toc365364412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Authority for psychiatrist to examine offender</w:t>
      </w:r>
      <w:r>
        <w:tab/>
      </w:r>
      <w:r>
        <w:fldChar w:fldCharType="begin"/>
      </w:r>
      <w:r>
        <w:instrText xml:space="preserve"> PAGEREF _Toc365364413 \h </w:instrText>
      </w:r>
      <w:r>
        <w:fldChar w:fldCharType="separate"/>
      </w:r>
      <w:r>
        <w:t>9</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_Toc365364414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_Toc365364416 \h </w:instrText>
      </w:r>
      <w:r>
        <w:fldChar w:fldCharType="separate"/>
      </w:r>
      <w:r>
        <w:t>9</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_Toc365364417 \h </w:instrText>
      </w:r>
      <w:r>
        <w:fldChar w:fldCharType="separate"/>
      </w:r>
      <w:r>
        <w:t>10</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_Toc365364418 \h </w:instrText>
      </w:r>
      <w:r>
        <w:fldChar w:fldCharType="separate"/>
      </w:r>
      <w:r>
        <w:t>11</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_Toc365364419 \h </w:instrText>
      </w:r>
      <w:r>
        <w:fldChar w:fldCharType="separate"/>
      </w:r>
      <w:r>
        <w:t>12</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_Toc365364420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_Toc365364422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_Toc365364423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_Toc365364425 \h </w:instrText>
      </w:r>
      <w:r>
        <w:fldChar w:fldCharType="separate"/>
      </w:r>
      <w:r>
        <w:t>16</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_Toc365364426 \h </w:instrText>
      </w:r>
      <w:r>
        <w:fldChar w:fldCharType="separate"/>
      </w:r>
      <w:r>
        <w:t>17</w:t>
      </w:r>
      <w:r>
        <w:fldChar w:fldCharType="end"/>
      </w:r>
    </w:p>
    <w:p>
      <w:pPr>
        <w:pStyle w:val="TOC8"/>
        <w:rPr>
          <w:rFonts w:asciiTheme="minorHAnsi" w:eastAsiaTheme="minorEastAsia" w:hAnsiTheme="minorHAnsi" w:cstheme="minorBidi"/>
          <w:szCs w:val="22"/>
        </w:rPr>
      </w:pPr>
      <w:r>
        <w:t>23A.</w:t>
      </w:r>
      <w:r>
        <w:tab/>
        <w:t>Psychiatric reports</w:t>
      </w:r>
      <w:r>
        <w:tab/>
      </w:r>
      <w:r>
        <w:fldChar w:fldCharType="begin"/>
      </w:r>
      <w:r>
        <w:instrText xml:space="preserve"> PAGEREF _Toc365364427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_Toc365364428 \h </w:instrText>
      </w:r>
      <w:r>
        <w:fldChar w:fldCharType="separate"/>
      </w:r>
      <w:r>
        <w:t>17</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_Toc365364429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_Toc365364431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_Toc365364433 \h </w:instrText>
      </w:r>
      <w:r>
        <w:fldChar w:fldCharType="separate"/>
      </w:r>
      <w:r>
        <w:t>19</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_Toc365364434 \h </w:instrText>
      </w:r>
      <w:r>
        <w:fldChar w:fldCharType="separate"/>
      </w:r>
      <w:r>
        <w:t>19</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_Toc365364435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Annual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_Toc365364437 \h </w:instrText>
      </w:r>
      <w:r>
        <w:fldChar w:fldCharType="separate"/>
      </w:r>
      <w:r>
        <w:t>21</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_Toc365364438 \h </w:instrText>
      </w:r>
      <w:r>
        <w:fldChar w:fldCharType="separate"/>
      </w:r>
      <w:r>
        <w:t>21</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_Toc365364439 \h </w:instrText>
      </w:r>
      <w:r>
        <w:fldChar w:fldCharType="separate"/>
      </w:r>
      <w:r>
        <w:t>21</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_Toc365364440 \h </w:instrText>
      </w:r>
      <w:r>
        <w:fldChar w:fldCharType="separate"/>
      </w:r>
      <w:r>
        <w:t>22</w:t>
      </w:r>
      <w:r>
        <w:fldChar w:fldCharType="end"/>
      </w:r>
    </w:p>
    <w:p>
      <w:pPr>
        <w:pStyle w:val="TOC8"/>
        <w:rPr>
          <w:rFonts w:asciiTheme="minorHAnsi" w:eastAsiaTheme="minorEastAsia" w:hAnsiTheme="minorHAnsi" w:cstheme="minorBidi"/>
          <w:szCs w:val="22"/>
        </w:rPr>
      </w:pPr>
      <w:r>
        <w:t>32.</w:t>
      </w:r>
      <w:r>
        <w:tab/>
        <w:t>Psychiatrists’ reports to be prepared for review</w:t>
      </w:r>
      <w:r>
        <w:tab/>
      </w:r>
      <w:r>
        <w:fldChar w:fldCharType="begin"/>
      </w:r>
      <w:r>
        <w:instrText xml:space="preserve"> PAGEREF _Toc365364441 \h </w:instrText>
      </w:r>
      <w:r>
        <w:fldChar w:fldCharType="separate"/>
      </w:r>
      <w:r>
        <w:t>22</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_Toc365364442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_Toc365364444 \h </w:instrText>
      </w:r>
      <w:r>
        <w:fldChar w:fldCharType="separate"/>
      </w:r>
      <w:r>
        <w:t>23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_Toc365364445 \h </w:instrText>
      </w:r>
      <w:r>
        <w:fldChar w:fldCharType="separate"/>
      </w:r>
      <w:r>
        <w:t>23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_Toc365364446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Examination by psychiatrist</w:t>
      </w:r>
    </w:p>
    <w:p>
      <w:pPr>
        <w:pStyle w:val="TOC8"/>
        <w:rPr>
          <w:rFonts w:asciiTheme="minorHAnsi" w:eastAsiaTheme="minorEastAsia" w:hAnsiTheme="minorHAnsi" w:cstheme="minorBidi"/>
          <w:szCs w:val="22"/>
        </w:rPr>
      </w:pPr>
      <w:r>
        <w:t>37.</w:t>
      </w:r>
      <w:r>
        <w:tab/>
        <w:t>Preparation of psychiatric report</w:t>
      </w:r>
      <w:r>
        <w:tab/>
      </w:r>
      <w:r>
        <w:fldChar w:fldCharType="begin"/>
      </w:r>
      <w:r>
        <w:instrText xml:space="preserve"> PAGEREF _Toc365364448 \h </w:instrText>
      </w:r>
      <w:r>
        <w:fldChar w:fldCharType="separate"/>
      </w:r>
      <w:r>
        <w:t>24</w:t>
      </w:r>
      <w:r>
        <w:fldChar w:fldCharType="end"/>
      </w:r>
    </w:p>
    <w:p>
      <w:pPr>
        <w:pStyle w:val="TOC8"/>
        <w:rPr>
          <w:rFonts w:asciiTheme="minorHAnsi" w:eastAsiaTheme="minorEastAsia" w:hAnsiTheme="minorHAnsi" w:cstheme="minorBidi"/>
          <w:szCs w:val="22"/>
        </w:rPr>
      </w:pPr>
      <w:r>
        <w:t>38.</w:t>
      </w:r>
      <w:r>
        <w:tab/>
        <w:t>Providing information for psychiatrist</w:t>
      </w:r>
      <w:r>
        <w:tab/>
      </w:r>
      <w:r>
        <w:fldChar w:fldCharType="begin"/>
      </w:r>
      <w:r>
        <w:instrText xml:space="preserve"> PAGEREF _Toc365364449 \h </w:instrText>
      </w:r>
      <w:r>
        <w:fldChar w:fldCharType="separate"/>
      </w:r>
      <w:r>
        <w:t>24</w:t>
      </w:r>
      <w:r>
        <w:fldChar w:fldCharType="end"/>
      </w:r>
    </w:p>
    <w:p>
      <w:pPr>
        <w:pStyle w:val="TOC8"/>
        <w:rPr>
          <w:rFonts w:asciiTheme="minorHAnsi" w:eastAsiaTheme="minorEastAsia" w:hAnsiTheme="minorHAnsi" w:cstheme="minorBidi"/>
          <w:szCs w:val="22"/>
        </w:rPr>
      </w:pPr>
      <w:r>
        <w:t>39.</w:t>
      </w:r>
      <w:r>
        <w:tab/>
        <w:t>Copies of report to DPP and person examined</w:t>
      </w:r>
      <w:r>
        <w:tab/>
      </w:r>
      <w:r>
        <w:fldChar w:fldCharType="begin"/>
      </w:r>
      <w:r>
        <w:instrText xml:space="preserve"> PAGEREF _Toc365364450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_Toc365364452 \h </w:instrText>
      </w:r>
      <w:r>
        <w:fldChar w:fldCharType="separate"/>
      </w:r>
      <w:r>
        <w:t>26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_Toc365364453 \h </w:instrText>
      </w:r>
      <w:r>
        <w:fldChar w:fldCharType="separate"/>
      </w:r>
      <w:r>
        <w:t>26</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_Toc365364454 \h </w:instrText>
      </w:r>
      <w:r>
        <w:fldChar w:fldCharType="separate"/>
      </w:r>
      <w:r>
        <w:t>28</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_Toc365364455 \h </w:instrText>
      </w:r>
      <w:r>
        <w:fldChar w:fldCharType="separate"/>
      </w:r>
      <w:r>
        <w:t>28</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_Toc365364456 \h </w:instrText>
      </w:r>
      <w:r>
        <w:fldChar w:fldCharType="separate"/>
      </w:r>
      <w:r>
        <w:t>29</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_Toc365364457 \h </w:instrText>
      </w:r>
      <w:r>
        <w:fldChar w:fldCharType="separate"/>
      </w:r>
      <w:r>
        <w:t>30</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_Toc365364458 \h </w:instrText>
      </w:r>
      <w:r>
        <w:fldChar w:fldCharType="separate"/>
      </w:r>
      <w:r>
        <w:t>30</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_Toc365364459 \h </w:instrText>
      </w:r>
      <w:r>
        <w:fldChar w:fldCharType="separate"/>
      </w:r>
      <w:r>
        <w:t>30</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_Toc365364460 \h </w:instrText>
      </w:r>
      <w:r>
        <w:fldChar w:fldCharType="separate"/>
      </w:r>
      <w:r>
        <w:t>30</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_Toc365364461 \h </w:instrText>
      </w:r>
      <w:r>
        <w:fldChar w:fldCharType="separate"/>
      </w:r>
      <w:r>
        <w:t>31</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_Toc365364462 \h </w:instrText>
      </w:r>
      <w:r>
        <w:fldChar w:fldCharType="separate"/>
      </w:r>
      <w:r>
        <w:t>31</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_Toc365364463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_Toc365364465 \h </w:instrText>
      </w:r>
      <w:r>
        <w:fldChar w:fldCharType="separate"/>
      </w:r>
      <w:r>
        <w:t>32</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_Toc365364466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_Toc365364468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October 2013</w:t>
            </w:r>
          </w:p>
        </w:tc>
      </w:tr>
    </w:tbl>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1" w:name="_Toc362353006"/>
      <w:bookmarkStart w:id="2" w:name="_Toc362356278"/>
      <w:bookmarkStart w:id="3" w:name="_Toc365364396"/>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spacing w:before="240"/>
      </w:pPr>
      <w:bookmarkStart w:id="4" w:name="_Toc365364397"/>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5" w:name="_Toc365364398"/>
      <w:r>
        <w:rPr>
          <w:rStyle w:val="CharSectno"/>
        </w:rPr>
        <w:t>2</w:t>
      </w:r>
      <w:r>
        <w:rPr>
          <w:snapToGrid w:val="0"/>
        </w:rPr>
        <w:t>.</w:t>
      </w:r>
      <w:r>
        <w:rPr>
          <w:snapToGrid w:val="0"/>
        </w:rPr>
        <w:tab/>
      </w:r>
      <w:r>
        <w:t>Commencement</w:t>
      </w:r>
      <w:bookmarkEnd w:id="5"/>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6" w:name="_Toc365364399"/>
      <w:r>
        <w:rPr>
          <w:rStyle w:val="CharSectno"/>
        </w:rPr>
        <w:t>3</w:t>
      </w:r>
      <w:r>
        <w:rPr>
          <w:snapToGrid w:val="0"/>
        </w:rPr>
        <w:t>.</w:t>
      </w:r>
      <w:r>
        <w:rPr>
          <w:snapToGrid w:val="0"/>
        </w:rPr>
        <w:tab/>
        <w:t>Terms used</w:t>
      </w:r>
      <w:bookmarkEnd w:id="6"/>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7" w:name="_Toc365364400"/>
      <w:r>
        <w:rPr>
          <w:rStyle w:val="CharSectno"/>
        </w:rPr>
        <w:t>4</w:t>
      </w:r>
      <w:r>
        <w:t>.</w:t>
      </w:r>
      <w:r>
        <w:tab/>
        <w:t>Objects of this Act</w:t>
      </w:r>
      <w:bookmarkEnd w:id="7"/>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8" w:name="_Toc365364401"/>
      <w:r>
        <w:rPr>
          <w:rStyle w:val="CharSectno"/>
        </w:rPr>
        <w:t>5</w:t>
      </w:r>
      <w:r>
        <w:t>.</w:t>
      </w:r>
      <w:r>
        <w:tab/>
        <w:t xml:space="preserve">Application of </w:t>
      </w:r>
      <w:r>
        <w:rPr>
          <w:i/>
        </w:rPr>
        <w:t>Bail Act 1982</w:t>
      </w:r>
      <w:bookmarkEnd w:id="8"/>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9" w:name="_Toc365364402"/>
      <w:r>
        <w:rPr>
          <w:rStyle w:val="CharSectno"/>
        </w:rPr>
        <w:t>6</w:t>
      </w:r>
      <w:r>
        <w:t>.</w:t>
      </w:r>
      <w:r>
        <w:tab/>
        <w:t>Attorney General may perform functions of DPP</w:t>
      </w:r>
      <w:bookmarkEnd w:id="9"/>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0" w:name="_Toc365364403"/>
      <w:r>
        <w:rPr>
          <w:rStyle w:val="CharSectno"/>
        </w:rPr>
        <w:t>7</w:t>
      </w:r>
      <w:r>
        <w:t>.</w:t>
      </w:r>
      <w:r>
        <w:tab/>
        <w:t>Serious danger to community</w:t>
      </w:r>
      <w:bookmarkEnd w:id="10"/>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11" w:name="_Toc362353014"/>
      <w:bookmarkStart w:id="12" w:name="_Toc362356286"/>
      <w:bookmarkStart w:id="13" w:name="_Toc365364404"/>
      <w:r>
        <w:rPr>
          <w:rStyle w:val="CharPartNo"/>
        </w:rPr>
        <w:t>Part 2</w:t>
      </w:r>
      <w:r>
        <w:t> — </w:t>
      </w:r>
      <w:r>
        <w:rPr>
          <w:rStyle w:val="CharPartText"/>
        </w:rPr>
        <w:t>Continuing detention or supervision</w:t>
      </w:r>
      <w:bookmarkEnd w:id="11"/>
      <w:bookmarkEnd w:id="12"/>
      <w:bookmarkEnd w:id="13"/>
    </w:p>
    <w:p>
      <w:pPr>
        <w:pStyle w:val="Heading3"/>
      </w:pPr>
      <w:bookmarkStart w:id="14" w:name="_Toc362353015"/>
      <w:bookmarkStart w:id="15" w:name="_Toc362356287"/>
      <w:bookmarkStart w:id="16" w:name="_Toc365364405"/>
      <w:r>
        <w:rPr>
          <w:rStyle w:val="CharDivNo"/>
        </w:rPr>
        <w:t>Division 1</w:t>
      </w:r>
      <w:r>
        <w:t> — </w:t>
      </w:r>
      <w:r>
        <w:rPr>
          <w:rStyle w:val="CharDivText"/>
        </w:rPr>
        <w:t>Application for orders</w:t>
      </w:r>
      <w:bookmarkEnd w:id="14"/>
      <w:bookmarkEnd w:id="15"/>
      <w:bookmarkEnd w:id="16"/>
    </w:p>
    <w:p>
      <w:pPr>
        <w:pStyle w:val="Heading5"/>
      </w:pPr>
      <w:bookmarkStart w:id="17" w:name="_Toc365364406"/>
      <w:r>
        <w:rPr>
          <w:rStyle w:val="CharSectno"/>
        </w:rPr>
        <w:t>8</w:t>
      </w:r>
      <w:r>
        <w:t>.</w:t>
      </w:r>
      <w:r>
        <w:tab/>
        <w:t>DPP may apply for orders</w:t>
      </w:r>
      <w:bookmarkEnd w:id="17"/>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8" w:name="_Toc365364407"/>
      <w:r>
        <w:rPr>
          <w:rStyle w:val="CharSectno"/>
        </w:rPr>
        <w:t>9</w:t>
      </w:r>
      <w:r>
        <w:t>.</w:t>
      </w:r>
      <w:r>
        <w:tab/>
        <w:t>Duty to disclose</w:t>
      </w:r>
      <w:bookmarkEnd w:id="18"/>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9" w:name="_Toc365364408"/>
      <w:r>
        <w:rPr>
          <w:rStyle w:val="CharSectno"/>
        </w:rPr>
        <w:t>10</w:t>
      </w:r>
      <w:r>
        <w:t>.</w:t>
      </w:r>
      <w:r>
        <w:tab/>
        <w:t>Application may proceed even if offender discharged</w:t>
      </w:r>
      <w:bookmarkEnd w:id="19"/>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20" w:name="_Toc365364409"/>
      <w:r>
        <w:rPr>
          <w:rStyle w:val="CharSectno"/>
        </w:rPr>
        <w:t>11</w:t>
      </w:r>
      <w:r>
        <w:t>.</w:t>
      </w:r>
      <w:r>
        <w:tab/>
        <w:t>Fixing day for preliminary hearing</w:t>
      </w:r>
      <w:bookmarkEnd w:id="20"/>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21" w:name="_Toc365364410"/>
      <w:r>
        <w:rPr>
          <w:rStyle w:val="CharSectno"/>
        </w:rPr>
        <w:t>12</w:t>
      </w:r>
      <w:r>
        <w:t>.</w:t>
      </w:r>
      <w:r>
        <w:tab/>
        <w:t>Offender may file affidavits in response</w:t>
      </w:r>
      <w:bookmarkEnd w:id="21"/>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2" w:name="_Toc365364411"/>
      <w:r>
        <w:rPr>
          <w:rStyle w:val="CharSectno"/>
        </w:rPr>
        <w:t>13</w:t>
      </w:r>
      <w:r>
        <w:t>.</w:t>
      </w:r>
      <w:r>
        <w:tab/>
        <w:t>Contents of affidavit</w:t>
      </w:r>
      <w:bookmarkEnd w:id="22"/>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3" w:name="_Toc365364412"/>
      <w:r>
        <w:rPr>
          <w:rStyle w:val="CharSectno"/>
        </w:rPr>
        <w:t>14</w:t>
      </w:r>
      <w:r>
        <w:t>.</w:t>
      </w:r>
      <w:r>
        <w:tab/>
        <w:t>Preliminary hearing</w:t>
      </w:r>
      <w:bookmarkEnd w:id="23"/>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24" w:name="_Toc365364413"/>
      <w:r>
        <w:rPr>
          <w:rStyle w:val="CharSectno"/>
        </w:rPr>
        <w:t>15</w:t>
      </w:r>
      <w:r>
        <w:t>.</w:t>
      </w:r>
      <w:r>
        <w:tab/>
        <w:t>Authority for psychiatrist to examine offender</w:t>
      </w:r>
      <w:bookmarkEnd w:id="24"/>
    </w:p>
    <w:p>
      <w:pPr>
        <w:pStyle w:val="Subsection"/>
      </w:pPr>
      <w:r>
        <w:tab/>
      </w:r>
      <w:r>
        <w:tab/>
        <w:t>An order under section 14(2)(a) authorises each of the 2 psychiatrists named in the order to examine the offender and report in accordance with Part 5.</w:t>
      </w:r>
    </w:p>
    <w:p>
      <w:pPr>
        <w:pStyle w:val="Heading5"/>
      </w:pPr>
      <w:bookmarkStart w:id="25" w:name="_Toc365364414"/>
      <w:r>
        <w:rPr>
          <w:rStyle w:val="CharSectno"/>
        </w:rPr>
        <w:t>16</w:t>
      </w:r>
      <w:r>
        <w:t>.</w:t>
      </w:r>
      <w:r>
        <w:tab/>
        <w:t>Discontinuing application for Division 2 order</w:t>
      </w:r>
      <w:bookmarkEnd w:id="25"/>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26" w:name="_Toc362353025"/>
      <w:bookmarkStart w:id="27" w:name="_Toc362356297"/>
      <w:bookmarkStart w:id="28" w:name="_Toc365364415"/>
      <w:r>
        <w:rPr>
          <w:rStyle w:val="CharDivNo"/>
        </w:rPr>
        <w:t>Division 2</w:t>
      </w:r>
      <w:r>
        <w:t> — </w:t>
      </w:r>
      <w:r>
        <w:rPr>
          <w:rStyle w:val="CharDivText"/>
        </w:rPr>
        <w:t>Orders</w:t>
      </w:r>
      <w:bookmarkEnd w:id="26"/>
      <w:bookmarkEnd w:id="27"/>
      <w:bookmarkEnd w:id="28"/>
    </w:p>
    <w:p>
      <w:pPr>
        <w:pStyle w:val="Heading5"/>
      </w:pPr>
      <w:bookmarkStart w:id="29" w:name="_Toc365364416"/>
      <w:r>
        <w:rPr>
          <w:rStyle w:val="CharSectno"/>
        </w:rPr>
        <w:t>17</w:t>
      </w:r>
      <w:r>
        <w:t>.</w:t>
      </w:r>
      <w:r>
        <w:tab/>
        <w:t>Division 2 orders</w:t>
      </w:r>
      <w:bookmarkEnd w:id="29"/>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30" w:name="_Toc365364417"/>
      <w:r>
        <w:rPr>
          <w:rStyle w:val="CharSectno"/>
        </w:rPr>
        <w:t>18</w:t>
      </w:r>
      <w:r>
        <w:t>.</w:t>
      </w:r>
      <w:r>
        <w:tab/>
        <w:t>Conditions of supervision order</w:t>
      </w:r>
      <w:bookmarkEnd w:id="30"/>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31" w:name="_Toc365364418"/>
      <w:r>
        <w:rPr>
          <w:rStyle w:val="CharSectno"/>
        </w:rPr>
        <w:t>19A</w:t>
      </w:r>
      <w:r>
        <w:t>.</w:t>
      </w:r>
      <w:r>
        <w:tab/>
        <w:t>Electronic monitoring</w:t>
      </w:r>
      <w:bookmarkEnd w:id="31"/>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32" w:name="_Toc365364419"/>
      <w:r>
        <w:rPr>
          <w:rStyle w:val="CharSectno"/>
        </w:rPr>
        <w:t>19B</w:t>
      </w:r>
      <w:r>
        <w:t>.</w:t>
      </w:r>
      <w:r>
        <w:tab/>
        <w:t>Curfew</w:t>
      </w:r>
      <w:bookmarkEnd w:id="32"/>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33" w:name="_Toc365364420"/>
      <w:r>
        <w:rPr>
          <w:rStyle w:val="CharSectno"/>
        </w:rPr>
        <w:t>19C</w:t>
      </w:r>
      <w:r>
        <w:t>.</w:t>
      </w:r>
      <w:r>
        <w:tab/>
        <w:t>Enforcement of electronic monitoring and curfew requirement</w:t>
      </w:r>
      <w:bookmarkEnd w:id="33"/>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34" w:name="_Toc362353031"/>
      <w:bookmarkStart w:id="35" w:name="_Toc362356303"/>
      <w:bookmarkStart w:id="36" w:name="_Toc365364421"/>
      <w:r>
        <w:rPr>
          <w:rStyle w:val="CharDivNo"/>
        </w:rPr>
        <w:t>Division 3</w:t>
      </w:r>
      <w:r>
        <w:t> — </w:t>
      </w:r>
      <w:r>
        <w:rPr>
          <w:rStyle w:val="CharDivText"/>
        </w:rPr>
        <w:t>Amendment of supervision order</w:t>
      </w:r>
      <w:bookmarkEnd w:id="34"/>
      <w:bookmarkEnd w:id="35"/>
      <w:bookmarkEnd w:id="36"/>
    </w:p>
    <w:p>
      <w:pPr>
        <w:pStyle w:val="Heading5"/>
      </w:pPr>
      <w:bookmarkStart w:id="37" w:name="_Toc365364422"/>
      <w:r>
        <w:rPr>
          <w:rStyle w:val="CharSectno"/>
        </w:rPr>
        <w:t>19</w:t>
      </w:r>
      <w:r>
        <w:t>.</w:t>
      </w:r>
      <w:r>
        <w:tab/>
        <w:t>Application to amend conditions of supervision order</w:t>
      </w:r>
      <w:bookmarkEnd w:id="37"/>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38" w:name="_Toc365364423"/>
      <w:r>
        <w:rPr>
          <w:rStyle w:val="CharSectno"/>
        </w:rPr>
        <w:t>20</w:t>
      </w:r>
      <w:r>
        <w:t>.</w:t>
      </w:r>
      <w:r>
        <w:tab/>
        <w:t>Amendment of conditions of supervision order</w:t>
      </w:r>
      <w:bookmarkEnd w:id="38"/>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39" w:name="_Toc362353034"/>
      <w:bookmarkStart w:id="40" w:name="_Toc362356306"/>
      <w:bookmarkStart w:id="41" w:name="_Toc365364424"/>
      <w:r>
        <w:rPr>
          <w:rStyle w:val="CharDivNo"/>
        </w:rPr>
        <w:t>Division 4</w:t>
      </w:r>
      <w:r>
        <w:t> — </w:t>
      </w:r>
      <w:r>
        <w:rPr>
          <w:rStyle w:val="CharDivText"/>
        </w:rPr>
        <w:t>Contravention of supervision order</w:t>
      </w:r>
      <w:bookmarkEnd w:id="39"/>
      <w:bookmarkEnd w:id="40"/>
      <w:bookmarkEnd w:id="41"/>
    </w:p>
    <w:p>
      <w:pPr>
        <w:pStyle w:val="Heading5"/>
      </w:pPr>
      <w:bookmarkStart w:id="42" w:name="_Toc365364425"/>
      <w:r>
        <w:rPr>
          <w:rStyle w:val="CharSectno"/>
        </w:rPr>
        <w:t>21</w:t>
      </w:r>
      <w:r>
        <w:t>.</w:t>
      </w:r>
      <w:r>
        <w:tab/>
        <w:t>Summons or warrant because of contravention</w:t>
      </w:r>
      <w:bookmarkEnd w:id="42"/>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43" w:name="_Toc365364426"/>
      <w:r>
        <w:rPr>
          <w:rStyle w:val="CharSectno"/>
        </w:rPr>
        <w:t>22</w:t>
      </w:r>
      <w:r>
        <w:t>.</w:t>
      </w:r>
      <w:r>
        <w:tab/>
        <w:t>DPP may seek order</w:t>
      </w:r>
      <w:bookmarkEnd w:id="43"/>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44" w:name="_Toc365364427"/>
      <w:r>
        <w:rPr>
          <w:rStyle w:val="CharSectno"/>
        </w:rPr>
        <w:t>23A</w:t>
      </w:r>
      <w:r>
        <w:t>.</w:t>
      </w:r>
      <w:r>
        <w:tab/>
        <w:t>Psychiatric reports</w:t>
      </w:r>
      <w:bookmarkEnd w:id="44"/>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45" w:name="_Toc365364428"/>
      <w:r>
        <w:rPr>
          <w:rStyle w:val="CharSectno"/>
        </w:rPr>
        <w:t>23</w:t>
      </w:r>
      <w:r>
        <w:t>.</w:t>
      </w:r>
      <w:r>
        <w:tab/>
        <w:t>Court may make order</w:t>
      </w:r>
      <w:bookmarkEnd w:id="45"/>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46" w:name="_Toc365364429"/>
      <w:r>
        <w:rPr>
          <w:rStyle w:val="CharSectno"/>
        </w:rPr>
        <w:t>24A</w:t>
      </w:r>
      <w:r>
        <w:t>.</w:t>
      </w:r>
      <w:r>
        <w:tab/>
        <w:t>Orders made during contravention proceedings</w:t>
      </w:r>
      <w:bookmarkEnd w:id="46"/>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47" w:name="_Toc362353040"/>
      <w:bookmarkStart w:id="48" w:name="_Toc362356312"/>
      <w:bookmarkStart w:id="49" w:name="_Toc365364430"/>
      <w:r>
        <w:rPr>
          <w:rStyle w:val="CharDivNo"/>
        </w:rPr>
        <w:t>Division 5</w:t>
      </w:r>
      <w:r>
        <w:t> — </w:t>
      </w:r>
      <w:r>
        <w:rPr>
          <w:rStyle w:val="CharDivText"/>
        </w:rPr>
        <w:t>Supervision order extended due to imprisonment</w:t>
      </w:r>
      <w:bookmarkEnd w:id="47"/>
      <w:bookmarkEnd w:id="48"/>
      <w:bookmarkEnd w:id="49"/>
    </w:p>
    <w:p>
      <w:pPr>
        <w:pStyle w:val="Heading5"/>
      </w:pPr>
      <w:bookmarkStart w:id="50" w:name="_Toc365364431"/>
      <w:r>
        <w:rPr>
          <w:rStyle w:val="CharSectno"/>
        </w:rPr>
        <w:t>24</w:t>
      </w:r>
      <w:r>
        <w:t>.</w:t>
      </w:r>
      <w:r>
        <w:tab/>
        <w:t>Extension of supervision order</w:t>
      </w:r>
      <w:bookmarkEnd w:id="50"/>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51" w:name="_Toc362353042"/>
      <w:bookmarkStart w:id="52" w:name="_Toc362356314"/>
      <w:bookmarkStart w:id="53" w:name="_Toc365364432"/>
      <w:r>
        <w:rPr>
          <w:rStyle w:val="CharDivNo"/>
        </w:rPr>
        <w:t>Division 6</w:t>
      </w:r>
      <w:r>
        <w:t> — </w:t>
      </w:r>
      <w:r>
        <w:rPr>
          <w:rStyle w:val="CharDivText"/>
        </w:rPr>
        <w:t>General provisions for Part 2</w:t>
      </w:r>
      <w:bookmarkEnd w:id="51"/>
      <w:bookmarkEnd w:id="52"/>
      <w:bookmarkEnd w:id="53"/>
    </w:p>
    <w:p>
      <w:pPr>
        <w:pStyle w:val="Heading5"/>
      </w:pPr>
      <w:bookmarkStart w:id="54" w:name="_Toc365364433"/>
      <w:r>
        <w:rPr>
          <w:rStyle w:val="CharSectno"/>
        </w:rPr>
        <w:t>25</w:t>
      </w:r>
      <w:r>
        <w:t>.</w:t>
      </w:r>
      <w:r>
        <w:tab/>
        <w:t>Effect of continuing detention order</w:t>
      </w:r>
      <w:bookmarkEnd w:id="54"/>
    </w:p>
    <w:p>
      <w:pPr>
        <w:pStyle w:val="Subsection"/>
      </w:pPr>
      <w:r>
        <w:tab/>
      </w:r>
      <w:r>
        <w:tab/>
        <w:t>A continuing detention order has effect in accordance with its terms from the time the order is made until rescinded by a further order of the Supreme Court.</w:t>
      </w:r>
    </w:p>
    <w:p>
      <w:pPr>
        <w:pStyle w:val="Heading5"/>
      </w:pPr>
      <w:bookmarkStart w:id="55" w:name="_Toc365364434"/>
      <w:r>
        <w:rPr>
          <w:rStyle w:val="CharSectno"/>
        </w:rPr>
        <w:t>26</w:t>
      </w:r>
      <w:r>
        <w:t>.</w:t>
      </w:r>
      <w:r>
        <w:tab/>
        <w:t>Effect of supervision order</w:t>
      </w:r>
      <w:bookmarkEnd w:id="55"/>
    </w:p>
    <w:p>
      <w:pPr>
        <w:pStyle w:val="Subsection"/>
      </w:pPr>
      <w:r>
        <w:tab/>
      </w:r>
      <w:r>
        <w:tab/>
        <w:t>A supervision order has effect in accordance with its terms.</w:t>
      </w:r>
    </w:p>
    <w:p>
      <w:pPr>
        <w:pStyle w:val="Heading5"/>
      </w:pPr>
      <w:bookmarkStart w:id="56" w:name="_Toc365364435"/>
      <w:r>
        <w:rPr>
          <w:rStyle w:val="CharSectno"/>
        </w:rPr>
        <w:t>27</w:t>
      </w:r>
      <w:r>
        <w:t>.</w:t>
      </w:r>
      <w:r>
        <w:tab/>
        <w:t>Court to give reasons</w:t>
      </w:r>
      <w:bookmarkEnd w:id="56"/>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57" w:name="_Toc362353046"/>
      <w:bookmarkStart w:id="58" w:name="_Toc362356318"/>
      <w:bookmarkStart w:id="59" w:name="_Toc365364436"/>
      <w:r>
        <w:rPr>
          <w:rStyle w:val="CharPartNo"/>
        </w:rPr>
        <w:t>Part 3</w:t>
      </w:r>
      <w:r>
        <w:rPr>
          <w:rStyle w:val="CharDivNo"/>
        </w:rPr>
        <w:t> </w:t>
      </w:r>
      <w:r>
        <w:t>—</w:t>
      </w:r>
      <w:r>
        <w:rPr>
          <w:rStyle w:val="CharDivText"/>
        </w:rPr>
        <w:t> </w:t>
      </w:r>
      <w:r>
        <w:rPr>
          <w:rStyle w:val="CharPartText"/>
        </w:rPr>
        <w:t>Annual reviews of detention</w:t>
      </w:r>
      <w:bookmarkEnd w:id="57"/>
      <w:bookmarkEnd w:id="58"/>
      <w:bookmarkEnd w:id="59"/>
    </w:p>
    <w:p>
      <w:pPr>
        <w:pStyle w:val="Heading5"/>
      </w:pPr>
      <w:bookmarkStart w:id="60" w:name="_Toc365364437"/>
      <w:r>
        <w:rPr>
          <w:rStyle w:val="CharSectno"/>
        </w:rPr>
        <w:t>28</w:t>
      </w:r>
      <w:r>
        <w:t>.</w:t>
      </w:r>
      <w:r>
        <w:tab/>
        <w:t>Purpose of this Part</w:t>
      </w:r>
      <w:bookmarkEnd w:id="60"/>
    </w:p>
    <w:p>
      <w:pPr>
        <w:pStyle w:val="Subsection"/>
      </w:pPr>
      <w:r>
        <w:tab/>
      </w:r>
      <w:r>
        <w:tab/>
        <w:t>The purpose of this Part is to ensure that a person’s detention under a continuing detention order is regularly reviewed.</w:t>
      </w:r>
    </w:p>
    <w:p>
      <w:pPr>
        <w:pStyle w:val="Heading5"/>
      </w:pPr>
      <w:bookmarkStart w:id="61" w:name="_Toc365364438"/>
      <w:r>
        <w:rPr>
          <w:rStyle w:val="CharSectno"/>
        </w:rPr>
        <w:t>29</w:t>
      </w:r>
      <w:r>
        <w:t>.</w:t>
      </w:r>
      <w:r>
        <w:tab/>
        <w:t>Review — periodic</w:t>
      </w:r>
      <w:bookmarkEnd w:id="61"/>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62" w:name="_Toc365364439"/>
      <w:r>
        <w:rPr>
          <w:rStyle w:val="CharSectno"/>
        </w:rPr>
        <w:t>30</w:t>
      </w:r>
      <w:r>
        <w:t>.</w:t>
      </w:r>
      <w:r>
        <w:tab/>
        <w:t>Review — application by person subject to order</w:t>
      </w:r>
      <w:bookmarkEnd w:id="62"/>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63" w:name="_Toc365364440"/>
      <w:r>
        <w:rPr>
          <w:rStyle w:val="CharSectno"/>
        </w:rPr>
        <w:t>31</w:t>
      </w:r>
      <w:r>
        <w:t>.</w:t>
      </w:r>
      <w:r>
        <w:tab/>
        <w:t>Dealing with application</w:t>
      </w:r>
      <w:bookmarkEnd w:id="63"/>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64" w:name="_Toc365364441"/>
      <w:r>
        <w:rPr>
          <w:rStyle w:val="CharSectno"/>
        </w:rPr>
        <w:t>32</w:t>
      </w:r>
      <w:r>
        <w:t>.</w:t>
      </w:r>
      <w:r>
        <w:tab/>
        <w:t>Psychiatrists’ reports to be prepared for review</w:t>
      </w:r>
      <w:bookmarkEnd w:id="64"/>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65" w:name="_Toc365364442"/>
      <w:r>
        <w:rPr>
          <w:rStyle w:val="CharSectno"/>
        </w:rPr>
        <w:t>33</w:t>
      </w:r>
      <w:r>
        <w:t>.</w:t>
      </w:r>
      <w:r>
        <w:tab/>
        <w:t>Review of detention under continuing detention order</w:t>
      </w:r>
      <w:bookmarkEnd w:id="65"/>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66" w:name="_Toc362353053"/>
      <w:bookmarkStart w:id="67" w:name="_Toc362356325"/>
      <w:bookmarkStart w:id="68" w:name="_Toc365364443"/>
      <w:r>
        <w:rPr>
          <w:rStyle w:val="CharPartNo"/>
        </w:rPr>
        <w:t>Part 4</w:t>
      </w:r>
      <w:r>
        <w:rPr>
          <w:rStyle w:val="CharDivNo"/>
        </w:rPr>
        <w:t> </w:t>
      </w:r>
      <w:r>
        <w:t>—</w:t>
      </w:r>
      <w:r>
        <w:rPr>
          <w:rStyle w:val="CharDivText"/>
        </w:rPr>
        <w:t> </w:t>
      </w:r>
      <w:r>
        <w:rPr>
          <w:rStyle w:val="CharPartText"/>
        </w:rPr>
        <w:t>Appeals</w:t>
      </w:r>
      <w:bookmarkEnd w:id="66"/>
      <w:bookmarkEnd w:id="67"/>
      <w:bookmarkEnd w:id="68"/>
    </w:p>
    <w:p>
      <w:pPr>
        <w:pStyle w:val="Heading5"/>
      </w:pPr>
      <w:bookmarkStart w:id="69" w:name="_Toc365364444"/>
      <w:r>
        <w:rPr>
          <w:rStyle w:val="CharSectno"/>
        </w:rPr>
        <w:t>34</w:t>
      </w:r>
      <w:r>
        <w:t>.</w:t>
      </w:r>
      <w:r>
        <w:tab/>
        <w:t>Appeals</w:t>
      </w:r>
      <w:bookmarkEnd w:id="69"/>
    </w:p>
    <w:p>
      <w:pPr>
        <w:pStyle w:val="Subsection"/>
      </w:pPr>
      <w:r>
        <w:tab/>
      </w:r>
      <w:r>
        <w:tab/>
        <w:t>The DPP or a person in relation to whom the court makes a decision under this Act, other than this Part, may appeal to the Court of Appeal against the decision.</w:t>
      </w:r>
    </w:p>
    <w:p>
      <w:pPr>
        <w:pStyle w:val="Heading5"/>
      </w:pPr>
      <w:bookmarkStart w:id="70" w:name="_Toc365364445"/>
      <w:r>
        <w:rPr>
          <w:rStyle w:val="CharSectno"/>
        </w:rPr>
        <w:t>35</w:t>
      </w:r>
      <w:r>
        <w:t>.</w:t>
      </w:r>
      <w:r>
        <w:tab/>
        <w:t>Appeal does not stay decision</w:t>
      </w:r>
      <w:bookmarkEnd w:id="70"/>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71" w:name="_Toc365364446"/>
      <w:r>
        <w:rPr>
          <w:rStyle w:val="CharSectno"/>
        </w:rPr>
        <w:t>36</w:t>
      </w:r>
      <w:r>
        <w:t>.</w:t>
      </w:r>
      <w:r>
        <w:tab/>
        <w:t>Dealing with appeal</w:t>
      </w:r>
      <w:bookmarkEnd w:id="71"/>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72" w:name="_Toc362353057"/>
      <w:bookmarkStart w:id="73" w:name="_Toc362356329"/>
      <w:bookmarkStart w:id="74" w:name="_Toc365364447"/>
      <w:r>
        <w:rPr>
          <w:rStyle w:val="CharPartNo"/>
        </w:rPr>
        <w:t>Part 5</w:t>
      </w:r>
      <w:r>
        <w:rPr>
          <w:rStyle w:val="CharDivNo"/>
        </w:rPr>
        <w:t> </w:t>
      </w:r>
      <w:r>
        <w:t>—</w:t>
      </w:r>
      <w:r>
        <w:rPr>
          <w:rStyle w:val="CharDivText"/>
        </w:rPr>
        <w:t> </w:t>
      </w:r>
      <w:r>
        <w:rPr>
          <w:rStyle w:val="CharPartText"/>
        </w:rPr>
        <w:t>Examination by psychiatrist</w:t>
      </w:r>
      <w:bookmarkEnd w:id="72"/>
      <w:bookmarkEnd w:id="73"/>
      <w:bookmarkEnd w:id="74"/>
    </w:p>
    <w:p>
      <w:pPr>
        <w:pStyle w:val="Heading5"/>
      </w:pPr>
      <w:bookmarkStart w:id="75" w:name="_Toc365364448"/>
      <w:r>
        <w:rPr>
          <w:rStyle w:val="CharSectno"/>
        </w:rPr>
        <w:t>37</w:t>
      </w:r>
      <w:r>
        <w:t>.</w:t>
      </w:r>
      <w:r>
        <w:tab/>
        <w:t>Preparation of psychiatric report</w:t>
      </w:r>
      <w:bookmarkEnd w:id="75"/>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76" w:name="_Toc365364449"/>
      <w:r>
        <w:rPr>
          <w:rStyle w:val="CharSectno"/>
        </w:rPr>
        <w:t>38</w:t>
      </w:r>
      <w:r>
        <w:t>.</w:t>
      </w:r>
      <w:r>
        <w:tab/>
        <w:t>Providing information for psychiatrist</w:t>
      </w:r>
      <w:bookmarkEnd w:id="76"/>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77" w:name="_Toc365364450"/>
      <w:r>
        <w:rPr>
          <w:rStyle w:val="CharSectno"/>
        </w:rPr>
        <w:t>39</w:t>
      </w:r>
      <w:r>
        <w:t>.</w:t>
      </w:r>
      <w:r>
        <w:tab/>
        <w:t>Copies of report to DPP and person examined</w:t>
      </w:r>
      <w:bookmarkEnd w:id="77"/>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78" w:name="_Toc362353061"/>
      <w:bookmarkStart w:id="79" w:name="_Toc362356333"/>
      <w:bookmarkStart w:id="80" w:name="_Toc365364451"/>
      <w:r>
        <w:rPr>
          <w:rStyle w:val="CharPartNo"/>
        </w:rPr>
        <w:t>Part 6</w:t>
      </w:r>
      <w:r>
        <w:rPr>
          <w:rStyle w:val="CharDivNo"/>
        </w:rPr>
        <w:t> </w:t>
      </w:r>
      <w:r>
        <w:t>—</w:t>
      </w:r>
      <w:r>
        <w:rPr>
          <w:rStyle w:val="CharDivText"/>
        </w:rPr>
        <w:t> </w:t>
      </w:r>
      <w:r>
        <w:rPr>
          <w:rStyle w:val="CharPartText"/>
        </w:rPr>
        <w:t>General</w:t>
      </w:r>
      <w:bookmarkEnd w:id="78"/>
      <w:bookmarkEnd w:id="79"/>
      <w:bookmarkEnd w:id="80"/>
    </w:p>
    <w:p>
      <w:pPr>
        <w:pStyle w:val="Heading5"/>
      </w:pPr>
      <w:bookmarkStart w:id="81" w:name="_Toc365364452"/>
      <w:r>
        <w:rPr>
          <w:rStyle w:val="CharSectno"/>
        </w:rPr>
        <w:t>40A</w:t>
      </w:r>
      <w:r>
        <w:t>.</w:t>
      </w:r>
      <w:r>
        <w:tab/>
        <w:t>Offence of contravening supervision order</w:t>
      </w:r>
      <w:bookmarkEnd w:id="81"/>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82" w:name="_Toc365364453"/>
      <w:r>
        <w:rPr>
          <w:rStyle w:val="CharSectno"/>
        </w:rPr>
        <w:t>40B</w:t>
      </w:r>
      <w:r>
        <w:t>.</w:t>
      </w:r>
      <w:r>
        <w:tab/>
        <w:t>Procedure on some charges of offences under s. 40A</w:t>
      </w:r>
      <w:bookmarkEnd w:id="82"/>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83" w:name="_Toc365364454"/>
      <w:r>
        <w:rPr>
          <w:rStyle w:val="CharSectno"/>
        </w:rPr>
        <w:t>40</w:t>
      </w:r>
      <w:r>
        <w:t>.</w:t>
      </w:r>
      <w:r>
        <w:tab/>
        <w:t>Proceedings to be criminal proceedings</w:t>
      </w:r>
      <w:bookmarkEnd w:id="83"/>
    </w:p>
    <w:p>
      <w:pPr>
        <w:pStyle w:val="Subsection"/>
      </w:pPr>
      <w:r>
        <w:tab/>
      </w:r>
      <w:r>
        <w:tab/>
        <w:t>Proceedings under this Act or on an appeal under this Act, are to be taken to be criminal proceedings for all purposes.</w:t>
      </w:r>
    </w:p>
    <w:p>
      <w:pPr>
        <w:pStyle w:val="Heading5"/>
      </w:pPr>
      <w:bookmarkStart w:id="84" w:name="_Toc365364455"/>
      <w:r>
        <w:rPr>
          <w:rStyle w:val="CharSectno"/>
        </w:rPr>
        <w:t>41</w:t>
      </w:r>
      <w:r>
        <w:t>.</w:t>
      </w:r>
      <w:r>
        <w:tab/>
        <w:t>Deciding certain matters on the papers</w:t>
      </w:r>
      <w:bookmarkEnd w:id="84"/>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85" w:name="_Toc365364456"/>
      <w:r>
        <w:rPr>
          <w:rStyle w:val="CharSectno"/>
        </w:rPr>
        <w:t>42</w:t>
      </w:r>
      <w:r>
        <w:t>.</w:t>
      </w:r>
      <w:r>
        <w:tab/>
        <w:t>Evidence in certain hearings</w:t>
      </w:r>
      <w:bookmarkEnd w:id="85"/>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86" w:name="_Toc365364457"/>
      <w:r>
        <w:rPr>
          <w:rStyle w:val="CharSectno"/>
        </w:rPr>
        <w:t>43</w:t>
      </w:r>
      <w:r>
        <w:t>.</w:t>
      </w:r>
      <w:r>
        <w:tab/>
        <w:t>Court may give directions</w:t>
      </w:r>
      <w:bookmarkEnd w:id="86"/>
    </w:p>
    <w:p>
      <w:pPr>
        <w:pStyle w:val="Subsection"/>
      </w:pPr>
      <w:r>
        <w:tab/>
      </w:r>
      <w:r>
        <w:tab/>
        <w:t>The court may, on its own initiative or on the application of a party, give directions in relation to the conduct of a proceeding under this Act.</w:t>
      </w:r>
    </w:p>
    <w:p>
      <w:pPr>
        <w:pStyle w:val="Heading5"/>
      </w:pPr>
      <w:bookmarkStart w:id="87" w:name="_Toc365364458"/>
      <w:r>
        <w:rPr>
          <w:rStyle w:val="CharSectno"/>
        </w:rPr>
        <w:t>44</w:t>
      </w:r>
      <w:r>
        <w:t>.</w:t>
      </w:r>
      <w:r>
        <w:tab/>
        <w:t>Appearance at hearings</w:t>
      </w:r>
      <w:bookmarkEnd w:id="87"/>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88" w:name="_Toc365364459"/>
      <w:r>
        <w:rPr>
          <w:rStyle w:val="CharSectno"/>
        </w:rPr>
        <w:t>45</w:t>
      </w:r>
      <w:r>
        <w:t>.</w:t>
      </w:r>
      <w:r>
        <w:tab/>
        <w:t>Warrant of commitment upon order for detention</w:t>
      </w:r>
      <w:bookmarkEnd w:id="88"/>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89" w:name="_Toc365364460"/>
      <w:r>
        <w:rPr>
          <w:rStyle w:val="CharSectno"/>
        </w:rPr>
        <w:t>46A</w:t>
      </w:r>
      <w:r>
        <w:t>.</w:t>
      </w:r>
      <w:r>
        <w:tab/>
        <w:t>Protection from personal liability</w:t>
      </w:r>
      <w:bookmarkEnd w:id="89"/>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90" w:name="_Toc365364461"/>
      <w:r>
        <w:rPr>
          <w:rStyle w:val="CharSectno"/>
        </w:rPr>
        <w:t>46</w:t>
      </w:r>
      <w:r>
        <w:t>.</w:t>
      </w:r>
      <w:r>
        <w:tab/>
        <w:t>Approved forms</w:t>
      </w:r>
      <w:bookmarkEnd w:id="90"/>
    </w:p>
    <w:p>
      <w:pPr>
        <w:pStyle w:val="Subsection"/>
      </w:pPr>
      <w:r>
        <w:tab/>
      </w:r>
      <w:r>
        <w:tab/>
        <w:t>The chief executive officer may approve forms for use under this Act.</w:t>
      </w:r>
    </w:p>
    <w:p>
      <w:pPr>
        <w:pStyle w:val="Heading5"/>
      </w:pPr>
      <w:bookmarkStart w:id="91" w:name="_Toc365364462"/>
      <w:r>
        <w:rPr>
          <w:rStyle w:val="CharSectno"/>
        </w:rPr>
        <w:t>47</w:t>
      </w:r>
      <w:r>
        <w:t>.</w:t>
      </w:r>
      <w:r>
        <w:tab/>
        <w:t>Regulations</w:t>
      </w:r>
      <w:bookmarkEnd w:id="9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2" w:name="_Toc365364463"/>
      <w:r>
        <w:rPr>
          <w:rStyle w:val="CharSectno"/>
        </w:rPr>
        <w:t>48</w:t>
      </w:r>
      <w:r>
        <w:t>.</w:t>
      </w:r>
      <w:r>
        <w:tab/>
        <w:t>Transitional provisions (Sch. 1)</w:t>
      </w:r>
      <w:bookmarkEnd w:id="92"/>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 w:name="_Toc362353074"/>
      <w:bookmarkStart w:id="94" w:name="_Toc362356346"/>
      <w:bookmarkStart w:id="95" w:name="_Toc365364464"/>
      <w:r>
        <w:rPr>
          <w:rStyle w:val="CharSchNo"/>
        </w:rPr>
        <w:t>Schedule 1</w:t>
      </w:r>
      <w:r>
        <w:t> — </w:t>
      </w:r>
      <w:r>
        <w:rPr>
          <w:rStyle w:val="CharSchText"/>
        </w:rPr>
        <w:t>Transitional provisions</w:t>
      </w:r>
      <w:bookmarkEnd w:id="93"/>
      <w:bookmarkEnd w:id="94"/>
      <w:bookmarkEnd w:id="95"/>
    </w:p>
    <w:p>
      <w:pPr>
        <w:pStyle w:val="yShoulderClause"/>
      </w:pPr>
      <w:r>
        <w:t>[s. 48]</w:t>
      </w:r>
    </w:p>
    <w:p>
      <w:pPr>
        <w:pStyle w:val="yFootnoteheading"/>
      </w:pPr>
      <w:r>
        <w:tab/>
        <w:t>[Heading inserted by No. 3 of 2011 s. 16.]</w:t>
      </w:r>
    </w:p>
    <w:p>
      <w:pPr>
        <w:pStyle w:val="yHeading5"/>
        <w:spacing w:before="180"/>
      </w:pPr>
      <w:bookmarkStart w:id="96" w:name="_Toc365364465"/>
      <w:r>
        <w:rPr>
          <w:rStyle w:val="CharSClsNo"/>
        </w:rPr>
        <w:t>1</w:t>
      </w:r>
      <w:r>
        <w:t>.</w:t>
      </w:r>
      <w:r>
        <w:rPr>
          <w:b w:val="0"/>
        </w:rPr>
        <w:tab/>
      </w:r>
      <w:r>
        <w:t xml:space="preserve">Provisions for </w:t>
      </w:r>
      <w:r>
        <w:rPr>
          <w:i/>
        </w:rPr>
        <w:t>Dangerous Sexual Offenders Amendment Act 2011</w:t>
      </w:r>
      <w:bookmarkEnd w:id="96"/>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97" w:name="_Toc365364466"/>
      <w:r>
        <w:rPr>
          <w:rStyle w:val="CharSClsNo"/>
        </w:rPr>
        <w:t>2</w:t>
      </w:r>
      <w:r>
        <w:t>.</w:t>
      </w:r>
      <w:r>
        <w:tab/>
        <w:t xml:space="preserve">Provisions for </w:t>
      </w:r>
      <w:r>
        <w:rPr>
          <w:i/>
        </w:rPr>
        <w:t>Dangerous Sexual Offenders Amendment Act 2012</w:t>
      </w:r>
      <w:bookmarkEnd w:id="97"/>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sz w:val="16"/>
          <w:szCs w:val="16"/>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98" w:name="_Toc362353077"/>
      <w:bookmarkStart w:id="99" w:name="_Toc362356349"/>
      <w:bookmarkStart w:id="100" w:name="_Toc365364467"/>
      <w:r>
        <w:t>Notes</w:t>
      </w:r>
      <w:bookmarkEnd w:id="98"/>
      <w:bookmarkEnd w:id="99"/>
      <w:bookmarkEnd w:id="100"/>
    </w:p>
    <w:p>
      <w:pPr>
        <w:pStyle w:val="nSubsection"/>
        <w:rPr>
          <w:snapToGrid w:val="0"/>
        </w:rPr>
      </w:pPr>
      <w:r>
        <w:rPr>
          <w:snapToGrid w:val="0"/>
          <w:vertAlign w:val="superscript"/>
        </w:rPr>
        <w:t>1</w:t>
      </w:r>
      <w:r>
        <w:rPr>
          <w:snapToGrid w:val="0"/>
        </w:rPr>
        <w:tab/>
        <w:t xml:space="preserve">This reprint is a compilation as at 18 October 2013 of the </w:t>
      </w:r>
      <w:r>
        <w:rPr>
          <w:i/>
          <w:noProof/>
          <w:snapToGrid w:val="0"/>
        </w:rPr>
        <w:t>Dangerous Sexual Offenders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365364468"/>
      <w:r>
        <w:t>Compilation table</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napToGrid w:val="0"/>
                <w:sz w:val="19"/>
              </w:rPr>
              <w:t xml:space="preserve">s. 1 and 2: 30 Mar 2006; </w:t>
            </w:r>
            <w:r>
              <w:rPr>
                <w:snapToGrid w:val="0"/>
                <w:sz w:val="19"/>
              </w:rPr>
              <w:br/>
              <w:t xml:space="preserve">Act other than s. 1 and 2: </w:t>
            </w: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rPr>
              <w:t>s. 1 and 2: 1 Mar 2011 (see s. 2(a));</w:t>
            </w:r>
            <w:r>
              <w:rPr>
                <w:snapToGrid w:val="0"/>
                <w:sz w:val="19"/>
              </w:rPr>
              <w:br/>
              <w:t>Act other than s. 1 and 2: 2 Mar 2011 (see s. 2(b))</w:t>
            </w:r>
          </w:p>
        </w:tc>
      </w:tr>
      <w:tr>
        <w:tc>
          <w:tcPr>
            <w:tcW w:w="2268" w:type="dxa"/>
            <w:shd w:val="clear" w:color="auto" w:fill="auto"/>
          </w:tcPr>
          <w:p>
            <w:pPr>
              <w:pStyle w:val="nTable"/>
              <w:spacing w:after="40"/>
              <w:rPr>
                <w:i/>
                <w:sz w:val="19"/>
              </w:rPr>
            </w:pPr>
            <w:r>
              <w:rPr>
                <w:i/>
                <w:snapToGrid w:val="0"/>
                <w:sz w:val="19"/>
              </w:rPr>
              <w:t xml:space="preserve">Community Protection (Offender Reporting) Amendment Act 2012 </w:t>
            </w:r>
            <w:r>
              <w:rPr>
                <w:snapToGrid w:val="0"/>
                <w:sz w:val="19"/>
              </w:rPr>
              <w:t>Pt. 3 Div. 2</w:t>
            </w:r>
          </w:p>
        </w:tc>
        <w:tc>
          <w:tcPr>
            <w:tcW w:w="1134" w:type="dxa"/>
            <w:shd w:val="clear" w:color="auto" w:fill="auto"/>
          </w:tcPr>
          <w:p>
            <w:pPr>
              <w:pStyle w:val="nTable"/>
              <w:spacing w:after="40"/>
              <w:rPr>
                <w:sz w:val="19"/>
              </w:rPr>
            </w:pPr>
            <w:r>
              <w:rPr>
                <w:snapToGrid w:val="0"/>
                <w:sz w:val="19"/>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22 Jun 2012 p. 2777)</w:t>
            </w:r>
          </w:p>
        </w:tc>
      </w:tr>
      <w:tr>
        <w:tc>
          <w:tcPr>
            <w:tcW w:w="2268" w:type="dxa"/>
            <w:shd w:val="clear" w:color="auto" w:fill="auto"/>
          </w:tcPr>
          <w:p>
            <w:pPr>
              <w:pStyle w:val="nTable"/>
              <w:spacing w:after="40"/>
              <w:rPr>
                <w:i/>
                <w:snapToGrid w:val="0"/>
                <w:sz w:val="19"/>
              </w:rPr>
            </w:pPr>
            <w:r>
              <w:rPr>
                <w:i/>
                <w:snapToGrid w:val="0"/>
                <w:sz w:val="19"/>
              </w:rPr>
              <w:t>Dangerous Sexual Offenders Amendment Act 2012</w:t>
            </w:r>
            <w:r>
              <w:rPr>
                <w:snapToGrid w:val="0"/>
                <w:sz w:val="19"/>
              </w:rPr>
              <w:t xml:space="preserve"> </w:t>
            </w:r>
          </w:p>
        </w:tc>
        <w:tc>
          <w:tcPr>
            <w:tcW w:w="1134" w:type="dxa"/>
            <w:shd w:val="clear" w:color="auto" w:fill="auto"/>
          </w:tcPr>
          <w:p>
            <w:pPr>
              <w:pStyle w:val="nTable"/>
              <w:spacing w:after="40"/>
              <w:rPr>
                <w:snapToGrid w:val="0"/>
                <w:sz w:val="19"/>
              </w:rPr>
            </w:pPr>
            <w:r>
              <w:rPr>
                <w:snapToGrid w:val="0"/>
                <w:sz w:val="19"/>
              </w:rPr>
              <w:t>58 of 2012</w:t>
            </w:r>
          </w:p>
        </w:tc>
        <w:tc>
          <w:tcPr>
            <w:tcW w:w="1134" w:type="dxa"/>
            <w:shd w:val="clear" w:color="auto" w:fill="auto"/>
          </w:tcPr>
          <w:p>
            <w:pPr>
              <w:pStyle w:val="nTable"/>
              <w:spacing w:after="40"/>
              <w:rPr>
                <w:sz w:val="19"/>
              </w:rPr>
            </w:pPr>
            <w:r>
              <w:rPr>
                <w:sz w:val="19"/>
              </w:rPr>
              <w:t>11 Dec 2012</w:t>
            </w:r>
          </w:p>
        </w:tc>
        <w:tc>
          <w:tcPr>
            <w:tcW w:w="2552" w:type="dxa"/>
            <w:shd w:val="clear" w:color="auto" w:fill="auto"/>
          </w:tcPr>
          <w:p>
            <w:pPr>
              <w:pStyle w:val="nTable"/>
              <w:spacing w:after="40"/>
              <w:rPr>
                <w:snapToGrid w:val="0"/>
                <w:sz w:val="19"/>
              </w:rPr>
            </w:pPr>
            <w:r>
              <w:rPr>
                <w:snapToGrid w:val="0"/>
                <w:spacing w:val="-2"/>
                <w:sz w:val="19"/>
              </w:rPr>
              <w:t>s. 1 and 2: 11 Dec 2012 (see s. 2(a));</w:t>
            </w:r>
            <w:r>
              <w:rPr>
                <w:snapToGrid w:val="0"/>
                <w:spacing w:val="-2"/>
                <w:sz w:val="19"/>
              </w:rPr>
              <w:br/>
              <w:t xml:space="preserve">Act other than s. 1 and 2: </w:t>
            </w:r>
            <w:r>
              <w:rPr>
                <w:snapToGrid w:val="0"/>
                <w:sz w:val="19"/>
              </w:rPr>
              <w:t xml:space="preserve">1 Feb 2013 (see s. 2(b) and </w:t>
            </w:r>
            <w:r>
              <w:rPr>
                <w:i/>
                <w:snapToGrid w:val="0"/>
                <w:sz w:val="19"/>
              </w:rPr>
              <w:t>Gazette</w:t>
            </w:r>
            <w:r>
              <w:rPr>
                <w:snapToGrid w:val="0"/>
                <w:sz w:val="19"/>
              </w:rPr>
              <w:t xml:space="preserve"> 4 Jan 2013 p. 3)</w:t>
            </w:r>
          </w:p>
        </w:tc>
      </w:tr>
      <w:tr>
        <w:tc>
          <w:tcPr>
            <w:tcW w:w="7088" w:type="dxa"/>
            <w:gridSpan w:val="4"/>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Dangerous Sexual Offenders Act 2006</w:t>
            </w:r>
            <w:r>
              <w:rPr>
                <w:b/>
                <w:snapToGrid w:val="0"/>
                <w:spacing w:val="-2"/>
                <w:sz w:val="19"/>
              </w:rPr>
              <w:t xml:space="preserve"> as at 18 Oct 2013</w:t>
            </w:r>
            <w:r>
              <w:rPr>
                <w:snapToGrid w:val="0"/>
                <w:spacing w:val="-2"/>
                <w:sz w:val="19"/>
              </w:rPr>
              <w:t xml:space="preserve"> (includes amendments listed above)</w:t>
            </w:r>
          </w:p>
        </w:tc>
      </w:tr>
    </w:tbl>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2" w:name="_Toc362353079"/>
      <w:bookmarkStart w:id="103" w:name="_Toc362356351"/>
      <w:bookmarkStart w:id="104" w:name="_Toc365364469"/>
      <w:r>
        <w:rPr>
          <w:sz w:val="28"/>
        </w:rPr>
        <w:t>Defined terms</w:t>
      </w:r>
      <w:bookmarkEnd w:id="102"/>
      <w:bookmarkEnd w:id="103"/>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 w:name="DefinedTerms"/>
      <w:bookmarkEnd w:id="105"/>
      <w:r>
        <w:t>approved</w:t>
      </w:r>
      <w:r>
        <w:tab/>
        <w:t>19A(3)</w:t>
      </w:r>
    </w:p>
    <w:p>
      <w:pPr>
        <w:pStyle w:val="DefinedTerms"/>
      </w:pPr>
      <w:r>
        <w:t>chief executive officer</w:t>
      </w:r>
      <w:r>
        <w:tab/>
        <w:t>3(1)</w:t>
      </w:r>
    </w:p>
    <w:p>
      <w:pPr>
        <w:pStyle w:val="DefinedTerms"/>
      </w:pPr>
      <w:r>
        <w:t>commencement day</w:t>
      </w:r>
      <w:r>
        <w:tab/>
        <w:t>Sch. 1 cl. 1(1) and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supervision order</w:t>
      </w:r>
      <w:r>
        <w:tab/>
        <w:t>3(1)</w:t>
      </w:r>
    </w:p>
    <w:p>
      <w:pPr>
        <w:pStyle w:val="DefinedTerms"/>
      </w:pPr>
      <w:r>
        <w:t>under sentence of imprisonment</w:t>
      </w:r>
      <w:r>
        <w:tab/>
        <w:t>3(1)</w:t>
      </w:r>
    </w:p>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p/>
    <w:p/>
    <w:p/>
    <w:p/>
    <w:p/>
    <w:p/>
    <w:p/>
    <w:p/>
    <w:p/>
    <w:sectPr>
      <w:headerReference w:type="even" r:id="rId38"/>
      <w:headerReference w:type="defaul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81D6-33AC-46AA-8F2D-610E097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8630</Words>
  <Characters>41256</Characters>
  <Application>Microsoft Office Word</Application>
  <DocSecurity>0</DocSecurity>
  <Lines>1146</Lines>
  <Paragraphs>674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2006 - 01-a0-00</dc:title>
  <dc:subject/>
  <dc:creator/>
  <cp:keywords/>
  <dc:description/>
  <cp:lastModifiedBy>svcMRProcess</cp:lastModifiedBy>
  <cp:revision>4</cp:revision>
  <cp:lastPrinted>2013-10-30T02:58:00Z</cp:lastPrinted>
  <dcterms:created xsi:type="dcterms:W3CDTF">2018-08-27T09:58:00Z</dcterms:created>
  <dcterms:modified xsi:type="dcterms:W3CDTF">2018-08-27T09:58:00Z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20131018</vt:lpwstr>
  </property>
  <property fmtid="{D5CDD505-2E9C-101B-9397-08002B2CF9AE}" pid="4" name="OwlsUID">
    <vt:i4>143203</vt:i4>
  </property>
  <property fmtid="{D5CDD505-2E9C-101B-9397-08002B2CF9AE}" pid="5" name="AsAtDate">
    <vt:lpwstr>18 Oct 2013</vt:lpwstr>
  </property>
  <property fmtid="{D5CDD505-2E9C-101B-9397-08002B2CF9AE}" pid="6" name="Suffix">
    <vt:lpwstr>01-a0-00</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2013-10-17T16:00:00Z</vt:filetime>
  </property>
</Properties>
</file>