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8.xml" ContentType="application/vnd.openxmlformats-officedocument.wordprocessingml.header+xml"/>
  <Override PartName="/word/footer12.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 name="Picture 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t>Jetties Act 1926</w:t>
      </w:r>
    </w:p>
    <w:p>
      <w:pPr>
        <w:pStyle w:val="NameofActRegPage1"/>
        <w:spacing w:before="120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Jetties Regulations 1940</w:t>
      </w:r>
      <w:r>
        <w:rPr>
          <w:sz w:val="48"/>
        </w:rPr>
        <w:fldChar w:fldCharType="end"/>
      </w:r>
    </w:p>
    <w:p>
      <w:pPr>
        <w:pStyle w:val="ReprintNo"/>
        <w:outlineLvl w:val="9"/>
      </w:pPr>
      <w:r>
        <w:t>Reprint 8:  The regulations as at 11 October 2013</w:t>
      </w:r>
    </w:p>
    <w:p>
      <w:pPr>
        <w:rPr>
          <w:b/>
          <w:vanish/>
        </w:rPr>
      </w:pPr>
    </w:p>
    <w:p>
      <w:pPr>
        <w:tabs>
          <w:tab w:val="left" w:pos="567"/>
          <w:tab w:val="left" w:pos="851"/>
        </w:tabs>
        <w:ind w:left="851" w:hanging="851"/>
        <w:rPr>
          <w:b/>
          <w:sz w:val="20"/>
        </w:rPr>
      </w:pPr>
      <w:r>
        <w:rPr>
          <w:b/>
          <w:sz w:val="22"/>
        </w:rPr>
        <w:br w:type="page"/>
      </w:r>
      <w:r>
        <w:rPr>
          <w:b/>
          <w:sz w:val="20"/>
        </w:rPr>
        <w:lastRenderedPageBreak/>
        <w:tab/>
      </w:r>
      <w:r>
        <w:rPr>
          <w:b/>
          <w:sz w:val="20"/>
        </w:rPr>
        <w:tab/>
        <w:t>Guide for using this reprint</w:t>
      </w:r>
    </w:p>
    <w:p>
      <w:pPr>
        <w:tabs>
          <w:tab w:val="left" w:pos="567"/>
          <w:tab w:val="left" w:pos="851"/>
        </w:tabs>
        <w:spacing w:before="120" w:after="60"/>
        <w:ind w:left="851" w:hanging="851"/>
        <w:rPr>
          <w:b/>
          <w:i/>
          <w:sz w:val="20"/>
        </w:rPr>
      </w:pPr>
      <w:r>
        <w:rPr>
          <w:b/>
          <w:sz w:val="20"/>
        </w:rPr>
        <w:tab/>
      </w:r>
      <w:r>
        <w:rPr>
          <w:b/>
          <w:sz w:val="20"/>
        </w:rPr>
        <w:tab/>
      </w:r>
      <w:r>
        <w:rPr>
          <w:b/>
          <w:i/>
          <w:sz w:val="20"/>
        </w:rPr>
        <w:t>What the reprint includes</w:t>
      </w:r>
    </w:p>
    <w:p>
      <w:pPr>
        <w:tabs>
          <w:tab w:val="left" w:pos="567"/>
          <w:tab w:val="left" w:pos="851"/>
        </w:tabs>
        <w:ind w:left="1418" w:hanging="851"/>
        <w:rPr>
          <w:b/>
          <w:sz w:val="20"/>
        </w:rPr>
      </w:pPr>
      <w:r>
        <w:rPr>
          <w:sz w:val="20"/>
        </w:rPr>
        <w:object w:dxaOrig="6315" w:dyaOrig="5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6.5pt;height:27.75pt" o:ole="" fillcolor="window">
            <v:imagedata r:id="rId10" o:title=""/>
          </v:shape>
          <o:OLEObject Type="Embed" ProgID="Word.Picture.8" ShapeID="_x0000_i1025" DrawAspect="Content" ObjectID="_1645307729" r:id="rId11"/>
        </w:object>
      </w:r>
    </w:p>
    <w:p>
      <w:pPr>
        <w:tabs>
          <w:tab w:val="left" w:pos="567"/>
          <w:tab w:val="left" w:pos="851"/>
        </w:tabs>
        <w:spacing w:before="120"/>
        <w:ind w:left="851" w:hanging="851"/>
        <w:rPr>
          <w:b/>
          <w:i/>
          <w:sz w:val="20"/>
        </w:rPr>
      </w:pPr>
      <w:r>
        <w:rPr>
          <w:b/>
          <w:sz w:val="20"/>
        </w:rPr>
        <w:tab/>
      </w:r>
      <w:r>
        <w:rPr>
          <w:b/>
          <w:sz w:val="20"/>
        </w:rPr>
        <w:tab/>
      </w:r>
      <w:r>
        <w:rPr>
          <w:b/>
          <w:i/>
          <w:sz w:val="20"/>
        </w:rPr>
        <w:t>Endnotes, Compilation table, and Table of provisions that have not come into operation</w:t>
      </w:r>
    </w:p>
    <w:p>
      <w:pPr>
        <w:tabs>
          <w:tab w:val="left" w:pos="567"/>
          <w:tab w:val="left" w:pos="851"/>
        </w:tabs>
        <w:ind w:left="851" w:hanging="851"/>
        <w:rPr>
          <w:sz w:val="20"/>
        </w:rPr>
      </w:pPr>
      <w:r>
        <w:rPr>
          <w:sz w:val="20"/>
        </w:rPr>
        <w:tab/>
        <w:t>1.</w:t>
      </w:r>
      <w:r>
        <w:rPr>
          <w:sz w:val="20"/>
        </w:rPr>
        <w:tab/>
        <w:t>Details about the original regulations and legislation that has amended its text are shown in the Compilation table in endnote 1, at the back of the reprint.  The table also shows any previous reprint.</w:t>
      </w:r>
    </w:p>
    <w:p>
      <w:pPr>
        <w:tabs>
          <w:tab w:val="left" w:pos="567"/>
          <w:tab w:val="left" w:pos="851"/>
        </w:tabs>
        <w:spacing w:before="60"/>
        <w:ind w:left="851" w:hanging="851"/>
        <w:rPr>
          <w:sz w:val="20"/>
        </w:rPr>
      </w:pPr>
      <w:r>
        <w:rPr>
          <w:sz w:val="20"/>
        </w:rPr>
        <w:tab/>
        <w:t>2.</w:t>
      </w:r>
      <w:r>
        <w:rPr>
          <w:sz w:val="20"/>
        </w:rPr>
        <w:tab/>
        <w:t>Transitional, savings, modifying or other provisions identified in the Compilation table may be important.  The table may refer to another endnote setting out the text of these provisions in full.</w:t>
      </w:r>
    </w:p>
    <w:p>
      <w:pPr>
        <w:tabs>
          <w:tab w:val="left" w:pos="567"/>
          <w:tab w:val="left" w:pos="851"/>
        </w:tabs>
        <w:spacing w:before="60"/>
        <w:ind w:left="851" w:hanging="851"/>
        <w:rPr>
          <w:sz w:val="20"/>
        </w:rPr>
      </w:pPr>
      <w:r>
        <w:rPr>
          <w:sz w:val="20"/>
        </w:rPr>
        <w:tab/>
        <w:t>3.</w:t>
      </w:r>
      <w:r>
        <w:rPr>
          <w:sz w:val="20"/>
        </w:rPr>
        <w:tab/>
        <w:t>A table of provisions that have not come into operation, to be found in endnote 1a if it is needed, lists any provisions of the regulations being reprinted that have not come into operation and any amendments that have not come into operation.  The full text is set out in another endnote that is referred to in the table.</w:t>
      </w:r>
    </w:p>
    <w:p>
      <w:pPr>
        <w:tabs>
          <w:tab w:val="left" w:pos="567"/>
          <w:tab w:val="left" w:pos="851"/>
        </w:tabs>
        <w:spacing w:before="120"/>
        <w:ind w:left="851" w:hanging="851"/>
        <w:rPr>
          <w:b/>
          <w:i/>
          <w:sz w:val="20"/>
        </w:rPr>
      </w:pPr>
      <w:r>
        <w:rPr>
          <w:b/>
          <w:sz w:val="20"/>
        </w:rPr>
        <w:tab/>
      </w:r>
      <w:r>
        <w:rPr>
          <w:b/>
          <w:sz w:val="20"/>
        </w:rPr>
        <w:tab/>
      </w:r>
      <w:r>
        <w:rPr>
          <w:b/>
          <w:i/>
          <w:sz w:val="20"/>
        </w:rPr>
        <w:t>Notes amongst text (italicised and within square brackets)</w:t>
      </w:r>
    </w:p>
    <w:p>
      <w:pPr>
        <w:tabs>
          <w:tab w:val="left" w:pos="567"/>
          <w:tab w:val="left" w:pos="851"/>
        </w:tabs>
        <w:ind w:left="851" w:hanging="851"/>
        <w:rPr>
          <w:sz w:val="20"/>
        </w:rPr>
      </w:pPr>
      <w:r>
        <w:rPr>
          <w:sz w:val="20"/>
        </w:rPr>
        <w:tab/>
        <w:t>1.</w:t>
      </w:r>
      <w:r>
        <w:rPr>
          <w:sz w:val="20"/>
        </w:rPr>
        <w:tab/>
        <w:t>If the reprint includes a regulation that was inserted, or has been amended, since the regulations being reprinted were made, editorial notes at the foot of the regulation give some history of how the regulation came to be as it is.  If the regulation replaced an earlier regulation, no history of the earlier regulation is given (the full history of the regulations is in the Compilation table).</w:t>
      </w:r>
    </w:p>
    <w:p>
      <w:pPr>
        <w:tabs>
          <w:tab w:val="left" w:pos="567"/>
          <w:tab w:val="left" w:pos="851"/>
        </w:tabs>
        <w:spacing w:before="60"/>
        <w:ind w:left="851" w:hanging="851"/>
        <w:rPr>
          <w:sz w:val="20"/>
        </w:rPr>
      </w:pPr>
      <w:r>
        <w:rPr>
          <w:sz w:val="20"/>
        </w:rPr>
        <w:tab/>
      </w:r>
      <w:r>
        <w:rPr>
          <w:sz w:val="20"/>
        </w:rPr>
        <w:tab/>
        <w:t>Notes of this kind may also be at the foot of Schedules or headings.</w:t>
      </w:r>
    </w:p>
    <w:p>
      <w:pPr>
        <w:tabs>
          <w:tab w:val="left" w:pos="567"/>
          <w:tab w:val="left" w:pos="851"/>
        </w:tabs>
        <w:spacing w:before="60"/>
        <w:ind w:left="851" w:hanging="851"/>
        <w:rPr>
          <w:sz w:val="20"/>
        </w:rPr>
      </w:pPr>
      <w:r>
        <w:rPr>
          <w:sz w:val="20"/>
        </w:rPr>
        <w:tab/>
        <w:t>2.</w:t>
      </w:r>
      <w:r>
        <w:rPr>
          <w:sz w:val="20"/>
        </w:rPr>
        <w:tab/>
        <w:t xml:space="preserve">The other kind of editorial note shows something has been — </w:t>
      </w:r>
    </w:p>
    <w:p>
      <w:pPr>
        <w:numPr>
          <w:ilvl w:val="0"/>
          <w:numId w:val="16"/>
        </w:numPr>
        <w:tabs>
          <w:tab w:val="clear" w:pos="360"/>
          <w:tab w:val="num" w:pos="1197"/>
        </w:tabs>
        <w:ind w:left="1208" w:hanging="357"/>
        <w:rPr>
          <w:sz w:val="20"/>
        </w:rPr>
      </w:pPr>
      <w:r>
        <w:rPr>
          <w:rFonts w:ascii="Times" w:hAnsi="Times"/>
          <w:sz w:val="20"/>
        </w:rPr>
        <w:t>removed (because it was repealed or deleted from the law); or</w:t>
      </w:r>
    </w:p>
    <w:p>
      <w:pPr>
        <w:numPr>
          <w:ilvl w:val="0"/>
          <w:numId w:val="16"/>
        </w:numPr>
        <w:tabs>
          <w:tab w:val="clear" w:pos="360"/>
          <w:tab w:val="num" w:pos="1197"/>
        </w:tabs>
        <w:ind w:left="1208" w:hanging="357"/>
        <w:rPr>
          <w:sz w:val="20"/>
        </w:rPr>
      </w:pPr>
      <w:r>
        <w:rPr>
          <w:sz w:val="20"/>
        </w:rPr>
        <w:t xml:space="preserve">omitted under the </w:t>
      </w:r>
      <w:r>
        <w:rPr>
          <w:i/>
          <w:sz w:val="20"/>
        </w:rPr>
        <w:t>Reprints Act 1984</w:t>
      </w:r>
      <w:r>
        <w:rPr>
          <w:sz w:val="20"/>
        </w:rPr>
        <w:t xml:space="preserve"> s. 7(4) (because, although still technically part of the text, it no longer has any effect).</w:t>
      </w:r>
    </w:p>
    <w:p>
      <w:pPr>
        <w:spacing w:before="60"/>
        <w:ind w:left="851"/>
        <w:rPr>
          <w:sz w:val="20"/>
        </w:rPr>
      </w:pPr>
      <w:r>
        <w:rPr>
          <w:sz w:val="20"/>
        </w:rPr>
        <w:t>The text of anything removed or omitted can be found in an earlier reprint (if there is one) or one of the written laws identified in the Compilation table.</w:t>
      </w:r>
    </w:p>
    <w:p>
      <w:pPr>
        <w:tabs>
          <w:tab w:val="left" w:pos="567"/>
          <w:tab w:val="left" w:pos="851"/>
        </w:tabs>
        <w:spacing w:before="120"/>
        <w:ind w:left="851" w:hanging="851"/>
        <w:outlineLvl w:val="0"/>
        <w:rPr>
          <w:b/>
          <w:i/>
          <w:sz w:val="20"/>
        </w:rPr>
      </w:pPr>
      <w:r>
        <w:rPr>
          <w:b/>
          <w:i/>
          <w:sz w:val="20"/>
        </w:rPr>
        <w:tab/>
      </w:r>
      <w:r>
        <w:rPr>
          <w:b/>
          <w:i/>
          <w:sz w:val="20"/>
        </w:rPr>
        <w:tab/>
        <w:t>Reprint numbering and date</w:t>
      </w:r>
    </w:p>
    <w:p>
      <w:pPr>
        <w:tabs>
          <w:tab w:val="left" w:pos="567"/>
          <w:tab w:val="left" w:pos="851"/>
        </w:tabs>
        <w:ind w:left="851" w:hanging="851"/>
        <w:rPr>
          <w:spacing w:val="-3"/>
          <w:sz w:val="20"/>
        </w:rPr>
      </w:pPr>
      <w:r>
        <w:rPr>
          <w:spacing w:val="-3"/>
          <w:sz w:val="20"/>
        </w:rPr>
        <w:tab/>
        <w:t>1.</w:t>
      </w:r>
      <w:r>
        <w:rPr>
          <w:spacing w:val="-3"/>
          <w:sz w:val="20"/>
        </w:rPr>
        <w:tab/>
        <w:t>The reprint number (in the footer of each page of the document) shows how many times the regulations have been reprinted.  For example, numbering a reprint as “Reprint 3” would mean that the reprint was the 3</w:t>
      </w:r>
      <w:r>
        <w:rPr>
          <w:spacing w:val="-3"/>
          <w:sz w:val="20"/>
          <w:vertAlign w:val="superscript"/>
        </w:rPr>
        <w:t>rd</w:t>
      </w:r>
      <w:r>
        <w:rPr>
          <w:spacing w:val="-3"/>
          <w:sz w:val="20"/>
        </w:rPr>
        <w:t xml:space="preserve"> reprint since the regulations were published.  Reprint numbering was implemented as from 1 January 2003.</w:t>
      </w:r>
    </w:p>
    <w:p>
      <w:pPr>
        <w:tabs>
          <w:tab w:val="left" w:pos="567"/>
        </w:tabs>
        <w:spacing w:before="60"/>
        <w:ind w:left="851" w:hanging="851"/>
        <w:rPr>
          <w:spacing w:val="-3"/>
          <w:sz w:val="20"/>
        </w:rPr>
      </w:pPr>
      <w:r>
        <w:rPr>
          <w:spacing w:val="-3"/>
          <w:sz w:val="20"/>
        </w:rPr>
        <w:tab/>
        <w:t>2.</w:t>
      </w:r>
      <w:r>
        <w:rPr>
          <w:spacing w:val="-3"/>
          <w:sz w:val="20"/>
        </w:rPr>
        <w:tab/>
        <w:t>The information in the reprint is current on the date shown as the date as at which the regulations are reprinted.  That date is not the date when the reprint was published by the State Law Publisher and it is probably not the date when the most recent amendment had effect.</w:t>
      </w:r>
    </w:p>
    <w:p>
      <w:pPr>
        <w:tabs>
          <w:tab w:val="left" w:pos="567"/>
        </w:tabs>
        <w:spacing w:before="60"/>
        <w:ind w:left="851" w:hanging="851"/>
        <w:rPr>
          <w:spacing w:val="-3"/>
          <w:sz w:val="20"/>
        </w:rPr>
      </w:pPr>
    </w:p>
    <w:p>
      <w:pPr>
        <w:jc w:val="center"/>
        <w:rPr>
          <w:b/>
        </w:rPr>
        <w:sectPr>
          <w:headerReference w:type="even" r:id="rId12"/>
          <w:headerReference w:type="default" r:id="rId13"/>
          <w:footerReference w:type="even" r:id="rId14"/>
          <w:footerReference w:type="default" r:id="rId15"/>
          <w:headerReference w:type="first" r:id="rId16"/>
          <w:footerReference w:type="first" r:id="rId17"/>
          <w:pgSz w:w="11906" w:h="16838" w:code="9"/>
          <w:pgMar w:top="2381" w:right="2409" w:bottom="3515" w:left="2409"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11 October 2013</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Jetties Regulations 1940</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1</w:t>
      </w:r>
      <w:r>
        <w:rPr>
          <w:snapToGrid w:val="0"/>
        </w:rPr>
        <w:t>.</w:t>
      </w:r>
      <w:r>
        <w:rPr>
          <w:snapToGrid w:val="0"/>
        </w:rPr>
        <w:tab/>
        <w:t>Citation</w:t>
      </w:r>
      <w:r>
        <w:tab/>
      </w:r>
      <w:r>
        <w:fldChar w:fldCharType="begin"/>
      </w:r>
      <w:r>
        <w:instrText xml:space="preserve"> PAGEREF _Toc382379895 \h </w:instrText>
      </w:r>
      <w:r>
        <w:fldChar w:fldCharType="separate"/>
      </w:r>
      <w:r>
        <w:t>1</w:t>
      </w:r>
      <w:r>
        <w:fldChar w:fldCharType="end"/>
      </w:r>
    </w:p>
    <w:p>
      <w:pPr>
        <w:pStyle w:val="TOC8"/>
        <w:rPr>
          <w:rFonts w:asciiTheme="minorHAnsi" w:eastAsiaTheme="minorEastAsia" w:hAnsiTheme="minorHAnsi" w:cstheme="minorBidi"/>
          <w:szCs w:val="22"/>
        </w:rPr>
      </w:pPr>
      <w:r>
        <w:t>2.</w:t>
      </w:r>
      <w:r>
        <w:tab/>
        <w:t>Liability for dues, charges and fees</w:t>
      </w:r>
      <w:r>
        <w:tab/>
      </w:r>
      <w:r>
        <w:fldChar w:fldCharType="begin"/>
      </w:r>
      <w:r>
        <w:instrText xml:space="preserve"> PAGEREF _Toc382379896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_Toc382379897 \h </w:instrText>
      </w:r>
      <w:r>
        <w:fldChar w:fldCharType="separate"/>
      </w:r>
      <w:r>
        <w:t>1</w:t>
      </w:r>
      <w:r>
        <w:fldChar w:fldCharType="end"/>
      </w:r>
    </w:p>
    <w:p>
      <w:pPr>
        <w:pStyle w:val="TOC2"/>
        <w:tabs>
          <w:tab w:val="right" w:leader="dot" w:pos="7086"/>
        </w:tabs>
        <w:rPr>
          <w:rFonts w:asciiTheme="minorHAnsi" w:eastAsiaTheme="minorEastAsia" w:hAnsiTheme="minorHAnsi" w:cstheme="minorBidi"/>
          <w:b w:val="0"/>
          <w:sz w:val="22"/>
          <w:szCs w:val="22"/>
        </w:rPr>
      </w:pPr>
      <w:r>
        <w:t>Part 1 — Regulations applying to jetties controlled by the Department</w:t>
      </w:r>
    </w:p>
    <w:p>
      <w:pPr>
        <w:pStyle w:val="TOC4"/>
        <w:tabs>
          <w:tab w:val="right" w:leader="dot" w:pos="7086"/>
        </w:tabs>
        <w:rPr>
          <w:rFonts w:asciiTheme="minorHAnsi" w:eastAsiaTheme="minorEastAsia" w:hAnsiTheme="minorHAnsi" w:cstheme="minorBidi"/>
          <w:b w:val="0"/>
          <w:szCs w:val="22"/>
        </w:rPr>
      </w:pPr>
      <w:r>
        <w:t>Division 1</w:t>
      </w:r>
      <w:r>
        <w:rPr>
          <w:snapToGrid w:val="0"/>
        </w:rPr>
        <w:t> — </w:t>
      </w:r>
      <w:r>
        <w:t>Application of this Part</w:t>
      </w:r>
    </w:p>
    <w:p>
      <w:pPr>
        <w:pStyle w:val="TOC8"/>
        <w:rPr>
          <w:rFonts w:asciiTheme="minorHAnsi" w:eastAsiaTheme="minorEastAsia" w:hAnsiTheme="minorHAnsi" w:cstheme="minorBidi"/>
          <w:szCs w:val="22"/>
        </w:rPr>
      </w:pPr>
      <w:r>
        <w:t>3A</w:t>
      </w:r>
      <w:r>
        <w:rPr>
          <w:snapToGrid w:val="0"/>
        </w:rPr>
        <w:t>.</w:t>
      </w:r>
      <w:r>
        <w:rPr>
          <w:snapToGrid w:val="0"/>
        </w:rPr>
        <w:tab/>
        <w:t>Application</w:t>
      </w:r>
      <w:r>
        <w:tab/>
      </w:r>
      <w:r>
        <w:fldChar w:fldCharType="begin"/>
      </w:r>
      <w:r>
        <w:instrText xml:space="preserve"> PAGEREF _Toc382379900 \h </w:instrText>
      </w:r>
      <w:r>
        <w:fldChar w:fldCharType="separate"/>
      </w:r>
      <w:r>
        <w:t>4</w:t>
      </w:r>
      <w:r>
        <w:fldChar w:fldCharType="end"/>
      </w:r>
    </w:p>
    <w:p>
      <w:pPr>
        <w:pStyle w:val="TOC4"/>
        <w:tabs>
          <w:tab w:val="right" w:leader="dot" w:pos="7086"/>
        </w:tabs>
        <w:rPr>
          <w:rFonts w:asciiTheme="minorHAnsi" w:eastAsiaTheme="minorEastAsia" w:hAnsiTheme="minorHAnsi" w:cstheme="minorBidi"/>
          <w:b w:val="0"/>
          <w:szCs w:val="22"/>
        </w:rPr>
      </w:pPr>
      <w:r>
        <w:t>Division 2</w:t>
      </w:r>
      <w:r>
        <w:rPr>
          <w:snapToGrid w:val="0"/>
        </w:rPr>
        <w:t> — </w:t>
      </w:r>
      <w:r>
        <w:t>Arrival and movement of vessels</w:t>
      </w:r>
    </w:p>
    <w:p>
      <w:pPr>
        <w:pStyle w:val="TOC8"/>
        <w:rPr>
          <w:rFonts w:asciiTheme="minorHAnsi" w:eastAsiaTheme="minorEastAsia" w:hAnsiTheme="minorHAnsi" w:cstheme="minorBidi"/>
          <w:szCs w:val="22"/>
        </w:rPr>
      </w:pPr>
      <w:r>
        <w:t>4</w:t>
      </w:r>
      <w:r>
        <w:rPr>
          <w:snapToGrid w:val="0"/>
        </w:rPr>
        <w:t>.</w:t>
      </w:r>
      <w:r>
        <w:rPr>
          <w:snapToGrid w:val="0"/>
        </w:rPr>
        <w:tab/>
        <w:t>Master or agent to report arrival</w:t>
      </w:r>
      <w:r>
        <w:tab/>
      </w:r>
      <w:r>
        <w:fldChar w:fldCharType="begin"/>
      </w:r>
      <w:r>
        <w:instrText xml:space="preserve"> PAGEREF _Toc382379902 \h </w:instrText>
      </w:r>
      <w:r>
        <w:fldChar w:fldCharType="separate"/>
      </w:r>
      <w:r>
        <w:t>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Vessels to change berths</w:t>
      </w:r>
      <w:r>
        <w:tab/>
      </w:r>
      <w:r>
        <w:fldChar w:fldCharType="begin"/>
      </w:r>
      <w:r>
        <w:instrText xml:space="preserve"> PAGEREF _Toc382379903 \h </w:instrText>
      </w:r>
      <w:r>
        <w:fldChar w:fldCharType="separate"/>
      </w:r>
      <w:r>
        <w:t>4</w:t>
      </w:r>
      <w:r>
        <w:fldChar w:fldCharType="end"/>
      </w:r>
    </w:p>
    <w:p>
      <w:pPr>
        <w:pStyle w:val="TOC4"/>
        <w:tabs>
          <w:tab w:val="right" w:leader="dot" w:pos="7086"/>
        </w:tabs>
        <w:rPr>
          <w:rFonts w:asciiTheme="minorHAnsi" w:eastAsiaTheme="minorEastAsia" w:hAnsiTheme="minorHAnsi" w:cstheme="minorBidi"/>
          <w:b w:val="0"/>
          <w:szCs w:val="22"/>
        </w:rPr>
      </w:pPr>
      <w:r>
        <w:t>Division 3</w:t>
      </w:r>
      <w:r>
        <w:rPr>
          <w:snapToGrid w:val="0"/>
        </w:rPr>
        <w:t> — </w:t>
      </w:r>
      <w:r>
        <w:t>Berthing dues</w:t>
      </w:r>
    </w:p>
    <w:p>
      <w:pPr>
        <w:pStyle w:val="TOC8"/>
        <w:rPr>
          <w:rFonts w:asciiTheme="minorHAnsi" w:eastAsiaTheme="minorEastAsia" w:hAnsiTheme="minorHAnsi" w:cstheme="minorBidi"/>
          <w:szCs w:val="22"/>
        </w:rPr>
      </w:pPr>
      <w:r>
        <w:t>6</w:t>
      </w:r>
      <w:r>
        <w:rPr>
          <w:snapToGrid w:val="0"/>
        </w:rPr>
        <w:t>.</w:t>
      </w:r>
      <w:r>
        <w:rPr>
          <w:snapToGrid w:val="0"/>
        </w:rPr>
        <w:tab/>
        <w:t>Berthing dues to be charged</w:t>
      </w:r>
      <w:r>
        <w:tab/>
      </w:r>
      <w:r>
        <w:fldChar w:fldCharType="begin"/>
      </w:r>
      <w:r>
        <w:instrText xml:space="preserve"> PAGEREF _Toc382379905 \h </w:instrText>
      </w:r>
      <w:r>
        <w:fldChar w:fldCharType="separate"/>
      </w:r>
      <w:r>
        <w:t>5</w:t>
      </w:r>
      <w:r>
        <w:fldChar w:fldCharType="end"/>
      </w:r>
    </w:p>
    <w:p>
      <w:pPr>
        <w:pStyle w:val="TOC8"/>
        <w:rPr>
          <w:rFonts w:asciiTheme="minorHAnsi" w:eastAsiaTheme="minorEastAsia" w:hAnsiTheme="minorHAnsi" w:cstheme="minorBidi"/>
          <w:szCs w:val="22"/>
        </w:rPr>
      </w:pPr>
      <w:r>
        <w:t>6A.</w:t>
      </w:r>
      <w:r>
        <w:tab/>
        <w:t>Requirement to pay berthing dues</w:t>
      </w:r>
      <w:r>
        <w:tab/>
      </w:r>
      <w:r>
        <w:fldChar w:fldCharType="begin"/>
      </w:r>
      <w:r>
        <w:instrText xml:space="preserve"> PAGEREF _Toc382379906 \h </w:instrText>
      </w:r>
      <w:r>
        <w:fldChar w:fldCharType="separate"/>
      </w:r>
      <w:r>
        <w:t>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Computation of berthing dues</w:t>
      </w:r>
      <w:r>
        <w:tab/>
      </w:r>
      <w:r>
        <w:fldChar w:fldCharType="begin"/>
      </w:r>
      <w:r>
        <w:instrText xml:space="preserve"> PAGEREF _Toc382379907 \h </w:instrText>
      </w:r>
      <w:r>
        <w:fldChar w:fldCharType="separate"/>
      </w:r>
      <w:r>
        <w:t>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Inwards manifests</w:t>
      </w:r>
      <w:r>
        <w:tab/>
      </w:r>
      <w:r>
        <w:fldChar w:fldCharType="begin"/>
      </w:r>
      <w:r>
        <w:instrText xml:space="preserve"> PAGEREF _Toc382379908 \h </w:instrText>
      </w:r>
      <w:r>
        <w:fldChar w:fldCharType="separate"/>
      </w:r>
      <w:r>
        <w:t>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Outwards manifests</w:t>
      </w:r>
      <w:r>
        <w:tab/>
      </w:r>
      <w:r>
        <w:fldChar w:fldCharType="begin"/>
      </w:r>
      <w:r>
        <w:instrText xml:space="preserve"> PAGEREF _Toc382379909 \h </w:instrText>
      </w:r>
      <w:r>
        <w:fldChar w:fldCharType="separate"/>
      </w:r>
      <w:r>
        <w:t>6</w:t>
      </w:r>
      <w:r>
        <w:fldChar w:fldCharType="end"/>
      </w:r>
    </w:p>
    <w:p>
      <w:pPr>
        <w:pStyle w:val="TOC4"/>
        <w:tabs>
          <w:tab w:val="right" w:leader="dot" w:pos="7086"/>
        </w:tabs>
        <w:rPr>
          <w:rFonts w:asciiTheme="minorHAnsi" w:eastAsiaTheme="minorEastAsia" w:hAnsiTheme="minorHAnsi" w:cstheme="minorBidi"/>
          <w:b w:val="0"/>
          <w:szCs w:val="22"/>
        </w:rPr>
      </w:pPr>
      <w:r>
        <w:t>Division 4</w:t>
      </w:r>
      <w:r>
        <w:rPr>
          <w:snapToGrid w:val="0"/>
        </w:rPr>
        <w:t> — </w:t>
      </w:r>
      <w:r>
        <w:t>Wharfage dues, handling and haulage charges</w:t>
      </w:r>
    </w:p>
    <w:p>
      <w:pPr>
        <w:pStyle w:val="TOC8"/>
        <w:rPr>
          <w:rFonts w:asciiTheme="minorHAnsi" w:eastAsiaTheme="minorEastAsia" w:hAnsiTheme="minorHAnsi" w:cstheme="minorBidi"/>
          <w:szCs w:val="22"/>
        </w:rPr>
      </w:pPr>
      <w:r>
        <w:t>10A</w:t>
      </w:r>
      <w:r>
        <w:rPr>
          <w:snapToGrid w:val="0"/>
        </w:rPr>
        <w:t>.</w:t>
      </w:r>
      <w:r>
        <w:rPr>
          <w:snapToGrid w:val="0"/>
        </w:rPr>
        <w:tab/>
        <w:t>Payment of dues and charges</w:t>
      </w:r>
      <w:r>
        <w:tab/>
      </w:r>
      <w:r>
        <w:fldChar w:fldCharType="begin"/>
      </w:r>
      <w:r>
        <w:instrText xml:space="preserve"> PAGEREF _Toc382379911 \h </w:instrText>
      </w:r>
      <w:r>
        <w:fldChar w:fldCharType="separate"/>
      </w:r>
      <w:r>
        <w:t>7</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Charges for transhipment cargo</w:t>
      </w:r>
      <w:r>
        <w:tab/>
      </w:r>
      <w:r>
        <w:fldChar w:fldCharType="begin"/>
      </w:r>
      <w:r>
        <w:instrText xml:space="preserve"> PAGEREF _Toc382379912 \h </w:instrText>
      </w:r>
      <w:r>
        <w:fldChar w:fldCharType="separate"/>
      </w:r>
      <w:r>
        <w:t>7</w:t>
      </w:r>
      <w:r>
        <w:fldChar w:fldCharType="end"/>
      </w:r>
    </w:p>
    <w:p>
      <w:pPr>
        <w:pStyle w:val="TOC8"/>
        <w:rPr>
          <w:rFonts w:asciiTheme="minorHAnsi" w:eastAsiaTheme="minorEastAsia" w:hAnsiTheme="minorHAnsi" w:cstheme="minorBidi"/>
          <w:szCs w:val="22"/>
        </w:rPr>
      </w:pPr>
      <w:r>
        <w:t>11B</w:t>
      </w:r>
      <w:r>
        <w:rPr>
          <w:snapToGrid w:val="0"/>
        </w:rPr>
        <w:t>.</w:t>
      </w:r>
      <w:r>
        <w:rPr>
          <w:snapToGrid w:val="0"/>
        </w:rPr>
        <w:tab/>
        <w:t>Charges on vessels’ stores, including fuel oil</w:t>
      </w:r>
      <w:r>
        <w:tab/>
      </w:r>
      <w:r>
        <w:fldChar w:fldCharType="begin"/>
      </w:r>
      <w:r>
        <w:instrText xml:space="preserve"> PAGEREF _Toc382379913 \h </w:instrText>
      </w:r>
      <w:r>
        <w:fldChar w:fldCharType="separate"/>
      </w:r>
      <w:r>
        <w:t>8</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Charges to be paid before delivery of cargo</w:t>
      </w:r>
      <w:r>
        <w:tab/>
      </w:r>
      <w:r>
        <w:fldChar w:fldCharType="begin"/>
      </w:r>
      <w:r>
        <w:instrText xml:space="preserve"> PAGEREF _Toc382379914 \h </w:instrText>
      </w:r>
      <w:r>
        <w:fldChar w:fldCharType="separate"/>
      </w:r>
      <w:r>
        <w:t>8</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Extra charges</w:t>
      </w:r>
      <w:r>
        <w:tab/>
      </w:r>
      <w:r>
        <w:fldChar w:fldCharType="begin"/>
      </w:r>
      <w:r>
        <w:instrText xml:space="preserve"> PAGEREF _Toc382379915 \h </w:instrText>
      </w:r>
      <w:r>
        <w:fldChar w:fldCharType="separate"/>
      </w:r>
      <w:r>
        <w:t>9</w:t>
      </w:r>
      <w:r>
        <w:fldChar w:fldCharType="end"/>
      </w:r>
    </w:p>
    <w:p>
      <w:pPr>
        <w:pStyle w:val="TOC4"/>
        <w:tabs>
          <w:tab w:val="right" w:leader="dot" w:pos="7086"/>
        </w:tabs>
        <w:rPr>
          <w:rFonts w:asciiTheme="minorHAnsi" w:eastAsiaTheme="minorEastAsia" w:hAnsiTheme="minorHAnsi" w:cstheme="minorBidi"/>
          <w:b w:val="0"/>
          <w:szCs w:val="22"/>
        </w:rPr>
      </w:pPr>
      <w:r>
        <w:t>Division 5</w:t>
      </w:r>
      <w:r>
        <w:rPr>
          <w:snapToGrid w:val="0"/>
        </w:rPr>
        <w:t> — </w:t>
      </w:r>
      <w:r>
        <w:t>Handling of cargo</w:t>
      </w:r>
    </w:p>
    <w:p>
      <w:pPr>
        <w:pStyle w:val="TOC8"/>
        <w:rPr>
          <w:rFonts w:asciiTheme="minorHAnsi" w:eastAsiaTheme="minorEastAsia" w:hAnsiTheme="minorHAnsi" w:cstheme="minorBidi"/>
          <w:szCs w:val="22"/>
        </w:rPr>
      </w:pPr>
      <w:r>
        <w:t>14</w:t>
      </w:r>
      <w:r>
        <w:rPr>
          <w:snapToGrid w:val="0"/>
        </w:rPr>
        <w:t>.</w:t>
      </w:r>
      <w:r>
        <w:rPr>
          <w:snapToGrid w:val="0"/>
        </w:rPr>
        <w:tab/>
        <w:t>Cargo not to be placed on jetties or premises without authority</w:t>
      </w:r>
      <w:r>
        <w:tab/>
      </w:r>
      <w:r>
        <w:fldChar w:fldCharType="begin"/>
      </w:r>
      <w:r>
        <w:instrText xml:space="preserve"> PAGEREF _Toc382379917 \h </w:instrText>
      </w:r>
      <w:r>
        <w:fldChar w:fldCharType="separate"/>
      </w:r>
      <w:r>
        <w:t>9</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Discharging of cargo may be stopped</w:t>
      </w:r>
      <w:r>
        <w:tab/>
      </w:r>
      <w:r>
        <w:fldChar w:fldCharType="begin"/>
      </w:r>
      <w:r>
        <w:instrText xml:space="preserve"> PAGEREF _Toc382379918 \h </w:instrText>
      </w:r>
      <w:r>
        <w:fldChar w:fldCharType="separate"/>
      </w:r>
      <w:r>
        <w:t>9</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Goods not to be shifted without authority</w:t>
      </w:r>
      <w:r>
        <w:tab/>
      </w:r>
      <w:r>
        <w:fldChar w:fldCharType="begin"/>
      </w:r>
      <w:r>
        <w:instrText xml:space="preserve"> PAGEREF _Toc382379919 \h </w:instrText>
      </w:r>
      <w:r>
        <w:fldChar w:fldCharType="separate"/>
      </w:r>
      <w:r>
        <w:t>10</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Bulk cargo not to be deposited without authority</w:t>
      </w:r>
      <w:r>
        <w:tab/>
      </w:r>
      <w:r>
        <w:fldChar w:fldCharType="begin"/>
      </w:r>
      <w:r>
        <w:instrText xml:space="preserve"> PAGEREF _Toc382379920 \h </w:instrText>
      </w:r>
      <w:r>
        <w:fldChar w:fldCharType="separate"/>
      </w:r>
      <w:r>
        <w:t>10</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Outward cargo advice notes</w:t>
      </w:r>
      <w:r>
        <w:tab/>
      </w:r>
      <w:r>
        <w:fldChar w:fldCharType="begin"/>
      </w:r>
      <w:r>
        <w:instrText xml:space="preserve"> PAGEREF _Toc382379921 \h </w:instrText>
      </w:r>
      <w:r>
        <w:fldChar w:fldCharType="separate"/>
      </w:r>
      <w:r>
        <w:t>10</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Outward cargo</w:t>
      </w:r>
      <w:r>
        <w:tab/>
      </w:r>
      <w:r>
        <w:fldChar w:fldCharType="begin"/>
      </w:r>
      <w:r>
        <w:instrText xml:space="preserve"> PAGEREF _Toc382379922 \h </w:instrText>
      </w:r>
      <w:r>
        <w:fldChar w:fldCharType="separate"/>
      </w:r>
      <w:r>
        <w:t>10</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Dangerous cargo not to be shipped without permission</w:t>
      </w:r>
      <w:r>
        <w:tab/>
      </w:r>
      <w:r>
        <w:fldChar w:fldCharType="begin"/>
      </w:r>
      <w:r>
        <w:instrText xml:space="preserve"> PAGEREF _Toc382379923 \h </w:instrText>
      </w:r>
      <w:r>
        <w:fldChar w:fldCharType="separate"/>
      </w:r>
      <w:r>
        <w:t>11</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Dangerous cargo may be refused or examined</w:t>
      </w:r>
      <w:r>
        <w:tab/>
      </w:r>
      <w:r>
        <w:fldChar w:fldCharType="begin"/>
      </w:r>
      <w:r>
        <w:instrText xml:space="preserve"> PAGEREF _Toc382379924 \h </w:instrText>
      </w:r>
      <w:r>
        <w:fldChar w:fldCharType="separate"/>
      </w:r>
      <w:r>
        <w:t>11</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Marking of heavy packages</w:t>
      </w:r>
      <w:r>
        <w:tab/>
      </w:r>
      <w:r>
        <w:fldChar w:fldCharType="begin"/>
      </w:r>
      <w:r>
        <w:instrText xml:space="preserve"> PAGEREF _Toc382379925 \h </w:instrText>
      </w:r>
      <w:r>
        <w:fldChar w:fldCharType="separate"/>
      </w:r>
      <w:r>
        <w:t>11</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False statements</w:t>
      </w:r>
      <w:r>
        <w:tab/>
      </w:r>
      <w:r>
        <w:fldChar w:fldCharType="begin"/>
      </w:r>
      <w:r>
        <w:instrText xml:space="preserve"> PAGEREF _Toc382379926 \h </w:instrText>
      </w:r>
      <w:r>
        <w:fldChar w:fldCharType="separate"/>
      </w:r>
      <w:r>
        <w:t>12</w:t>
      </w:r>
      <w:r>
        <w:fldChar w:fldCharType="end"/>
      </w:r>
    </w:p>
    <w:p>
      <w:pPr>
        <w:pStyle w:val="TOC4"/>
        <w:tabs>
          <w:tab w:val="right" w:leader="dot" w:pos="7086"/>
        </w:tabs>
        <w:rPr>
          <w:rFonts w:asciiTheme="minorHAnsi" w:eastAsiaTheme="minorEastAsia" w:hAnsiTheme="minorHAnsi" w:cstheme="minorBidi"/>
          <w:b w:val="0"/>
          <w:szCs w:val="22"/>
        </w:rPr>
      </w:pPr>
      <w:r>
        <w:t>Division 6</w:t>
      </w:r>
      <w:r>
        <w:rPr>
          <w:snapToGrid w:val="0"/>
        </w:rPr>
        <w:t> — </w:t>
      </w:r>
      <w:r>
        <w:t>Receipt, delivery and storage of cargo</w:t>
      </w:r>
    </w:p>
    <w:p>
      <w:pPr>
        <w:pStyle w:val="TOC8"/>
        <w:rPr>
          <w:rFonts w:asciiTheme="minorHAnsi" w:eastAsiaTheme="minorEastAsia" w:hAnsiTheme="minorHAnsi" w:cstheme="minorBidi"/>
          <w:szCs w:val="22"/>
        </w:rPr>
      </w:pPr>
      <w:r>
        <w:t>24</w:t>
      </w:r>
      <w:r>
        <w:rPr>
          <w:snapToGrid w:val="0"/>
        </w:rPr>
        <w:t>.</w:t>
      </w:r>
      <w:r>
        <w:rPr>
          <w:snapToGrid w:val="0"/>
        </w:rPr>
        <w:tab/>
        <w:t>Removal of cargo</w:t>
      </w:r>
      <w:r>
        <w:tab/>
      </w:r>
      <w:r>
        <w:fldChar w:fldCharType="begin"/>
      </w:r>
      <w:r>
        <w:instrText xml:space="preserve"> PAGEREF _Toc382379928 \h </w:instrText>
      </w:r>
      <w:r>
        <w:fldChar w:fldCharType="separate"/>
      </w:r>
      <w:r>
        <w:t>13</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Storage charges</w:t>
      </w:r>
      <w:r>
        <w:tab/>
      </w:r>
      <w:r>
        <w:fldChar w:fldCharType="begin"/>
      </w:r>
      <w:r>
        <w:instrText xml:space="preserve"> PAGEREF _Toc382379929 \h </w:instrText>
      </w:r>
      <w:r>
        <w:fldChar w:fldCharType="separate"/>
      </w:r>
      <w:r>
        <w:t>13</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Department not bound to find storage accommodation</w:t>
      </w:r>
      <w:r>
        <w:tab/>
      </w:r>
      <w:r>
        <w:fldChar w:fldCharType="begin"/>
      </w:r>
      <w:r>
        <w:instrText xml:space="preserve"> PAGEREF _Toc382379930 \h </w:instrText>
      </w:r>
      <w:r>
        <w:fldChar w:fldCharType="separate"/>
      </w:r>
      <w:r>
        <w:t>14</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Goods may be disposed of</w:t>
      </w:r>
      <w:r>
        <w:tab/>
      </w:r>
      <w:r>
        <w:fldChar w:fldCharType="begin"/>
      </w:r>
      <w:r>
        <w:instrText xml:space="preserve"> PAGEREF _Toc382379931 \h </w:instrText>
      </w:r>
      <w:r>
        <w:fldChar w:fldCharType="separate"/>
      </w:r>
      <w:r>
        <w:t>15</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Goods to be checked before delivery</w:t>
      </w:r>
      <w:r>
        <w:tab/>
      </w:r>
      <w:r>
        <w:fldChar w:fldCharType="begin"/>
      </w:r>
      <w:r>
        <w:instrText xml:space="preserve"> PAGEREF _Toc382379932 \h </w:instrText>
      </w:r>
      <w:r>
        <w:fldChar w:fldCharType="separate"/>
      </w:r>
      <w:r>
        <w:t>15</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Delay in delivery</w:t>
      </w:r>
      <w:r>
        <w:tab/>
      </w:r>
      <w:r>
        <w:fldChar w:fldCharType="begin"/>
      </w:r>
      <w:r>
        <w:instrText xml:space="preserve"> PAGEREF _Toc382379933 \h </w:instrText>
      </w:r>
      <w:r>
        <w:fldChar w:fldCharType="separate"/>
      </w:r>
      <w:r>
        <w:t>15</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Wrong delivery</w:t>
      </w:r>
      <w:r>
        <w:tab/>
      </w:r>
      <w:r>
        <w:fldChar w:fldCharType="begin"/>
      </w:r>
      <w:r>
        <w:instrText xml:space="preserve"> PAGEREF _Toc382379934 \h </w:instrText>
      </w:r>
      <w:r>
        <w:fldChar w:fldCharType="separate"/>
      </w:r>
      <w:r>
        <w:t>15</w:t>
      </w:r>
      <w:r>
        <w:fldChar w:fldCharType="end"/>
      </w:r>
    </w:p>
    <w:p>
      <w:pPr>
        <w:pStyle w:val="TOC4"/>
        <w:tabs>
          <w:tab w:val="right" w:leader="dot" w:pos="7086"/>
        </w:tabs>
        <w:rPr>
          <w:rFonts w:asciiTheme="minorHAnsi" w:eastAsiaTheme="minorEastAsia" w:hAnsiTheme="minorHAnsi" w:cstheme="minorBidi"/>
          <w:b w:val="0"/>
          <w:szCs w:val="22"/>
        </w:rPr>
      </w:pPr>
      <w:r>
        <w:t>Division 7</w:t>
      </w:r>
      <w:r>
        <w:rPr>
          <w:snapToGrid w:val="0"/>
        </w:rPr>
        <w:t> — </w:t>
      </w:r>
      <w:r>
        <w:t>Responsibility of Department</w:t>
      </w:r>
    </w:p>
    <w:p>
      <w:pPr>
        <w:pStyle w:val="TOC8"/>
        <w:rPr>
          <w:rFonts w:asciiTheme="minorHAnsi" w:eastAsiaTheme="minorEastAsia" w:hAnsiTheme="minorHAnsi" w:cstheme="minorBidi"/>
          <w:szCs w:val="22"/>
        </w:rPr>
      </w:pPr>
      <w:r>
        <w:t>31</w:t>
      </w:r>
      <w:r>
        <w:rPr>
          <w:snapToGrid w:val="0"/>
        </w:rPr>
        <w:t>.</w:t>
      </w:r>
      <w:r>
        <w:rPr>
          <w:snapToGrid w:val="0"/>
        </w:rPr>
        <w:tab/>
        <w:t>Custody of cargo</w:t>
      </w:r>
      <w:r>
        <w:tab/>
      </w:r>
      <w:r>
        <w:fldChar w:fldCharType="begin"/>
      </w:r>
      <w:r>
        <w:instrText xml:space="preserve"> PAGEREF _Toc382379936 \h </w:instrText>
      </w:r>
      <w:r>
        <w:fldChar w:fldCharType="separate"/>
      </w:r>
      <w:r>
        <w:t>16</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Goods without receipts</w:t>
      </w:r>
      <w:r>
        <w:tab/>
      </w:r>
      <w:r>
        <w:fldChar w:fldCharType="begin"/>
      </w:r>
      <w:r>
        <w:instrText xml:space="preserve"> PAGEREF _Toc382379937 \h </w:instrText>
      </w:r>
      <w:r>
        <w:fldChar w:fldCharType="separate"/>
      </w:r>
      <w:r>
        <w:t>16</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Goods stacked on jetties</w:t>
      </w:r>
      <w:r>
        <w:tab/>
      </w:r>
      <w:r>
        <w:fldChar w:fldCharType="begin"/>
      </w:r>
      <w:r>
        <w:instrText xml:space="preserve"> PAGEREF _Toc382379938 \h </w:instrText>
      </w:r>
      <w:r>
        <w:fldChar w:fldCharType="separate"/>
      </w:r>
      <w:r>
        <w:t>16</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Cargo damaged by fire etc.</w:t>
      </w:r>
      <w:r>
        <w:tab/>
      </w:r>
      <w:r>
        <w:fldChar w:fldCharType="begin"/>
      </w:r>
      <w:r>
        <w:instrText xml:space="preserve"> PAGEREF _Toc382379939 \h </w:instrText>
      </w:r>
      <w:r>
        <w:fldChar w:fldCharType="separate"/>
      </w:r>
      <w:r>
        <w:t>17</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Goods insufficiently packed</w:t>
      </w:r>
      <w:r>
        <w:tab/>
      </w:r>
      <w:r>
        <w:fldChar w:fldCharType="begin"/>
      </w:r>
      <w:r>
        <w:instrText xml:space="preserve"> PAGEREF _Toc382379940 \h </w:instrText>
      </w:r>
      <w:r>
        <w:fldChar w:fldCharType="separate"/>
      </w:r>
      <w:r>
        <w:t>17</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Claims in respect of cargo</w:t>
      </w:r>
      <w:r>
        <w:tab/>
      </w:r>
      <w:r>
        <w:fldChar w:fldCharType="begin"/>
      </w:r>
      <w:r>
        <w:instrText xml:space="preserve"> PAGEREF _Toc382379941 \h </w:instrText>
      </w:r>
      <w:r>
        <w:fldChar w:fldCharType="separate"/>
      </w:r>
      <w:r>
        <w:t>17</w:t>
      </w:r>
      <w:r>
        <w:fldChar w:fldCharType="end"/>
      </w:r>
    </w:p>
    <w:p>
      <w:pPr>
        <w:pStyle w:val="TOC4"/>
        <w:tabs>
          <w:tab w:val="right" w:leader="dot" w:pos="7086"/>
        </w:tabs>
        <w:rPr>
          <w:rFonts w:asciiTheme="minorHAnsi" w:eastAsiaTheme="minorEastAsia" w:hAnsiTheme="minorHAnsi" w:cstheme="minorBidi"/>
          <w:b w:val="0"/>
          <w:szCs w:val="22"/>
        </w:rPr>
      </w:pPr>
      <w:r>
        <w:t>Division 8</w:t>
      </w:r>
      <w:r>
        <w:rPr>
          <w:snapToGrid w:val="0"/>
        </w:rPr>
        <w:t> — </w:t>
      </w:r>
      <w:r>
        <w:t>Working hours</w:t>
      </w:r>
    </w:p>
    <w:p>
      <w:pPr>
        <w:pStyle w:val="TOC8"/>
        <w:rPr>
          <w:rFonts w:asciiTheme="minorHAnsi" w:eastAsiaTheme="minorEastAsia" w:hAnsiTheme="minorHAnsi" w:cstheme="minorBidi"/>
          <w:szCs w:val="22"/>
        </w:rPr>
      </w:pPr>
      <w:r>
        <w:t>37</w:t>
      </w:r>
      <w:r>
        <w:rPr>
          <w:snapToGrid w:val="0"/>
        </w:rPr>
        <w:t>.</w:t>
      </w:r>
      <w:r>
        <w:rPr>
          <w:snapToGrid w:val="0"/>
        </w:rPr>
        <w:tab/>
        <w:t>Ordinary time</w:t>
      </w:r>
      <w:r>
        <w:tab/>
      </w:r>
      <w:r>
        <w:fldChar w:fldCharType="begin"/>
      </w:r>
      <w:r>
        <w:instrText xml:space="preserve"> PAGEREF _Toc382379943 \h </w:instrText>
      </w:r>
      <w:r>
        <w:fldChar w:fldCharType="separate"/>
      </w:r>
      <w:r>
        <w:t>18</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Overtime</w:t>
      </w:r>
      <w:r>
        <w:tab/>
      </w:r>
      <w:r>
        <w:fldChar w:fldCharType="begin"/>
      </w:r>
      <w:r>
        <w:instrText xml:space="preserve"> PAGEREF _Toc382379944 \h </w:instrText>
      </w:r>
      <w:r>
        <w:fldChar w:fldCharType="separate"/>
      </w:r>
      <w:r>
        <w:t>18</w:t>
      </w:r>
      <w:r>
        <w:fldChar w:fldCharType="end"/>
      </w:r>
    </w:p>
    <w:p>
      <w:pPr>
        <w:pStyle w:val="TOC8"/>
        <w:rPr>
          <w:rFonts w:asciiTheme="minorHAnsi" w:eastAsiaTheme="minorEastAsia" w:hAnsiTheme="minorHAnsi" w:cstheme="minorBidi"/>
          <w:szCs w:val="22"/>
        </w:rPr>
      </w:pPr>
      <w:r>
        <w:t>38A</w:t>
      </w:r>
      <w:r>
        <w:rPr>
          <w:snapToGrid w:val="0"/>
        </w:rPr>
        <w:t>.</w:t>
      </w:r>
      <w:r>
        <w:rPr>
          <w:snapToGrid w:val="0"/>
        </w:rPr>
        <w:tab/>
        <w:t>Wages incurred through ships’ delays to be paid for</w:t>
      </w:r>
      <w:r>
        <w:tab/>
      </w:r>
      <w:r>
        <w:fldChar w:fldCharType="begin"/>
      </w:r>
      <w:r>
        <w:instrText xml:space="preserve"> PAGEREF _Toc382379945 \h </w:instrText>
      </w:r>
      <w:r>
        <w:fldChar w:fldCharType="separate"/>
      </w:r>
      <w:r>
        <w:t>18</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Master to give notice of desire to work</w:t>
      </w:r>
      <w:r>
        <w:tab/>
      </w:r>
      <w:r>
        <w:fldChar w:fldCharType="begin"/>
      </w:r>
      <w:r>
        <w:instrText xml:space="preserve"> PAGEREF _Toc382379946 \h </w:instrText>
      </w:r>
      <w:r>
        <w:fldChar w:fldCharType="separate"/>
      </w:r>
      <w:r>
        <w:t>18</w:t>
      </w:r>
      <w:r>
        <w:fldChar w:fldCharType="end"/>
      </w:r>
    </w:p>
    <w:p>
      <w:pPr>
        <w:pStyle w:val="TOC4"/>
        <w:tabs>
          <w:tab w:val="right" w:leader="dot" w:pos="7086"/>
        </w:tabs>
        <w:rPr>
          <w:rFonts w:asciiTheme="minorHAnsi" w:eastAsiaTheme="minorEastAsia" w:hAnsiTheme="minorHAnsi" w:cstheme="minorBidi"/>
          <w:b w:val="0"/>
          <w:szCs w:val="22"/>
        </w:rPr>
      </w:pPr>
      <w:r>
        <w:t>Division 9</w:t>
      </w:r>
      <w:r>
        <w:rPr>
          <w:snapToGrid w:val="0"/>
        </w:rPr>
        <w:t> — </w:t>
      </w:r>
      <w:r>
        <w:t>Livestock or vehicles on jetties or premises</w:t>
      </w:r>
    </w:p>
    <w:p>
      <w:pPr>
        <w:pStyle w:val="TOC8"/>
        <w:rPr>
          <w:rFonts w:asciiTheme="minorHAnsi" w:eastAsiaTheme="minorEastAsia" w:hAnsiTheme="minorHAnsi" w:cstheme="minorBidi"/>
          <w:szCs w:val="22"/>
        </w:rPr>
      </w:pPr>
      <w:r>
        <w:t>40</w:t>
      </w:r>
      <w:r>
        <w:rPr>
          <w:snapToGrid w:val="0"/>
        </w:rPr>
        <w:t>.</w:t>
      </w:r>
      <w:r>
        <w:rPr>
          <w:snapToGrid w:val="0"/>
        </w:rPr>
        <w:tab/>
        <w:t>Livestock on jetties or premises</w:t>
      </w:r>
      <w:r>
        <w:tab/>
      </w:r>
      <w:r>
        <w:fldChar w:fldCharType="begin"/>
      </w:r>
      <w:r>
        <w:instrText xml:space="preserve"> PAGEREF _Toc382379948 \h </w:instrText>
      </w:r>
      <w:r>
        <w:fldChar w:fldCharType="separate"/>
      </w:r>
      <w:r>
        <w:t>19</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Riding vehicles etc. on jetties or premises</w:t>
      </w:r>
      <w:r>
        <w:tab/>
      </w:r>
      <w:r>
        <w:fldChar w:fldCharType="begin"/>
      </w:r>
      <w:r>
        <w:instrText xml:space="preserve"> PAGEREF _Toc382379949 \h </w:instrText>
      </w:r>
      <w:r>
        <w:fldChar w:fldCharType="separate"/>
      </w:r>
      <w:r>
        <w:t>19</w:t>
      </w:r>
      <w:r>
        <w:fldChar w:fldCharType="end"/>
      </w:r>
    </w:p>
    <w:p>
      <w:pPr>
        <w:pStyle w:val="TOC8"/>
        <w:rPr>
          <w:rFonts w:asciiTheme="minorHAnsi" w:eastAsiaTheme="minorEastAsia" w:hAnsiTheme="minorHAnsi" w:cstheme="minorBidi"/>
          <w:szCs w:val="22"/>
        </w:rPr>
      </w:pPr>
      <w:r>
        <w:t>41A</w:t>
      </w:r>
      <w:r>
        <w:rPr>
          <w:snapToGrid w:val="0"/>
        </w:rPr>
        <w:t>.</w:t>
      </w:r>
      <w:r>
        <w:rPr>
          <w:snapToGrid w:val="0"/>
        </w:rPr>
        <w:tab/>
        <w:t>Vehicles not to be parked on jetties</w:t>
      </w:r>
      <w:r>
        <w:tab/>
      </w:r>
      <w:r>
        <w:fldChar w:fldCharType="begin"/>
      </w:r>
      <w:r>
        <w:instrText xml:space="preserve"> PAGEREF _Toc382379950 \h </w:instrText>
      </w:r>
      <w:r>
        <w:fldChar w:fldCharType="separate"/>
      </w:r>
      <w:r>
        <w:t>19</w:t>
      </w:r>
      <w:r>
        <w:fldChar w:fldCharType="end"/>
      </w:r>
    </w:p>
    <w:p>
      <w:pPr>
        <w:pStyle w:val="TOC8"/>
        <w:rPr>
          <w:rFonts w:asciiTheme="minorHAnsi" w:eastAsiaTheme="minorEastAsia" w:hAnsiTheme="minorHAnsi" w:cstheme="minorBidi"/>
          <w:szCs w:val="22"/>
        </w:rPr>
      </w:pPr>
      <w:r>
        <w:t>41B</w:t>
      </w:r>
      <w:r>
        <w:rPr>
          <w:snapToGrid w:val="0"/>
        </w:rPr>
        <w:t>.</w:t>
      </w:r>
      <w:r>
        <w:rPr>
          <w:snapToGrid w:val="0"/>
        </w:rPr>
        <w:tab/>
        <w:t>Department not responsible for vehicles on jetties</w:t>
      </w:r>
      <w:r>
        <w:tab/>
      </w:r>
      <w:r>
        <w:fldChar w:fldCharType="begin"/>
      </w:r>
      <w:r>
        <w:instrText xml:space="preserve"> PAGEREF _Toc382379951 \h </w:instrText>
      </w:r>
      <w:r>
        <w:fldChar w:fldCharType="separate"/>
      </w:r>
      <w:r>
        <w:t>20</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Drivers of vehicles to obey instructions</w:t>
      </w:r>
      <w:r>
        <w:tab/>
      </w:r>
      <w:r>
        <w:fldChar w:fldCharType="begin"/>
      </w:r>
      <w:r>
        <w:instrText xml:space="preserve"> PAGEREF _Toc382379952 \h </w:instrText>
      </w:r>
      <w:r>
        <w:fldChar w:fldCharType="separate"/>
      </w:r>
      <w:r>
        <w:t>20</w:t>
      </w:r>
      <w:r>
        <w:fldChar w:fldCharType="end"/>
      </w:r>
    </w:p>
    <w:p>
      <w:pPr>
        <w:pStyle w:val="TOC8"/>
        <w:rPr>
          <w:rFonts w:asciiTheme="minorHAnsi" w:eastAsiaTheme="minorEastAsia" w:hAnsiTheme="minorHAnsi" w:cstheme="minorBidi"/>
          <w:szCs w:val="22"/>
        </w:rPr>
      </w:pPr>
      <w:r>
        <w:t>42A.</w:t>
      </w:r>
      <w:r>
        <w:tab/>
        <w:t>Fees for vehicular use of jetty</w:t>
      </w:r>
      <w:r>
        <w:tab/>
      </w:r>
      <w:r>
        <w:fldChar w:fldCharType="begin"/>
      </w:r>
      <w:r>
        <w:instrText xml:space="preserve"> PAGEREF _Toc382379953 \h </w:instrText>
      </w:r>
      <w:r>
        <w:fldChar w:fldCharType="separate"/>
      </w:r>
      <w:r>
        <w:t>20</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Persons not to be on jetties when livestock is being handled</w:t>
      </w:r>
      <w:r>
        <w:tab/>
      </w:r>
      <w:r>
        <w:fldChar w:fldCharType="begin"/>
      </w:r>
      <w:r>
        <w:instrText xml:space="preserve"> PAGEREF _Toc382379954 \h </w:instrText>
      </w:r>
      <w:r>
        <w:fldChar w:fldCharType="separate"/>
      </w:r>
      <w:r>
        <w:t>20</w:t>
      </w:r>
      <w:r>
        <w:fldChar w:fldCharType="end"/>
      </w:r>
    </w:p>
    <w:p>
      <w:pPr>
        <w:pStyle w:val="TOC4"/>
        <w:tabs>
          <w:tab w:val="right" w:leader="dot" w:pos="7086"/>
        </w:tabs>
        <w:rPr>
          <w:rFonts w:asciiTheme="minorHAnsi" w:eastAsiaTheme="minorEastAsia" w:hAnsiTheme="minorHAnsi" w:cstheme="minorBidi"/>
          <w:b w:val="0"/>
          <w:szCs w:val="22"/>
        </w:rPr>
      </w:pPr>
      <w:r>
        <w:t>Division 10</w:t>
      </w:r>
      <w:r>
        <w:rPr>
          <w:snapToGrid w:val="0"/>
        </w:rPr>
        <w:t> — </w:t>
      </w:r>
      <w:r>
        <w:t>Miscellaneous</w:t>
      </w:r>
    </w:p>
    <w:p>
      <w:pPr>
        <w:pStyle w:val="TOC8"/>
        <w:rPr>
          <w:rFonts w:asciiTheme="minorHAnsi" w:eastAsiaTheme="minorEastAsia" w:hAnsiTheme="minorHAnsi" w:cstheme="minorBidi"/>
          <w:szCs w:val="22"/>
        </w:rPr>
      </w:pPr>
      <w:r>
        <w:t>44</w:t>
      </w:r>
      <w:r>
        <w:rPr>
          <w:snapToGrid w:val="0"/>
        </w:rPr>
        <w:t>.</w:t>
      </w:r>
      <w:r>
        <w:rPr>
          <w:snapToGrid w:val="0"/>
        </w:rPr>
        <w:tab/>
        <w:t>Bill posting, defacement and obscenity</w:t>
      </w:r>
      <w:r>
        <w:tab/>
      </w:r>
      <w:r>
        <w:fldChar w:fldCharType="begin"/>
      </w:r>
      <w:r>
        <w:instrText xml:space="preserve"> PAGEREF _Toc382379956 \h </w:instrText>
      </w:r>
      <w:r>
        <w:fldChar w:fldCharType="separate"/>
      </w:r>
      <w:r>
        <w:t>21</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Disorderly persons</w:t>
      </w:r>
      <w:r>
        <w:tab/>
      </w:r>
      <w:r>
        <w:fldChar w:fldCharType="begin"/>
      </w:r>
      <w:r>
        <w:instrText xml:space="preserve"> PAGEREF _Toc382379957 \h </w:instrText>
      </w:r>
      <w:r>
        <w:fldChar w:fldCharType="separate"/>
      </w:r>
      <w:r>
        <w:t>21</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Fires not to be lit</w:t>
      </w:r>
      <w:r>
        <w:tab/>
      </w:r>
      <w:r>
        <w:fldChar w:fldCharType="begin"/>
      </w:r>
      <w:r>
        <w:instrText xml:space="preserve"> PAGEREF _Toc382379958 \h </w:instrText>
      </w:r>
      <w:r>
        <w:fldChar w:fldCharType="separate"/>
      </w:r>
      <w:r>
        <w:t>22</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Gates to be shut</w:t>
      </w:r>
      <w:r>
        <w:tab/>
      </w:r>
      <w:r>
        <w:fldChar w:fldCharType="begin"/>
      </w:r>
      <w:r>
        <w:instrText xml:space="preserve"> PAGEREF _Toc382379959 \h </w:instrText>
      </w:r>
      <w:r>
        <w:fldChar w:fldCharType="separate"/>
      </w:r>
      <w:r>
        <w:t>22</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Interference with lights</w:t>
      </w:r>
      <w:r>
        <w:tab/>
      </w:r>
      <w:r>
        <w:fldChar w:fldCharType="begin"/>
      </w:r>
      <w:r>
        <w:instrText xml:space="preserve"> PAGEREF _Toc382379960 \h </w:instrText>
      </w:r>
      <w:r>
        <w:fldChar w:fldCharType="separate"/>
      </w:r>
      <w:r>
        <w:t>22</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Interference with or damaging property</w:t>
      </w:r>
      <w:r>
        <w:tab/>
      </w:r>
      <w:r>
        <w:fldChar w:fldCharType="begin"/>
      </w:r>
      <w:r>
        <w:instrText xml:space="preserve"> PAGEREF _Toc382379961 \h </w:instrText>
      </w:r>
      <w:r>
        <w:fldChar w:fldCharType="separate"/>
      </w:r>
      <w:r>
        <w:t>22</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Lost property</w:t>
      </w:r>
      <w:r>
        <w:tab/>
      </w:r>
      <w:r>
        <w:fldChar w:fldCharType="begin"/>
      </w:r>
      <w:r>
        <w:instrText xml:space="preserve"> PAGEREF _Toc382379962 \h </w:instrText>
      </w:r>
      <w:r>
        <w:fldChar w:fldCharType="separate"/>
      </w:r>
      <w:r>
        <w:t>23</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Obstruction of officers, or premises</w:t>
      </w:r>
      <w:r>
        <w:tab/>
      </w:r>
      <w:r>
        <w:fldChar w:fldCharType="begin"/>
      </w:r>
      <w:r>
        <w:instrText xml:space="preserve"> PAGEREF _Toc382379963 \h </w:instrText>
      </w:r>
      <w:r>
        <w:fldChar w:fldCharType="separate"/>
      </w:r>
      <w:r>
        <w:t>23</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Obstruction of or damage to jetties or premises</w:t>
      </w:r>
      <w:r>
        <w:tab/>
      </w:r>
      <w:r>
        <w:fldChar w:fldCharType="begin"/>
      </w:r>
      <w:r>
        <w:instrText xml:space="preserve"> PAGEREF _Toc382379964 \h </w:instrText>
      </w:r>
      <w:r>
        <w:fldChar w:fldCharType="separate"/>
      </w:r>
      <w:r>
        <w:t>24</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Rubbish etc. not to be thrown</w:t>
      </w:r>
      <w:r>
        <w:tab/>
      </w:r>
      <w:r>
        <w:fldChar w:fldCharType="begin"/>
      </w:r>
      <w:r>
        <w:instrText xml:space="preserve"> PAGEREF _Toc382379965 \h </w:instrText>
      </w:r>
      <w:r>
        <w:fldChar w:fldCharType="separate"/>
      </w:r>
      <w:r>
        <w:t>24</w:t>
      </w:r>
      <w:r>
        <w:fldChar w:fldCharType="end"/>
      </w:r>
    </w:p>
    <w:p>
      <w:pPr>
        <w:pStyle w:val="TOC8"/>
        <w:rPr>
          <w:rFonts w:asciiTheme="minorHAnsi" w:eastAsiaTheme="minorEastAsia" w:hAnsiTheme="minorHAnsi" w:cstheme="minorBidi"/>
          <w:szCs w:val="22"/>
        </w:rPr>
      </w:pPr>
      <w:r>
        <w:t>53A.</w:t>
      </w:r>
      <w:r>
        <w:tab/>
        <w:t>Fees for rubbish removal</w:t>
      </w:r>
      <w:r>
        <w:tab/>
      </w:r>
      <w:r>
        <w:fldChar w:fldCharType="begin"/>
      </w:r>
      <w:r>
        <w:instrText xml:space="preserve"> PAGEREF _Toc382379966 \h </w:instrText>
      </w:r>
      <w:r>
        <w:fldChar w:fldCharType="separate"/>
      </w:r>
      <w:r>
        <w:t>25</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Sale of articles prohibited</w:t>
      </w:r>
      <w:r>
        <w:tab/>
      </w:r>
      <w:r>
        <w:fldChar w:fldCharType="begin"/>
      </w:r>
      <w:r>
        <w:instrText xml:space="preserve"> PAGEREF _Toc382379967 \h </w:instrText>
      </w:r>
      <w:r>
        <w:fldChar w:fldCharType="separate"/>
      </w:r>
      <w:r>
        <w:t>25</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Smoking and loitering</w:t>
      </w:r>
      <w:r>
        <w:tab/>
      </w:r>
      <w:r>
        <w:fldChar w:fldCharType="begin"/>
      </w:r>
      <w:r>
        <w:instrText xml:space="preserve"> PAGEREF _Toc382379968 \h </w:instrText>
      </w:r>
      <w:r>
        <w:fldChar w:fldCharType="separate"/>
      </w:r>
      <w:r>
        <w:t>25</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Trespassing</w:t>
      </w:r>
      <w:r>
        <w:tab/>
      </w:r>
      <w:r>
        <w:fldChar w:fldCharType="begin"/>
      </w:r>
      <w:r>
        <w:instrText xml:space="preserve"> PAGEREF _Toc382379969 \h </w:instrText>
      </w:r>
      <w:r>
        <w:fldChar w:fldCharType="separate"/>
      </w:r>
      <w:r>
        <w:t>25</w:t>
      </w:r>
      <w:r>
        <w:fldChar w:fldCharType="end"/>
      </w:r>
    </w:p>
    <w:p>
      <w:pPr>
        <w:pStyle w:val="TOC8"/>
        <w:rPr>
          <w:rFonts w:asciiTheme="minorHAnsi" w:eastAsiaTheme="minorEastAsia" w:hAnsiTheme="minorHAnsi" w:cstheme="minorBidi"/>
          <w:szCs w:val="22"/>
        </w:rPr>
      </w:pPr>
      <w:r>
        <w:t>67A</w:t>
      </w:r>
      <w:r>
        <w:rPr>
          <w:snapToGrid w:val="0"/>
        </w:rPr>
        <w:t>.</w:t>
      </w:r>
      <w:r>
        <w:rPr>
          <w:snapToGrid w:val="0"/>
        </w:rPr>
        <w:tab/>
        <w:t>Conditions for construction and installation of pipelines</w:t>
      </w:r>
      <w:r>
        <w:tab/>
      </w:r>
      <w:r>
        <w:fldChar w:fldCharType="begin"/>
      </w:r>
      <w:r>
        <w:instrText xml:space="preserve"> PAGEREF _Toc382379970 \h </w:instrText>
      </w:r>
      <w:r>
        <w:fldChar w:fldCharType="separate"/>
      </w:r>
      <w:r>
        <w:t>26</w:t>
      </w:r>
      <w:r>
        <w:fldChar w:fldCharType="end"/>
      </w:r>
    </w:p>
    <w:p>
      <w:pPr>
        <w:pStyle w:val="TOC8"/>
        <w:rPr>
          <w:rFonts w:asciiTheme="minorHAnsi" w:eastAsiaTheme="minorEastAsia" w:hAnsiTheme="minorHAnsi" w:cstheme="minorBidi"/>
          <w:szCs w:val="22"/>
        </w:rPr>
      </w:pPr>
      <w:r>
        <w:t>67B</w:t>
      </w:r>
      <w:r>
        <w:rPr>
          <w:snapToGrid w:val="0"/>
        </w:rPr>
        <w:t>.</w:t>
      </w:r>
      <w:r>
        <w:rPr>
          <w:snapToGrid w:val="0"/>
        </w:rPr>
        <w:tab/>
        <w:t>Maintenance and operation of pipelines</w:t>
      </w:r>
      <w:r>
        <w:tab/>
      </w:r>
      <w:r>
        <w:fldChar w:fldCharType="begin"/>
      </w:r>
      <w:r>
        <w:instrText xml:space="preserve"> PAGEREF _Toc382379971 \h </w:instrText>
      </w:r>
      <w:r>
        <w:fldChar w:fldCharType="separate"/>
      </w:r>
      <w:r>
        <w:t>29</w:t>
      </w:r>
      <w:r>
        <w:fldChar w:fldCharType="end"/>
      </w:r>
    </w:p>
    <w:p>
      <w:pPr>
        <w:pStyle w:val="TOC8"/>
        <w:rPr>
          <w:rFonts w:asciiTheme="minorHAnsi" w:eastAsiaTheme="minorEastAsia" w:hAnsiTheme="minorHAnsi" w:cstheme="minorBidi"/>
          <w:szCs w:val="22"/>
        </w:rPr>
      </w:pPr>
      <w:r>
        <w:t>67D</w:t>
      </w:r>
      <w:r>
        <w:rPr>
          <w:snapToGrid w:val="0"/>
        </w:rPr>
        <w:t>.</w:t>
      </w:r>
      <w:r>
        <w:rPr>
          <w:snapToGrid w:val="0"/>
        </w:rPr>
        <w:tab/>
        <w:t>Penalty for failure to remove or amend pipeline</w:t>
      </w:r>
      <w:r>
        <w:tab/>
      </w:r>
      <w:r>
        <w:fldChar w:fldCharType="begin"/>
      </w:r>
      <w:r>
        <w:instrText xml:space="preserve"> PAGEREF _Toc382379972 \h </w:instrText>
      </w:r>
      <w:r>
        <w:fldChar w:fldCharType="separate"/>
      </w:r>
      <w:r>
        <w:t>35</w:t>
      </w:r>
      <w:r>
        <w:fldChar w:fldCharType="end"/>
      </w:r>
    </w:p>
    <w:p>
      <w:pPr>
        <w:pStyle w:val="TOC8"/>
        <w:rPr>
          <w:rFonts w:asciiTheme="minorHAnsi" w:eastAsiaTheme="minorEastAsia" w:hAnsiTheme="minorHAnsi" w:cstheme="minorBidi"/>
          <w:szCs w:val="22"/>
        </w:rPr>
      </w:pPr>
      <w:r>
        <w:t>67DA.</w:t>
      </w:r>
      <w:r>
        <w:tab/>
        <w:t>Fuelling vessels at service jetties limited</w:t>
      </w:r>
      <w:r>
        <w:tab/>
      </w:r>
      <w:r>
        <w:fldChar w:fldCharType="begin"/>
      </w:r>
      <w:r>
        <w:instrText xml:space="preserve"> PAGEREF _Toc382379973 \h </w:instrText>
      </w:r>
      <w:r>
        <w:fldChar w:fldCharType="separate"/>
      </w:r>
      <w:r>
        <w:t>35</w:t>
      </w:r>
      <w:r>
        <w:fldChar w:fldCharType="end"/>
      </w:r>
    </w:p>
    <w:p>
      <w:pPr>
        <w:pStyle w:val="TOC2"/>
        <w:tabs>
          <w:tab w:val="right" w:leader="dot" w:pos="7086"/>
        </w:tabs>
        <w:rPr>
          <w:rFonts w:asciiTheme="minorHAnsi" w:eastAsiaTheme="minorEastAsia" w:hAnsiTheme="minorHAnsi" w:cstheme="minorBidi"/>
          <w:b w:val="0"/>
          <w:sz w:val="22"/>
          <w:szCs w:val="22"/>
        </w:rPr>
      </w:pPr>
      <w:r>
        <w:t>Part 2 — Regulations applying to jetties within the Port of Perth</w:t>
      </w:r>
    </w:p>
    <w:p>
      <w:pPr>
        <w:pStyle w:val="TOC4"/>
        <w:tabs>
          <w:tab w:val="right" w:leader="dot" w:pos="7086"/>
        </w:tabs>
        <w:rPr>
          <w:rFonts w:asciiTheme="minorHAnsi" w:eastAsiaTheme="minorEastAsia" w:hAnsiTheme="minorHAnsi" w:cstheme="minorBidi"/>
          <w:b w:val="0"/>
          <w:szCs w:val="22"/>
        </w:rPr>
      </w:pPr>
      <w:r>
        <w:t>Division 1</w:t>
      </w:r>
      <w:r>
        <w:rPr>
          <w:snapToGrid w:val="0"/>
        </w:rPr>
        <w:t> — </w:t>
      </w:r>
      <w:r>
        <w:t>Application of this Part</w:t>
      </w:r>
    </w:p>
    <w:p>
      <w:pPr>
        <w:pStyle w:val="TOC8"/>
        <w:rPr>
          <w:rFonts w:asciiTheme="minorHAnsi" w:eastAsiaTheme="minorEastAsia" w:hAnsiTheme="minorHAnsi" w:cstheme="minorBidi"/>
          <w:szCs w:val="22"/>
        </w:rPr>
      </w:pPr>
      <w:r>
        <w:t>67E</w:t>
      </w:r>
      <w:r>
        <w:rPr>
          <w:snapToGrid w:val="0"/>
        </w:rPr>
        <w:t>.</w:t>
      </w:r>
      <w:r>
        <w:rPr>
          <w:snapToGrid w:val="0"/>
        </w:rPr>
        <w:tab/>
        <w:t>Application</w:t>
      </w:r>
      <w:r>
        <w:tab/>
      </w:r>
      <w:r>
        <w:fldChar w:fldCharType="begin"/>
      </w:r>
      <w:r>
        <w:instrText xml:space="preserve"> PAGEREF _Toc382379976 \h </w:instrText>
      </w:r>
      <w:r>
        <w:fldChar w:fldCharType="separate"/>
      </w:r>
      <w:r>
        <w:t>36</w:t>
      </w:r>
      <w:r>
        <w:fldChar w:fldCharType="end"/>
      </w:r>
    </w:p>
    <w:p>
      <w:pPr>
        <w:pStyle w:val="TOC4"/>
        <w:tabs>
          <w:tab w:val="right" w:leader="dot" w:pos="7086"/>
        </w:tabs>
        <w:rPr>
          <w:rFonts w:asciiTheme="minorHAnsi" w:eastAsiaTheme="minorEastAsia" w:hAnsiTheme="minorHAnsi" w:cstheme="minorBidi"/>
          <w:b w:val="0"/>
          <w:szCs w:val="22"/>
        </w:rPr>
      </w:pPr>
      <w:r>
        <w:t>Division 2</w:t>
      </w:r>
      <w:r>
        <w:rPr>
          <w:snapToGrid w:val="0"/>
        </w:rPr>
        <w:t> — </w:t>
      </w:r>
      <w:r>
        <w:t>Management and use of jetties</w:t>
      </w:r>
    </w:p>
    <w:p>
      <w:pPr>
        <w:pStyle w:val="TOC8"/>
        <w:rPr>
          <w:rFonts w:asciiTheme="minorHAnsi" w:eastAsiaTheme="minorEastAsia" w:hAnsiTheme="minorHAnsi" w:cstheme="minorBidi"/>
          <w:szCs w:val="22"/>
        </w:rPr>
      </w:pPr>
      <w:r>
        <w:t>68</w:t>
      </w:r>
      <w:r>
        <w:rPr>
          <w:snapToGrid w:val="0"/>
        </w:rPr>
        <w:t>.</w:t>
      </w:r>
      <w:r>
        <w:rPr>
          <w:snapToGrid w:val="0"/>
        </w:rPr>
        <w:tab/>
        <w:t>Control of jetties</w:t>
      </w:r>
      <w:r>
        <w:tab/>
      </w:r>
      <w:r>
        <w:fldChar w:fldCharType="begin"/>
      </w:r>
      <w:r>
        <w:instrText xml:space="preserve"> PAGEREF _Toc382379978 \h </w:instrText>
      </w:r>
      <w:r>
        <w:fldChar w:fldCharType="separate"/>
      </w:r>
      <w:r>
        <w:t>36</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Use of jetties</w:t>
      </w:r>
      <w:r>
        <w:tab/>
      </w:r>
      <w:r>
        <w:fldChar w:fldCharType="begin"/>
      </w:r>
      <w:r>
        <w:instrText xml:space="preserve"> PAGEREF _Toc382379979 \h </w:instrText>
      </w:r>
      <w:r>
        <w:fldChar w:fldCharType="separate"/>
      </w:r>
      <w:r>
        <w:t>36</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Jetties may be closed</w:t>
      </w:r>
      <w:r>
        <w:tab/>
      </w:r>
      <w:r>
        <w:fldChar w:fldCharType="begin"/>
      </w:r>
      <w:r>
        <w:instrText xml:space="preserve"> PAGEREF _Toc382379980 \h </w:instrText>
      </w:r>
      <w:r>
        <w:fldChar w:fldCharType="separate"/>
      </w:r>
      <w:r>
        <w:t>37</w:t>
      </w:r>
      <w:r>
        <w:fldChar w:fldCharType="end"/>
      </w:r>
    </w:p>
    <w:p>
      <w:pPr>
        <w:pStyle w:val="TOC4"/>
        <w:tabs>
          <w:tab w:val="right" w:leader="dot" w:pos="7086"/>
        </w:tabs>
        <w:rPr>
          <w:rFonts w:asciiTheme="minorHAnsi" w:eastAsiaTheme="minorEastAsia" w:hAnsiTheme="minorHAnsi" w:cstheme="minorBidi"/>
          <w:b w:val="0"/>
          <w:szCs w:val="22"/>
        </w:rPr>
      </w:pPr>
      <w:r>
        <w:t>Division 3</w:t>
      </w:r>
      <w:r>
        <w:rPr>
          <w:snapToGrid w:val="0"/>
        </w:rPr>
        <w:t> — </w:t>
      </w:r>
      <w:r>
        <w:t>Mooring and berthing of vessels</w:t>
      </w:r>
    </w:p>
    <w:p>
      <w:pPr>
        <w:pStyle w:val="TOC8"/>
        <w:rPr>
          <w:rFonts w:asciiTheme="minorHAnsi" w:eastAsiaTheme="minorEastAsia" w:hAnsiTheme="minorHAnsi" w:cstheme="minorBidi"/>
          <w:szCs w:val="22"/>
        </w:rPr>
      </w:pPr>
      <w:r>
        <w:t>71</w:t>
      </w:r>
      <w:r>
        <w:rPr>
          <w:snapToGrid w:val="0"/>
        </w:rPr>
        <w:t>.</w:t>
      </w:r>
      <w:r>
        <w:rPr>
          <w:snapToGrid w:val="0"/>
        </w:rPr>
        <w:tab/>
        <w:t>Permit required to moor etc. alongside jetty or buoy</w:t>
      </w:r>
      <w:r>
        <w:tab/>
      </w:r>
      <w:r>
        <w:fldChar w:fldCharType="begin"/>
      </w:r>
      <w:r>
        <w:instrText xml:space="preserve"> PAGEREF _Toc382379982 \h </w:instrText>
      </w:r>
      <w:r>
        <w:fldChar w:fldCharType="separate"/>
      </w:r>
      <w:r>
        <w:t>37</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Duration of, and charges for, permits</w:t>
      </w:r>
      <w:r>
        <w:tab/>
      </w:r>
      <w:r>
        <w:fldChar w:fldCharType="begin"/>
      </w:r>
      <w:r>
        <w:instrText xml:space="preserve"> PAGEREF _Toc382379983 \h </w:instrText>
      </w:r>
      <w:r>
        <w:fldChar w:fldCharType="separate"/>
      </w:r>
      <w:r>
        <w:t>37</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Permit for exclusive use of berth</w:t>
      </w:r>
      <w:r>
        <w:tab/>
      </w:r>
      <w:r>
        <w:fldChar w:fldCharType="begin"/>
      </w:r>
      <w:r>
        <w:instrText xml:space="preserve"> PAGEREF _Toc382379984 \h </w:instrText>
      </w:r>
      <w:r>
        <w:fldChar w:fldCharType="separate"/>
      </w:r>
      <w:r>
        <w:t>38</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Manner of mooring vessels</w:t>
      </w:r>
      <w:r>
        <w:tab/>
      </w:r>
      <w:r>
        <w:fldChar w:fldCharType="begin"/>
      </w:r>
      <w:r>
        <w:instrText xml:space="preserve"> PAGEREF _Toc382379985 \h </w:instrText>
      </w:r>
      <w:r>
        <w:fldChar w:fldCharType="separate"/>
      </w:r>
      <w:r>
        <w:t>39</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Vessels not to remain at jetties longer than necessary</w:t>
      </w:r>
      <w:r>
        <w:tab/>
      </w:r>
      <w:r>
        <w:fldChar w:fldCharType="begin"/>
      </w:r>
      <w:r>
        <w:instrText xml:space="preserve"> PAGEREF _Toc382379986 \h </w:instrText>
      </w:r>
      <w:r>
        <w:fldChar w:fldCharType="separate"/>
      </w:r>
      <w:r>
        <w:t>40</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Mooring of rafts and boathouses</w:t>
      </w:r>
      <w:r>
        <w:tab/>
      </w:r>
      <w:r>
        <w:fldChar w:fldCharType="begin"/>
      </w:r>
      <w:r>
        <w:instrText xml:space="preserve"> PAGEREF _Toc382379987 \h </w:instrText>
      </w:r>
      <w:r>
        <w:fldChar w:fldCharType="separate"/>
      </w:r>
      <w:r>
        <w:t>40</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Vessels to be in charge of competent person</w:t>
      </w:r>
      <w:r>
        <w:tab/>
      </w:r>
      <w:r>
        <w:fldChar w:fldCharType="begin"/>
      </w:r>
      <w:r>
        <w:instrText xml:space="preserve"> PAGEREF _Toc382379988 \h </w:instrText>
      </w:r>
      <w:r>
        <w:fldChar w:fldCharType="separate"/>
      </w:r>
      <w:r>
        <w:t>40</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Approaching jetties after sunset</w:t>
      </w:r>
      <w:r>
        <w:tab/>
      </w:r>
      <w:r>
        <w:fldChar w:fldCharType="begin"/>
      </w:r>
      <w:r>
        <w:instrText xml:space="preserve"> PAGEREF _Toc382379989 \h </w:instrText>
      </w:r>
      <w:r>
        <w:fldChar w:fldCharType="separate"/>
      </w:r>
      <w:r>
        <w:t>40</w:t>
      </w:r>
      <w:r>
        <w:fldChar w:fldCharType="end"/>
      </w:r>
    </w:p>
    <w:p>
      <w:pPr>
        <w:pStyle w:val="TOC4"/>
        <w:tabs>
          <w:tab w:val="right" w:leader="dot" w:pos="7086"/>
        </w:tabs>
        <w:rPr>
          <w:rFonts w:asciiTheme="minorHAnsi" w:eastAsiaTheme="minorEastAsia" w:hAnsiTheme="minorHAnsi" w:cstheme="minorBidi"/>
          <w:b w:val="0"/>
          <w:szCs w:val="22"/>
        </w:rPr>
      </w:pPr>
      <w:r>
        <w:t>Division 4</w:t>
      </w:r>
      <w:r>
        <w:rPr>
          <w:snapToGrid w:val="0"/>
        </w:rPr>
        <w:t> — </w:t>
      </w:r>
      <w:r>
        <w:t>Loading or discharging cargo</w:t>
      </w:r>
    </w:p>
    <w:p>
      <w:pPr>
        <w:pStyle w:val="TOC8"/>
        <w:rPr>
          <w:rFonts w:asciiTheme="minorHAnsi" w:eastAsiaTheme="minorEastAsia" w:hAnsiTheme="minorHAnsi" w:cstheme="minorBidi"/>
          <w:szCs w:val="22"/>
        </w:rPr>
      </w:pPr>
      <w:r>
        <w:t>80</w:t>
      </w:r>
      <w:r>
        <w:rPr>
          <w:snapToGrid w:val="0"/>
        </w:rPr>
        <w:t>.</w:t>
      </w:r>
      <w:r>
        <w:rPr>
          <w:snapToGrid w:val="0"/>
        </w:rPr>
        <w:tab/>
        <w:t>Vessels loading or discharging</w:t>
      </w:r>
      <w:r>
        <w:tab/>
      </w:r>
      <w:r>
        <w:fldChar w:fldCharType="begin"/>
      </w:r>
      <w:r>
        <w:instrText xml:space="preserve"> PAGEREF _Toc382379991 \h </w:instrText>
      </w:r>
      <w:r>
        <w:fldChar w:fldCharType="separate"/>
      </w:r>
      <w:r>
        <w:t>41</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Cargo to be removed</w:t>
      </w:r>
      <w:r>
        <w:tab/>
      </w:r>
      <w:r>
        <w:fldChar w:fldCharType="begin"/>
      </w:r>
      <w:r>
        <w:instrText xml:space="preserve"> PAGEREF _Toc382379992 \h </w:instrText>
      </w:r>
      <w:r>
        <w:fldChar w:fldCharType="separate"/>
      </w:r>
      <w:r>
        <w:t>41</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Cargo not to remain on jetties overnight</w:t>
      </w:r>
      <w:r>
        <w:tab/>
      </w:r>
      <w:r>
        <w:fldChar w:fldCharType="begin"/>
      </w:r>
      <w:r>
        <w:instrText xml:space="preserve"> PAGEREF _Toc382379993 \h </w:instrText>
      </w:r>
      <w:r>
        <w:fldChar w:fldCharType="separate"/>
      </w:r>
      <w:r>
        <w:t>42</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Explosives not to be handled without permission</w:t>
      </w:r>
      <w:r>
        <w:tab/>
      </w:r>
      <w:r>
        <w:fldChar w:fldCharType="begin"/>
      </w:r>
      <w:r>
        <w:instrText xml:space="preserve"> PAGEREF _Toc382379994 \h </w:instrText>
      </w:r>
      <w:r>
        <w:fldChar w:fldCharType="separate"/>
      </w:r>
      <w:r>
        <w:t>42</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Manner of handling cargo</w:t>
      </w:r>
      <w:r>
        <w:tab/>
      </w:r>
      <w:r>
        <w:fldChar w:fldCharType="begin"/>
      </w:r>
      <w:r>
        <w:instrText xml:space="preserve"> PAGEREF _Toc382379995 \h </w:instrText>
      </w:r>
      <w:r>
        <w:fldChar w:fldCharType="separate"/>
      </w:r>
      <w:r>
        <w:t>42</w:t>
      </w:r>
      <w:r>
        <w:fldChar w:fldCharType="end"/>
      </w:r>
    </w:p>
    <w:p>
      <w:pPr>
        <w:pStyle w:val="TOC4"/>
        <w:tabs>
          <w:tab w:val="right" w:leader="dot" w:pos="7086"/>
        </w:tabs>
        <w:rPr>
          <w:rFonts w:asciiTheme="minorHAnsi" w:eastAsiaTheme="minorEastAsia" w:hAnsiTheme="minorHAnsi" w:cstheme="minorBidi"/>
          <w:b w:val="0"/>
          <w:szCs w:val="22"/>
        </w:rPr>
      </w:pPr>
      <w:r>
        <w:t>Division 5</w:t>
      </w:r>
      <w:r>
        <w:rPr>
          <w:snapToGrid w:val="0"/>
        </w:rPr>
        <w:t> — </w:t>
      </w:r>
      <w:r>
        <w:t>Navigation of vessels</w:t>
      </w:r>
    </w:p>
    <w:p>
      <w:pPr>
        <w:pStyle w:val="TOC8"/>
        <w:rPr>
          <w:rFonts w:asciiTheme="minorHAnsi" w:eastAsiaTheme="minorEastAsia" w:hAnsiTheme="minorHAnsi" w:cstheme="minorBidi"/>
          <w:szCs w:val="22"/>
        </w:rPr>
      </w:pPr>
      <w:r>
        <w:t>85</w:t>
      </w:r>
      <w:r>
        <w:rPr>
          <w:snapToGrid w:val="0"/>
        </w:rPr>
        <w:t>.</w:t>
      </w:r>
      <w:r>
        <w:rPr>
          <w:snapToGrid w:val="0"/>
        </w:rPr>
        <w:tab/>
        <w:t>Power vessels approaching jetties</w:t>
      </w:r>
      <w:r>
        <w:tab/>
      </w:r>
      <w:r>
        <w:fldChar w:fldCharType="begin"/>
      </w:r>
      <w:r>
        <w:instrText xml:space="preserve"> PAGEREF _Toc382379997 \h </w:instrText>
      </w:r>
      <w:r>
        <w:fldChar w:fldCharType="separate"/>
      </w:r>
      <w:r>
        <w:t>42</w:t>
      </w:r>
      <w:r>
        <w:fldChar w:fldCharType="end"/>
      </w:r>
    </w:p>
    <w:p>
      <w:pPr>
        <w:pStyle w:val="TOC4"/>
        <w:tabs>
          <w:tab w:val="right" w:leader="dot" w:pos="7086"/>
        </w:tabs>
        <w:rPr>
          <w:rFonts w:asciiTheme="minorHAnsi" w:eastAsiaTheme="minorEastAsia" w:hAnsiTheme="minorHAnsi" w:cstheme="minorBidi"/>
          <w:b w:val="0"/>
          <w:szCs w:val="22"/>
        </w:rPr>
      </w:pPr>
      <w:r>
        <w:t>Division 6</w:t>
      </w:r>
      <w:r>
        <w:rPr>
          <w:snapToGrid w:val="0"/>
        </w:rPr>
        <w:t> — </w:t>
      </w:r>
      <w:r>
        <w:t>Miscellaneous</w:t>
      </w:r>
    </w:p>
    <w:p>
      <w:pPr>
        <w:pStyle w:val="TOC8"/>
        <w:rPr>
          <w:rFonts w:asciiTheme="minorHAnsi" w:eastAsiaTheme="minorEastAsia" w:hAnsiTheme="minorHAnsi" w:cstheme="minorBidi"/>
          <w:szCs w:val="22"/>
        </w:rPr>
      </w:pPr>
      <w:r>
        <w:t>86</w:t>
      </w:r>
      <w:r>
        <w:rPr>
          <w:snapToGrid w:val="0"/>
        </w:rPr>
        <w:t>.</w:t>
      </w:r>
      <w:r>
        <w:rPr>
          <w:snapToGrid w:val="0"/>
        </w:rPr>
        <w:tab/>
        <w:t>Bathing from jetties</w:t>
      </w:r>
      <w:r>
        <w:tab/>
      </w:r>
      <w:r>
        <w:fldChar w:fldCharType="begin"/>
      </w:r>
      <w:r>
        <w:instrText xml:space="preserve"> PAGEREF _Toc382379999 \h </w:instrText>
      </w:r>
      <w:r>
        <w:fldChar w:fldCharType="separate"/>
      </w:r>
      <w:r>
        <w:t>43</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Damage to jetties</w:t>
      </w:r>
      <w:r>
        <w:tab/>
      </w:r>
      <w:r>
        <w:fldChar w:fldCharType="begin"/>
      </w:r>
      <w:r>
        <w:instrText xml:space="preserve"> PAGEREF _Toc382380000 \h </w:instrText>
      </w:r>
      <w:r>
        <w:fldChar w:fldCharType="separate"/>
      </w:r>
      <w:r>
        <w:t>43</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Fishing from certain places prohibited</w:t>
      </w:r>
      <w:r>
        <w:tab/>
      </w:r>
      <w:r>
        <w:fldChar w:fldCharType="begin"/>
      </w:r>
      <w:r>
        <w:instrText xml:space="preserve"> PAGEREF _Toc382380001 \h </w:instrText>
      </w:r>
      <w:r>
        <w:fldChar w:fldCharType="separate"/>
      </w:r>
      <w:r>
        <w:t>43</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Fishing nets on jetties</w:t>
      </w:r>
      <w:r>
        <w:tab/>
      </w:r>
      <w:r>
        <w:fldChar w:fldCharType="begin"/>
      </w:r>
      <w:r>
        <w:instrText xml:space="preserve"> PAGEREF _Toc382380002 \h </w:instrText>
      </w:r>
      <w:r>
        <w:fldChar w:fldCharType="separate"/>
      </w:r>
      <w:r>
        <w:t>44</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Gangways to be provided</w:t>
      </w:r>
      <w:r>
        <w:tab/>
      </w:r>
      <w:r>
        <w:fldChar w:fldCharType="begin"/>
      </w:r>
      <w:r>
        <w:instrText xml:space="preserve"> PAGEREF _Toc382380003 \h </w:instrText>
      </w:r>
      <w:r>
        <w:fldChar w:fldCharType="separate"/>
      </w:r>
      <w:r>
        <w:t>44</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Interference with jetties or approaches</w:t>
      </w:r>
      <w:r>
        <w:tab/>
      </w:r>
      <w:r>
        <w:fldChar w:fldCharType="begin"/>
      </w:r>
      <w:r>
        <w:instrText xml:space="preserve"> PAGEREF _Toc382380004 \h </w:instrText>
      </w:r>
      <w:r>
        <w:fldChar w:fldCharType="separate"/>
      </w:r>
      <w:r>
        <w:t>44</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Lifebuoys on jetties</w:t>
      </w:r>
      <w:r>
        <w:tab/>
      </w:r>
      <w:r>
        <w:fldChar w:fldCharType="begin"/>
      </w:r>
      <w:r>
        <w:instrText xml:space="preserve"> PAGEREF _Toc382380005 \h </w:instrText>
      </w:r>
      <w:r>
        <w:fldChar w:fldCharType="separate"/>
      </w:r>
      <w:r>
        <w:t>44</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Obstruction of jetties or officers</w:t>
      </w:r>
      <w:r>
        <w:tab/>
      </w:r>
      <w:r>
        <w:fldChar w:fldCharType="begin"/>
      </w:r>
      <w:r>
        <w:instrText xml:space="preserve"> PAGEREF _Toc382380006 \h </w:instrText>
      </w:r>
      <w:r>
        <w:fldChar w:fldCharType="separate"/>
      </w:r>
      <w:r>
        <w:t>44</w:t>
      </w:r>
      <w:r>
        <w:fldChar w:fldCharType="end"/>
      </w:r>
    </w:p>
    <w:p>
      <w:pPr>
        <w:pStyle w:val="TOC8"/>
        <w:rPr>
          <w:rFonts w:asciiTheme="minorHAnsi" w:eastAsiaTheme="minorEastAsia" w:hAnsiTheme="minorHAnsi" w:cstheme="minorBidi"/>
          <w:szCs w:val="22"/>
        </w:rPr>
      </w:pPr>
      <w:r>
        <w:t>94</w:t>
      </w:r>
      <w:r>
        <w:rPr>
          <w:snapToGrid w:val="0"/>
        </w:rPr>
        <w:t>.</w:t>
      </w:r>
      <w:r>
        <w:rPr>
          <w:snapToGrid w:val="0"/>
        </w:rPr>
        <w:tab/>
        <w:t>Rubbish not to be thrown in river etc.</w:t>
      </w:r>
      <w:r>
        <w:tab/>
      </w:r>
      <w:r>
        <w:fldChar w:fldCharType="begin"/>
      </w:r>
      <w:r>
        <w:instrText xml:space="preserve"> PAGEREF _Toc382380007 \h </w:instrText>
      </w:r>
      <w:r>
        <w:fldChar w:fldCharType="separate"/>
      </w:r>
      <w:r>
        <w:t>45</w:t>
      </w:r>
      <w:r>
        <w:fldChar w:fldCharType="end"/>
      </w:r>
    </w:p>
    <w:p>
      <w:pPr>
        <w:pStyle w:val="TOC2"/>
        <w:tabs>
          <w:tab w:val="right" w:leader="dot" w:pos="7086"/>
        </w:tabs>
        <w:rPr>
          <w:rFonts w:asciiTheme="minorHAnsi" w:eastAsiaTheme="minorEastAsia" w:hAnsiTheme="minorHAnsi" w:cstheme="minorBidi"/>
          <w:b w:val="0"/>
          <w:sz w:val="22"/>
          <w:szCs w:val="22"/>
        </w:rPr>
      </w:pPr>
      <w:r>
        <w:t>Part 2A — Mooring and berthing other than in the Port of Perth</w:t>
      </w:r>
    </w:p>
    <w:p>
      <w:pPr>
        <w:pStyle w:val="TOC8"/>
        <w:rPr>
          <w:rFonts w:asciiTheme="minorHAnsi" w:eastAsiaTheme="minorEastAsia" w:hAnsiTheme="minorHAnsi" w:cstheme="minorBidi"/>
          <w:szCs w:val="22"/>
        </w:rPr>
      </w:pPr>
      <w:r>
        <w:t>94A.</w:t>
      </w:r>
      <w:r>
        <w:tab/>
        <w:t>Fees etc. for pen rentals and services</w:t>
      </w:r>
      <w:r>
        <w:tab/>
      </w:r>
      <w:r>
        <w:fldChar w:fldCharType="begin"/>
      </w:r>
      <w:r>
        <w:instrText xml:space="preserve"> PAGEREF _Toc382380009 \h </w:instrText>
      </w:r>
      <w:r>
        <w:fldChar w:fldCharType="separate"/>
      </w:r>
      <w:r>
        <w:t>46</w:t>
      </w:r>
      <w:r>
        <w:fldChar w:fldCharType="end"/>
      </w:r>
    </w:p>
    <w:p>
      <w:pPr>
        <w:pStyle w:val="TOC8"/>
        <w:rPr>
          <w:rFonts w:asciiTheme="minorHAnsi" w:eastAsiaTheme="minorEastAsia" w:hAnsiTheme="minorHAnsi" w:cstheme="minorBidi"/>
          <w:szCs w:val="22"/>
        </w:rPr>
      </w:pPr>
      <w:r>
        <w:t>94B</w:t>
      </w:r>
      <w:r>
        <w:rPr>
          <w:snapToGrid w:val="0"/>
        </w:rPr>
        <w:t>.</w:t>
      </w:r>
      <w:r>
        <w:rPr>
          <w:snapToGrid w:val="0"/>
        </w:rPr>
        <w:tab/>
        <w:t>Fees for pile mooring</w:t>
      </w:r>
      <w:r>
        <w:tab/>
      </w:r>
      <w:r>
        <w:fldChar w:fldCharType="begin"/>
      </w:r>
      <w:r>
        <w:instrText xml:space="preserve"> PAGEREF _Toc382380010 \h </w:instrText>
      </w:r>
      <w:r>
        <w:fldChar w:fldCharType="separate"/>
      </w:r>
      <w:r>
        <w:t>46</w:t>
      </w:r>
      <w:r>
        <w:fldChar w:fldCharType="end"/>
      </w:r>
    </w:p>
    <w:p>
      <w:pPr>
        <w:pStyle w:val="TOC8"/>
        <w:rPr>
          <w:rFonts w:asciiTheme="minorHAnsi" w:eastAsiaTheme="minorEastAsia" w:hAnsiTheme="minorHAnsi" w:cstheme="minorBidi"/>
          <w:szCs w:val="22"/>
        </w:rPr>
      </w:pPr>
      <w:r>
        <w:t>94C</w:t>
      </w:r>
      <w:r>
        <w:rPr>
          <w:snapToGrid w:val="0"/>
        </w:rPr>
        <w:t>.</w:t>
      </w:r>
      <w:r>
        <w:rPr>
          <w:snapToGrid w:val="0"/>
        </w:rPr>
        <w:tab/>
        <w:t>Fees for berthing or mooring on a casual basis</w:t>
      </w:r>
      <w:r>
        <w:tab/>
      </w:r>
      <w:r>
        <w:fldChar w:fldCharType="begin"/>
      </w:r>
      <w:r>
        <w:instrText xml:space="preserve"> PAGEREF _Toc382380011 \h </w:instrText>
      </w:r>
      <w:r>
        <w:fldChar w:fldCharType="separate"/>
      </w:r>
      <w:r>
        <w:t>46</w:t>
      </w:r>
      <w:r>
        <w:fldChar w:fldCharType="end"/>
      </w:r>
    </w:p>
    <w:p>
      <w:pPr>
        <w:pStyle w:val="TOC8"/>
        <w:rPr>
          <w:rFonts w:asciiTheme="minorHAnsi" w:eastAsiaTheme="minorEastAsia" w:hAnsiTheme="minorHAnsi" w:cstheme="minorBidi"/>
          <w:szCs w:val="22"/>
        </w:rPr>
      </w:pPr>
      <w:r>
        <w:t>94D.</w:t>
      </w:r>
      <w:r>
        <w:tab/>
        <w:t>Waiving fees or charges in emergencies</w:t>
      </w:r>
      <w:r>
        <w:tab/>
      </w:r>
      <w:r>
        <w:fldChar w:fldCharType="begin"/>
      </w:r>
      <w:r>
        <w:instrText xml:space="preserve"> PAGEREF _Toc382380012 \h </w:instrText>
      </w:r>
      <w:r>
        <w:fldChar w:fldCharType="separate"/>
      </w:r>
      <w:r>
        <w:t>46</w:t>
      </w:r>
      <w:r>
        <w:fldChar w:fldCharType="end"/>
      </w:r>
    </w:p>
    <w:p>
      <w:pPr>
        <w:pStyle w:val="TOC2"/>
        <w:tabs>
          <w:tab w:val="right" w:leader="dot" w:pos="7086"/>
        </w:tabs>
        <w:rPr>
          <w:rFonts w:asciiTheme="minorHAnsi" w:eastAsiaTheme="minorEastAsia" w:hAnsiTheme="minorHAnsi" w:cstheme="minorBidi"/>
          <w:b w:val="0"/>
          <w:sz w:val="22"/>
          <w:szCs w:val="22"/>
        </w:rPr>
      </w:pPr>
      <w:r>
        <w:t>Part 3 — Special provisions applying at particular ports</w:t>
      </w:r>
    </w:p>
    <w:p>
      <w:pPr>
        <w:pStyle w:val="TOC4"/>
        <w:tabs>
          <w:tab w:val="right" w:leader="dot" w:pos="7086"/>
        </w:tabs>
        <w:rPr>
          <w:rFonts w:asciiTheme="minorHAnsi" w:eastAsiaTheme="minorEastAsia" w:hAnsiTheme="minorHAnsi" w:cstheme="minorBidi"/>
          <w:b w:val="0"/>
          <w:szCs w:val="22"/>
        </w:rPr>
      </w:pPr>
      <w:r>
        <w:t>Division 1</w:t>
      </w:r>
      <w:r>
        <w:rPr>
          <w:snapToGrid w:val="0"/>
        </w:rPr>
        <w:t> — </w:t>
      </w:r>
      <w:r>
        <w:t>Use of slipways</w:t>
      </w:r>
    </w:p>
    <w:p>
      <w:pPr>
        <w:pStyle w:val="TOC8"/>
        <w:rPr>
          <w:rFonts w:asciiTheme="minorHAnsi" w:eastAsiaTheme="minorEastAsia" w:hAnsiTheme="minorHAnsi" w:cstheme="minorBidi"/>
          <w:szCs w:val="22"/>
        </w:rPr>
      </w:pPr>
      <w:r>
        <w:t>95.</w:t>
      </w:r>
      <w:r>
        <w:tab/>
        <w:t>Management and control of departmental slipways</w:t>
      </w:r>
      <w:r>
        <w:tab/>
      </w:r>
      <w:r>
        <w:fldChar w:fldCharType="begin"/>
      </w:r>
      <w:r>
        <w:instrText xml:space="preserve"> PAGEREF _Toc382380015 \h </w:instrText>
      </w:r>
      <w:r>
        <w:fldChar w:fldCharType="separate"/>
      </w:r>
      <w:r>
        <w:t>47</w:t>
      </w:r>
      <w:r>
        <w:fldChar w:fldCharType="end"/>
      </w:r>
    </w:p>
    <w:p>
      <w:pPr>
        <w:pStyle w:val="TOC8"/>
        <w:rPr>
          <w:rFonts w:asciiTheme="minorHAnsi" w:eastAsiaTheme="minorEastAsia" w:hAnsiTheme="minorHAnsi" w:cstheme="minorBidi"/>
          <w:szCs w:val="22"/>
        </w:rPr>
      </w:pPr>
      <w:r>
        <w:t>95A</w:t>
      </w:r>
      <w:r>
        <w:rPr>
          <w:snapToGrid w:val="0"/>
        </w:rPr>
        <w:t>.</w:t>
      </w:r>
      <w:r>
        <w:rPr>
          <w:snapToGrid w:val="0"/>
        </w:rPr>
        <w:tab/>
        <w:t>Application for use of slipway</w:t>
      </w:r>
      <w:r>
        <w:tab/>
      </w:r>
      <w:r>
        <w:fldChar w:fldCharType="begin"/>
      </w:r>
      <w:r>
        <w:instrText xml:space="preserve"> PAGEREF _Toc382380016 \h </w:instrText>
      </w:r>
      <w:r>
        <w:fldChar w:fldCharType="separate"/>
      </w:r>
      <w:r>
        <w:t>47</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Charges for use of slipway</w:t>
      </w:r>
      <w:r>
        <w:tab/>
      </w:r>
      <w:r>
        <w:fldChar w:fldCharType="begin"/>
      </w:r>
      <w:r>
        <w:instrText xml:space="preserve"> PAGEREF _Toc382380017 \h </w:instrText>
      </w:r>
      <w:r>
        <w:fldChar w:fldCharType="separate"/>
      </w:r>
      <w:r>
        <w:t>48</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Government vessels may take precedence</w:t>
      </w:r>
      <w:r>
        <w:tab/>
      </w:r>
      <w:r>
        <w:fldChar w:fldCharType="begin"/>
      </w:r>
      <w:r>
        <w:instrText xml:space="preserve"> PAGEREF _Toc382380018 \h </w:instrText>
      </w:r>
      <w:r>
        <w:fldChar w:fldCharType="separate"/>
      </w:r>
      <w:r>
        <w:t>48</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Vessels may forfeit their turn</w:t>
      </w:r>
      <w:r>
        <w:tab/>
      </w:r>
      <w:r>
        <w:fldChar w:fldCharType="begin"/>
      </w:r>
      <w:r>
        <w:instrText xml:space="preserve"> PAGEREF _Toc382380019 \h </w:instrText>
      </w:r>
      <w:r>
        <w:fldChar w:fldCharType="separate"/>
      </w:r>
      <w:r>
        <w:t>48</w:t>
      </w:r>
      <w:r>
        <w:fldChar w:fldCharType="end"/>
      </w:r>
    </w:p>
    <w:p>
      <w:pPr>
        <w:pStyle w:val="TOC8"/>
        <w:rPr>
          <w:rFonts w:asciiTheme="minorHAnsi" w:eastAsiaTheme="minorEastAsia" w:hAnsiTheme="minorHAnsi" w:cstheme="minorBidi"/>
          <w:szCs w:val="22"/>
        </w:rPr>
      </w:pPr>
      <w:r>
        <w:t>99</w:t>
      </w:r>
      <w:r>
        <w:rPr>
          <w:snapToGrid w:val="0"/>
        </w:rPr>
        <w:t>.</w:t>
      </w:r>
      <w:r>
        <w:rPr>
          <w:snapToGrid w:val="0"/>
        </w:rPr>
        <w:tab/>
        <w:t>Department will not undertake repairs etc.</w:t>
      </w:r>
      <w:r>
        <w:tab/>
      </w:r>
      <w:r>
        <w:fldChar w:fldCharType="begin"/>
      </w:r>
      <w:r>
        <w:instrText xml:space="preserve"> PAGEREF _Toc382380020 \h </w:instrText>
      </w:r>
      <w:r>
        <w:fldChar w:fldCharType="separate"/>
      </w:r>
      <w:r>
        <w:t>49</w:t>
      </w:r>
      <w:r>
        <w:fldChar w:fldCharType="end"/>
      </w:r>
    </w:p>
    <w:p>
      <w:pPr>
        <w:pStyle w:val="TOC8"/>
        <w:rPr>
          <w:rFonts w:asciiTheme="minorHAnsi" w:eastAsiaTheme="minorEastAsia" w:hAnsiTheme="minorHAnsi" w:cstheme="minorBidi"/>
          <w:szCs w:val="22"/>
        </w:rPr>
      </w:pPr>
      <w:r>
        <w:t>100</w:t>
      </w:r>
      <w:r>
        <w:rPr>
          <w:snapToGrid w:val="0"/>
        </w:rPr>
        <w:t>.</w:t>
      </w:r>
      <w:r>
        <w:rPr>
          <w:snapToGrid w:val="0"/>
        </w:rPr>
        <w:tab/>
        <w:t>Department not responsible for damage to vessel when in use of slip</w:t>
      </w:r>
      <w:r>
        <w:tab/>
      </w:r>
      <w:r>
        <w:fldChar w:fldCharType="begin"/>
      </w:r>
      <w:r>
        <w:instrText xml:space="preserve"> PAGEREF _Toc382380021 \h </w:instrText>
      </w:r>
      <w:r>
        <w:fldChar w:fldCharType="separate"/>
      </w:r>
      <w:r>
        <w:t>49</w:t>
      </w:r>
      <w:r>
        <w:fldChar w:fldCharType="end"/>
      </w:r>
    </w:p>
    <w:p>
      <w:pPr>
        <w:pStyle w:val="TOC8"/>
        <w:rPr>
          <w:rFonts w:asciiTheme="minorHAnsi" w:eastAsiaTheme="minorEastAsia" w:hAnsiTheme="minorHAnsi" w:cstheme="minorBidi"/>
          <w:szCs w:val="22"/>
        </w:rPr>
      </w:pPr>
      <w:r>
        <w:t>101</w:t>
      </w:r>
      <w:r>
        <w:rPr>
          <w:snapToGrid w:val="0"/>
        </w:rPr>
        <w:t>.</w:t>
      </w:r>
      <w:r>
        <w:rPr>
          <w:snapToGrid w:val="0"/>
        </w:rPr>
        <w:tab/>
        <w:t>Duties of owner or master using slipway</w:t>
      </w:r>
      <w:r>
        <w:tab/>
      </w:r>
      <w:r>
        <w:fldChar w:fldCharType="begin"/>
      </w:r>
      <w:r>
        <w:instrText xml:space="preserve"> PAGEREF _Toc382380022 \h </w:instrText>
      </w:r>
      <w:r>
        <w:fldChar w:fldCharType="separate"/>
      </w:r>
      <w:r>
        <w:t>49</w:t>
      </w:r>
      <w:r>
        <w:fldChar w:fldCharType="end"/>
      </w:r>
    </w:p>
    <w:p>
      <w:pPr>
        <w:pStyle w:val="TOC8"/>
        <w:rPr>
          <w:rFonts w:asciiTheme="minorHAnsi" w:eastAsiaTheme="minorEastAsia" w:hAnsiTheme="minorHAnsi" w:cstheme="minorBidi"/>
          <w:szCs w:val="22"/>
        </w:rPr>
      </w:pPr>
      <w:r>
        <w:t>101A</w:t>
      </w:r>
      <w:r>
        <w:rPr>
          <w:snapToGrid w:val="0"/>
        </w:rPr>
        <w:t>.</w:t>
      </w:r>
      <w:r>
        <w:rPr>
          <w:snapToGrid w:val="0"/>
        </w:rPr>
        <w:tab/>
        <w:t>Slipping of more than one vessel at a time</w:t>
      </w:r>
      <w:r>
        <w:tab/>
      </w:r>
      <w:r>
        <w:fldChar w:fldCharType="begin"/>
      </w:r>
      <w:r>
        <w:instrText xml:space="preserve"> PAGEREF _Toc382380023 \h </w:instrText>
      </w:r>
      <w:r>
        <w:fldChar w:fldCharType="separate"/>
      </w:r>
      <w:r>
        <w:t>50</w:t>
      </w:r>
      <w:r>
        <w:fldChar w:fldCharType="end"/>
      </w:r>
    </w:p>
    <w:p>
      <w:pPr>
        <w:pStyle w:val="TOC8"/>
        <w:rPr>
          <w:rFonts w:asciiTheme="minorHAnsi" w:eastAsiaTheme="minorEastAsia" w:hAnsiTheme="minorHAnsi" w:cstheme="minorBidi"/>
          <w:szCs w:val="22"/>
        </w:rPr>
      </w:pPr>
      <w:r>
        <w:t>101B</w:t>
      </w:r>
      <w:r>
        <w:rPr>
          <w:snapToGrid w:val="0"/>
        </w:rPr>
        <w:t>.</w:t>
      </w:r>
      <w:r>
        <w:rPr>
          <w:snapToGrid w:val="0"/>
        </w:rPr>
        <w:tab/>
        <w:t>Dispute procedure</w:t>
      </w:r>
      <w:r>
        <w:tab/>
      </w:r>
      <w:r>
        <w:fldChar w:fldCharType="begin"/>
      </w:r>
      <w:r>
        <w:instrText xml:space="preserve"> PAGEREF _Toc382380024 \h </w:instrText>
      </w:r>
      <w:r>
        <w:fldChar w:fldCharType="separate"/>
      </w:r>
      <w:r>
        <w:t>50</w:t>
      </w:r>
      <w:r>
        <w:fldChar w:fldCharType="end"/>
      </w:r>
    </w:p>
    <w:p>
      <w:pPr>
        <w:pStyle w:val="TOC4"/>
        <w:tabs>
          <w:tab w:val="right" w:leader="dot" w:pos="7086"/>
        </w:tabs>
        <w:rPr>
          <w:rFonts w:asciiTheme="minorHAnsi" w:eastAsiaTheme="minorEastAsia" w:hAnsiTheme="minorHAnsi" w:cstheme="minorBidi"/>
          <w:b w:val="0"/>
          <w:szCs w:val="22"/>
        </w:rPr>
      </w:pPr>
      <w:r>
        <w:t>Division 2</w:t>
      </w:r>
      <w:r>
        <w:rPr>
          <w:snapToGrid w:val="0"/>
        </w:rPr>
        <w:t> — </w:t>
      </w:r>
      <w:r>
        <w:t>Use of mooring springs</w:t>
      </w:r>
    </w:p>
    <w:p>
      <w:pPr>
        <w:pStyle w:val="TOC8"/>
        <w:rPr>
          <w:rFonts w:asciiTheme="minorHAnsi" w:eastAsiaTheme="minorEastAsia" w:hAnsiTheme="minorHAnsi" w:cstheme="minorBidi"/>
          <w:szCs w:val="22"/>
        </w:rPr>
      </w:pPr>
      <w:r>
        <w:t>105F</w:t>
      </w:r>
      <w:r>
        <w:rPr>
          <w:snapToGrid w:val="0"/>
        </w:rPr>
        <w:t>.</w:t>
      </w:r>
      <w:r>
        <w:rPr>
          <w:snapToGrid w:val="0"/>
        </w:rPr>
        <w:tab/>
        <w:t>Approaching bollard or jetty to which mooring spring or rope fastened</w:t>
      </w:r>
      <w:r>
        <w:tab/>
      </w:r>
      <w:r>
        <w:fldChar w:fldCharType="begin"/>
      </w:r>
      <w:r>
        <w:instrText xml:space="preserve"> PAGEREF _Toc382380026 \h </w:instrText>
      </w:r>
      <w:r>
        <w:fldChar w:fldCharType="separate"/>
      </w:r>
      <w:r>
        <w:t>50</w:t>
      </w:r>
      <w:r>
        <w:fldChar w:fldCharType="end"/>
      </w:r>
    </w:p>
    <w:p>
      <w:pPr>
        <w:pStyle w:val="TOC4"/>
        <w:tabs>
          <w:tab w:val="right" w:leader="dot" w:pos="7086"/>
        </w:tabs>
        <w:rPr>
          <w:rFonts w:asciiTheme="minorHAnsi" w:eastAsiaTheme="minorEastAsia" w:hAnsiTheme="minorHAnsi" w:cstheme="minorBidi"/>
          <w:b w:val="0"/>
          <w:szCs w:val="22"/>
        </w:rPr>
      </w:pPr>
      <w:r>
        <w:t>Division 4</w:t>
      </w:r>
      <w:r>
        <w:rPr>
          <w:snapToGrid w:val="0"/>
        </w:rPr>
        <w:t> — </w:t>
      </w:r>
      <w:r>
        <w:t>Use of weighbridges at Wyndham</w:t>
      </w:r>
    </w:p>
    <w:p>
      <w:pPr>
        <w:pStyle w:val="TOC8"/>
        <w:rPr>
          <w:rFonts w:asciiTheme="minorHAnsi" w:eastAsiaTheme="minorEastAsia" w:hAnsiTheme="minorHAnsi" w:cstheme="minorBidi"/>
          <w:szCs w:val="22"/>
        </w:rPr>
      </w:pPr>
      <w:r>
        <w:t>105I</w:t>
      </w:r>
      <w:r>
        <w:rPr>
          <w:snapToGrid w:val="0"/>
        </w:rPr>
        <w:t>.</w:t>
      </w:r>
      <w:r>
        <w:rPr>
          <w:snapToGrid w:val="0"/>
        </w:rPr>
        <w:tab/>
        <w:t>Weighbridge fees</w:t>
      </w:r>
      <w:r>
        <w:tab/>
      </w:r>
      <w:r>
        <w:fldChar w:fldCharType="begin"/>
      </w:r>
      <w:r>
        <w:instrText xml:space="preserve"> PAGEREF _Toc382380028 \h </w:instrText>
      </w:r>
      <w:r>
        <w:fldChar w:fldCharType="separate"/>
      </w:r>
      <w:r>
        <w:t>51</w:t>
      </w:r>
      <w:r>
        <w:fldChar w:fldCharType="end"/>
      </w:r>
    </w:p>
    <w:p>
      <w:pPr>
        <w:pStyle w:val="TOC2"/>
        <w:tabs>
          <w:tab w:val="right" w:leader="dot" w:pos="7086"/>
        </w:tabs>
        <w:rPr>
          <w:rFonts w:asciiTheme="minorHAnsi" w:eastAsiaTheme="minorEastAsia" w:hAnsiTheme="minorHAnsi" w:cstheme="minorBidi"/>
          <w:b w:val="0"/>
          <w:sz w:val="22"/>
          <w:szCs w:val="22"/>
        </w:rPr>
      </w:pPr>
      <w:r>
        <w:t>Part 4 — Breach of regulations and penalties</w:t>
      </w:r>
    </w:p>
    <w:p>
      <w:pPr>
        <w:pStyle w:val="TOC8"/>
        <w:rPr>
          <w:rFonts w:asciiTheme="minorHAnsi" w:eastAsiaTheme="minorEastAsia" w:hAnsiTheme="minorHAnsi" w:cstheme="minorBidi"/>
          <w:szCs w:val="22"/>
        </w:rPr>
      </w:pPr>
      <w:r>
        <w:t>106</w:t>
      </w:r>
      <w:r>
        <w:rPr>
          <w:snapToGrid w:val="0"/>
        </w:rPr>
        <w:t>.</w:t>
      </w:r>
      <w:r>
        <w:rPr>
          <w:snapToGrid w:val="0"/>
        </w:rPr>
        <w:tab/>
        <w:t>Powers of officer of Department</w:t>
      </w:r>
      <w:r>
        <w:tab/>
      </w:r>
      <w:r>
        <w:fldChar w:fldCharType="begin"/>
      </w:r>
      <w:r>
        <w:instrText xml:space="preserve"> PAGEREF _Toc382380030 \h </w:instrText>
      </w:r>
      <w:r>
        <w:fldChar w:fldCharType="separate"/>
      </w:r>
      <w:r>
        <w:t>52</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Recovery of expenses incurred by breaches of regulations</w:t>
      </w:r>
      <w:r>
        <w:tab/>
      </w:r>
      <w:r>
        <w:fldChar w:fldCharType="begin"/>
      </w:r>
      <w:r>
        <w:instrText xml:space="preserve"> PAGEREF _Toc382380031 \h </w:instrText>
      </w:r>
      <w:r>
        <w:fldChar w:fldCharType="separate"/>
      </w:r>
      <w:r>
        <w:t>52</w:t>
      </w:r>
      <w:r>
        <w:fldChar w:fldCharType="end"/>
      </w:r>
    </w:p>
    <w:p>
      <w:pPr>
        <w:pStyle w:val="TOC8"/>
        <w:rPr>
          <w:rFonts w:asciiTheme="minorHAnsi" w:eastAsiaTheme="minorEastAsia" w:hAnsiTheme="minorHAnsi" w:cstheme="minorBidi"/>
          <w:szCs w:val="22"/>
        </w:rPr>
      </w:pPr>
      <w:r>
        <w:t>107A</w:t>
      </w:r>
      <w:r>
        <w:rPr>
          <w:snapToGrid w:val="0"/>
        </w:rPr>
        <w:t>.</w:t>
      </w:r>
      <w:r>
        <w:rPr>
          <w:snapToGrid w:val="0"/>
        </w:rPr>
        <w:tab/>
        <w:t>Police have authority to enforce regulations</w:t>
      </w:r>
      <w:r>
        <w:tab/>
      </w:r>
      <w:r>
        <w:fldChar w:fldCharType="begin"/>
      </w:r>
      <w:r>
        <w:instrText xml:space="preserve"> PAGEREF _Toc382380032 \h </w:instrText>
      </w:r>
      <w:r>
        <w:fldChar w:fldCharType="separate"/>
      </w:r>
      <w:r>
        <w:t>52</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Penalty for offences</w:t>
      </w:r>
      <w:r>
        <w:tab/>
      </w:r>
      <w:r>
        <w:fldChar w:fldCharType="begin"/>
      </w:r>
      <w:r>
        <w:instrText xml:space="preserve"> PAGEREF _Toc382380033 \h </w:instrText>
      </w:r>
      <w:r>
        <w:fldChar w:fldCharType="separate"/>
      </w:r>
      <w:r>
        <w:t>53</w:t>
      </w:r>
      <w:r>
        <w:fldChar w:fldCharType="end"/>
      </w:r>
    </w:p>
    <w:p>
      <w:pPr>
        <w:pStyle w:val="TOC2"/>
        <w:tabs>
          <w:tab w:val="right" w:leader="dot" w:pos="7086"/>
        </w:tabs>
        <w:rPr>
          <w:rFonts w:asciiTheme="minorHAnsi" w:eastAsiaTheme="minorEastAsia" w:hAnsiTheme="minorHAnsi" w:cstheme="minorBidi"/>
          <w:b w:val="0"/>
          <w:sz w:val="22"/>
          <w:szCs w:val="22"/>
        </w:rPr>
      </w:pPr>
      <w:r>
        <w:t>Schedule 1 — Charges, dues and fees at places outside the Port of Perth</w:t>
      </w:r>
    </w:p>
    <w:p>
      <w:pPr>
        <w:pStyle w:val="TOC4"/>
        <w:tabs>
          <w:tab w:val="right" w:leader="dot" w:pos="7086"/>
        </w:tabs>
        <w:rPr>
          <w:rFonts w:asciiTheme="minorHAnsi" w:eastAsiaTheme="minorEastAsia" w:hAnsiTheme="minorHAnsi" w:cstheme="minorBidi"/>
          <w:b w:val="0"/>
          <w:szCs w:val="22"/>
        </w:rPr>
      </w:pPr>
      <w:r>
        <w:t>Division 1</w:t>
      </w:r>
      <w:r>
        <w:rPr>
          <w:b w:val="0"/>
        </w:rPr>
        <w:t> — </w:t>
      </w:r>
      <w:r>
        <w:t>Specified places</w:t>
      </w:r>
    </w:p>
    <w:p>
      <w:pPr>
        <w:pStyle w:val="TOC8"/>
        <w:rPr>
          <w:rFonts w:asciiTheme="minorHAnsi" w:eastAsiaTheme="minorEastAsia" w:hAnsiTheme="minorHAnsi" w:cstheme="minorBidi"/>
          <w:szCs w:val="22"/>
        </w:rPr>
      </w:pPr>
      <w:r>
        <w:t>1.</w:t>
      </w:r>
      <w:r>
        <w:tab/>
        <w:t>Albany, Albany Waterfront Marina</w:t>
      </w:r>
      <w:r>
        <w:tab/>
      </w:r>
      <w:r>
        <w:fldChar w:fldCharType="begin"/>
      </w:r>
      <w:r>
        <w:instrText xml:space="preserve"> PAGEREF _Toc382380036 \h </w:instrText>
      </w:r>
      <w:r>
        <w:fldChar w:fldCharType="separate"/>
      </w:r>
      <w:r>
        <w:t>54</w:t>
      </w:r>
      <w:r>
        <w:fldChar w:fldCharType="end"/>
      </w:r>
    </w:p>
    <w:p>
      <w:pPr>
        <w:pStyle w:val="TOC8"/>
        <w:rPr>
          <w:rFonts w:asciiTheme="minorHAnsi" w:eastAsiaTheme="minorEastAsia" w:hAnsiTheme="minorHAnsi" w:cstheme="minorBidi"/>
          <w:szCs w:val="22"/>
        </w:rPr>
      </w:pPr>
      <w:r>
        <w:t>2.</w:t>
      </w:r>
      <w:r>
        <w:tab/>
        <w:t>Albany, Emu Point Boat Harbour</w:t>
      </w:r>
      <w:r>
        <w:tab/>
      </w:r>
      <w:r>
        <w:fldChar w:fldCharType="begin"/>
      </w:r>
      <w:r>
        <w:instrText xml:space="preserve"> PAGEREF _Toc382380037 \h </w:instrText>
      </w:r>
      <w:r>
        <w:fldChar w:fldCharType="separate"/>
      </w:r>
      <w:r>
        <w:t>55</w:t>
      </w:r>
      <w:r>
        <w:fldChar w:fldCharType="end"/>
      </w:r>
    </w:p>
    <w:p>
      <w:pPr>
        <w:pStyle w:val="TOC8"/>
        <w:rPr>
          <w:rFonts w:asciiTheme="minorHAnsi" w:eastAsiaTheme="minorEastAsia" w:hAnsiTheme="minorHAnsi" w:cstheme="minorBidi"/>
          <w:szCs w:val="22"/>
        </w:rPr>
      </w:pPr>
      <w:r>
        <w:t>3.</w:t>
      </w:r>
      <w:r>
        <w:tab/>
        <w:t>Augusta</w:t>
      </w:r>
      <w:r>
        <w:tab/>
      </w:r>
      <w:r>
        <w:fldChar w:fldCharType="begin"/>
      </w:r>
      <w:r>
        <w:instrText xml:space="preserve"> PAGEREF _Toc382380038 \h </w:instrText>
      </w:r>
      <w:r>
        <w:fldChar w:fldCharType="separate"/>
      </w:r>
      <w:r>
        <w:t>57</w:t>
      </w:r>
      <w:r>
        <w:fldChar w:fldCharType="end"/>
      </w:r>
    </w:p>
    <w:p>
      <w:pPr>
        <w:pStyle w:val="TOC8"/>
        <w:rPr>
          <w:rFonts w:asciiTheme="minorHAnsi" w:eastAsiaTheme="minorEastAsia" w:hAnsiTheme="minorHAnsi" w:cstheme="minorBidi"/>
          <w:szCs w:val="22"/>
        </w:rPr>
      </w:pPr>
      <w:r>
        <w:t>4.</w:t>
      </w:r>
      <w:r>
        <w:tab/>
        <w:t>Bremer Bay</w:t>
      </w:r>
      <w:r>
        <w:tab/>
      </w:r>
      <w:r>
        <w:fldChar w:fldCharType="begin"/>
      </w:r>
      <w:r>
        <w:instrText xml:space="preserve"> PAGEREF _Toc382380039 \h </w:instrText>
      </w:r>
      <w:r>
        <w:fldChar w:fldCharType="separate"/>
      </w:r>
      <w:r>
        <w:t>57</w:t>
      </w:r>
      <w:r>
        <w:fldChar w:fldCharType="end"/>
      </w:r>
    </w:p>
    <w:p>
      <w:pPr>
        <w:pStyle w:val="TOC8"/>
        <w:rPr>
          <w:rFonts w:asciiTheme="minorHAnsi" w:eastAsiaTheme="minorEastAsia" w:hAnsiTheme="minorHAnsi" w:cstheme="minorBidi"/>
          <w:szCs w:val="22"/>
        </w:rPr>
      </w:pPr>
      <w:r>
        <w:t>5.</w:t>
      </w:r>
      <w:r>
        <w:tab/>
        <w:t>Bunbury, Casuarina Boat Harbour</w:t>
      </w:r>
      <w:r>
        <w:tab/>
      </w:r>
      <w:r>
        <w:fldChar w:fldCharType="begin"/>
      </w:r>
      <w:r>
        <w:instrText xml:space="preserve"> PAGEREF _Toc382380040 \h </w:instrText>
      </w:r>
      <w:r>
        <w:fldChar w:fldCharType="separate"/>
      </w:r>
      <w:r>
        <w:t>58</w:t>
      </w:r>
      <w:r>
        <w:fldChar w:fldCharType="end"/>
      </w:r>
    </w:p>
    <w:p>
      <w:pPr>
        <w:pStyle w:val="TOC8"/>
        <w:rPr>
          <w:rFonts w:asciiTheme="minorHAnsi" w:eastAsiaTheme="minorEastAsia" w:hAnsiTheme="minorHAnsi" w:cstheme="minorBidi"/>
          <w:szCs w:val="22"/>
        </w:rPr>
      </w:pPr>
      <w:r>
        <w:t>6.</w:t>
      </w:r>
      <w:r>
        <w:tab/>
        <w:t>Carnarvon Boat Harbour</w:t>
      </w:r>
      <w:r>
        <w:tab/>
      </w:r>
      <w:r>
        <w:fldChar w:fldCharType="begin"/>
      </w:r>
      <w:r>
        <w:instrText xml:space="preserve"> PAGEREF _Toc382380041 \h </w:instrText>
      </w:r>
      <w:r>
        <w:fldChar w:fldCharType="separate"/>
      </w:r>
      <w:r>
        <w:t>60</w:t>
      </w:r>
      <w:r>
        <w:fldChar w:fldCharType="end"/>
      </w:r>
    </w:p>
    <w:p>
      <w:pPr>
        <w:pStyle w:val="TOC8"/>
        <w:rPr>
          <w:rFonts w:asciiTheme="minorHAnsi" w:eastAsiaTheme="minorEastAsia" w:hAnsiTheme="minorHAnsi" w:cstheme="minorBidi"/>
          <w:szCs w:val="22"/>
        </w:rPr>
      </w:pPr>
      <w:r>
        <w:t>7.</w:t>
      </w:r>
      <w:r>
        <w:tab/>
        <w:t>Cervantes</w:t>
      </w:r>
      <w:r>
        <w:tab/>
      </w:r>
      <w:r>
        <w:fldChar w:fldCharType="begin"/>
      </w:r>
      <w:r>
        <w:instrText xml:space="preserve"> PAGEREF _Toc382380042 \h </w:instrText>
      </w:r>
      <w:r>
        <w:fldChar w:fldCharType="separate"/>
      </w:r>
      <w:r>
        <w:t>63</w:t>
      </w:r>
      <w:r>
        <w:fldChar w:fldCharType="end"/>
      </w:r>
    </w:p>
    <w:p>
      <w:pPr>
        <w:pStyle w:val="TOC8"/>
        <w:rPr>
          <w:rFonts w:asciiTheme="minorHAnsi" w:eastAsiaTheme="minorEastAsia" w:hAnsiTheme="minorHAnsi" w:cstheme="minorBidi"/>
          <w:szCs w:val="22"/>
        </w:rPr>
      </w:pPr>
      <w:r>
        <w:t>8.</w:t>
      </w:r>
      <w:r>
        <w:tab/>
        <w:t>Coral Bay Maritime Facility</w:t>
      </w:r>
      <w:r>
        <w:tab/>
      </w:r>
      <w:r>
        <w:fldChar w:fldCharType="begin"/>
      </w:r>
      <w:r>
        <w:instrText xml:space="preserve"> PAGEREF _Toc382380043 \h </w:instrText>
      </w:r>
      <w:r>
        <w:fldChar w:fldCharType="separate"/>
      </w:r>
      <w:r>
        <w:t>64</w:t>
      </w:r>
      <w:r>
        <w:fldChar w:fldCharType="end"/>
      </w:r>
    </w:p>
    <w:p>
      <w:pPr>
        <w:pStyle w:val="TOC8"/>
        <w:rPr>
          <w:rFonts w:asciiTheme="minorHAnsi" w:eastAsiaTheme="minorEastAsia" w:hAnsiTheme="minorHAnsi" w:cstheme="minorBidi"/>
          <w:szCs w:val="22"/>
        </w:rPr>
      </w:pPr>
      <w:r>
        <w:t>9.</w:t>
      </w:r>
      <w:r>
        <w:tab/>
        <w:t>Esperance, Bandy Creek Boat Harbour</w:t>
      </w:r>
      <w:r>
        <w:tab/>
      </w:r>
      <w:r>
        <w:fldChar w:fldCharType="begin"/>
      </w:r>
      <w:r>
        <w:instrText xml:space="preserve"> PAGEREF _Toc382380044 \h </w:instrText>
      </w:r>
      <w:r>
        <w:fldChar w:fldCharType="separate"/>
      </w:r>
      <w:r>
        <w:t>65</w:t>
      </w:r>
      <w:r>
        <w:fldChar w:fldCharType="end"/>
      </w:r>
    </w:p>
    <w:p>
      <w:pPr>
        <w:pStyle w:val="TOC8"/>
        <w:rPr>
          <w:rFonts w:asciiTheme="minorHAnsi" w:eastAsiaTheme="minorEastAsia" w:hAnsiTheme="minorHAnsi" w:cstheme="minorBidi"/>
          <w:szCs w:val="22"/>
        </w:rPr>
      </w:pPr>
      <w:r>
        <w:t>10.</w:t>
      </w:r>
      <w:r>
        <w:tab/>
        <w:t>Exmouth</w:t>
      </w:r>
      <w:r>
        <w:tab/>
      </w:r>
      <w:r>
        <w:fldChar w:fldCharType="begin"/>
      </w:r>
      <w:r>
        <w:instrText xml:space="preserve"> PAGEREF _Toc382380045 \h </w:instrText>
      </w:r>
      <w:r>
        <w:fldChar w:fldCharType="separate"/>
      </w:r>
      <w:r>
        <w:t>67</w:t>
      </w:r>
      <w:r>
        <w:fldChar w:fldCharType="end"/>
      </w:r>
    </w:p>
    <w:p>
      <w:pPr>
        <w:pStyle w:val="TOC8"/>
        <w:rPr>
          <w:rFonts w:asciiTheme="minorHAnsi" w:eastAsiaTheme="minorEastAsia" w:hAnsiTheme="minorHAnsi" w:cstheme="minorBidi"/>
          <w:szCs w:val="22"/>
        </w:rPr>
      </w:pPr>
      <w:r>
        <w:t>11.</w:t>
      </w:r>
      <w:r>
        <w:tab/>
        <w:t>Fremantle Fishing Boat Harbour</w:t>
      </w:r>
      <w:r>
        <w:tab/>
      </w:r>
      <w:r>
        <w:fldChar w:fldCharType="begin"/>
      </w:r>
      <w:r>
        <w:instrText xml:space="preserve"> PAGEREF _Toc382380046 \h </w:instrText>
      </w:r>
      <w:r>
        <w:fldChar w:fldCharType="separate"/>
      </w:r>
      <w:r>
        <w:t>74</w:t>
      </w:r>
      <w:r>
        <w:fldChar w:fldCharType="end"/>
      </w:r>
    </w:p>
    <w:p>
      <w:pPr>
        <w:pStyle w:val="TOC8"/>
        <w:rPr>
          <w:rFonts w:asciiTheme="minorHAnsi" w:eastAsiaTheme="minorEastAsia" w:hAnsiTheme="minorHAnsi" w:cstheme="minorBidi"/>
          <w:szCs w:val="22"/>
        </w:rPr>
      </w:pPr>
      <w:r>
        <w:t>12.</w:t>
      </w:r>
      <w:r>
        <w:tab/>
        <w:t>Geraldton, Batavia Coast Boat Harbour</w:t>
      </w:r>
      <w:r>
        <w:tab/>
      </w:r>
      <w:r>
        <w:fldChar w:fldCharType="begin"/>
      </w:r>
      <w:r>
        <w:instrText xml:space="preserve"> PAGEREF _Toc382380047 \h </w:instrText>
      </w:r>
      <w:r>
        <w:fldChar w:fldCharType="separate"/>
      </w:r>
      <w:r>
        <w:t>76</w:t>
      </w:r>
      <w:r>
        <w:fldChar w:fldCharType="end"/>
      </w:r>
    </w:p>
    <w:p>
      <w:pPr>
        <w:pStyle w:val="TOC8"/>
        <w:rPr>
          <w:rFonts w:asciiTheme="minorHAnsi" w:eastAsiaTheme="minorEastAsia" w:hAnsiTheme="minorHAnsi" w:cstheme="minorBidi"/>
          <w:szCs w:val="22"/>
        </w:rPr>
      </w:pPr>
      <w:r>
        <w:t>13.</w:t>
      </w:r>
      <w:r>
        <w:tab/>
        <w:t>Green Head</w:t>
      </w:r>
      <w:r>
        <w:tab/>
      </w:r>
      <w:r>
        <w:fldChar w:fldCharType="begin"/>
      </w:r>
      <w:r>
        <w:instrText xml:space="preserve"> PAGEREF _Toc382380048 \h </w:instrText>
      </w:r>
      <w:r>
        <w:fldChar w:fldCharType="separate"/>
      </w:r>
      <w:r>
        <w:t>79</w:t>
      </w:r>
      <w:r>
        <w:fldChar w:fldCharType="end"/>
      </w:r>
    </w:p>
    <w:p>
      <w:pPr>
        <w:pStyle w:val="TOC8"/>
        <w:rPr>
          <w:rFonts w:asciiTheme="minorHAnsi" w:eastAsiaTheme="minorEastAsia" w:hAnsiTheme="minorHAnsi" w:cstheme="minorBidi"/>
          <w:szCs w:val="22"/>
        </w:rPr>
      </w:pPr>
      <w:r>
        <w:t>14.</w:t>
      </w:r>
      <w:r>
        <w:tab/>
        <w:t>Hopetoun</w:t>
      </w:r>
      <w:r>
        <w:tab/>
      </w:r>
      <w:r>
        <w:fldChar w:fldCharType="begin"/>
      </w:r>
      <w:r>
        <w:instrText xml:space="preserve"> PAGEREF _Toc382380049 \h </w:instrText>
      </w:r>
      <w:r>
        <w:fldChar w:fldCharType="separate"/>
      </w:r>
      <w:r>
        <w:t>79</w:t>
      </w:r>
      <w:r>
        <w:fldChar w:fldCharType="end"/>
      </w:r>
    </w:p>
    <w:p>
      <w:pPr>
        <w:pStyle w:val="TOC8"/>
        <w:rPr>
          <w:rFonts w:asciiTheme="minorHAnsi" w:eastAsiaTheme="minorEastAsia" w:hAnsiTheme="minorHAnsi" w:cstheme="minorBidi"/>
          <w:szCs w:val="22"/>
        </w:rPr>
      </w:pPr>
      <w:r>
        <w:t>15.</w:t>
      </w:r>
      <w:r>
        <w:tab/>
        <w:t>Jurien</w:t>
      </w:r>
      <w:r>
        <w:tab/>
      </w:r>
      <w:r>
        <w:fldChar w:fldCharType="begin"/>
      </w:r>
      <w:r>
        <w:instrText xml:space="preserve"> PAGEREF _Toc382380050 \h </w:instrText>
      </w:r>
      <w:r>
        <w:fldChar w:fldCharType="separate"/>
      </w:r>
      <w:r>
        <w:t>80</w:t>
      </w:r>
      <w:r>
        <w:fldChar w:fldCharType="end"/>
      </w:r>
    </w:p>
    <w:p>
      <w:pPr>
        <w:pStyle w:val="TOC8"/>
        <w:rPr>
          <w:rFonts w:asciiTheme="minorHAnsi" w:eastAsiaTheme="minorEastAsia" w:hAnsiTheme="minorHAnsi" w:cstheme="minorBidi"/>
          <w:szCs w:val="22"/>
        </w:rPr>
      </w:pPr>
      <w:r>
        <w:t>16.</w:t>
      </w:r>
      <w:r>
        <w:tab/>
        <w:t>Kalbarri</w:t>
      </w:r>
      <w:r>
        <w:tab/>
      </w:r>
      <w:r>
        <w:fldChar w:fldCharType="begin"/>
      </w:r>
      <w:r>
        <w:instrText xml:space="preserve"> PAGEREF _Toc382380051 \h </w:instrText>
      </w:r>
      <w:r>
        <w:fldChar w:fldCharType="separate"/>
      </w:r>
      <w:r>
        <w:t>81</w:t>
      </w:r>
      <w:r>
        <w:fldChar w:fldCharType="end"/>
      </w:r>
    </w:p>
    <w:p>
      <w:pPr>
        <w:pStyle w:val="TOC8"/>
        <w:rPr>
          <w:rFonts w:asciiTheme="minorHAnsi" w:eastAsiaTheme="minorEastAsia" w:hAnsiTheme="minorHAnsi" w:cstheme="minorBidi"/>
          <w:szCs w:val="22"/>
        </w:rPr>
      </w:pPr>
      <w:r>
        <w:t>17.</w:t>
      </w:r>
      <w:r>
        <w:tab/>
        <w:t>Lancelin</w:t>
      </w:r>
      <w:r>
        <w:tab/>
      </w:r>
      <w:r>
        <w:fldChar w:fldCharType="begin"/>
      </w:r>
      <w:r>
        <w:instrText xml:space="preserve"> PAGEREF _Toc382380052 \h </w:instrText>
      </w:r>
      <w:r>
        <w:fldChar w:fldCharType="separate"/>
      </w:r>
      <w:r>
        <w:t>83</w:t>
      </w:r>
      <w:r>
        <w:fldChar w:fldCharType="end"/>
      </w:r>
    </w:p>
    <w:p>
      <w:pPr>
        <w:pStyle w:val="TOC8"/>
        <w:rPr>
          <w:rFonts w:asciiTheme="minorHAnsi" w:eastAsiaTheme="minorEastAsia" w:hAnsiTheme="minorHAnsi" w:cstheme="minorBidi"/>
          <w:szCs w:val="22"/>
        </w:rPr>
      </w:pPr>
      <w:r>
        <w:t>18.</w:t>
      </w:r>
      <w:r>
        <w:tab/>
        <w:t>Leeman</w:t>
      </w:r>
      <w:r>
        <w:tab/>
      </w:r>
      <w:r>
        <w:fldChar w:fldCharType="begin"/>
      </w:r>
      <w:r>
        <w:instrText xml:space="preserve"> PAGEREF _Toc382380053 \h </w:instrText>
      </w:r>
      <w:r>
        <w:fldChar w:fldCharType="separate"/>
      </w:r>
      <w:r>
        <w:t>83</w:t>
      </w:r>
      <w:r>
        <w:fldChar w:fldCharType="end"/>
      </w:r>
    </w:p>
    <w:p>
      <w:pPr>
        <w:pStyle w:val="TOC8"/>
        <w:rPr>
          <w:rFonts w:asciiTheme="minorHAnsi" w:eastAsiaTheme="minorEastAsia" w:hAnsiTheme="minorHAnsi" w:cstheme="minorBidi"/>
          <w:szCs w:val="22"/>
        </w:rPr>
      </w:pPr>
      <w:r>
        <w:t>19.</w:t>
      </w:r>
      <w:r>
        <w:tab/>
        <w:t>Onslow, Beadon Creek Boat Harbour</w:t>
      </w:r>
      <w:r>
        <w:tab/>
      </w:r>
      <w:r>
        <w:fldChar w:fldCharType="begin"/>
      </w:r>
      <w:r>
        <w:instrText xml:space="preserve"> PAGEREF _Toc382380054 \h </w:instrText>
      </w:r>
      <w:r>
        <w:fldChar w:fldCharType="separate"/>
      </w:r>
      <w:r>
        <w:t>84</w:t>
      </w:r>
      <w:r>
        <w:fldChar w:fldCharType="end"/>
      </w:r>
    </w:p>
    <w:p>
      <w:pPr>
        <w:pStyle w:val="TOC8"/>
        <w:rPr>
          <w:rFonts w:asciiTheme="minorHAnsi" w:eastAsiaTheme="minorEastAsia" w:hAnsiTheme="minorHAnsi" w:cstheme="minorBidi"/>
          <w:szCs w:val="22"/>
        </w:rPr>
      </w:pPr>
      <w:r>
        <w:t>20.</w:t>
      </w:r>
      <w:r>
        <w:tab/>
        <w:t>Point Samson, Johns Creek Boat Harbour</w:t>
      </w:r>
      <w:r>
        <w:tab/>
      </w:r>
      <w:r>
        <w:fldChar w:fldCharType="begin"/>
      </w:r>
      <w:r>
        <w:instrText xml:space="preserve"> PAGEREF _Toc382380055 \h </w:instrText>
      </w:r>
      <w:r>
        <w:fldChar w:fldCharType="separate"/>
      </w:r>
      <w:r>
        <w:t>86</w:t>
      </w:r>
      <w:r>
        <w:fldChar w:fldCharType="end"/>
      </w:r>
    </w:p>
    <w:p>
      <w:pPr>
        <w:pStyle w:val="TOC8"/>
        <w:rPr>
          <w:rFonts w:asciiTheme="minorHAnsi" w:eastAsiaTheme="minorEastAsia" w:hAnsiTheme="minorHAnsi" w:cstheme="minorBidi"/>
          <w:szCs w:val="22"/>
        </w:rPr>
      </w:pPr>
      <w:r>
        <w:t>21.</w:t>
      </w:r>
      <w:r>
        <w:tab/>
        <w:t>Port Denison</w:t>
      </w:r>
      <w:r>
        <w:tab/>
      </w:r>
      <w:r>
        <w:fldChar w:fldCharType="begin"/>
      </w:r>
      <w:r>
        <w:instrText xml:space="preserve"> PAGEREF _Toc382380056 \h </w:instrText>
      </w:r>
      <w:r>
        <w:fldChar w:fldCharType="separate"/>
      </w:r>
      <w:r>
        <w:t>90</w:t>
      </w:r>
      <w:r>
        <w:fldChar w:fldCharType="end"/>
      </w:r>
    </w:p>
    <w:p>
      <w:pPr>
        <w:pStyle w:val="TOC8"/>
        <w:rPr>
          <w:rFonts w:asciiTheme="minorHAnsi" w:eastAsiaTheme="minorEastAsia" w:hAnsiTheme="minorHAnsi" w:cstheme="minorBidi"/>
          <w:szCs w:val="22"/>
        </w:rPr>
      </w:pPr>
      <w:r>
        <w:t>22.</w:t>
      </w:r>
      <w:r>
        <w:tab/>
        <w:t>Port Gregory</w:t>
      </w:r>
      <w:r>
        <w:tab/>
      </w:r>
      <w:r>
        <w:fldChar w:fldCharType="begin"/>
      </w:r>
      <w:r>
        <w:instrText xml:space="preserve"> PAGEREF _Toc382380057 \h </w:instrText>
      </w:r>
      <w:r>
        <w:fldChar w:fldCharType="separate"/>
      </w:r>
      <w:r>
        <w:t>91</w:t>
      </w:r>
      <w:r>
        <w:fldChar w:fldCharType="end"/>
      </w:r>
    </w:p>
    <w:p>
      <w:pPr>
        <w:pStyle w:val="TOC8"/>
        <w:rPr>
          <w:rFonts w:asciiTheme="minorHAnsi" w:eastAsiaTheme="minorEastAsia" w:hAnsiTheme="minorHAnsi" w:cstheme="minorBidi"/>
          <w:szCs w:val="22"/>
        </w:rPr>
      </w:pPr>
      <w:r>
        <w:t>23.</w:t>
      </w:r>
      <w:r>
        <w:tab/>
        <w:t>Wyndham</w:t>
      </w:r>
      <w:r>
        <w:tab/>
      </w:r>
      <w:r>
        <w:fldChar w:fldCharType="begin"/>
      </w:r>
      <w:r>
        <w:instrText xml:space="preserve"> PAGEREF _Toc382380058 \h </w:instrText>
      </w:r>
      <w:r>
        <w:fldChar w:fldCharType="separate"/>
      </w:r>
      <w:r>
        <w:t>92</w:t>
      </w:r>
      <w:r>
        <w:fldChar w:fldCharType="end"/>
      </w:r>
    </w:p>
    <w:p>
      <w:pPr>
        <w:pStyle w:val="TOC4"/>
        <w:tabs>
          <w:tab w:val="right" w:leader="dot" w:pos="7086"/>
        </w:tabs>
        <w:rPr>
          <w:rFonts w:asciiTheme="minorHAnsi" w:eastAsiaTheme="minorEastAsia" w:hAnsiTheme="minorHAnsi" w:cstheme="minorBidi"/>
          <w:b w:val="0"/>
          <w:szCs w:val="22"/>
        </w:rPr>
      </w:pPr>
      <w:r>
        <w:t>Division 2</w:t>
      </w:r>
      <w:r>
        <w:rPr>
          <w:b w:val="0"/>
        </w:rPr>
        <w:t> — </w:t>
      </w:r>
      <w:r>
        <w:t>Charges, dues and fees not specified in Division 1</w:t>
      </w:r>
    </w:p>
    <w:p>
      <w:pPr>
        <w:pStyle w:val="TOC8"/>
        <w:rPr>
          <w:rFonts w:asciiTheme="minorHAnsi" w:eastAsiaTheme="minorEastAsia" w:hAnsiTheme="minorHAnsi" w:cstheme="minorBidi"/>
          <w:szCs w:val="22"/>
        </w:rPr>
      </w:pPr>
      <w:r>
        <w:t>24.</w:t>
      </w:r>
      <w:r>
        <w:tab/>
        <w:t>Wharfage (r. 10A)</w:t>
      </w:r>
      <w:r>
        <w:tab/>
      </w:r>
      <w:r>
        <w:fldChar w:fldCharType="begin"/>
      </w:r>
      <w:r>
        <w:instrText xml:space="preserve"> PAGEREF _Toc382380060 \h </w:instrText>
      </w:r>
      <w:r>
        <w:fldChar w:fldCharType="separate"/>
      </w:r>
      <w:r>
        <w:t>96</w:t>
      </w:r>
      <w:r>
        <w:fldChar w:fldCharType="end"/>
      </w:r>
    </w:p>
    <w:p>
      <w:pPr>
        <w:pStyle w:val="TOC8"/>
        <w:rPr>
          <w:rFonts w:asciiTheme="minorHAnsi" w:eastAsiaTheme="minorEastAsia" w:hAnsiTheme="minorHAnsi" w:cstheme="minorBidi"/>
          <w:szCs w:val="22"/>
        </w:rPr>
      </w:pPr>
      <w:r>
        <w:t>25.</w:t>
      </w:r>
      <w:r>
        <w:tab/>
        <w:t>Rubbish removal (r. 53A)</w:t>
      </w:r>
      <w:r>
        <w:tab/>
      </w:r>
      <w:r>
        <w:fldChar w:fldCharType="begin"/>
      </w:r>
      <w:r>
        <w:instrText xml:space="preserve"> PAGEREF _Toc382380061 \h </w:instrText>
      </w:r>
      <w:r>
        <w:fldChar w:fldCharType="separate"/>
      </w:r>
      <w:r>
        <w:t>96</w:t>
      </w:r>
      <w:r>
        <w:fldChar w:fldCharType="end"/>
      </w:r>
    </w:p>
    <w:p>
      <w:pPr>
        <w:pStyle w:val="TOC8"/>
        <w:rPr>
          <w:rFonts w:asciiTheme="minorHAnsi" w:eastAsiaTheme="minorEastAsia" w:hAnsiTheme="minorHAnsi" w:cstheme="minorBidi"/>
          <w:szCs w:val="22"/>
        </w:rPr>
      </w:pPr>
      <w:r>
        <w:t>26.</w:t>
      </w:r>
      <w:r>
        <w:tab/>
        <w:t>Pile mooring (r. 94B)</w:t>
      </w:r>
      <w:r>
        <w:tab/>
      </w:r>
      <w:r>
        <w:fldChar w:fldCharType="begin"/>
      </w:r>
      <w:r>
        <w:instrText xml:space="preserve"> PAGEREF _Toc382380062 \h </w:instrText>
      </w:r>
      <w:r>
        <w:fldChar w:fldCharType="separate"/>
      </w:r>
      <w:r>
        <w:t>97</w:t>
      </w:r>
      <w:r>
        <w:fldChar w:fldCharType="end"/>
      </w:r>
    </w:p>
    <w:p>
      <w:pPr>
        <w:pStyle w:val="TOC8"/>
        <w:rPr>
          <w:rFonts w:asciiTheme="minorHAnsi" w:eastAsiaTheme="minorEastAsia" w:hAnsiTheme="minorHAnsi" w:cstheme="minorBidi"/>
          <w:szCs w:val="22"/>
        </w:rPr>
      </w:pPr>
      <w:r>
        <w:t>27.</w:t>
      </w:r>
      <w:r>
        <w:tab/>
        <w:t>Berthing and mooring (r. 94C)</w:t>
      </w:r>
      <w:r>
        <w:tab/>
      </w:r>
      <w:r>
        <w:fldChar w:fldCharType="begin"/>
      </w:r>
      <w:r>
        <w:instrText xml:space="preserve"> PAGEREF _Toc382380063 \h </w:instrText>
      </w:r>
      <w:r>
        <w:fldChar w:fldCharType="separate"/>
      </w:r>
      <w:r>
        <w:t>97</w:t>
      </w:r>
      <w:r>
        <w:fldChar w:fldCharType="end"/>
      </w:r>
    </w:p>
    <w:p>
      <w:pPr>
        <w:pStyle w:val="TOC8"/>
        <w:rPr>
          <w:rFonts w:asciiTheme="minorHAnsi" w:eastAsiaTheme="minorEastAsia" w:hAnsiTheme="minorHAnsi" w:cstheme="minorBidi"/>
          <w:szCs w:val="22"/>
        </w:rPr>
      </w:pPr>
      <w:r>
        <w:t>28.</w:t>
      </w:r>
      <w:r>
        <w:tab/>
        <w:t>Slip services (r. 96)</w:t>
      </w:r>
      <w:r>
        <w:tab/>
      </w:r>
      <w:r>
        <w:fldChar w:fldCharType="begin"/>
      </w:r>
      <w:r>
        <w:instrText xml:space="preserve"> PAGEREF _Toc382380064 \h </w:instrText>
      </w:r>
      <w:r>
        <w:fldChar w:fldCharType="separate"/>
      </w:r>
      <w:r>
        <w:t>98</w:t>
      </w:r>
      <w:r>
        <w:fldChar w:fldCharType="end"/>
      </w:r>
    </w:p>
    <w:p>
      <w:pPr>
        <w:pStyle w:val="TOC2"/>
        <w:tabs>
          <w:tab w:val="right" w:leader="dot" w:pos="7086"/>
        </w:tabs>
        <w:rPr>
          <w:rFonts w:asciiTheme="minorHAnsi" w:eastAsiaTheme="minorEastAsia" w:hAnsiTheme="minorHAnsi" w:cstheme="minorBidi"/>
          <w:b w:val="0"/>
          <w:sz w:val="22"/>
          <w:szCs w:val="22"/>
        </w:rPr>
      </w:pPr>
      <w:r>
        <w:t>Schedule 1A — Fuel oil wharfage</w:t>
      </w:r>
    </w:p>
    <w:p>
      <w:pPr>
        <w:pStyle w:val="TOC8"/>
        <w:rPr>
          <w:rFonts w:asciiTheme="minorHAnsi" w:eastAsiaTheme="minorEastAsia" w:hAnsiTheme="minorHAnsi" w:cstheme="minorBidi"/>
          <w:szCs w:val="22"/>
        </w:rPr>
      </w:pPr>
      <w:r>
        <w:t>1.</w:t>
      </w:r>
      <w:r>
        <w:tab/>
        <w:t>Wharfage for fuel (r. 11B(2))</w:t>
      </w:r>
      <w:r>
        <w:tab/>
      </w:r>
      <w:r>
        <w:fldChar w:fldCharType="begin"/>
      </w:r>
      <w:r>
        <w:instrText xml:space="preserve"> PAGEREF _Toc382380066 \h </w:instrText>
      </w:r>
      <w:r>
        <w:fldChar w:fldCharType="separate"/>
      </w:r>
      <w:r>
        <w:t>99</w:t>
      </w:r>
      <w:r>
        <w:fldChar w:fldCharType="end"/>
      </w:r>
    </w:p>
    <w:p>
      <w:pPr>
        <w:pStyle w:val="TOC2"/>
        <w:tabs>
          <w:tab w:val="right" w:leader="dot" w:pos="7086"/>
        </w:tabs>
        <w:rPr>
          <w:rFonts w:asciiTheme="minorHAnsi" w:eastAsiaTheme="minorEastAsia" w:hAnsiTheme="minorHAnsi" w:cstheme="minorBidi"/>
          <w:b w:val="0"/>
          <w:sz w:val="22"/>
          <w:szCs w:val="22"/>
        </w:rPr>
      </w:pPr>
      <w:r>
        <w:t>Schedule 2 — Port of Perth fees</w:t>
      </w:r>
    </w:p>
    <w:p>
      <w:pPr>
        <w:pStyle w:val="TOC4"/>
        <w:tabs>
          <w:tab w:val="right" w:leader="dot" w:pos="7086"/>
        </w:tabs>
        <w:rPr>
          <w:rFonts w:asciiTheme="minorHAnsi" w:eastAsiaTheme="minorEastAsia" w:hAnsiTheme="minorHAnsi" w:cstheme="minorBidi"/>
          <w:b w:val="0"/>
          <w:szCs w:val="22"/>
        </w:rPr>
      </w:pPr>
      <w:r>
        <w:t>Division 1</w:t>
      </w:r>
      <w:r>
        <w:rPr>
          <w:bCs/>
        </w:rPr>
        <w:t> — </w:t>
      </w:r>
      <w:r>
        <w:t>Fees for jetties</w:t>
      </w:r>
    </w:p>
    <w:p>
      <w:pPr>
        <w:pStyle w:val="TOC8"/>
        <w:rPr>
          <w:rFonts w:asciiTheme="minorHAnsi" w:eastAsiaTheme="minorEastAsia" w:hAnsiTheme="minorHAnsi" w:cstheme="minorBidi"/>
          <w:szCs w:val="22"/>
        </w:rPr>
      </w:pPr>
      <w:r>
        <w:t>1.</w:t>
      </w:r>
      <w:r>
        <w:tab/>
        <w:t>Barrack Street and Mends Street jetties</w:t>
      </w:r>
      <w:r>
        <w:tab/>
      </w:r>
      <w:r>
        <w:fldChar w:fldCharType="begin"/>
      </w:r>
      <w:r>
        <w:instrText xml:space="preserve"> PAGEREF _Toc382380069 \h </w:instrText>
      </w:r>
      <w:r>
        <w:fldChar w:fldCharType="separate"/>
      </w:r>
      <w:r>
        <w:t>100</w:t>
      </w:r>
      <w:r>
        <w:fldChar w:fldCharType="end"/>
      </w:r>
    </w:p>
    <w:p>
      <w:pPr>
        <w:pStyle w:val="TOC8"/>
        <w:rPr>
          <w:rFonts w:asciiTheme="minorHAnsi" w:eastAsiaTheme="minorEastAsia" w:hAnsiTheme="minorHAnsi" w:cstheme="minorBidi"/>
          <w:szCs w:val="22"/>
        </w:rPr>
      </w:pPr>
      <w:r>
        <w:t>2.</w:t>
      </w:r>
      <w:r>
        <w:tab/>
        <w:t>Other jetties in Swan and Canning Rivers</w:t>
      </w:r>
      <w:r>
        <w:tab/>
      </w:r>
      <w:r>
        <w:fldChar w:fldCharType="begin"/>
      </w:r>
      <w:r>
        <w:instrText xml:space="preserve"> PAGEREF _Toc382380070 \h </w:instrText>
      </w:r>
      <w:r>
        <w:fldChar w:fldCharType="separate"/>
      </w:r>
      <w:r>
        <w:t>101</w:t>
      </w:r>
      <w:r>
        <w:fldChar w:fldCharType="end"/>
      </w:r>
    </w:p>
    <w:p>
      <w:pPr>
        <w:pStyle w:val="TOC4"/>
        <w:tabs>
          <w:tab w:val="right" w:leader="dot" w:pos="7086"/>
        </w:tabs>
        <w:rPr>
          <w:rFonts w:asciiTheme="minorHAnsi" w:eastAsiaTheme="minorEastAsia" w:hAnsiTheme="minorHAnsi" w:cstheme="minorBidi"/>
          <w:b w:val="0"/>
          <w:szCs w:val="22"/>
        </w:rPr>
      </w:pPr>
      <w:r>
        <w:t>Division 2</w:t>
      </w:r>
      <w:r>
        <w:rPr>
          <w:bCs/>
        </w:rPr>
        <w:t> — </w:t>
      </w:r>
      <w:r>
        <w:t>Fees for boat pens</w:t>
      </w:r>
    </w:p>
    <w:p>
      <w:pPr>
        <w:pStyle w:val="TOC8"/>
        <w:rPr>
          <w:rFonts w:asciiTheme="minorHAnsi" w:eastAsiaTheme="minorEastAsia" w:hAnsiTheme="minorHAnsi" w:cstheme="minorBidi"/>
          <w:szCs w:val="22"/>
        </w:rPr>
      </w:pPr>
      <w:r>
        <w:t>3.</w:t>
      </w:r>
      <w:r>
        <w:tab/>
        <w:t>Fremantle, Challenger Boat Harbour</w:t>
      </w:r>
      <w:r>
        <w:tab/>
      </w:r>
      <w:r>
        <w:fldChar w:fldCharType="begin"/>
      </w:r>
      <w:r>
        <w:instrText xml:space="preserve"> PAGEREF _Toc382380072 \h </w:instrText>
      </w:r>
      <w:r>
        <w:fldChar w:fldCharType="separate"/>
      </w:r>
      <w:r>
        <w:t>101</w:t>
      </w:r>
      <w:r>
        <w:fldChar w:fldCharType="end"/>
      </w:r>
    </w:p>
    <w:p>
      <w:pPr>
        <w:pStyle w:val="TOC8"/>
        <w:rPr>
          <w:rFonts w:asciiTheme="minorHAnsi" w:eastAsiaTheme="minorEastAsia" w:hAnsiTheme="minorHAnsi" w:cstheme="minorBidi"/>
          <w:szCs w:val="22"/>
        </w:rPr>
      </w:pPr>
      <w:r>
        <w:t>4.</w:t>
      </w:r>
      <w:r>
        <w:tab/>
        <w:t>Hillarys Boat Harbour</w:t>
      </w:r>
      <w:r>
        <w:tab/>
      </w:r>
      <w:r>
        <w:fldChar w:fldCharType="begin"/>
      </w:r>
      <w:r>
        <w:instrText xml:space="preserve"> PAGEREF _Toc382380073 \h </w:instrText>
      </w:r>
      <w:r>
        <w:fldChar w:fldCharType="separate"/>
      </w:r>
      <w:r>
        <w:t>102</w:t>
      </w:r>
      <w:r>
        <w:fldChar w:fldCharType="end"/>
      </w:r>
    </w:p>
    <w:p>
      <w:pPr>
        <w:pStyle w:val="TOC2"/>
        <w:tabs>
          <w:tab w:val="right" w:leader="dot" w:pos="7086"/>
        </w:tabs>
        <w:rPr>
          <w:rFonts w:asciiTheme="minorHAnsi" w:eastAsiaTheme="minorEastAsia" w:hAnsiTheme="minorHAnsi" w:cstheme="minorBidi"/>
          <w:b w:val="0"/>
          <w:sz w:val="22"/>
          <w:szCs w:val="22"/>
        </w:rPr>
      </w:pPr>
      <w:r>
        <w:t>Schedule 3 — Forms</w:t>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_Toc382380076 \h </w:instrText>
      </w:r>
      <w:r>
        <w:fldChar w:fldCharType="separate"/>
      </w:r>
      <w:r>
        <w:t>108</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8"/>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8"/>
          <w:headerReference w:type="default" r:id="rId19"/>
          <w:footerReference w:type="even" r:id="rId20"/>
          <w:footerReference w:type="default" r:id="rId21"/>
          <w:footerReference w:type="first" r:id="rId22"/>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11</w:t>
            </w:r>
            <w:r>
              <w:rPr>
                <w:b/>
                <w:snapToGrid w:val="0"/>
                <w:sz w:val="22"/>
              </w:rPr>
              <w:t xml:space="preserve"> October 2013</w:t>
            </w:r>
          </w:p>
        </w:tc>
      </w:tr>
    </w:tbl>
    <w:p>
      <w:pPr>
        <w:pStyle w:val="WA"/>
        <w:spacing w:before="120"/>
      </w:pPr>
      <w:r>
        <w:t>Western Australia</w:t>
      </w:r>
    </w:p>
    <w:p>
      <w:pPr>
        <w:pStyle w:val="PrincipalActReg"/>
        <w:spacing w:before="120" w:after="600"/>
        <w:rPr>
          <w:snapToGrid w:val="0"/>
        </w:rPr>
      </w:pPr>
      <w:r>
        <w:rPr>
          <w:snapToGrid w:val="0"/>
        </w:rPr>
        <w:t>Jetties Act 1926</w:t>
      </w:r>
    </w:p>
    <w:p>
      <w:pPr>
        <w:pStyle w:val="NameofActReg"/>
        <w:spacing w:before="600" w:after="720"/>
      </w:pPr>
      <w:r>
        <w:t>Jetties Regulations 1940</w:t>
      </w:r>
    </w:p>
    <w:p>
      <w:pPr>
        <w:pStyle w:val="Heading5"/>
        <w:rPr>
          <w:snapToGrid w:val="0"/>
        </w:rPr>
      </w:pPr>
      <w:bookmarkStart w:id="1" w:name="_Toc382379895"/>
      <w:r>
        <w:rPr>
          <w:rStyle w:val="CharSectno"/>
        </w:rPr>
        <w:t>1</w:t>
      </w:r>
      <w:r>
        <w:rPr>
          <w:snapToGrid w:val="0"/>
        </w:rPr>
        <w:t>.</w:t>
      </w:r>
      <w:r>
        <w:rPr>
          <w:snapToGrid w:val="0"/>
        </w:rPr>
        <w:tab/>
        <w:t>Citation</w:t>
      </w:r>
      <w:bookmarkEnd w:id="1"/>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Jetties Regulations 1940</w:t>
      </w:r>
      <w:r>
        <w:rPr>
          <w:snapToGrid w:val="0"/>
        </w:rPr>
        <w:t> </w:t>
      </w:r>
      <w:r>
        <w:rPr>
          <w:snapToGrid w:val="0"/>
          <w:vertAlign w:val="superscript"/>
        </w:rPr>
        <w:t>1</w:t>
      </w:r>
      <w:r>
        <w:rPr>
          <w:snapToGrid w:val="0"/>
        </w:rPr>
        <w:t>.</w:t>
      </w:r>
    </w:p>
    <w:p>
      <w:pPr>
        <w:pStyle w:val="Footnotesection"/>
      </w:pPr>
      <w:r>
        <w:tab/>
        <w:t>[Regulation 1 amended in Gazette 24 Aug 2004 p. 3659.]</w:t>
      </w:r>
    </w:p>
    <w:p>
      <w:pPr>
        <w:pStyle w:val="Heading5"/>
      </w:pPr>
      <w:bookmarkStart w:id="2" w:name="_Toc382379896"/>
      <w:r>
        <w:rPr>
          <w:rStyle w:val="CharSectno"/>
        </w:rPr>
        <w:t>2</w:t>
      </w:r>
      <w:r>
        <w:t>.</w:t>
      </w:r>
      <w:r>
        <w:tab/>
        <w:t>Liability for dues, charges and fees</w:t>
      </w:r>
      <w:bookmarkEnd w:id="2"/>
    </w:p>
    <w:p>
      <w:pPr>
        <w:pStyle w:val="Subsection"/>
      </w:pPr>
      <w:r>
        <w:tab/>
      </w:r>
      <w:r>
        <w:tab/>
        <w:t>Unless otherwise stated in a specific regulation, the owner and the master of a vessel are jointly and severally liable for the dues, charges and fees incurred by, or in relation to, the vessel or its cargo under these regulations.</w:t>
      </w:r>
    </w:p>
    <w:p>
      <w:pPr>
        <w:pStyle w:val="Footnotesection"/>
      </w:pPr>
      <w:r>
        <w:tab/>
        <w:t>[Regulation 2 inserted in Gazette 14 Jun 2002 p. 2799.]</w:t>
      </w:r>
    </w:p>
    <w:p>
      <w:pPr>
        <w:pStyle w:val="Heading5"/>
        <w:rPr>
          <w:snapToGrid w:val="0"/>
        </w:rPr>
      </w:pPr>
      <w:bookmarkStart w:id="3" w:name="_Toc382379897"/>
      <w:r>
        <w:rPr>
          <w:rStyle w:val="CharSectno"/>
        </w:rPr>
        <w:t>3</w:t>
      </w:r>
      <w:r>
        <w:rPr>
          <w:snapToGrid w:val="0"/>
        </w:rPr>
        <w:t>.</w:t>
      </w:r>
      <w:r>
        <w:rPr>
          <w:snapToGrid w:val="0"/>
        </w:rPr>
        <w:tab/>
        <w:t>Terms used</w:t>
      </w:r>
      <w:bookmarkEnd w:id="3"/>
      <w:r>
        <w:rPr>
          <w:snapToGrid w:val="0"/>
        </w:rPr>
        <w:t xml:space="preserve"> </w:t>
      </w:r>
    </w:p>
    <w:p>
      <w:pPr>
        <w:pStyle w:val="Subsection"/>
        <w:rPr>
          <w:snapToGrid w:val="0"/>
        </w:rPr>
      </w:pPr>
      <w:r>
        <w:rPr>
          <w:snapToGrid w:val="0"/>
        </w:rPr>
        <w:tab/>
        <w:t>(1)</w:t>
      </w:r>
      <w:r>
        <w:rPr>
          <w:snapToGrid w:val="0"/>
        </w:rPr>
        <w:tab/>
        <w:t>In the construction and for the purposes of these regulations, the following terms shall, if not inconsistent with the context or subject</w:t>
      </w:r>
      <w:r>
        <w:rPr>
          <w:snapToGrid w:val="0"/>
        </w:rPr>
        <w:noBreakHyphen/>
        <w:t>matter, have the respective meanings hereby assigned to them:</w:t>
      </w:r>
    </w:p>
    <w:p>
      <w:pPr>
        <w:pStyle w:val="Defstart"/>
      </w:pPr>
      <w:r>
        <w:rPr>
          <w:b/>
        </w:rPr>
        <w:tab/>
      </w:r>
      <w:r>
        <w:rPr>
          <w:rStyle w:val="CharDefText"/>
        </w:rPr>
        <w:t>commercial vessel</w:t>
      </w:r>
      <w:r>
        <w:t xml:space="preserve"> has the meaning assigned to it in the </w:t>
      </w:r>
      <w:r>
        <w:rPr>
          <w:i/>
          <w:iCs/>
        </w:rPr>
        <w:t>Western Australian Marine Act 1982</w:t>
      </w:r>
      <w:r>
        <w:t>;</w:t>
      </w:r>
    </w:p>
    <w:p>
      <w:pPr>
        <w:pStyle w:val="Defstart"/>
      </w:pPr>
      <w:r>
        <w:rPr>
          <w:b/>
        </w:rPr>
        <w:tab/>
      </w:r>
      <w:r>
        <w:rPr>
          <w:rStyle w:val="CharDefText"/>
        </w:rPr>
        <w:t>Department</w:t>
      </w:r>
      <w:r>
        <w:t xml:space="preserve"> means the Department concerned, subject to the control of the Minister, with the administration of the Act;</w:t>
      </w:r>
    </w:p>
    <w:p>
      <w:pPr>
        <w:pStyle w:val="Defstart"/>
      </w:pPr>
      <w:r>
        <w:tab/>
      </w:r>
      <w:r>
        <w:rPr>
          <w:rStyle w:val="CharDefText"/>
        </w:rPr>
        <w:t>fishing vessel</w:t>
      </w:r>
      <w:r>
        <w:t xml:space="preserve"> has the meaning given to that term in the </w:t>
      </w:r>
      <w:r>
        <w:rPr>
          <w:i/>
        </w:rPr>
        <w:t>Western Australian Marine Act 1982</w:t>
      </w:r>
      <w:r>
        <w:t xml:space="preserve"> section 3(1);</w:t>
      </w:r>
    </w:p>
    <w:p>
      <w:pPr>
        <w:pStyle w:val="Defstart"/>
      </w:pPr>
      <w:r>
        <w:rPr>
          <w:b/>
        </w:rPr>
        <w:tab/>
      </w:r>
      <w:r>
        <w:rPr>
          <w:rStyle w:val="CharDefText"/>
        </w:rPr>
        <w:t>jetty</w:t>
      </w:r>
      <w:r>
        <w:t xml:space="preserve"> means any jetty, pier, wharf, grid, slip or landing place;</w:t>
      </w:r>
    </w:p>
    <w:p>
      <w:pPr>
        <w:pStyle w:val="Defstart"/>
      </w:pPr>
      <w:r>
        <w:tab/>
      </w:r>
      <w:r>
        <w:rPr>
          <w:rStyle w:val="CharDefText"/>
        </w:rPr>
        <w:t>master</w:t>
      </w:r>
      <w:r>
        <w:t xml:space="preserve"> means a person, other than a pilot, having command or charge of a vessel;</w:t>
      </w:r>
    </w:p>
    <w:p>
      <w:pPr>
        <w:pStyle w:val="Defstart"/>
      </w:pPr>
      <w:r>
        <w:rPr>
          <w:b/>
        </w:rPr>
        <w:tab/>
      </w:r>
      <w:r>
        <w:rPr>
          <w:rStyle w:val="CharDefText"/>
        </w:rPr>
        <w:t>officer</w:t>
      </w:r>
      <w:r>
        <w:t xml:space="preserve"> means any wharfinger or servant of the Department;</w:t>
      </w:r>
    </w:p>
    <w:p>
      <w:pPr>
        <w:pStyle w:val="Defstart"/>
      </w:pPr>
      <w:r>
        <w:tab/>
      </w:r>
      <w:r>
        <w:rPr>
          <w:rStyle w:val="CharDefText"/>
        </w:rPr>
        <w:t>owner</w:t>
      </w:r>
      <w:r>
        <w:t xml:space="preserve">, in relation to a vessel, means — </w:t>
      </w:r>
    </w:p>
    <w:p>
      <w:pPr>
        <w:pStyle w:val="Defpara"/>
      </w:pPr>
      <w:r>
        <w:tab/>
        <w:t>(a)</w:t>
      </w:r>
      <w:r>
        <w:tab/>
        <w:t>if the vessel is owned by an individual, that individual;</w:t>
      </w:r>
    </w:p>
    <w:p>
      <w:pPr>
        <w:pStyle w:val="Defpara"/>
      </w:pPr>
      <w:r>
        <w:tab/>
        <w:t>(b)</w:t>
      </w:r>
      <w:r>
        <w:tab/>
        <w:t>if the vessel is owned by a body corporate or unincorporate, that body;</w:t>
      </w:r>
    </w:p>
    <w:p>
      <w:pPr>
        <w:pStyle w:val="Defpara"/>
      </w:pPr>
      <w:r>
        <w:tab/>
        <w:t>(c)</w:t>
      </w:r>
      <w:r>
        <w:tab/>
        <w:t xml:space="preserve">a person who is purchasing the vessel under a contract that is a credit sale contract for the purposes of the </w:t>
      </w:r>
      <w:r>
        <w:rPr>
          <w:i/>
        </w:rPr>
        <w:t>Credit Act 1984</w:t>
      </w:r>
      <w:r>
        <w:t>;</w:t>
      </w:r>
    </w:p>
    <w:p>
      <w:pPr>
        <w:pStyle w:val="Defpara"/>
      </w:pPr>
      <w:r>
        <w:tab/>
        <w:t>(d)</w:t>
      </w:r>
      <w:r>
        <w:tab/>
        <w:t xml:space="preserve">a person who is the purchaser or hirer of the vessel under a contract that for the purposes of the </w:t>
      </w:r>
      <w:r>
        <w:rPr>
          <w:i/>
        </w:rPr>
        <w:t>Consumer Credit (</w:t>
      </w:r>
      <w:smartTag w:uri="urn:schemas-microsoft-com:office:smarttags" w:element="place">
        <w:smartTag w:uri="urn:schemas-microsoft-com:office:smarttags" w:element="State">
          <w:r>
            <w:rPr>
              <w:i/>
            </w:rPr>
            <w:t>Western Australia</w:t>
          </w:r>
        </w:smartTag>
      </w:smartTag>
      <w:r>
        <w:rPr>
          <w:i/>
        </w:rPr>
        <w:t>) Code</w:t>
      </w:r>
      <w:r>
        <w:rPr>
          <w:vertAlign w:val="superscript"/>
        </w:rPr>
        <w:t> 2</w:t>
      </w:r>
      <w:r>
        <w:t xml:space="preserve"> is a credit contract, or is to be regarded as a credit contract, to which that Code applies;</w:t>
      </w:r>
    </w:p>
    <w:p>
      <w:pPr>
        <w:pStyle w:val="Defpara"/>
      </w:pPr>
      <w:r>
        <w:tab/>
        <w:t>(e)</w:t>
      </w:r>
      <w:r>
        <w:tab/>
        <w:t xml:space="preserve">a person who has the use of the vessel under a hiring, hire purchase, lease, loan, charter or other agreement; </w:t>
      </w:r>
    </w:p>
    <w:p>
      <w:pPr>
        <w:pStyle w:val="Defpara"/>
      </w:pPr>
      <w:r>
        <w:tab/>
        <w:t>(f)</w:t>
      </w:r>
      <w:r>
        <w:tab/>
        <w:t>a person who holds a current Certificate of Survey of the vessel, or in whose name the vessel is registered, but does not include an unpaid vendor under a hire purchase agreement or the lessor under a lease;</w:t>
      </w:r>
    </w:p>
    <w:p>
      <w:pPr>
        <w:pStyle w:val="Defstart"/>
      </w:pPr>
      <w:r>
        <w:rPr>
          <w:b/>
        </w:rPr>
        <w:tab/>
      </w:r>
      <w:r>
        <w:rPr>
          <w:rStyle w:val="CharDefText"/>
        </w:rPr>
        <w:t>premises</w:t>
      </w:r>
      <w:r>
        <w:t xml:space="preserve"> means any premises appurtenant to jetties controlled by the Department;</w:t>
      </w:r>
    </w:p>
    <w:p>
      <w:pPr>
        <w:pStyle w:val="Defstart"/>
      </w:pPr>
      <w:r>
        <w:rPr>
          <w:b/>
        </w:rPr>
        <w:tab/>
      </w:r>
      <w:r>
        <w:rPr>
          <w:rStyle w:val="CharDefText"/>
        </w:rPr>
        <w:t>public jetty</w:t>
      </w:r>
      <w:r>
        <w:t xml:space="preserve"> means a jetty the property of Her Majesty and includes a jetty the property of Her Majesty vested in any person on behalf of Her Majesty;</w:t>
      </w:r>
    </w:p>
    <w:p>
      <w:pPr>
        <w:pStyle w:val="Defstart"/>
      </w:pPr>
      <w:r>
        <w:tab/>
      </w:r>
      <w:r>
        <w:rPr>
          <w:rStyle w:val="CharDefText"/>
        </w:rPr>
        <w:t>recreational vessel</w:t>
      </w:r>
      <w:r>
        <w:t xml:space="preserve"> has the meaning given to the term </w:t>
      </w:r>
      <w:r>
        <w:rPr>
          <w:b/>
          <w:i/>
        </w:rPr>
        <w:t>pleasure vessel</w:t>
      </w:r>
      <w:r>
        <w:t xml:space="preserve"> in the </w:t>
      </w:r>
      <w:r>
        <w:rPr>
          <w:i/>
        </w:rPr>
        <w:t>Western Australian Marine Act 1982</w:t>
      </w:r>
      <w:r>
        <w:t xml:space="preserve"> section 98(1);</w:t>
      </w:r>
    </w:p>
    <w:p>
      <w:pPr>
        <w:pStyle w:val="Defstart"/>
      </w:pPr>
      <w:r>
        <w:tab/>
      </w:r>
      <w:r>
        <w:rPr>
          <w:rStyle w:val="CharDefText"/>
        </w:rPr>
        <w:t>tourism vessel</w:t>
      </w:r>
      <w:r>
        <w:t xml:space="preserve"> means a vessel used for commercial tourism purposes;</w:t>
      </w:r>
    </w:p>
    <w:p>
      <w:pPr>
        <w:pStyle w:val="Defstart"/>
      </w:pPr>
      <w:r>
        <w:rPr>
          <w:b/>
        </w:rPr>
        <w:tab/>
      </w:r>
      <w:r>
        <w:rPr>
          <w:rStyle w:val="CharDefText"/>
        </w:rPr>
        <w:t>vessel</w:t>
      </w:r>
      <w:r>
        <w:t xml:space="preserve"> means any ship, lighter, barge, boat, raft or craft of whatsoever description and howsoever navigated.</w:t>
      </w:r>
    </w:p>
    <w:p>
      <w:pPr>
        <w:pStyle w:val="Subsection"/>
      </w:pPr>
      <w:r>
        <w:tab/>
        <w:t>(2)</w:t>
      </w:r>
      <w:r>
        <w:tab/>
        <w:t>For the purposes of calculation of fees, charges or dues under these regulations —</w:t>
      </w:r>
    </w:p>
    <w:p>
      <w:pPr>
        <w:pStyle w:val="Defstart"/>
      </w:pPr>
      <w:r>
        <w:tab/>
      </w:r>
      <w:r>
        <w:rPr>
          <w:rStyle w:val="CharDefText"/>
        </w:rPr>
        <w:t>day</w:t>
      </w:r>
      <w:r>
        <w:t xml:space="preserve"> means a period of 24 hours;</w:t>
      </w:r>
    </w:p>
    <w:p>
      <w:pPr>
        <w:pStyle w:val="Defstart"/>
      </w:pPr>
      <w:r>
        <w:tab/>
      </w:r>
      <w:r>
        <w:rPr>
          <w:rStyle w:val="CharDefText"/>
        </w:rPr>
        <w:t>week</w:t>
      </w:r>
      <w:r>
        <w:t xml:space="preserve"> means 7 consecutive days.</w:t>
      </w:r>
    </w:p>
    <w:p>
      <w:pPr>
        <w:pStyle w:val="Subsection"/>
      </w:pPr>
      <w:r>
        <w:tab/>
        <w:t>(3)</w:t>
      </w:r>
      <w:r>
        <w:tab/>
        <w:t>For the purposes of calculating fees, charges or dues prescribed in a schedule —</w:t>
      </w:r>
    </w:p>
    <w:p>
      <w:pPr>
        <w:pStyle w:val="Indenta"/>
      </w:pPr>
      <w:r>
        <w:tab/>
        <w:t>(a)</w:t>
      </w:r>
      <w:r>
        <w:tab/>
        <w:t>an amount payable per day is payable for any part of a day;</w:t>
      </w:r>
    </w:p>
    <w:p>
      <w:pPr>
        <w:pStyle w:val="Indenta"/>
      </w:pPr>
      <w:r>
        <w:tab/>
        <w:t>(b)</w:t>
      </w:r>
      <w:r>
        <w:tab/>
        <w:t xml:space="preserve">the length of a vessel is its overall length or, if it has a valid certificate of survey under the </w:t>
      </w:r>
      <w:r>
        <w:rPr>
          <w:i/>
        </w:rPr>
        <w:t>Western Australian Marine Act 1982</w:t>
      </w:r>
      <w:r>
        <w:t>, its measured length, measured to 2 decimal places.</w:t>
      </w:r>
    </w:p>
    <w:p>
      <w:pPr>
        <w:pStyle w:val="Footnotesection"/>
        <w:ind w:left="890" w:hanging="890"/>
      </w:pPr>
      <w:r>
        <w:tab/>
        <w:t>[Regulation 3 amended in Gazette 17 Mar 1960 p. 777; 7 May 1993 p. 2361; 27 Jul 2001 p. 3814; 14 Jun 2002 p. 2799</w:t>
      </w:r>
      <w:r>
        <w:noBreakHyphen/>
        <w:t>800; 24 Jun 2005 p. 2815-16; 22 Jun 2007 p. 2908; 8 Feb 2008 p. 315; 13 Jul 2012 p. 3173</w:t>
      </w:r>
      <w:r>
        <w:noBreakHyphen/>
        <w:t xml:space="preserve">4.] </w:t>
      </w:r>
    </w:p>
    <w:p>
      <w:pPr>
        <w:pStyle w:val="Heading2"/>
      </w:pPr>
      <w:bookmarkStart w:id="4" w:name="_Toc382379898"/>
      <w:r>
        <w:rPr>
          <w:rStyle w:val="CharPartNo"/>
        </w:rPr>
        <w:t>Part 1</w:t>
      </w:r>
      <w:r>
        <w:t> — </w:t>
      </w:r>
      <w:r>
        <w:rPr>
          <w:rStyle w:val="CharPartText"/>
        </w:rPr>
        <w:t>Regulations applying to jetties controlled by the Department</w:t>
      </w:r>
      <w:bookmarkEnd w:id="4"/>
      <w:r>
        <w:rPr>
          <w:rStyle w:val="CharPartText"/>
        </w:rPr>
        <w:t xml:space="preserve"> </w:t>
      </w:r>
    </w:p>
    <w:p>
      <w:pPr>
        <w:pStyle w:val="Footnoteheading"/>
      </w:pPr>
      <w:r>
        <w:tab/>
        <w:t xml:space="preserve">[Heading inserted in Gazette 19 May 1989 p. 1494.] </w:t>
      </w:r>
    </w:p>
    <w:p>
      <w:pPr>
        <w:pStyle w:val="Heading3"/>
        <w:rPr>
          <w:snapToGrid w:val="0"/>
        </w:rPr>
      </w:pPr>
      <w:bookmarkStart w:id="5" w:name="_Toc382379899"/>
      <w:r>
        <w:rPr>
          <w:rStyle w:val="CharDivNo"/>
        </w:rPr>
        <w:t>Division 1</w:t>
      </w:r>
      <w:r>
        <w:rPr>
          <w:snapToGrid w:val="0"/>
        </w:rPr>
        <w:t> — </w:t>
      </w:r>
      <w:r>
        <w:rPr>
          <w:rStyle w:val="CharDivText"/>
        </w:rPr>
        <w:t>Application of this Part</w:t>
      </w:r>
      <w:bookmarkEnd w:id="5"/>
      <w:r>
        <w:rPr>
          <w:rStyle w:val="CharDivText"/>
        </w:rPr>
        <w:t xml:space="preserve"> </w:t>
      </w:r>
    </w:p>
    <w:p>
      <w:pPr>
        <w:pStyle w:val="Footnoteheading"/>
      </w:pPr>
      <w:r>
        <w:tab/>
        <w:t xml:space="preserve">[Heading inserted in Gazette 19 May 1989 p. 1494.] </w:t>
      </w:r>
    </w:p>
    <w:p>
      <w:pPr>
        <w:pStyle w:val="Heading5"/>
        <w:rPr>
          <w:snapToGrid w:val="0"/>
        </w:rPr>
      </w:pPr>
      <w:bookmarkStart w:id="6" w:name="_Toc382379900"/>
      <w:r>
        <w:rPr>
          <w:rStyle w:val="CharSectno"/>
        </w:rPr>
        <w:t>3A</w:t>
      </w:r>
      <w:r>
        <w:rPr>
          <w:snapToGrid w:val="0"/>
        </w:rPr>
        <w:t>.</w:t>
      </w:r>
      <w:r>
        <w:rPr>
          <w:snapToGrid w:val="0"/>
        </w:rPr>
        <w:tab/>
        <w:t>Application</w:t>
      </w:r>
      <w:bookmarkEnd w:id="6"/>
      <w:r>
        <w:rPr>
          <w:snapToGrid w:val="0"/>
        </w:rPr>
        <w:t xml:space="preserve"> </w:t>
      </w:r>
    </w:p>
    <w:p>
      <w:pPr>
        <w:pStyle w:val="Subsection"/>
        <w:rPr>
          <w:snapToGrid w:val="0"/>
        </w:rPr>
      </w:pPr>
      <w:r>
        <w:rPr>
          <w:snapToGrid w:val="0"/>
        </w:rPr>
        <w:tab/>
      </w:r>
      <w:r>
        <w:rPr>
          <w:snapToGrid w:val="0"/>
        </w:rPr>
        <w:tab/>
        <w:t>This Part applies to all jetties controlled by the Department.</w:t>
      </w:r>
    </w:p>
    <w:p>
      <w:pPr>
        <w:pStyle w:val="Footnotesection"/>
        <w:ind w:left="890" w:hanging="890"/>
      </w:pPr>
      <w:r>
        <w:tab/>
        <w:t xml:space="preserve">[Regulation 3A inserted in Gazette 19 May 1989 p. 1494.] </w:t>
      </w:r>
    </w:p>
    <w:p>
      <w:pPr>
        <w:pStyle w:val="Heading3"/>
        <w:rPr>
          <w:snapToGrid w:val="0"/>
        </w:rPr>
      </w:pPr>
      <w:bookmarkStart w:id="7" w:name="_Toc382379901"/>
      <w:r>
        <w:rPr>
          <w:rStyle w:val="CharDivNo"/>
        </w:rPr>
        <w:t>Division 2</w:t>
      </w:r>
      <w:r>
        <w:rPr>
          <w:snapToGrid w:val="0"/>
        </w:rPr>
        <w:t> — </w:t>
      </w:r>
      <w:r>
        <w:rPr>
          <w:rStyle w:val="CharDivText"/>
        </w:rPr>
        <w:t>Arrival and movement of vessels</w:t>
      </w:r>
      <w:bookmarkEnd w:id="7"/>
      <w:r>
        <w:rPr>
          <w:rStyle w:val="CharDivText"/>
        </w:rPr>
        <w:t xml:space="preserve"> </w:t>
      </w:r>
    </w:p>
    <w:p>
      <w:pPr>
        <w:pStyle w:val="Footnoteheading"/>
      </w:pPr>
      <w:r>
        <w:tab/>
        <w:t xml:space="preserve">[Heading inserted in Gazette 19 May 1989 p. 1494.] </w:t>
      </w:r>
    </w:p>
    <w:p>
      <w:pPr>
        <w:pStyle w:val="Heading5"/>
        <w:rPr>
          <w:snapToGrid w:val="0"/>
        </w:rPr>
      </w:pPr>
      <w:bookmarkStart w:id="8" w:name="_Toc382379902"/>
      <w:r>
        <w:rPr>
          <w:rStyle w:val="CharSectno"/>
        </w:rPr>
        <w:t>4</w:t>
      </w:r>
      <w:r>
        <w:rPr>
          <w:snapToGrid w:val="0"/>
        </w:rPr>
        <w:t>.</w:t>
      </w:r>
      <w:r>
        <w:rPr>
          <w:snapToGrid w:val="0"/>
        </w:rPr>
        <w:tab/>
        <w:t>Master or agent to report arrival</w:t>
      </w:r>
      <w:bookmarkEnd w:id="8"/>
      <w:r>
        <w:rPr>
          <w:snapToGrid w:val="0"/>
        </w:rPr>
        <w:t xml:space="preserve"> </w:t>
      </w:r>
    </w:p>
    <w:p>
      <w:pPr>
        <w:pStyle w:val="Subsection"/>
        <w:rPr>
          <w:snapToGrid w:val="0"/>
        </w:rPr>
      </w:pPr>
      <w:r>
        <w:rPr>
          <w:snapToGrid w:val="0"/>
        </w:rPr>
        <w:tab/>
      </w:r>
      <w:r>
        <w:rPr>
          <w:snapToGrid w:val="0"/>
        </w:rPr>
        <w:tab/>
        <w:t>The master or agent of a vessel shall immediately report the arrival of the vessel at any jetty to the officer in charge and make all arrangements for the discharge and receipt of cargo in accordance with these regulations, and such vessel shall not leave the jetty until all charges have been paid in accordance with these regulations.</w:t>
      </w:r>
    </w:p>
    <w:p>
      <w:pPr>
        <w:pStyle w:val="Footnotesection"/>
      </w:pPr>
      <w:r>
        <w:tab/>
        <w:t xml:space="preserve">[Regulation 4 amended in Gazette 19 May 1989 p. 1494.] </w:t>
      </w:r>
    </w:p>
    <w:p>
      <w:pPr>
        <w:pStyle w:val="Heading5"/>
        <w:rPr>
          <w:snapToGrid w:val="0"/>
        </w:rPr>
      </w:pPr>
      <w:bookmarkStart w:id="9" w:name="_Toc382379903"/>
      <w:r>
        <w:rPr>
          <w:rStyle w:val="CharSectno"/>
        </w:rPr>
        <w:t>5</w:t>
      </w:r>
      <w:r>
        <w:rPr>
          <w:snapToGrid w:val="0"/>
        </w:rPr>
        <w:t>.</w:t>
      </w:r>
      <w:r>
        <w:rPr>
          <w:snapToGrid w:val="0"/>
        </w:rPr>
        <w:tab/>
        <w:t>Vessels to change berths</w:t>
      </w:r>
      <w:bookmarkEnd w:id="9"/>
      <w:r>
        <w:rPr>
          <w:snapToGrid w:val="0"/>
        </w:rPr>
        <w:t xml:space="preserve"> </w:t>
      </w:r>
    </w:p>
    <w:p>
      <w:pPr>
        <w:pStyle w:val="Subsection"/>
        <w:rPr>
          <w:snapToGrid w:val="0"/>
        </w:rPr>
      </w:pPr>
      <w:r>
        <w:rPr>
          <w:snapToGrid w:val="0"/>
        </w:rPr>
        <w:tab/>
      </w:r>
      <w:r>
        <w:rPr>
          <w:snapToGrid w:val="0"/>
        </w:rPr>
        <w:tab/>
        <w:t>Vessels, after having discharged or taken in their cargo, shall be moved to any berth or anchorage pointed out by the officer in charge.</w:t>
      </w:r>
    </w:p>
    <w:p>
      <w:pPr>
        <w:pStyle w:val="Footnotesection"/>
      </w:pPr>
      <w:r>
        <w:tab/>
        <w:t xml:space="preserve">[Regulation 5 amended in Gazette 19 May 1989 p. 1494.] </w:t>
      </w:r>
    </w:p>
    <w:p>
      <w:pPr>
        <w:pStyle w:val="Heading3"/>
        <w:keepLines/>
        <w:rPr>
          <w:snapToGrid w:val="0"/>
        </w:rPr>
      </w:pPr>
      <w:bookmarkStart w:id="10" w:name="_Toc382379904"/>
      <w:r>
        <w:rPr>
          <w:rStyle w:val="CharDivNo"/>
        </w:rPr>
        <w:t>Division 3</w:t>
      </w:r>
      <w:r>
        <w:rPr>
          <w:snapToGrid w:val="0"/>
        </w:rPr>
        <w:t> — </w:t>
      </w:r>
      <w:r>
        <w:rPr>
          <w:rStyle w:val="CharDivText"/>
        </w:rPr>
        <w:t>Berthing dues</w:t>
      </w:r>
      <w:bookmarkEnd w:id="10"/>
      <w:r>
        <w:rPr>
          <w:rStyle w:val="CharDivText"/>
        </w:rPr>
        <w:t xml:space="preserve"> </w:t>
      </w:r>
    </w:p>
    <w:p>
      <w:pPr>
        <w:pStyle w:val="Footnoteheading"/>
        <w:keepNext/>
        <w:keepLines/>
      </w:pPr>
      <w:r>
        <w:tab/>
        <w:t xml:space="preserve">[Heading inserted in Gazette 19 May 1989 p. 1494.] </w:t>
      </w:r>
    </w:p>
    <w:p>
      <w:pPr>
        <w:pStyle w:val="Heading5"/>
        <w:rPr>
          <w:snapToGrid w:val="0"/>
        </w:rPr>
      </w:pPr>
      <w:bookmarkStart w:id="11" w:name="_Toc382379905"/>
      <w:r>
        <w:rPr>
          <w:rStyle w:val="CharSectno"/>
        </w:rPr>
        <w:t>6</w:t>
      </w:r>
      <w:r>
        <w:rPr>
          <w:snapToGrid w:val="0"/>
        </w:rPr>
        <w:t>.</w:t>
      </w:r>
      <w:r>
        <w:rPr>
          <w:snapToGrid w:val="0"/>
        </w:rPr>
        <w:tab/>
        <w:t>Berthing dues to be charged</w:t>
      </w:r>
      <w:bookmarkEnd w:id="11"/>
      <w:r>
        <w:rPr>
          <w:snapToGrid w:val="0"/>
        </w:rPr>
        <w:t xml:space="preserve"> </w:t>
      </w:r>
    </w:p>
    <w:p>
      <w:pPr>
        <w:pStyle w:val="Subsection"/>
        <w:rPr>
          <w:snapToGrid w:val="0"/>
        </w:rPr>
      </w:pPr>
      <w:r>
        <w:rPr>
          <w:snapToGrid w:val="0"/>
        </w:rPr>
        <w:tab/>
        <w:t>(a)</w:t>
      </w:r>
      <w:r>
        <w:rPr>
          <w:snapToGrid w:val="0"/>
        </w:rPr>
        <w:tab/>
        <w:t xml:space="preserve">All vessels using jetties shall be charged berthing dues, as provided for in </w:t>
      </w:r>
      <w:r>
        <w:t>Schedule 1.</w:t>
      </w:r>
    </w:p>
    <w:p>
      <w:pPr>
        <w:pStyle w:val="Subsection"/>
        <w:rPr>
          <w:snapToGrid w:val="0"/>
        </w:rPr>
      </w:pPr>
      <w:r>
        <w:rPr>
          <w:snapToGrid w:val="0"/>
        </w:rPr>
        <w:tab/>
        <w:t>(b)</w:t>
      </w:r>
      <w:r>
        <w:rPr>
          <w:snapToGrid w:val="0"/>
        </w:rPr>
        <w:tab/>
        <w:t>All vessels lying alongside jetties and transhipping cargo to or from lighters or other vessels shall be charged the like berthing dues in respect thereof, as if the said cargo had been landed on or taken off the jetties in place of being taken from or placed in such lighters or vessels as aforesaid.</w:t>
      </w:r>
    </w:p>
    <w:p>
      <w:pPr>
        <w:pStyle w:val="Footnotesection"/>
      </w:pPr>
      <w:r>
        <w:tab/>
        <w:t xml:space="preserve">[Regulation 6 amended in Gazette 19 May 1989 p. 1494; 24 Jun 2005 p. 2816.] </w:t>
      </w:r>
    </w:p>
    <w:p>
      <w:pPr>
        <w:pStyle w:val="Heading5"/>
        <w:spacing w:before="240"/>
      </w:pPr>
      <w:bookmarkStart w:id="12" w:name="_Toc382379906"/>
      <w:r>
        <w:rPr>
          <w:rStyle w:val="CharSectno"/>
        </w:rPr>
        <w:t>6A</w:t>
      </w:r>
      <w:r>
        <w:t>.</w:t>
      </w:r>
      <w:r>
        <w:tab/>
        <w:t>Requirement to pay berthing dues</w:t>
      </w:r>
      <w:bookmarkEnd w:id="12"/>
    </w:p>
    <w:p>
      <w:pPr>
        <w:pStyle w:val="Subsection"/>
      </w:pPr>
      <w:r>
        <w:tab/>
        <w:t>(1)</w:t>
      </w:r>
      <w:r>
        <w:tab/>
        <w:t>If a service jetty is used by a vessel and the berthing dues, as provided for in Schedule 1, for that use of the jetty have not been paid in advance or within 7 days of that use, the chief executive officer may give the owner of the vessel a notice in writing requiring that the dues specified in the notice be paid to the Department by the day specified in the notice, which day must not be less than 28 days after the day on which the service jetty was used by vessel.</w:t>
      </w:r>
    </w:p>
    <w:p>
      <w:pPr>
        <w:pStyle w:val="Subsection"/>
      </w:pPr>
      <w:r>
        <w:tab/>
        <w:t>(2)</w:t>
      </w:r>
      <w:r>
        <w:tab/>
        <w:t>A person given a notice under subregulation (1) must pay the berthing dues specified in the notice before the day specified in the notice.</w:t>
      </w:r>
    </w:p>
    <w:p>
      <w:pPr>
        <w:pStyle w:val="Penstart"/>
      </w:pPr>
      <w:r>
        <w:tab/>
        <w:t>Penalty: a fine of $500.</w:t>
      </w:r>
    </w:p>
    <w:p>
      <w:pPr>
        <w:pStyle w:val="Footnotesection"/>
      </w:pPr>
      <w:r>
        <w:tab/>
        <w:t>[Regulation 6A inserted in Gazette 7 Dec 2007 p. 5984.]</w:t>
      </w:r>
    </w:p>
    <w:p>
      <w:pPr>
        <w:pStyle w:val="Heading5"/>
        <w:rPr>
          <w:snapToGrid w:val="0"/>
        </w:rPr>
      </w:pPr>
      <w:bookmarkStart w:id="13" w:name="_Toc382379907"/>
      <w:r>
        <w:rPr>
          <w:rStyle w:val="CharSectno"/>
        </w:rPr>
        <w:t>7</w:t>
      </w:r>
      <w:r>
        <w:rPr>
          <w:snapToGrid w:val="0"/>
        </w:rPr>
        <w:t>.</w:t>
      </w:r>
      <w:r>
        <w:rPr>
          <w:snapToGrid w:val="0"/>
        </w:rPr>
        <w:tab/>
        <w:t>Computation of berthing dues</w:t>
      </w:r>
      <w:bookmarkEnd w:id="13"/>
      <w:r>
        <w:rPr>
          <w:snapToGrid w:val="0"/>
        </w:rPr>
        <w:t xml:space="preserve"> </w:t>
      </w:r>
    </w:p>
    <w:p>
      <w:pPr>
        <w:pStyle w:val="Subsection"/>
        <w:rPr>
          <w:snapToGrid w:val="0"/>
        </w:rPr>
      </w:pPr>
      <w:r>
        <w:rPr>
          <w:snapToGrid w:val="0"/>
        </w:rPr>
        <w:tab/>
      </w:r>
      <w:r>
        <w:rPr>
          <w:snapToGrid w:val="0"/>
        </w:rPr>
        <w:tab/>
        <w:t>In the computation of berthing dues for cargo carrying vessels the officer in charge shall have the option in determining the dues of proceeding on a weight basis of a tonne or a measurement basis of 1 m</w:t>
      </w:r>
      <w:r>
        <w:rPr>
          <w:snapToGrid w:val="0"/>
          <w:vertAlign w:val="superscript"/>
        </w:rPr>
        <w:t>3</w:t>
      </w:r>
      <w:r>
        <w:rPr>
          <w:snapToGrid w:val="0"/>
        </w:rPr>
        <w:t xml:space="preserve"> or in the case of bulk oils and fuels 1 kL for the cargo in respect of which such dues are levied except as follows:</w:t>
      </w:r>
    </w:p>
    <w:p>
      <w:pPr>
        <w:pStyle w:val="Indenta"/>
        <w:rPr>
          <w:snapToGrid w:val="0"/>
        </w:rPr>
      </w:pPr>
      <w:r>
        <w:rPr>
          <w:snapToGrid w:val="0"/>
        </w:rPr>
        <w:tab/>
      </w:r>
      <w:r>
        <w:rPr>
          <w:snapToGrid w:val="0"/>
        </w:rPr>
        <w:tab/>
        <w:t>one bullock, cow, steer, heifer or suchlike animal 1 t, 15 sheep, pigs, goats or suchlike 1 t.</w:t>
      </w:r>
    </w:p>
    <w:p>
      <w:pPr>
        <w:pStyle w:val="Footnotesection"/>
      </w:pPr>
      <w:r>
        <w:tab/>
        <w:t xml:space="preserve">[Regulation 7 inserted in Gazette 15 Jun 1973 p. 2237; amended in Gazette 19 May 1989 p. 1494.] </w:t>
      </w:r>
    </w:p>
    <w:p>
      <w:pPr>
        <w:pStyle w:val="Heading5"/>
        <w:spacing w:before="240"/>
        <w:rPr>
          <w:snapToGrid w:val="0"/>
        </w:rPr>
      </w:pPr>
      <w:bookmarkStart w:id="14" w:name="_Toc382379908"/>
      <w:r>
        <w:rPr>
          <w:rStyle w:val="CharSectno"/>
        </w:rPr>
        <w:t>8</w:t>
      </w:r>
      <w:r>
        <w:rPr>
          <w:snapToGrid w:val="0"/>
        </w:rPr>
        <w:t>.</w:t>
      </w:r>
      <w:r>
        <w:rPr>
          <w:snapToGrid w:val="0"/>
        </w:rPr>
        <w:tab/>
        <w:t>Inwards manifests</w:t>
      </w:r>
      <w:bookmarkEnd w:id="14"/>
      <w:r>
        <w:rPr>
          <w:snapToGrid w:val="0"/>
        </w:rPr>
        <w:t xml:space="preserve"> </w:t>
      </w:r>
    </w:p>
    <w:p>
      <w:pPr>
        <w:pStyle w:val="Subsection"/>
        <w:spacing w:before="180"/>
        <w:rPr>
          <w:snapToGrid w:val="0"/>
        </w:rPr>
      </w:pPr>
      <w:r>
        <w:rPr>
          <w:snapToGrid w:val="0"/>
        </w:rPr>
        <w:tab/>
      </w:r>
      <w:r>
        <w:rPr>
          <w:snapToGrid w:val="0"/>
        </w:rPr>
        <w:tab/>
        <w:t>The master of every vessel arriving shall deliver at the office of the officer in charge, prior to commencing to discharge cargo, a true, legible, and complete copy of the manifest of the said vessel, certified to by himself as being true and complete, and shall also furnish within 48 hours a certified statement of all alterations (if any) which may be made in such manifest by reason of re</w:t>
      </w:r>
      <w:r>
        <w:rPr>
          <w:snapToGrid w:val="0"/>
        </w:rPr>
        <w:noBreakHyphen/>
        <w:t>measurement of goods included therein or otherwise. In the event of a vessel not discharging any cargo, a “Nil” manifest must be furnished.</w:t>
      </w:r>
    </w:p>
    <w:p>
      <w:pPr>
        <w:pStyle w:val="Footnotesection"/>
      </w:pPr>
      <w:r>
        <w:tab/>
        <w:t xml:space="preserve">[Regulation 8 amended in Gazette 19 May 1989 p. 1494.] </w:t>
      </w:r>
    </w:p>
    <w:p>
      <w:pPr>
        <w:pStyle w:val="Heading5"/>
        <w:spacing w:before="240"/>
        <w:rPr>
          <w:snapToGrid w:val="0"/>
        </w:rPr>
      </w:pPr>
      <w:bookmarkStart w:id="15" w:name="_Toc382379909"/>
      <w:r>
        <w:rPr>
          <w:rStyle w:val="CharSectno"/>
        </w:rPr>
        <w:t>9</w:t>
      </w:r>
      <w:r>
        <w:rPr>
          <w:snapToGrid w:val="0"/>
        </w:rPr>
        <w:t>.</w:t>
      </w:r>
      <w:r>
        <w:rPr>
          <w:snapToGrid w:val="0"/>
        </w:rPr>
        <w:tab/>
        <w:t>Outwards manifests</w:t>
      </w:r>
      <w:bookmarkEnd w:id="15"/>
      <w:r>
        <w:rPr>
          <w:snapToGrid w:val="0"/>
        </w:rPr>
        <w:t xml:space="preserve"> </w:t>
      </w:r>
    </w:p>
    <w:p>
      <w:pPr>
        <w:pStyle w:val="Subsection"/>
        <w:spacing w:before="180"/>
        <w:rPr>
          <w:snapToGrid w:val="0"/>
        </w:rPr>
      </w:pPr>
      <w:r>
        <w:rPr>
          <w:snapToGrid w:val="0"/>
        </w:rPr>
        <w:tab/>
      </w:r>
      <w:r>
        <w:rPr>
          <w:snapToGrid w:val="0"/>
        </w:rPr>
        <w:tab/>
        <w:t>The master of every vessel shall deliver at the office of the officer in charge, prior to the clearance of the vessel in which outward cargo is shipped, a certified copy of the manifest, giving true, legible, and complete particulars of such goods as will enable the amount of outward wharfage dues payable thereon to be readily computed. In the event of a vessel not shipping any cargo a “Nil” manifest must be furnished.</w:t>
      </w:r>
    </w:p>
    <w:p>
      <w:pPr>
        <w:pStyle w:val="Footnotesection"/>
      </w:pPr>
      <w:r>
        <w:tab/>
        <w:t xml:space="preserve">[Regulation 9 amended in Gazette 19 May 1989 p. 1494.] </w:t>
      </w:r>
    </w:p>
    <w:p>
      <w:pPr>
        <w:pStyle w:val="Heading3"/>
        <w:keepLines/>
        <w:rPr>
          <w:snapToGrid w:val="0"/>
        </w:rPr>
      </w:pPr>
      <w:bookmarkStart w:id="16" w:name="_Toc382379910"/>
      <w:r>
        <w:rPr>
          <w:rStyle w:val="CharDivNo"/>
        </w:rPr>
        <w:t>Division 4</w:t>
      </w:r>
      <w:r>
        <w:rPr>
          <w:snapToGrid w:val="0"/>
        </w:rPr>
        <w:t> — </w:t>
      </w:r>
      <w:r>
        <w:rPr>
          <w:rStyle w:val="CharDivText"/>
        </w:rPr>
        <w:t>Wharfage dues, handling and haulage charges</w:t>
      </w:r>
      <w:bookmarkEnd w:id="16"/>
      <w:r>
        <w:rPr>
          <w:rStyle w:val="CharDivText"/>
        </w:rPr>
        <w:t xml:space="preserve"> </w:t>
      </w:r>
    </w:p>
    <w:p>
      <w:pPr>
        <w:pStyle w:val="Footnoteheading"/>
        <w:keepNext/>
        <w:keepLines/>
        <w:rPr>
          <w:snapToGrid w:val="0"/>
        </w:rPr>
      </w:pPr>
      <w:r>
        <w:rPr>
          <w:snapToGrid w:val="0"/>
        </w:rPr>
        <w:tab/>
        <w:t xml:space="preserve">[Heading inserted in Gazette 19 May 1989 p. 1494.] </w:t>
      </w:r>
    </w:p>
    <w:p>
      <w:pPr>
        <w:pStyle w:val="Ednotesection"/>
        <w:keepNext/>
        <w:keepLines/>
        <w:spacing w:before="180"/>
        <w:ind w:left="0" w:firstLine="0"/>
      </w:pPr>
      <w:r>
        <w:t>[</w:t>
      </w:r>
      <w:r>
        <w:rPr>
          <w:b/>
        </w:rPr>
        <w:t>10.</w:t>
      </w:r>
      <w:r>
        <w:tab/>
        <w:t>Disallowed (see Gazette 6 Sep 1940 p. 1622).]</w:t>
      </w:r>
    </w:p>
    <w:p>
      <w:pPr>
        <w:pStyle w:val="Heading5"/>
        <w:spacing w:before="180"/>
        <w:rPr>
          <w:snapToGrid w:val="0"/>
        </w:rPr>
      </w:pPr>
      <w:bookmarkStart w:id="17" w:name="_Toc382379911"/>
      <w:r>
        <w:rPr>
          <w:rStyle w:val="CharSectno"/>
        </w:rPr>
        <w:t>10A</w:t>
      </w:r>
      <w:r>
        <w:rPr>
          <w:snapToGrid w:val="0"/>
        </w:rPr>
        <w:t>.</w:t>
      </w:r>
      <w:r>
        <w:rPr>
          <w:snapToGrid w:val="0"/>
        </w:rPr>
        <w:tab/>
        <w:t>Payment of dues and charges</w:t>
      </w:r>
      <w:bookmarkEnd w:id="17"/>
      <w:r>
        <w:rPr>
          <w:snapToGrid w:val="0"/>
        </w:rPr>
        <w:t xml:space="preserve"> </w:t>
      </w:r>
    </w:p>
    <w:p>
      <w:pPr>
        <w:pStyle w:val="Subsection"/>
        <w:rPr>
          <w:snapToGrid w:val="0"/>
        </w:rPr>
      </w:pPr>
      <w:r>
        <w:rPr>
          <w:snapToGrid w:val="0"/>
        </w:rPr>
        <w:tab/>
        <w:t>(1)</w:t>
      </w:r>
      <w:r>
        <w:rPr>
          <w:snapToGrid w:val="0"/>
        </w:rPr>
        <w:tab/>
        <w:t xml:space="preserve">The appropriate wharfage dues, and handling and haulage charges as prescribed in </w:t>
      </w:r>
      <w:r>
        <w:t xml:space="preserve">Schedule 1 </w:t>
      </w:r>
      <w:r>
        <w:rPr>
          <w:snapToGrid w:val="0"/>
        </w:rPr>
        <w:t>shall, unless otherwise provided, be paid in respect of goods landed from or loaded into any vessel.</w:t>
      </w:r>
    </w:p>
    <w:p>
      <w:pPr>
        <w:pStyle w:val="Subsection"/>
        <w:rPr>
          <w:snapToGrid w:val="0"/>
        </w:rPr>
      </w:pPr>
      <w:r>
        <w:rPr>
          <w:snapToGrid w:val="0"/>
        </w:rPr>
        <w:tab/>
        <w:t>(2)</w:t>
      </w:r>
      <w:r>
        <w:rPr>
          <w:snapToGrid w:val="0"/>
        </w:rPr>
        <w:tab/>
        <w:t>The dues and charges so payable shall be based, at the option of the wharfinger or officer in charge, on the measurement or weight of the goods as declared on the vessel’s manifest.</w:t>
      </w:r>
    </w:p>
    <w:p>
      <w:pPr>
        <w:pStyle w:val="Footnotesection"/>
      </w:pPr>
      <w:r>
        <w:tab/>
        <w:t xml:space="preserve">[Regulation 10A inserted in Gazette 12 Jul 1957 p. 2269; amended in Gazette 19 May 1989 p. 1495; 24 Jun 2005 p. 2816.] </w:t>
      </w:r>
    </w:p>
    <w:p>
      <w:pPr>
        <w:pStyle w:val="Ednotesection"/>
        <w:spacing w:before="180"/>
      </w:pPr>
      <w:r>
        <w:t>[</w:t>
      </w:r>
      <w:r>
        <w:rPr>
          <w:b/>
        </w:rPr>
        <w:t>10B.</w:t>
      </w:r>
      <w:r>
        <w:tab/>
        <w:t xml:space="preserve">Deleted in Gazette 30 Jun 1995 p. 2699.] </w:t>
      </w:r>
    </w:p>
    <w:p>
      <w:pPr>
        <w:pStyle w:val="Ednotesection"/>
        <w:spacing w:before="180"/>
      </w:pPr>
      <w:r>
        <w:t>[</w:t>
      </w:r>
      <w:r>
        <w:rPr>
          <w:b/>
        </w:rPr>
        <w:t>10C.</w:t>
      </w:r>
      <w:r>
        <w:tab/>
        <w:t xml:space="preserve">Deleted in Gazette 24 Nov 1972 p. 4487.] </w:t>
      </w:r>
    </w:p>
    <w:p>
      <w:pPr>
        <w:pStyle w:val="Heading5"/>
        <w:spacing w:before="180"/>
        <w:rPr>
          <w:snapToGrid w:val="0"/>
        </w:rPr>
      </w:pPr>
      <w:bookmarkStart w:id="18" w:name="_Toc382379912"/>
      <w:r>
        <w:rPr>
          <w:rStyle w:val="CharSectno"/>
        </w:rPr>
        <w:t>11</w:t>
      </w:r>
      <w:r>
        <w:rPr>
          <w:snapToGrid w:val="0"/>
        </w:rPr>
        <w:t>.</w:t>
      </w:r>
      <w:r>
        <w:rPr>
          <w:snapToGrid w:val="0"/>
        </w:rPr>
        <w:tab/>
        <w:t>Charges for transhipment cargo</w:t>
      </w:r>
      <w:bookmarkEnd w:id="18"/>
      <w:r>
        <w:rPr>
          <w:snapToGrid w:val="0"/>
        </w:rPr>
        <w:t xml:space="preserve"> </w:t>
      </w:r>
    </w:p>
    <w:p>
      <w:pPr>
        <w:pStyle w:val="Subsection"/>
        <w:rPr>
          <w:snapToGrid w:val="0"/>
        </w:rPr>
      </w:pPr>
      <w:r>
        <w:rPr>
          <w:snapToGrid w:val="0"/>
        </w:rPr>
        <w:tab/>
        <w:t>(1)</w:t>
      </w:r>
      <w:r>
        <w:rPr>
          <w:snapToGrid w:val="0"/>
        </w:rPr>
        <w:tab/>
        <w:t xml:space="preserve">Full wharfage dues one way only shall be payable on cargo for transhipment if landed on a jetty, but if passed overside from one vessel to another for conveyance to destination, or temporarily, the wharfage dues shall be those set out in </w:t>
      </w:r>
      <w:r>
        <w:t xml:space="preserve">Schedule 1; </w:t>
      </w:r>
      <w:r>
        <w:rPr>
          <w:snapToGrid w:val="0"/>
        </w:rPr>
        <w:t>in both cases handling and haulage charges shall be payable as per rates shown for other cargo, according to the services rendered in each case.</w:t>
      </w:r>
    </w:p>
    <w:p>
      <w:pPr>
        <w:pStyle w:val="Ednotesubsection"/>
        <w:spacing w:before="120"/>
      </w:pPr>
      <w:r>
        <w:tab/>
        <w:t>[(2)</w:t>
      </w:r>
      <w:r>
        <w:tab/>
        <w:t>deleted]</w:t>
      </w:r>
    </w:p>
    <w:p>
      <w:pPr>
        <w:pStyle w:val="Footnotesection"/>
      </w:pPr>
      <w:r>
        <w:tab/>
        <w:t xml:space="preserve">[Regulation 11 amended in Gazette 12 Jul 1957 p. 2270; 24 Nov 1972 p. 4487; 15 Jun 1973 p. 2237; 19 May 1989 p. 1495; 29 Jun 1993 p. 3191; 14 Jun 1994 p. 2476; 30 Jun 1995 p. 2699; 24 Jun 2005 p. 2816.] </w:t>
      </w:r>
    </w:p>
    <w:p>
      <w:pPr>
        <w:pStyle w:val="Ednotesection"/>
        <w:spacing w:before="160"/>
        <w:ind w:left="890" w:hanging="890"/>
      </w:pPr>
      <w:r>
        <w:t>[</w:t>
      </w:r>
      <w:r>
        <w:rPr>
          <w:b/>
        </w:rPr>
        <w:t>11A.</w:t>
      </w:r>
      <w:r>
        <w:rPr>
          <w:b/>
        </w:rPr>
        <w:tab/>
      </w:r>
      <w:r>
        <w:t xml:space="preserve">Deleted in Gazette 24 Nov 1972 p. 4487.] </w:t>
      </w:r>
    </w:p>
    <w:p>
      <w:pPr>
        <w:pStyle w:val="Heading5"/>
        <w:rPr>
          <w:snapToGrid w:val="0"/>
        </w:rPr>
      </w:pPr>
      <w:bookmarkStart w:id="19" w:name="_Toc382379913"/>
      <w:r>
        <w:rPr>
          <w:rStyle w:val="CharSectno"/>
        </w:rPr>
        <w:t>11B</w:t>
      </w:r>
      <w:r>
        <w:rPr>
          <w:snapToGrid w:val="0"/>
        </w:rPr>
        <w:t>.</w:t>
      </w:r>
      <w:r>
        <w:rPr>
          <w:snapToGrid w:val="0"/>
        </w:rPr>
        <w:tab/>
        <w:t>Charges on vessels’ stores, including fuel oil</w:t>
      </w:r>
      <w:bookmarkEnd w:id="19"/>
      <w:r>
        <w:rPr>
          <w:snapToGrid w:val="0"/>
        </w:rPr>
        <w:t xml:space="preserve"> </w:t>
      </w:r>
    </w:p>
    <w:p>
      <w:pPr>
        <w:pStyle w:val="Subsection"/>
        <w:rPr>
          <w:snapToGrid w:val="0"/>
        </w:rPr>
      </w:pPr>
      <w:r>
        <w:rPr>
          <w:snapToGrid w:val="0"/>
        </w:rPr>
        <w:tab/>
        <w:t>(1)</w:t>
      </w:r>
      <w:r>
        <w:rPr>
          <w:snapToGrid w:val="0"/>
        </w:rPr>
        <w:tab/>
        <w:t>Material and equipment passing over jetties and to be used for the repair and refitting of a vessel, its machinery or equipment whilst it is in the port, and all consumable stores loaded into a vessel for the vessel’s own use, excepting fuel oil on which an inwards wharfage rate has not been paid at the port, shall be exempt from the payment of outwards wharfage.</w:t>
      </w:r>
    </w:p>
    <w:p>
      <w:pPr>
        <w:pStyle w:val="Subsection"/>
      </w:pPr>
      <w:r>
        <w:tab/>
        <w:t>(2)</w:t>
      </w:r>
      <w:r>
        <w:tab/>
        <w:t>The outwards wharfage rate on fuel oil loaded into a vessel as bunkers for that vessel’s own use, and on which an inwards wharfage rate has not been paid, is set out in Schedule 1A and shall be paid by the supplier of the oil.</w:t>
      </w:r>
    </w:p>
    <w:p>
      <w:pPr>
        <w:pStyle w:val="Subsection"/>
        <w:rPr>
          <w:snapToGrid w:val="0"/>
        </w:rPr>
      </w:pPr>
      <w:r>
        <w:rPr>
          <w:snapToGrid w:val="0"/>
        </w:rPr>
        <w:tab/>
        <w:t>(3)</w:t>
      </w:r>
      <w:r>
        <w:rPr>
          <w:snapToGrid w:val="0"/>
        </w:rPr>
        <w:tab/>
        <w:t>The supplier of fuel oil under subregulation (2) shall compile and forward to the Department, within 28 days of the end of each calendar month, a record of the total volume of fuel oil dispensed from each facility by that supplier during that month.</w:t>
      </w:r>
    </w:p>
    <w:p>
      <w:pPr>
        <w:pStyle w:val="Footnotesection"/>
        <w:keepLines w:val="0"/>
      </w:pPr>
      <w:r>
        <w:tab/>
        <w:t>[Regulation 11B inserted as regulation 11A in Gazette 17 Mar 1960 p. 778; renumbered as regulation 11B in the reprint published in the Gazette 10 Dec 1974 p. 5291</w:t>
      </w:r>
      <w:r>
        <w:noBreakHyphen/>
        <w:t xml:space="preserve">318; amended in Gazette 24 Nov 1972 p. 4487; 15 Jun 1973 p. 2237; 19 May 1989 p. 1495; 30 Jun 1992 p. 2892; 29 Jun 1993 p. 3192; 30 Jun 1995 p. 2699; 20 Jun 2000 p. 3044; 24 Jun 2005 p. 2816-17; 22 Jun 2007 p. 2908.] </w:t>
      </w:r>
    </w:p>
    <w:p>
      <w:pPr>
        <w:pStyle w:val="Heading5"/>
        <w:rPr>
          <w:snapToGrid w:val="0"/>
        </w:rPr>
      </w:pPr>
      <w:bookmarkStart w:id="20" w:name="_Toc382379914"/>
      <w:r>
        <w:rPr>
          <w:rStyle w:val="CharSectno"/>
        </w:rPr>
        <w:t>12</w:t>
      </w:r>
      <w:r>
        <w:rPr>
          <w:snapToGrid w:val="0"/>
        </w:rPr>
        <w:t>.</w:t>
      </w:r>
      <w:r>
        <w:rPr>
          <w:snapToGrid w:val="0"/>
        </w:rPr>
        <w:tab/>
        <w:t>Charges to be paid before delivery of cargo</w:t>
      </w:r>
      <w:bookmarkEnd w:id="20"/>
      <w:r>
        <w:rPr>
          <w:snapToGrid w:val="0"/>
        </w:rPr>
        <w:t xml:space="preserve"> </w:t>
      </w:r>
    </w:p>
    <w:p>
      <w:pPr>
        <w:pStyle w:val="Subsection"/>
        <w:rPr>
          <w:snapToGrid w:val="0"/>
        </w:rPr>
      </w:pPr>
      <w:r>
        <w:rPr>
          <w:snapToGrid w:val="0"/>
        </w:rPr>
        <w:tab/>
      </w:r>
      <w:r>
        <w:rPr>
          <w:snapToGrid w:val="0"/>
        </w:rPr>
        <w:tab/>
        <w:t>All wharfage dues and handling or other charges incurred, payable in respect of cargo discharged or shipped, shall become payable to the officer in charge on the discharge or shipment of the said cargo, and shall be paid on demand, and each bill of lading, as shown on the manifest, must be cleared by one payment. No inward cargo shall be delivered to the consignee or owner thereof, nor outward cargo to the vessel in which it is intended that same shall be shipped, until the written receipt of the officer in charge shall have been presented to the consignee or owner, or to the shipper or master of the vessel, respectively, for the payment of all wharfage dues and charges as aforesaid in respect of such cargo: Provided always, that it shall be competent, but not compulsory (in the case of outward cargo) for the officer in charge to accept from the agent or the master a guarantee in writing that such dues shall be paid to him within 24 hours of the clearance of the vessel.</w:t>
      </w:r>
    </w:p>
    <w:p>
      <w:pPr>
        <w:pStyle w:val="Footnotesection"/>
      </w:pPr>
      <w:r>
        <w:tab/>
        <w:t xml:space="preserve">[Regulation 12 amended in Gazette 19 May 1989 p. 1495.] </w:t>
      </w:r>
    </w:p>
    <w:p>
      <w:pPr>
        <w:pStyle w:val="Heading5"/>
        <w:rPr>
          <w:snapToGrid w:val="0"/>
        </w:rPr>
      </w:pPr>
      <w:bookmarkStart w:id="21" w:name="_Toc382379915"/>
      <w:r>
        <w:rPr>
          <w:rStyle w:val="CharSectno"/>
        </w:rPr>
        <w:t>13</w:t>
      </w:r>
      <w:r>
        <w:rPr>
          <w:snapToGrid w:val="0"/>
        </w:rPr>
        <w:t>.</w:t>
      </w:r>
      <w:r>
        <w:rPr>
          <w:snapToGrid w:val="0"/>
        </w:rPr>
        <w:tab/>
        <w:t>Extra charges</w:t>
      </w:r>
      <w:bookmarkEnd w:id="21"/>
      <w:r>
        <w:rPr>
          <w:snapToGrid w:val="0"/>
        </w:rPr>
        <w:t xml:space="preserve"> </w:t>
      </w:r>
    </w:p>
    <w:p>
      <w:pPr>
        <w:pStyle w:val="Subsection"/>
        <w:rPr>
          <w:snapToGrid w:val="0"/>
        </w:rPr>
      </w:pPr>
      <w:r>
        <w:rPr>
          <w:snapToGrid w:val="0"/>
        </w:rPr>
        <w:tab/>
      </w:r>
      <w:r>
        <w:rPr>
          <w:snapToGrid w:val="0"/>
        </w:rPr>
        <w:tab/>
        <w:t>The officer in charge may make extra charges for handling packages over 1 t in weight, or of an exceptional shape, or where extra labour is required or unusual risk is involved.</w:t>
      </w:r>
    </w:p>
    <w:p>
      <w:pPr>
        <w:pStyle w:val="Footnotesection"/>
        <w:keepLines w:val="0"/>
      </w:pPr>
      <w:r>
        <w:tab/>
        <w:t xml:space="preserve">[Regulation 13 amended in Gazette 15 Jun 1973 p. 2237; 19 May 1989 p. 1495.] </w:t>
      </w:r>
    </w:p>
    <w:p>
      <w:pPr>
        <w:pStyle w:val="Ednotesection"/>
      </w:pPr>
      <w:r>
        <w:t>[</w:t>
      </w:r>
      <w:r>
        <w:rPr>
          <w:b/>
        </w:rPr>
        <w:t>13A.</w:t>
      </w:r>
      <w:r>
        <w:tab/>
        <w:t xml:space="preserve">Deleted in Gazette 30 Jun 1995 p. 2699.] </w:t>
      </w:r>
    </w:p>
    <w:p>
      <w:pPr>
        <w:pStyle w:val="Heading3"/>
        <w:rPr>
          <w:snapToGrid w:val="0"/>
        </w:rPr>
      </w:pPr>
      <w:bookmarkStart w:id="22" w:name="_Toc382379916"/>
      <w:r>
        <w:rPr>
          <w:rStyle w:val="CharDivNo"/>
        </w:rPr>
        <w:t>Division 5</w:t>
      </w:r>
      <w:r>
        <w:rPr>
          <w:snapToGrid w:val="0"/>
        </w:rPr>
        <w:t> — </w:t>
      </w:r>
      <w:r>
        <w:rPr>
          <w:rStyle w:val="CharDivText"/>
        </w:rPr>
        <w:t>Handling of cargo</w:t>
      </w:r>
      <w:bookmarkEnd w:id="22"/>
      <w:r>
        <w:rPr>
          <w:rStyle w:val="CharDivText"/>
        </w:rPr>
        <w:t xml:space="preserve"> </w:t>
      </w:r>
    </w:p>
    <w:p>
      <w:pPr>
        <w:pStyle w:val="Footnoteheading"/>
        <w:keepNext/>
      </w:pPr>
      <w:r>
        <w:tab/>
        <w:t xml:space="preserve">[Heading inserted in Gazette 19 May 1989 p. 1494.] </w:t>
      </w:r>
    </w:p>
    <w:p>
      <w:pPr>
        <w:pStyle w:val="Heading5"/>
        <w:keepNext w:val="0"/>
        <w:keepLines w:val="0"/>
        <w:rPr>
          <w:snapToGrid w:val="0"/>
        </w:rPr>
      </w:pPr>
      <w:bookmarkStart w:id="23" w:name="_Toc382379917"/>
      <w:r>
        <w:rPr>
          <w:rStyle w:val="CharSectno"/>
        </w:rPr>
        <w:t>14</w:t>
      </w:r>
      <w:r>
        <w:rPr>
          <w:snapToGrid w:val="0"/>
        </w:rPr>
        <w:t>.</w:t>
      </w:r>
      <w:r>
        <w:rPr>
          <w:snapToGrid w:val="0"/>
        </w:rPr>
        <w:tab/>
        <w:t>Cargo not to be placed on jetties or premises without authority</w:t>
      </w:r>
      <w:bookmarkEnd w:id="23"/>
      <w:r>
        <w:rPr>
          <w:snapToGrid w:val="0"/>
        </w:rPr>
        <w:t xml:space="preserve"> </w:t>
      </w:r>
    </w:p>
    <w:p>
      <w:pPr>
        <w:pStyle w:val="Subsection"/>
        <w:rPr>
          <w:snapToGrid w:val="0"/>
        </w:rPr>
      </w:pPr>
      <w:r>
        <w:rPr>
          <w:snapToGrid w:val="0"/>
        </w:rPr>
        <w:tab/>
      </w:r>
      <w:r>
        <w:rPr>
          <w:snapToGrid w:val="0"/>
        </w:rPr>
        <w:tab/>
        <w:t>No goods shall be landed or placed on any jetty or any premises appurtenant thereto or used in connection therewith without the written authority of the officer in charge. Cargo discharged without such authority having been first obtained shall not be deemed to be in the custody of the Department, nor shall the Department be held responsible for any loss or damage that may accrue to any such cargo from any cause whatsoever.</w:t>
      </w:r>
    </w:p>
    <w:p>
      <w:pPr>
        <w:pStyle w:val="Footnotesection"/>
        <w:keepLines w:val="0"/>
        <w:ind w:left="890" w:hanging="890"/>
      </w:pPr>
      <w:r>
        <w:tab/>
        <w:t xml:space="preserve">[Regulation 14 amended in Gazette 3 Nov 1950 p. 2461; 19 May 1989 p. 1495.] </w:t>
      </w:r>
    </w:p>
    <w:p>
      <w:pPr>
        <w:pStyle w:val="Heading5"/>
        <w:spacing w:before="180"/>
        <w:rPr>
          <w:snapToGrid w:val="0"/>
        </w:rPr>
      </w:pPr>
      <w:bookmarkStart w:id="24" w:name="_Toc382379918"/>
      <w:r>
        <w:rPr>
          <w:rStyle w:val="CharSectno"/>
        </w:rPr>
        <w:t>15</w:t>
      </w:r>
      <w:r>
        <w:rPr>
          <w:snapToGrid w:val="0"/>
        </w:rPr>
        <w:t>.</w:t>
      </w:r>
      <w:r>
        <w:rPr>
          <w:snapToGrid w:val="0"/>
        </w:rPr>
        <w:tab/>
        <w:t>Discharging of cargo may be stopped</w:t>
      </w:r>
      <w:bookmarkEnd w:id="24"/>
      <w:r>
        <w:rPr>
          <w:snapToGrid w:val="0"/>
        </w:rPr>
        <w:t xml:space="preserve"> </w:t>
      </w:r>
    </w:p>
    <w:p>
      <w:pPr>
        <w:pStyle w:val="Subsection"/>
        <w:rPr>
          <w:snapToGrid w:val="0"/>
        </w:rPr>
      </w:pPr>
      <w:r>
        <w:rPr>
          <w:snapToGrid w:val="0"/>
        </w:rPr>
        <w:tab/>
      </w:r>
      <w:r>
        <w:rPr>
          <w:snapToGrid w:val="0"/>
        </w:rPr>
        <w:tab/>
        <w:t>If it appears that goods are being landed and cannot, in the opinion of the officer in charge, be removed in time to prevent a “block”, the officer in charge may give notice in writing to the masters or person in charge of vessels, or lighters, from which goods are being discharged, to stop discharging cargo, and upon such notice being given no further cargo shall be discharged until such time as the officer in charge may direct.</w:t>
      </w:r>
    </w:p>
    <w:p>
      <w:pPr>
        <w:pStyle w:val="Footnotesection"/>
        <w:ind w:left="890" w:hanging="890"/>
      </w:pPr>
      <w:r>
        <w:tab/>
        <w:t xml:space="preserve">[Regulation 15 amended in Gazette 19 May 1989 p. 1495.] </w:t>
      </w:r>
    </w:p>
    <w:p>
      <w:pPr>
        <w:pStyle w:val="Heading5"/>
        <w:keepNext w:val="0"/>
        <w:keepLines w:val="0"/>
        <w:rPr>
          <w:snapToGrid w:val="0"/>
        </w:rPr>
      </w:pPr>
      <w:bookmarkStart w:id="25" w:name="_Toc382379919"/>
      <w:r>
        <w:rPr>
          <w:rStyle w:val="CharSectno"/>
        </w:rPr>
        <w:t>16</w:t>
      </w:r>
      <w:r>
        <w:rPr>
          <w:snapToGrid w:val="0"/>
        </w:rPr>
        <w:t>.</w:t>
      </w:r>
      <w:r>
        <w:rPr>
          <w:snapToGrid w:val="0"/>
        </w:rPr>
        <w:tab/>
        <w:t>Goods not to be shifted without authority</w:t>
      </w:r>
      <w:bookmarkEnd w:id="25"/>
      <w:r>
        <w:rPr>
          <w:snapToGrid w:val="0"/>
        </w:rPr>
        <w:t xml:space="preserve"> </w:t>
      </w:r>
    </w:p>
    <w:p>
      <w:pPr>
        <w:pStyle w:val="Subsection"/>
        <w:rPr>
          <w:snapToGrid w:val="0"/>
        </w:rPr>
      </w:pPr>
      <w:r>
        <w:rPr>
          <w:snapToGrid w:val="0"/>
        </w:rPr>
        <w:tab/>
      </w:r>
      <w:r>
        <w:rPr>
          <w:snapToGrid w:val="0"/>
        </w:rPr>
        <w:tab/>
        <w:t>No person shall shift from one vessel to another, or from any part of a jetty to any other part thereof, any goods or luggage without the authority of the officer in charge.</w:t>
      </w:r>
    </w:p>
    <w:p>
      <w:pPr>
        <w:pStyle w:val="Footnotesection"/>
        <w:ind w:left="890" w:hanging="890"/>
      </w:pPr>
      <w:r>
        <w:tab/>
        <w:t xml:space="preserve">[Regulation 16 amended in Gazette 19 May 1989 p. 1495.] </w:t>
      </w:r>
    </w:p>
    <w:p>
      <w:pPr>
        <w:pStyle w:val="Heading5"/>
        <w:keepLines w:val="0"/>
        <w:rPr>
          <w:snapToGrid w:val="0"/>
        </w:rPr>
      </w:pPr>
      <w:bookmarkStart w:id="26" w:name="_Toc382379920"/>
      <w:r>
        <w:rPr>
          <w:rStyle w:val="CharSectno"/>
        </w:rPr>
        <w:t>17</w:t>
      </w:r>
      <w:r>
        <w:rPr>
          <w:snapToGrid w:val="0"/>
        </w:rPr>
        <w:t>.</w:t>
      </w:r>
      <w:r>
        <w:rPr>
          <w:snapToGrid w:val="0"/>
        </w:rPr>
        <w:tab/>
        <w:t>Bulk cargo not to be deposited without authority</w:t>
      </w:r>
      <w:bookmarkEnd w:id="26"/>
      <w:r>
        <w:rPr>
          <w:snapToGrid w:val="0"/>
        </w:rPr>
        <w:t xml:space="preserve"> </w:t>
      </w:r>
    </w:p>
    <w:p>
      <w:pPr>
        <w:pStyle w:val="Subsection"/>
        <w:rPr>
          <w:snapToGrid w:val="0"/>
        </w:rPr>
      </w:pPr>
      <w:r>
        <w:rPr>
          <w:snapToGrid w:val="0"/>
        </w:rPr>
        <w:tab/>
      </w:r>
      <w:r>
        <w:rPr>
          <w:snapToGrid w:val="0"/>
        </w:rPr>
        <w:tab/>
        <w:t>No ballast, stone, coal, coke, timber, sand, or other goods or other materials in bulk shall be deposited on any jetty without special permission in writing of the officer in charge.</w:t>
      </w:r>
    </w:p>
    <w:p>
      <w:pPr>
        <w:pStyle w:val="Footnotesection"/>
        <w:keepLines w:val="0"/>
        <w:spacing w:before="100"/>
        <w:ind w:left="890" w:hanging="890"/>
      </w:pPr>
      <w:r>
        <w:tab/>
        <w:t xml:space="preserve">[Regulation 17 amended in Gazette 19 May 1989 p. 1495.] </w:t>
      </w:r>
    </w:p>
    <w:p>
      <w:pPr>
        <w:pStyle w:val="Heading5"/>
        <w:rPr>
          <w:snapToGrid w:val="0"/>
        </w:rPr>
      </w:pPr>
      <w:bookmarkStart w:id="27" w:name="_Toc382379921"/>
      <w:r>
        <w:rPr>
          <w:rStyle w:val="CharSectno"/>
        </w:rPr>
        <w:t>18</w:t>
      </w:r>
      <w:r>
        <w:rPr>
          <w:snapToGrid w:val="0"/>
        </w:rPr>
        <w:t>.</w:t>
      </w:r>
      <w:r>
        <w:rPr>
          <w:snapToGrid w:val="0"/>
        </w:rPr>
        <w:tab/>
        <w:t>Outward cargo advice notes</w:t>
      </w:r>
      <w:bookmarkEnd w:id="27"/>
      <w:r>
        <w:rPr>
          <w:snapToGrid w:val="0"/>
        </w:rPr>
        <w:t xml:space="preserve"> </w:t>
      </w:r>
    </w:p>
    <w:p>
      <w:pPr>
        <w:pStyle w:val="Subsection"/>
        <w:rPr>
          <w:snapToGrid w:val="0"/>
        </w:rPr>
      </w:pPr>
      <w:r>
        <w:rPr>
          <w:snapToGrid w:val="0"/>
        </w:rPr>
        <w:tab/>
      </w:r>
      <w:r>
        <w:rPr>
          <w:snapToGrid w:val="0"/>
        </w:rPr>
        <w:tab/>
        <w:t>No person shall enter on any jetty with goods for shipment without first delivering to the officer in charge an outward cargo advice note, as required by the Department, containing true and full account, with gross measurements or weights of such goods then under his immediate control.</w:t>
      </w:r>
    </w:p>
    <w:p>
      <w:pPr>
        <w:pStyle w:val="Footnotesection"/>
      </w:pPr>
      <w:r>
        <w:tab/>
        <w:t xml:space="preserve">[Regulation 18 amended in Gazette 19 May 1989 p. 1495.] </w:t>
      </w:r>
    </w:p>
    <w:p>
      <w:pPr>
        <w:pStyle w:val="Heading5"/>
        <w:rPr>
          <w:snapToGrid w:val="0"/>
        </w:rPr>
      </w:pPr>
      <w:bookmarkStart w:id="28" w:name="_Toc382379922"/>
      <w:r>
        <w:rPr>
          <w:rStyle w:val="CharSectno"/>
        </w:rPr>
        <w:t>19</w:t>
      </w:r>
      <w:r>
        <w:rPr>
          <w:snapToGrid w:val="0"/>
        </w:rPr>
        <w:t>.</w:t>
      </w:r>
      <w:r>
        <w:rPr>
          <w:snapToGrid w:val="0"/>
        </w:rPr>
        <w:tab/>
        <w:t>Outward cargo</w:t>
      </w:r>
      <w:bookmarkEnd w:id="28"/>
      <w:r>
        <w:rPr>
          <w:snapToGrid w:val="0"/>
        </w:rPr>
        <w:t xml:space="preserve"> </w:t>
      </w:r>
    </w:p>
    <w:p>
      <w:pPr>
        <w:pStyle w:val="Subsection"/>
        <w:rPr>
          <w:snapToGrid w:val="0"/>
        </w:rPr>
      </w:pPr>
      <w:r>
        <w:rPr>
          <w:snapToGrid w:val="0"/>
        </w:rPr>
        <w:tab/>
      </w:r>
      <w:r>
        <w:rPr>
          <w:snapToGrid w:val="0"/>
        </w:rPr>
        <w:tab/>
        <w:t>All outward cargo must be delivered into the shed at least 4 working hours prior to vessel’s advertised time of arrival.</w:t>
      </w:r>
    </w:p>
    <w:p>
      <w:pPr>
        <w:pStyle w:val="Footnotesection"/>
      </w:pPr>
      <w:r>
        <w:tab/>
        <w:t xml:space="preserve">[Regulation 19 amended in Gazette 19 Jul 1956 p. 1781; 19 May 1989 p. 1495.] </w:t>
      </w:r>
    </w:p>
    <w:p>
      <w:pPr>
        <w:pStyle w:val="Heading5"/>
        <w:rPr>
          <w:snapToGrid w:val="0"/>
        </w:rPr>
      </w:pPr>
      <w:bookmarkStart w:id="29" w:name="_Toc382379923"/>
      <w:r>
        <w:rPr>
          <w:rStyle w:val="CharSectno"/>
        </w:rPr>
        <w:t>20</w:t>
      </w:r>
      <w:r>
        <w:rPr>
          <w:snapToGrid w:val="0"/>
        </w:rPr>
        <w:t>.</w:t>
      </w:r>
      <w:r>
        <w:rPr>
          <w:snapToGrid w:val="0"/>
        </w:rPr>
        <w:tab/>
        <w:t>Dangerous cargo not to be shipped without permission</w:t>
      </w:r>
      <w:bookmarkEnd w:id="29"/>
      <w:r>
        <w:rPr>
          <w:snapToGrid w:val="0"/>
        </w:rPr>
        <w:t xml:space="preserve"> </w:t>
      </w:r>
    </w:p>
    <w:p>
      <w:pPr>
        <w:pStyle w:val="Subsection"/>
        <w:rPr>
          <w:snapToGrid w:val="0"/>
        </w:rPr>
      </w:pPr>
      <w:r>
        <w:rPr>
          <w:snapToGrid w:val="0"/>
        </w:rPr>
        <w:tab/>
      </w:r>
      <w:r>
        <w:rPr>
          <w:snapToGrid w:val="0"/>
        </w:rPr>
        <w:tab/>
        <w:t>No person shall carry, send or deposit, or attempt to carry, send, or deposit, or permit to be sent, carried, or deposited on any jetty or premises of the Department, any loaded firearm or dangerous cargo which is by these regulations or any other jetty regulations now or hereafter to be in force, declared to be of a dangerous nature, or any package containing such goods, without the consent in writing of the officer in charge of such jetty, and without distinctly marking such package on the outside with a description of its contents sufficiently for its identification.</w:t>
      </w:r>
    </w:p>
    <w:p>
      <w:pPr>
        <w:pStyle w:val="Footnotesection"/>
      </w:pPr>
      <w:r>
        <w:tab/>
        <w:t xml:space="preserve">[Regulation 20 amended in Gazette 19 May 1989 p. 1495.] </w:t>
      </w:r>
    </w:p>
    <w:p>
      <w:pPr>
        <w:pStyle w:val="Heading5"/>
        <w:rPr>
          <w:snapToGrid w:val="0"/>
        </w:rPr>
      </w:pPr>
      <w:bookmarkStart w:id="30" w:name="_Toc382379924"/>
      <w:r>
        <w:rPr>
          <w:rStyle w:val="CharSectno"/>
        </w:rPr>
        <w:t>21</w:t>
      </w:r>
      <w:r>
        <w:rPr>
          <w:snapToGrid w:val="0"/>
        </w:rPr>
        <w:t>.</w:t>
      </w:r>
      <w:r>
        <w:rPr>
          <w:snapToGrid w:val="0"/>
        </w:rPr>
        <w:tab/>
        <w:t>Dangerous cargo may be refused or examined</w:t>
      </w:r>
      <w:bookmarkEnd w:id="30"/>
      <w:r>
        <w:rPr>
          <w:snapToGrid w:val="0"/>
        </w:rPr>
        <w:t xml:space="preserve"> </w:t>
      </w:r>
    </w:p>
    <w:p>
      <w:pPr>
        <w:pStyle w:val="Subsection"/>
        <w:rPr>
          <w:snapToGrid w:val="0"/>
        </w:rPr>
      </w:pPr>
      <w:r>
        <w:rPr>
          <w:snapToGrid w:val="0"/>
        </w:rPr>
        <w:tab/>
      </w:r>
      <w:r>
        <w:rPr>
          <w:snapToGrid w:val="0"/>
        </w:rPr>
        <w:tab/>
        <w:t>The officer in charge of any jetty may refuse to take any parcel which he may suspect to contain goods of a dangerous nature, or may require any parcel to be opened and examined for the purpose of ascertaining its contents.</w:t>
      </w:r>
    </w:p>
    <w:p>
      <w:pPr>
        <w:pStyle w:val="Footnotesection"/>
        <w:ind w:left="890" w:hanging="890"/>
      </w:pPr>
      <w:r>
        <w:tab/>
        <w:t xml:space="preserve">[Regulation 21 amended in Gazette 19 May 1989 p. 1495.] </w:t>
      </w:r>
    </w:p>
    <w:p>
      <w:pPr>
        <w:pStyle w:val="Heading5"/>
        <w:rPr>
          <w:snapToGrid w:val="0"/>
        </w:rPr>
      </w:pPr>
      <w:bookmarkStart w:id="31" w:name="_Toc382379925"/>
      <w:r>
        <w:rPr>
          <w:rStyle w:val="CharSectno"/>
        </w:rPr>
        <w:t>22</w:t>
      </w:r>
      <w:r>
        <w:rPr>
          <w:snapToGrid w:val="0"/>
        </w:rPr>
        <w:t>.</w:t>
      </w:r>
      <w:r>
        <w:rPr>
          <w:snapToGrid w:val="0"/>
        </w:rPr>
        <w:tab/>
        <w:t>Marking of heavy packages</w:t>
      </w:r>
      <w:bookmarkEnd w:id="31"/>
      <w:r>
        <w:rPr>
          <w:snapToGrid w:val="0"/>
        </w:rPr>
        <w:t xml:space="preserve"> </w:t>
      </w:r>
    </w:p>
    <w:p>
      <w:pPr>
        <w:pStyle w:val="Subsection"/>
        <w:rPr>
          <w:snapToGrid w:val="0"/>
        </w:rPr>
      </w:pPr>
      <w:r>
        <w:rPr>
          <w:snapToGrid w:val="0"/>
        </w:rPr>
        <w:tab/>
        <w:t>(a)</w:t>
      </w:r>
      <w:r>
        <w:rPr>
          <w:snapToGrid w:val="0"/>
        </w:rPr>
        <w:tab/>
        <w:t>Every package or article of a gross weight of 1 t or over, intended for shipment as cargo, shall, before being delivered to and received by the Department for the purpose of being loaded on to a vessel, have prominently marked thereon, or on a label securely attached thereto, in legible and non</w:t>
      </w:r>
      <w:r>
        <w:rPr>
          <w:snapToGrid w:val="0"/>
        </w:rPr>
        <w:noBreakHyphen/>
        <w:t>erasable characters not less than 25 mm in height, a statement of the approximate gross weight set out in tonnes (expressed to one decimal place) of such package or article.</w:t>
      </w:r>
    </w:p>
    <w:p>
      <w:pPr>
        <w:pStyle w:val="Subsection"/>
        <w:rPr>
          <w:snapToGrid w:val="0"/>
        </w:rPr>
      </w:pPr>
      <w:r>
        <w:rPr>
          <w:snapToGrid w:val="0"/>
        </w:rPr>
        <w:tab/>
        <w:t>(b)</w:t>
      </w:r>
      <w:r>
        <w:rPr>
          <w:snapToGrid w:val="0"/>
        </w:rPr>
        <w:tab/>
        <w:t>No package or article of cargo of a gross weight of 1 t or over shall be unloaded from any vessel on to any jetty of the Department unless and until it shall have prominently marked thereon, or upon a label securely attached thereto, in legible and non</w:t>
      </w:r>
      <w:r>
        <w:rPr>
          <w:snapToGrid w:val="0"/>
        </w:rPr>
        <w:noBreakHyphen/>
        <w:t>erasable characters not less than 25 mm in height, a statement of the approximate gross weight set out in tonnes (expressed to one decimal place) of such package or article.</w:t>
      </w:r>
    </w:p>
    <w:p>
      <w:pPr>
        <w:pStyle w:val="Subsection"/>
        <w:rPr>
          <w:snapToGrid w:val="0"/>
        </w:rPr>
      </w:pPr>
      <w:r>
        <w:rPr>
          <w:snapToGrid w:val="0"/>
        </w:rPr>
        <w:tab/>
        <w:t>(c)</w:t>
      </w:r>
      <w:r>
        <w:rPr>
          <w:snapToGrid w:val="0"/>
        </w:rPr>
        <w:tab/>
        <w:t>Provided that — </w:t>
      </w:r>
    </w:p>
    <w:p>
      <w:pPr>
        <w:pStyle w:val="Indenta"/>
        <w:rPr>
          <w:snapToGrid w:val="0"/>
        </w:rPr>
      </w:pPr>
      <w:r>
        <w:rPr>
          <w:snapToGrid w:val="0"/>
        </w:rPr>
        <w:tab/>
        <w:t>(i)</w:t>
      </w:r>
      <w:r>
        <w:rPr>
          <w:snapToGrid w:val="0"/>
        </w:rPr>
        <w:tab/>
        <w:t>in the case of articles such as logs, baulks of timber, or other articles, which by reason of their nature or place of consignment or despatch for shipment, or for any other good reason it is not practicable to weigh, but which apparently weigh more than 1 t, the gross weight of the article may be stated approximately within a limit of 1 t, that is to say, as follows: “Over 1 but under 2 t,” or as the case may be;</w:t>
      </w:r>
    </w:p>
    <w:p>
      <w:pPr>
        <w:pStyle w:val="Indenta"/>
        <w:rPr>
          <w:snapToGrid w:val="0"/>
        </w:rPr>
      </w:pPr>
      <w:r>
        <w:rPr>
          <w:snapToGrid w:val="0"/>
        </w:rPr>
        <w:tab/>
        <w:t>(ii)</w:t>
      </w:r>
      <w:r>
        <w:rPr>
          <w:snapToGrid w:val="0"/>
        </w:rPr>
        <w:tab/>
        <w:t>when it is neither practicable to weigh nor to mark or label legibly any package or article as required by paragraph (a) or paragraph (b), and such package or article is sought to be unloaded from a vessel which has conveyed the same from a place beyond Australia, and, if the package or article is not marked or labelled with the gross weight thereof to a limit of 1 t, as exemplified in subparagraph (i) then, before such package or article is unloaded from such vessel on to any jetty of the Department, the master of such vessel shall arrange for some competent person, on his behalf, to supply the officer in charge of such jetty with particulars of the approximate weight of such package or article, if the same appears to weigh more than 1 t.</w:t>
      </w:r>
    </w:p>
    <w:p>
      <w:pPr>
        <w:pStyle w:val="Footnotesection"/>
      </w:pPr>
      <w:r>
        <w:tab/>
        <w:t xml:space="preserve">[Regulation 22 amended in Gazette 15 Jun 1973 p. 2237; 19 May 1989 p. 1495.] </w:t>
      </w:r>
    </w:p>
    <w:p>
      <w:pPr>
        <w:pStyle w:val="Heading5"/>
        <w:rPr>
          <w:snapToGrid w:val="0"/>
        </w:rPr>
      </w:pPr>
      <w:bookmarkStart w:id="32" w:name="_Toc382379926"/>
      <w:r>
        <w:rPr>
          <w:rStyle w:val="CharSectno"/>
        </w:rPr>
        <w:t>23</w:t>
      </w:r>
      <w:r>
        <w:rPr>
          <w:snapToGrid w:val="0"/>
        </w:rPr>
        <w:t>.</w:t>
      </w:r>
      <w:r>
        <w:rPr>
          <w:snapToGrid w:val="0"/>
        </w:rPr>
        <w:tab/>
        <w:t>False statements</w:t>
      </w:r>
      <w:bookmarkEnd w:id="32"/>
      <w:r>
        <w:rPr>
          <w:snapToGrid w:val="0"/>
        </w:rPr>
        <w:t xml:space="preserve"> </w:t>
      </w:r>
    </w:p>
    <w:p>
      <w:pPr>
        <w:pStyle w:val="Subsection"/>
        <w:rPr>
          <w:snapToGrid w:val="0"/>
        </w:rPr>
      </w:pPr>
      <w:r>
        <w:rPr>
          <w:snapToGrid w:val="0"/>
        </w:rPr>
        <w:tab/>
      </w:r>
      <w:r>
        <w:rPr>
          <w:snapToGrid w:val="0"/>
        </w:rPr>
        <w:tab/>
        <w:t>No person shall make a false statement as to the nature, quantity, weight, measurement, value or otherwise of any goods delivered upon any jetty or premises of the Department in any consignment note, waybill, exemption declaration, or other document which under any regulation now or which shall hereafter be in force he is required to deliver in respect to such goods.</w:t>
      </w:r>
    </w:p>
    <w:p>
      <w:pPr>
        <w:pStyle w:val="Footnotesection"/>
      </w:pPr>
      <w:r>
        <w:tab/>
        <w:t xml:space="preserve">[Regulation 23 amended in Gazette 19 May 1989 p. 1495.] </w:t>
      </w:r>
    </w:p>
    <w:p>
      <w:pPr>
        <w:pStyle w:val="Heading3"/>
        <w:rPr>
          <w:snapToGrid w:val="0"/>
        </w:rPr>
      </w:pPr>
      <w:bookmarkStart w:id="33" w:name="_Toc382379927"/>
      <w:r>
        <w:rPr>
          <w:rStyle w:val="CharDivNo"/>
        </w:rPr>
        <w:t>Division 6</w:t>
      </w:r>
      <w:r>
        <w:rPr>
          <w:snapToGrid w:val="0"/>
        </w:rPr>
        <w:t> — </w:t>
      </w:r>
      <w:r>
        <w:rPr>
          <w:rStyle w:val="CharDivText"/>
        </w:rPr>
        <w:t>Receipt, delivery and storage of cargo</w:t>
      </w:r>
      <w:bookmarkEnd w:id="33"/>
      <w:r>
        <w:rPr>
          <w:rStyle w:val="CharDivText"/>
        </w:rPr>
        <w:t xml:space="preserve"> </w:t>
      </w:r>
    </w:p>
    <w:p>
      <w:pPr>
        <w:pStyle w:val="Footnoteheading"/>
      </w:pPr>
      <w:r>
        <w:tab/>
        <w:t xml:space="preserve">[Heading inserted in Gazette 19 May 1989 p. 1494.] </w:t>
      </w:r>
    </w:p>
    <w:p>
      <w:pPr>
        <w:pStyle w:val="Heading5"/>
        <w:spacing w:before="160"/>
        <w:rPr>
          <w:snapToGrid w:val="0"/>
        </w:rPr>
      </w:pPr>
      <w:bookmarkStart w:id="34" w:name="_Toc382379928"/>
      <w:r>
        <w:rPr>
          <w:rStyle w:val="CharSectno"/>
        </w:rPr>
        <w:t>24</w:t>
      </w:r>
      <w:r>
        <w:rPr>
          <w:snapToGrid w:val="0"/>
        </w:rPr>
        <w:t>.</w:t>
      </w:r>
      <w:r>
        <w:rPr>
          <w:snapToGrid w:val="0"/>
        </w:rPr>
        <w:tab/>
        <w:t>Removal of cargo</w:t>
      </w:r>
      <w:bookmarkEnd w:id="34"/>
      <w:r>
        <w:rPr>
          <w:snapToGrid w:val="0"/>
        </w:rPr>
        <w:t xml:space="preserve"> </w:t>
      </w:r>
    </w:p>
    <w:p>
      <w:pPr>
        <w:pStyle w:val="Subsection"/>
        <w:rPr>
          <w:snapToGrid w:val="0"/>
        </w:rPr>
      </w:pPr>
      <w:r>
        <w:rPr>
          <w:snapToGrid w:val="0"/>
        </w:rPr>
        <w:tab/>
        <w:t>(1)</w:t>
      </w:r>
      <w:r>
        <w:rPr>
          <w:snapToGrid w:val="0"/>
        </w:rPr>
        <w:tab/>
        <w:t>The officer in charge shall, as early as possible, remove all cargo landed on a jetty to the goods shed, or other convenient place.</w:t>
      </w:r>
    </w:p>
    <w:p>
      <w:pPr>
        <w:pStyle w:val="Subsection"/>
        <w:keepNext/>
        <w:keepLines/>
        <w:rPr>
          <w:snapToGrid w:val="0"/>
        </w:rPr>
      </w:pPr>
      <w:r>
        <w:rPr>
          <w:snapToGrid w:val="0"/>
        </w:rPr>
        <w:tab/>
        <w:t>(2)</w:t>
      </w:r>
      <w:r>
        <w:rPr>
          <w:snapToGrid w:val="0"/>
        </w:rPr>
        <w:tab/>
        <w:t>Subject to subregulation (3) a consignee shall take delivery of and remove his cargo from the goods shed or yard within 3 days of the cargo being received into the goods shed or yard unless otherwise directed by the Minister.</w:t>
      </w:r>
    </w:p>
    <w:p>
      <w:pPr>
        <w:pStyle w:val="Subsection"/>
        <w:rPr>
          <w:snapToGrid w:val="0"/>
        </w:rPr>
      </w:pPr>
      <w:r>
        <w:rPr>
          <w:snapToGrid w:val="0"/>
        </w:rPr>
        <w:tab/>
        <w:t>(3)</w:t>
      </w:r>
      <w:r>
        <w:rPr>
          <w:snapToGrid w:val="0"/>
        </w:rPr>
        <w:tab/>
        <w:t xml:space="preserve">Cargo consigned through the ports of </w:t>
      </w:r>
      <w:smartTag w:uri="urn:schemas-microsoft-com:office:smarttags" w:element="place">
        <w:smartTag w:uri="urn:schemas-microsoft-com:office:smarttags" w:element="City">
          <w:r>
            <w:rPr>
              <w:snapToGrid w:val="0"/>
            </w:rPr>
            <w:t>Derby</w:t>
          </w:r>
        </w:smartTag>
      </w:smartTag>
      <w:r>
        <w:rPr>
          <w:snapToGrid w:val="0"/>
        </w:rPr>
        <w:t xml:space="preserve"> and Wyndham for delivery to stations or other isolated consignees outside those townsites, shall take delivery of and remove their cargo from the goods shed or yard within 7 days of it being received into the goods shed or yard.</w:t>
      </w:r>
    </w:p>
    <w:p>
      <w:pPr>
        <w:pStyle w:val="Footnotesection"/>
      </w:pPr>
      <w:r>
        <w:tab/>
        <w:t xml:space="preserve">[Regulation 24 inserted in Gazette 19 Oct 1973 p. 3818; amended in Gazette 19 May 1989 p. 1495; 20 Jun 2000 p. 3044.] </w:t>
      </w:r>
    </w:p>
    <w:p>
      <w:pPr>
        <w:pStyle w:val="Heading5"/>
        <w:spacing w:before="180"/>
        <w:rPr>
          <w:snapToGrid w:val="0"/>
        </w:rPr>
      </w:pPr>
      <w:bookmarkStart w:id="35" w:name="_Toc382379929"/>
      <w:r>
        <w:rPr>
          <w:rStyle w:val="CharSectno"/>
        </w:rPr>
        <w:t>25</w:t>
      </w:r>
      <w:r>
        <w:rPr>
          <w:snapToGrid w:val="0"/>
        </w:rPr>
        <w:t>.</w:t>
      </w:r>
      <w:r>
        <w:rPr>
          <w:snapToGrid w:val="0"/>
        </w:rPr>
        <w:tab/>
        <w:t>Storage charges</w:t>
      </w:r>
      <w:bookmarkEnd w:id="35"/>
      <w:r>
        <w:rPr>
          <w:snapToGrid w:val="0"/>
        </w:rPr>
        <w:t xml:space="preserve"> </w:t>
      </w:r>
    </w:p>
    <w:p>
      <w:pPr>
        <w:pStyle w:val="Subsection"/>
        <w:rPr>
          <w:snapToGrid w:val="0"/>
        </w:rPr>
      </w:pPr>
      <w:r>
        <w:rPr>
          <w:snapToGrid w:val="0"/>
        </w:rPr>
        <w:tab/>
        <w:t>(1)</w:t>
      </w:r>
      <w:r>
        <w:rPr>
          <w:snapToGrid w:val="0"/>
        </w:rPr>
        <w:tab/>
        <w:t xml:space="preserve">Subject to these regulations, where goods have not been removed from a jetty, shed or yard within the time prescribed by these regulations the storage charges set out in </w:t>
      </w:r>
      <w:r>
        <w:t xml:space="preserve">Schedule 1 </w:t>
      </w:r>
      <w:r>
        <w:rPr>
          <w:snapToGrid w:val="0"/>
        </w:rPr>
        <w:t>shall be payable to the officer in charge.</w:t>
      </w:r>
    </w:p>
    <w:p>
      <w:pPr>
        <w:pStyle w:val="Subsection"/>
        <w:rPr>
          <w:snapToGrid w:val="0"/>
        </w:rPr>
      </w:pPr>
      <w:r>
        <w:rPr>
          <w:snapToGrid w:val="0"/>
        </w:rPr>
        <w:tab/>
        <w:t>(1a)</w:t>
      </w:r>
      <w:r>
        <w:rPr>
          <w:snapToGrid w:val="0"/>
        </w:rPr>
        <w:tab/>
        <w:t>For the purposes of calculating storage charges set out in</w:t>
      </w:r>
      <w:r>
        <w:t xml:space="preserve"> Schedule 1</w:t>
      </w:r>
      <w:r>
        <w:rPr>
          <w:snapToGrid w:val="0"/>
        </w:rPr>
        <w:t> — </w:t>
      </w:r>
    </w:p>
    <w:p>
      <w:pPr>
        <w:pStyle w:val="Indenta"/>
        <w:rPr>
          <w:snapToGrid w:val="0"/>
        </w:rPr>
      </w:pPr>
      <w:r>
        <w:rPr>
          <w:snapToGrid w:val="0"/>
        </w:rPr>
        <w:tab/>
        <w:t>(a)</w:t>
      </w:r>
      <w:r>
        <w:rPr>
          <w:snapToGrid w:val="0"/>
        </w:rPr>
        <w:tab/>
        <w:t>a fraction of a tonne shall be deemed to be a tonne; and</w:t>
      </w:r>
    </w:p>
    <w:p>
      <w:pPr>
        <w:pStyle w:val="Indenta"/>
        <w:rPr>
          <w:snapToGrid w:val="0"/>
        </w:rPr>
      </w:pPr>
      <w:r>
        <w:rPr>
          <w:snapToGrid w:val="0"/>
        </w:rPr>
        <w:tab/>
        <w:t>(b)</w:t>
      </w:r>
      <w:r>
        <w:rPr>
          <w:snapToGrid w:val="0"/>
        </w:rPr>
        <w:tab/>
        <w:t>a fraction of a cubic metre shall be deemed to be a cubic metre; and</w:t>
      </w:r>
    </w:p>
    <w:p>
      <w:pPr>
        <w:pStyle w:val="Indenta"/>
        <w:rPr>
          <w:snapToGrid w:val="0"/>
        </w:rPr>
      </w:pPr>
      <w:r>
        <w:rPr>
          <w:snapToGrid w:val="0"/>
        </w:rPr>
        <w:tab/>
        <w:t>(c)</w:t>
      </w:r>
      <w:r>
        <w:rPr>
          <w:snapToGrid w:val="0"/>
        </w:rPr>
        <w:tab/>
        <w:t>a fraction of a kilolitre shall be deemed to be a kilolitre; and</w:t>
      </w:r>
    </w:p>
    <w:p>
      <w:pPr>
        <w:pStyle w:val="Indenta"/>
        <w:rPr>
          <w:snapToGrid w:val="0"/>
        </w:rPr>
      </w:pPr>
      <w:r>
        <w:rPr>
          <w:snapToGrid w:val="0"/>
        </w:rPr>
        <w:tab/>
        <w:t>(d)</w:t>
      </w:r>
      <w:r>
        <w:rPr>
          <w:snapToGrid w:val="0"/>
        </w:rPr>
        <w:tab/>
        <w:t>a part of a week shall be reckoned as one week.</w:t>
      </w:r>
    </w:p>
    <w:p>
      <w:pPr>
        <w:pStyle w:val="Subsection"/>
        <w:rPr>
          <w:snapToGrid w:val="0"/>
        </w:rPr>
      </w:pPr>
      <w:r>
        <w:rPr>
          <w:snapToGrid w:val="0"/>
        </w:rPr>
        <w:tab/>
        <w:t>(2)</w:t>
      </w:r>
      <w:r>
        <w:rPr>
          <w:snapToGrid w:val="0"/>
        </w:rPr>
        <w:tab/>
        <w:t>If the consignee or owner hands to the Department an indemnity in the form provided and approved by the officer in charge, relieving the Department from all liability, the storage charges on goods for which goods shed accommodation is not provided, and which are not protected from the weather, may be reduced by one</w:t>
      </w:r>
      <w:r>
        <w:rPr>
          <w:snapToGrid w:val="0"/>
        </w:rPr>
        <w:noBreakHyphen/>
        <w:t>half.</w:t>
      </w:r>
    </w:p>
    <w:p>
      <w:pPr>
        <w:pStyle w:val="Subsection"/>
        <w:rPr>
          <w:snapToGrid w:val="0"/>
        </w:rPr>
      </w:pPr>
      <w:r>
        <w:rPr>
          <w:snapToGrid w:val="0"/>
        </w:rPr>
        <w:tab/>
        <w:t>(3)</w:t>
      </w:r>
      <w:r>
        <w:rPr>
          <w:snapToGrid w:val="0"/>
        </w:rPr>
        <w:tab/>
        <w:t>Notwithstanding anything herein contained, the officer in charge may remove or order the removal of all or any goods at any time after the time hereinbefore appointed for their removal by the consignee, and in the event of such goods being removed by or on the orders of the officer in charge the Department shall not be responsible for any loss, damage or injury whatsoever or howsoever occasioned to the goods by reason of their being removed into the open.</w:t>
      </w:r>
    </w:p>
    <w:p>
      <w:pPr>
        <w:pStyle w:val="Footnotesection"/>
      </w:pPr>
      <w:r>
        <w:tab/>
        <w:t xml:space="preserve">[Regulation 25 inserted in Gazette 19 Oct 1973 p. 3818; amended in Gazette 9 Nov 1973 p. 4192; 5 Aug 1983 p. 2834; 8 Aug 1986 p. 2828; 19 May 1989 p. 1495; 30 Jun 1989 p. 917; 1 Aug 1990 p. 3633; 29 Jun 1993 p. 3192; 14 Jun 1994 p. 2476; 30 Jun 1995 p. 2699; 27 Jun 1997 p. 3152; 24 Jun 2005 p. 2817.] </w:t>
      </w:r>
    </w:p>
    <w:p>
      <w:pPr>
        <w:pStyle w:val="Ednotesection"/>
      </w:pPr>
      <w:r>
        <w:t>[</w:t>
      </w:r>
      <w:r>
        <w:rPr>
          <w:b/>
        </w:rPr>
        <w:t>25A.</w:t>
      </w:r>
      <w:r>
        <w:tab/>
        <w:t xml:space="preserve">Deleted in Gazette 24 Nov 1972 p. 4487.] </w:t>
      </w:r>
    </w:p>
    <w:p>
      <w:pPr>
        <w:pStyle w:val="Heading5"/>
        <w:rPr>
          <w:snapToGrid w:val="0"/>
        </w:rPr>
      </w:pPr>
      <w:bookmarkStart w:id="36" w:name="_Toc382379930"/>
      <w:r>
        <w:rPr>
          <w:rStyle w:val="CharSectno"/>
        </w:rPr>
        <w:t>26</w:t>
      </w:r>
      <w:r>
        <w:rPr>
          <w:snapToGrid w:val="0"/>
        </w:rPr>
        <w:t>.</w:t>
      </w:r>
      <w:r>
        <w:rPr>
          <w:snapToGrid w:val="0"/>
        </w:rPr>
        <w:tab/>
        <w:t>Department not bound to find storage accommodation</w:t>
      </w:r>
      <w:bookmarkEnd w:id="36"/>
      <w:r>
        <w:rPr>
          <w:snapToGrid w:val="0"/>
        </w:rPr>
        <w:t xml:space="preserve"> </w:t>
      </w:r>
    </w:p>
    <w:p>
      <w:pPr>
        <w:pStyle w:val="Subsection"/>
        <w:rPr>
          <w:snapToGrid w:val="0"/>
        </w:rPr>
      </w:pPr>
      <w:r>
        <w:rPr>
          <w:snapToGrid w:val="0"/>
        </w:rPr>
        <w:tab/>
      </w:r>
      <w:r>
        <w:rPr>
          <w:snapToGrid w:val="0"/>
        </w:rPr>
        <w:tab/>
        <w:t>The Department shall not be bound to find storage room for any goods, either in any shed or on any jetty. After notification to the owners, shippers, or consignees of any goods, or to the vessel’s agent, that room is not available for the storage of such goods within a shed, or that such goods are owing to their character not permitted by some authority other than the Department to be stored in a shed, the Department shall not be held responsible for any loss or damage that may accrue to the goods, by the elements or otherwise during the time they remain on the Department’s premises.</w:t>
      </w:r>
    </w:p>
    <w:p>
      <w:pPr>
        <w:pStyle w:val="Footnotesection"/>
      </w:pPr>
      <w:r>
        <w:tab/>
        <w:t xml:space="preserve">[Regulation 26 amended in Gazette 19 May 1989 p. 1495.] </w:t>
      </w:r>
    </w:p>
    <w:p>
      <w:pPr>
        <w:pStyle w:val="Heading5"/>
        <w:rPr>
          <w:snapToGrid w:val="0"/>
        </w:rPr>
      </w:pPr>
      <w:bookmarkStart w:id="37" w:name="_Toc382379931"/>
      <w:r>
        <w:rPr>
          <w:rStyle w:val="CharSectno"/>
        </w:rPr>
        <w:t>27</w:t>
      </w:r>
      <w:r>
        <w:rPr>
          <w:snapToGrid w:val="0"/>
        </w:rPr>
        <w:t>.</w:t>
      </w:r>
      <w:r>
        <w:rPr>
          <w:snapToGrid w:val="0"/>
        </w:rPr>
        <w:tab/>
        <w:t>Goods may be disposed of</w:t>
      </w:r>
      <w:bookmarkEnd w:id="37"/>
      <w:r>
        <w:rPr>
          <w:snapToGrid w:val="0"/>
        </w:rPr>
        <w:t xml:space="preserve"> </w:t>
      </w:r>
    </w:p>
    <w:p>
      <w:pPr>
        <w:pStyle w:val="Subsection"/>
        <w:rPr>
          <w:snapToGrid w:val="0"/>
        </w:rPr>
      </w:pPr>
      <w:r>
        <w:rPr>
          <w:snapToGrid w:val="0"/>
        </w:rPr>
        <w:tab/>
      </w:r>
      <w:r>
        <w:rPr>
          <w:snapToGrid w:val="0"/>
        </w:rPr>
        <w:tab/>
        <w:t>The officer in charge shall (unless an agreement has been made by the consignee with him to the contrary) be at liberty to sell by public auction any goods which have been left on the premises of the Department for a period exceeding 6 months, and out of the proceeds of such sale shall pay to the Department all charges due, and the balance of such proceeds, after deducting any expenses incurred by such sale, shall be paid by the officer in charge into the Trust Fund, and be refunded to the owner of the goods on demand.</w:t>
      </w:r>
    </w:p>
    <w:p>
      <w:pPr>
        <w:pStyle w:val="Footnotesection"/>
      </w:pPr>
      <w:r>
        <w:tab/>
        <w:t xml:space="preserve">[Regulation 27 amended in Gazette 19 May 1989 p. 1495.] </w:t>
      </w:r>
    </w:p>
    <w:p>
      <w:pPr>
        <w:pStyle w:val="Heading5"/>
        <w:spacing w:before="180"/>
        <w:rPr>
          <w:snapToGrid w:val="0"/>
        </w:rPr>
      </w:pPr>
      <w:bookmarkStart w:id="38" w:name="_Toc382379932"/>
      <w:r>
        <w:rPr>
          <w:rStyle w:val="CharSectno"/>
        </w:rPr>
        <w:t>28</w:t>
      </w:r>
      <w:r>
        <w:rPr>
          <w:snapToGrid w:val="0"/>
        </w:rPr>
        <w:t>.</w:t>
      </w:r>
      <w:r>
        <w:rPr>
          <w:snapToGrid w:val="0"/>
        </w:rPr>
        <w:tab/>
        <w:t>Goods to be checked before delivery</w:t>
      </w:r>
      <w:bookmarkEnd w:id="38"/>
      <w:r>
        <w:rPr>
          <w:snapToGrid w:val="0"/>
        </w:rPr>
        <w:t xml:space="preserve"> </w:t>
      </w:r>
    </w:p>
    <w:p>
      <w:pPr>
        <w:pStyle w:val="Subsection"/>
        <w:rPr>
          <w:snapToGrid w:val="0"/>
        </w:rPr>
      </w:pPr>
      <w:r>
        <w:rPr>
          <w:snapToGrid w:val="0"/>
        </w:rPr>
        <w:tab/>
      </w:r>
      <w:r>
        <w:rPr>
          <w:snapToGrid w:val="0"/>
        </w:rPr>
        <w:tab/>
        <w:t>No person shall remove any goods or luggage from any jetty or shed without first satisfying the officer in charge of his right to do so; and shall, before removing same, sign for such goods or luggage to the officer in charge.</w:t>
      </w:r>
    </w:p>
    <w:p>
      <w:pPr>
        <w:pStyle w:val="Footnotesection"/>
      </w:pPr>
      <w:r>
        <w:tab/>
        <w:t xml:space="preserve">[Regulation 28 amended in Gazette 19 May 1989 p. 1495.] </w:t>
      </w:r>
    </w:p>
    <w:p>
      <w:pPr>
        <w:pStyle w:val="Heading5"/>
        <w:rPr>
          <w:snapToGrid w:val="0"/>
        </w:rPr>
      </w:pPr>
      <w:bookmarkStart w:id="39" w:name="_Toc382379933"/>
      <w:r>
        <w:rPr>
          <w:rStyle w:val="CharSectno"/>
        </w:rPr>
        <w:t>29</w:t>
      </w:r>
      <w:r>
        <w:rPr>
          <w:snapToGrid w:val="0"/>
        </w:rPr>
        <w:t>.</w:t>
      </w:r>
      <w:r>
        <w:rPr>
          <w:snapToGrid w:val="0"/>
        </w:rPr>
        <w:tab/>
        <w:t>Delay in delivery</w:t>
      </w:r>
      <w:bookmarkEnd w:id="39"/>
      <w:r>
        <w:rPr>
          <w:snapToGrid w:val="0"/>
        </w:rPr>
        <w:t xml:space="preserve"> </w:t>
      </w:r>
    </w:p>
    <w:p>
      <w:pPr>
        <w:pStyle w:val="Subsection"/>
        <w:rPr>
          <w:snapToGrid w:val="0"/>
        </w:rPr>
      </w:pPr>
      <w:r>
        <w:rPr>
          <w:snapToGrid w:val="0"/>
        </w:rPr>
        <w:tab/>
      </w:r>
      <w:r>
        <w:rPr>
          <w:snapToGrid w:val="0"/>
        </w:rPr>
        <w:tab/>
        <w:t>The Department will not be responsible for any claim arising from delay in the delivery of goods from any cause whatsoever.</w:t>
      </w:r>
    </w:p>
    <w:p>
      <w:pPr>
        <w:pStyle w:val="Footnotesection"/>
      </w:pPr>
      <w:r>
        <w:tab/>
        <w:t xml:space="preserve">[Regulation 29 amended in Gazette 19 May 1989 p. 1495.] </w:t>
      </w:r>
    </w:p>
    <w:p>
      <w:pPr>
        <w:pStyle w:val="Heading5"/>
        <w:rPr>
          <w:snapToGrid w:val="0"/>
        </w:rPr>
      </w:pPr>
      <w:bookmarkStart w:id="40" w:name="_Toc382379934"/>
      <w:r>
        <w:rPr>
          <w:rStyle w:val="CharSectno"/>
        </w:rPr>
        <w:t>30</w:t>
      </w:r>
      <w:r>
        <w:rPr>
          <w:snapToGrid w:val="0"/>
        </w:rPr>
        <w:t>.</w:t>
      </w:r>
      <w:r>
        <w:rPr>
          <w:snapToGrid w:val="0"/>
        </w:rPr>
        <w:tab/>
        <w:t>Wrong delivery</w:t>
      </w:r>
      <w:bookmarkEnd w:id="40"/>
      <w:r>
        <w:rPr>
          <w:snapToGrid w:val="0"/>
        </w:rPr>
        <w:t xml:space="preserve"> </w:t>
      </w:r>
    </w:p>
    <w:p>
      <w:pPr>
        <w:pStyle w:val="Subsection"/>
        <w:rPr>
          <w:snapToGrid w:val="0"/>
        </w:rPr>
      </w:pPr>
      <w:r>
        <w:rPr>
          <w:snapToGrid w:val="0"/>
        </w:rPr>
        <w:tab/>
      </w:r>
      <w:r>
        <w:rPr>
          <w:snapToGrid w:val="0"/>
        </w:rPr>
        <w:tab/>
        <w:t>The Department will not be responsible for the wrong or non</w:t>
      </w:r>
      <w:r>
        <w:rPr>
          <w:snapToGrid w:val="0"/>
        </w:rPr>
        <w:noBreakHyphen/>
        <w:t>delivery of goods which are erroneously or deficiently marked, or which have numerous old or imperfectly erased marks thereon.</w:t>
      </w:r>
    </w:p>
    <w:p>
      <w:pPr>
        <w:pStyle w:val="Footnotesection"/>
      </w:pPr>
      <w:r>
        <w:tab/>
        <w:t xml:space="preserve">[Regulation 30 amended in Gazette 19 May 1989 p. 1495.] </w:t>
      </w:r>
    </w:p>
    <w:p>
      <w:pPr>
        <w:pStyle w:val="Heading3"/>
        <w:rPr>
          <w:snapToGrid w:val="0"/>
        </w:rPr>
      </w:pPr>
      <w:bookmarkStart w:id="41" w:name="_Toc382379935"/>
      <w:r>
        <w:rPr>
          <w:rStyle w:val="CharDivNo"/>
        </w:rPr>
        <w:t>Division 7</w:t>
      </w:r>
      <w:r>
        <w:rPr>
          <w:snapToGrid w:val="0"/>
        </w:rPr>
        <w:t> — </w:t>
      </w:r>
      <w:r>
        <w:rPr>
          <w:rStyle w:val="CharDivText"/>
        </w:rPr>
        <w:t>Responsibility of Department</w:t>
      </w:r>
      <w:bookmarkEnd w:id="41"/>
      <w:r>
        <w:rPr>
          <w:rStyle w:val="CharDivText"/>
        </w:rPr>
        <w:t xml:space="preserve"> </w:t>
      </w:r>
    </w:p>
    <w:p>
      <w:pPr>
        <w:pStyle w:val="Footnoteheading"/>
      </w:pPr>
      <w:r>
        <w:tab/>
        <w:t xml:space="preserve">[Heading inserted in Gazette of 19 May 1989 p. 1494.] </w:t>
      </w:r>
    </w:p>
    <w:p>
      <w:pPr>
        <w:pStyle w:val="Heading5"/>
        <w:spacing w:before="180"/>
        <w:rPr>
          <w:snapToGrid w:val="0"/>
        </w:rPr>
      </w:pPr>
      <w:bookmarkStart w:id="42" w:name="_Toc382379936"/>
      <w:r>
        <w:rPr>
          <w:rStyle w:val="CharSectno"/>
        </w:rPr>
        <w:t>31</w:t>
      </w:r>
      <w:r>
        <w:rPr>
          <w:snapToGrid w:val="0"/>
        </w:rPr>
        <w:t>.</w:t>
      </w:r>
      <w:r>
        <w:rPr>
          <w:snapToGrid w:val="0"/>
        </w:rPr>
        <w:tab/>
        <w:t>Custody of cargo</w:t>
      </w:r>
      <w:bookmarkEnd w:id="42"/>
      <w:r>
        <w:rPr>
          <w:snapToGrid w:val="0"/>
        </w:rPr>
        <w:t xml:space="preserve"> </w:t>
      </w:r>
    </w:p>
    <w:p>
      <w:pPr>
        <w:pStyle w:val="Subsection"/>
        <w:rPr>
          <w:snapToGrid w:val="0"/>
        </w:rPr>
      </w:pPr>
      <w:r>
        <w:rPr>
          <w:snapToGrid w:val="0"/>
        </w:rPr>
        <w:tab/>
        <w:t>(a)</w:t>
      </w:r>
      <w:r>
        <w:rPr>
          <w:snapToGrid w:val="0"/>
        </w:rPr>
        <w:tab/>
        <w:t>Inward cargo shall not for any purpose whatever be deemed to be in the custody of the officer in charge until the sling is released from the ship’s crane or hoisting hook, or deposited on the jetty or conveyance provided by the officer in charge to receive the same.</w:t>
      </w:r>
    </w:p>
    <w:p>
      <w:pPr>
        <w:pStyle w:val="Subsection"/>
        <w:rPr>
          <w:snapToGrid w:val="0"/>
        </w:rPr>
      </w:pPr>
      <w:r>
        <w:rPr>
          <w:snapToGrid w:val="0"/>
        </w:rPr>
        <w:tab/>
        <w:t>(b)</w:t>
      </w:r>
      <w:r>
        <w:rPr>
          <w:snapToGrid w:val="0"/>
        </w:rPr>
        <w:tab/>
        <w:t>Outward cargo shall be deemed to be in the custody of the vessel when the vessel’s crane, or hoisting hook, is inserted in the sling.</w:t>
      </w:r>
    </w:p>
    <w:p>
      <w:pPr>
        <w:pStyle w:val="Footnotesection"/>
      </w:pPr>
      <w:r>
        <w:tab/>
        <w:t xml:space="preserve">[Regulation 31 amended in Gazette 19 May 1989 p. 1495.] </w:t>
      </w:r>
    </w:p>
    <w:p>
      <w:pPr>
        <w:pStyle w:val="Heading5"/>
        <w:spacing w:before="180"/>
        <w:rPr>
          <w:snapToGrid w:val="0"/>
        </w:rPr>
      </w:pPr>
      <w:bookmarkStart w:id="43" w:name="_Toc382379937"/>
      <w:r>
        <w:rPr>
          <w:rStyle w:val="CharSectno"/>
        </w:rPr>
        <w:t>32</w:t>
      </w:r>
      <w:r>
        <w:rPr>
          <w:snapToGrid w:val="0"/>
        </w:rPr>
        <w:t>.</w:t>
      </w:r>
      <w:r>
        <w:rPr>
          <w:snapToGrid w:val="0"/>
        </w:rPr>
        <w:tab/>
        <w:t>Goods without receipts</w:t>
      </w:r>
      <w:bookmarkEnd w:id="43"/>
      <w:r>
        <w:rPr>
          <w:snapToGrid w:val="0"/>
        </w:rPr>
        <w:t xml:space="preserve"> </w:t>
      </w:r>
    </w:p>
    <w:p>
      <w:pPr>
        <w:pStyle w:val="Subsection"/>
        <w:rPr>
          <w:snapToGrid w:val="0"/>
        </w:rPr>
      </w:pPr>
      <w:r>
        <w:rPr>
          <w:snapToGrid w:val="0"/>
        </w:rPr>
        <w:tab/>
      </w:r>
      <w:r>
        <w:rPr>
          <w:snapToGrid w:val="0"/>
        </w:rPr>
        <w:tab/>
        <w:t>No goods for which receipts have not been given by the Department shall be deemed, for any purpose, to be in the custody of the Department as wharfingers, nor shall the Department be responsible for the safe custody, or for any loss or damage that may accrue to same in any manner whatsoever.</w:t>
      </w:r>
    </w:p>
    <w:p>
      <w:pPr>
        <w:pStyle w:val="Footnotesection"/>
      </w:pPr>
      <w:r>
        <w:tab/>
        <w:t xml:space="preserve">[Regulation 32 amended in Gazette 19 May 1989 p. 1495.] </w:t>
      </w:r>
    </w:p>
    <w:p>
      <w:pPr>
        <w:pStyle w:val="Heading5"/>
        <w:spacing w:before="180"/>
        <w:rPr>
          <w:snapToGrid w:val="0"/>
        </w:rPr>
      </w:pPr>
      <w:bookmarkStart w:id="44" w:name="_Toc382379938"/>
      <w:r>
        <w:rPr>
          <w:rStyle w:val="CharSectno"/>
        </w:rPr>
        <w:t>33</w:t>
      </w:r>
      <w:r>
        <w:rPr>
          <w:snapToGrid w:val="0"/>
        </w:rPr>
        <w:t>.</w:t>
      </w:r>
      <w:r>
        <w:rPr>
          <w:snapToGrid w:val="0"/>
        </w:rPr>
        <w:tab/>
        <w:t>Goods stacked on jetties</w:t>
      </w:r>
      <w:bookmarkEnd w:id="44"/>
      <w:r>
        <w:rPr>
          <w:snapToGrid w:val="0"/>
        </w:rPr>
        <w:t xml:space="preserve"> </w:t>
      </w:r>
    </w:p>
    <w:p>
      <w:pPr>
        <w:pStyle w:val="Subsection"/>
        <w:rPr>
          <w:snapToGrid w:val="0"/>
        </w:rPr>
      </w:pPr>
      <w:r>
        <w:rPr>
          <w:snapToGrid w:val="0"/>
        </w:rPr>
        <w:tab/>
      </w:r>
      <w:r>
        <w:rPr>
          <w:snapToGrid w:val="0"/>
        </w:rPr>
        <w:tab/>
        <w:t>The Department and the officer in charge shall not be liable for any loss, damage, or injury whatsoever or howsoever occasioned to any goods stacked on any jetty for the convenience of owners, consignors, or consignees, unless such loss, damage, or injury is proved to have been occasioned by the wilful misconduct of some officer of the Department.</w:t>
      </w:r>
    </w:p>
    <w:p>
      <w:pPr>
        <w:pStyle w:val="Footnotesection"/>
      </w:pPr>
      <w:r>
        <w:tab/>
        <w:t xml:space="preserve">[Regulation 33 amended in Gazette 19 May 1989 p. 1495.] </w:t>
      </w:r>
    </w:p>
    <w:p>
      <w:pPr>
        <w:pStyle w:val="Heading5"/>
        <w:rPr>
          <w:snapToGrid w:val="0"/>
        </w:rPr>
      </w:pPr>
      <w:bookmarkStart w:id="45" w:name="_Toc382379939"/>
      <w:r>
        <w:rPr>
          <w:rStyle w:val="CharSectno"/>
        </w:rPr>
        <w:t>34</w:t>
      </w:r>
      <w:r>
        <w:rPr>
          <w:snapToGrid w:val="0"/>
        </w:rPr>
        <w:t>.</w:t>
      </w:r>
      <w:r>
        <w:rPr>
          <w:snapToGrid w:val="0"/>
        </w:rPr>
        <w:tab/>
        <w:t>Cargo damaged by fire etc.</w:t>
      </w:r>
      <w:bookmarkEnd w:id="45"/>
      <w:r>
        <w:rPr>
          <w:snapToGrid w:val="0"/>
        </w:rPr>
        <w:t xml:space="preserve"> </w:t>
      </w:r>
    </w:p>
    <w:p>
      <w:pPr>
        <w:pStyle w:val="Subsection"/>
        <w:rPr>
          <w:snapToGrid w:val="0"/>
        </w:rPr>
      </w:pPr>
      <w:r>
        <w:rPr>
          <w:snapToGrid w:val="0"/>
        </w:rPr>
        <w:tab/>
      </w:r>
      <w:r>
        <w:rPr>
          <w:snapToGrid w:val="0"/>
        </w:rPr>
        <w:tab/>
        <w:t>The Department shall not be responsible for loss or damage to goods while in their custody, by fire, water used in extinguishing fire, or vermin.</w:t>
      </w:r>
    </w:p>
    <w:p>
      <w:pPr>
        <w:pStyle w:val="Footnotesection"/>
      </w:pPr>
      <w:r>
        <w:tab/>
        <w:t xml:space="preserve">[Regulation 34 amended in Gazette 19 May 1989 p. 1495.] </w:t>
      </w:r>
    </w:p>
    <w:p>
      <w:pPr>
        <w:pStyle w:val="Heading5"/>
        <w:rPr>
          <w:snapToGrid w:val="0"/>
        </w:rPr>
      </w:pPr>
      <w:bookmarkStart w:id="46" w:name="_Toc382379940"/>
      <w:r>
        <w:rPr>
          <w:rStyle w:val="CharSectno"/>
        </w:rPr>
        <w:t>35</w:t>
      </w:r>
      <w:r>
        <w:rPr>
          <w:snapToGrid w:val="0"/>
        </w:rPr>
        <w:t>.</w:t>
      </w:r>
      <w:r>
        <w:rPr>
          <w:snapToGrid w:val="0"/>
        </w:rPr>
        <w:tab/>
        <w:t>Goods insufficiently packed</w:t>
      </w:r>
      <w:bookmarkEnd w:id="46"/>
      <w:r>
        <w:rPr>
          <w:snapToGrid w:val="0"/>
        </w:rPr>
        <w:t xml:space="preserve"> </w:t>
      </w:r>
    </w:p>
    <w:p>
      <w:pPr>
        <w:pStyle w:val="Subsection"/>
        <w:rPr>
          <w:snapToGrid w:val="0"/>
        </w:rPr>
      </w:pPr>
      <w:r>
        <w:rPr>
          <w:snapToGrid w:val="0"/>
        </w:rPr>
        <w:tab/>
      </w:r>
      <w:r>
        <w:rPr>
          <w:snapToGrid w:val="0"/>
        </w:rPr>
        <w:tab/>
        <w:t>Whenever in the opinion of the officer in charge goods are wholly unprotected, or insufficiently packed or protected, so as, in his opinion to require additional labour in handling, or to involve the Department in additional risk in handling, an additional charge for labour shall be imposed on such goods, and the Department shall in no case be liable for damage to goods caused by or contributed to by insufficient packing or protection. The additional charge in each case shall be determined by the officer in charge.</w:t>
      </w:r>
    </w:p>
    <w:p>
      <w:pPr>
        <w:pStyle w:val="Footnotesection"/>
      </w:pPr>
      <w:r>
        <w:tab/>
        <w:t xml:space="preserve">[Regulation 35 amended in Gazette 19 May 1989 p. 1495.] </w:t>
      </w:r>
    </w:p>
    <w:p>
      <w:pPr>
        <w:pStyle w:val="Heading5"/>
        <w:rPr>
          <w:snapToGrid w:val="0"/>
        </w:rPr>
      </w:pPr>
      <w:bookmarkStart w:id="47" w:name="_Toc382379941"/>
      <w:r>
        <w:rPr>
          <w:rStyle w:val="CharSectno"/>
        </w:rPr>
        <w:t>36</w:t>
      </w:r>
      <w:r>
        <w:rPr>
          <w:snapToGrid w:val="0"/>
        </w:rPr>
        <w:t>.</w:t>
      </w:r>
      <w:r>
        <w:rPr>
          <w:snapToGrid w:val="0"/>
        </w:rPr>
        <w:tab/>
        <w:t>Claims in respect of cargo</w:t>
      </w:r>
      <w:bookmarkEnd w:id="47"/>
      <w:r>
        <w:rPr>
          <w:snapToGrid w:val="0"/>
        </w:rPr>
        <w:t xml:space="preserve"> </w:t>
      </w:r>
    </w:p>
    <w:p>
      <w:pPr>
        <w:pStyle w:val="Subsection"/>
        <w:rPr>
          <w:snapToGrid w:val="0"/>
        </w:rPr>
      </w:pPr>
      <w:r>
        <w:rPr>
          <w:snapToGrid w:val="0"/>
        </w:rPr>
        <w:tab/>
      </w:r>
      <w:r>
        <w:rPr>
          <w:snapToGrid w:val="0"/>
        </w:rPr>
        <w:tab/>
        <w:t>No claim will be entertained by the Department in respect of goods landed, or alleged to be landed, unless such claim has been received by the officer in charge, in writing within 4 days of the vessel leaving the port, nor in respect of outward goods, unless received by the officer in charge within 24 hours after the vessel in which it was intended to ship such goods leaves the port. Each claim must be rendered on the form recognised by the Department, which form will be supplied on application.</w:t>
      </w:r>
    </w:p>
    <w:p>
      <w:pPr>
        <w:pStyle w:val="Footnotesection"/>
      </w:pPr>
      <w:r>
        <w:tab/>
        <w:t xml:space="preserve">[Regulation 36 amended in Gazette 24 Nov 1972 p. 4487; 19 May 1989 p. 1495.] </w:t>
      </w:r>
    </w:p>
    <w:p>
      <w:pPr>
        <w:pStyle w:val="Heading3"/>
        <w:keepLines/>
        <w:rPr>
          <w:snapToGrid w:val="0"/>
        </w:rPr>
      </w:pPr>
      <w:bookmarkStart w:id="48" w:name="_Toc382379942"/>
      <w:r>
        <w:rPr>
          <w:rStyle w:val="CharDivNo"/>
        </w:rPr>
        <w:t>Division 8</w:t>
      </w:r>
      <w:r>
        <w:rPr>
          <w:snapToGrid w:val="0"/>
        </w:rPr>
        <w:t> — </w:t>
      </w:r>
      <w:r>
        <w:rPr>
          <w:rStyle w:val="CharDivText"/>
        </w:rPr>
        <w:t>Working hours</w:t>
      </w:r>
      <w:bookmarkEnd w:id="48"/>
      <w:r>
        <w:rPr>
          <w:rStyle w:val="CharDivText"/>
        </w:rPr>
        <w:t xml:space="preserve"> </w:t>
      </w:r>
    </w:p>
    <w:p>
      <w:pPr>
        <w:pStyle w:val="Footnoteheading"/>
        <w:keepNext/>
        <w:keepLines/>
      </w:pPr>
      <w:r>
        <w:tab/>
        <w:t xml:space="preserve">[Heading inserted in Gazette 19 May 1989 p. 1494.] </w:t>
      </w:r>
    </w:p>
    <w:p>
      <w:pPr>
        <w:pStyle w:val="Heading5"/>
        <w:rPr>
          <w:snapToGrid w:val="0"/>
        </w:rPr>
      </w:pPr>
      <w:bookmarkStart w:id="49" w:name="_Toc382379943"/>
      <w:r>
        <w:rPr>
          <w:rStyle w:val="CharSectno"/>
        </w:rPr>
        <w:t>37</w:t>
      </w:r>
      <w:r>
        <w:rPr>
          <w:snapToGrid w:val="0"/>
        </w:rPr>
        <w:t>.</w:t>
      </w:r>
      <w:r>
        <w:rPr>
          <w:snapToGrid w:val="0"/>
        </w:rPr>
        <w:tab/>
        <w:t>Ordinary time</w:t>
      </w:r>
      <w:bookmarkEnd w:id="49"/>
      <w:r>
        <w:rPr>
          <w:snapToGrid w:val="0"/>
        </w:rPr>
        <w:t xml:space="preserve"> </w:t>
      </w:r>
    </w:p>
    <w:p>
      <w:pPr>
        <w:pStyle w:val="Subsection"/>
        <w:rPr>
          <w:snapToGrid w:val="0"/>
        </w:rPr>
      </w:pPr>
      <w:r>
        <w:rPr>
          <w:snapToGrid w:val="0"/>
        </w:rPr>
        <w:tab/>
      </w:r>
      <w:r>
        <w:rPr>
          <w:snapToGrid w:val="0"/>
        </w:rPr>
        <w:tab/>
        <w:t>The working hours of any port shall be and include the hours from 8 a.m. till noon and from 1 p.m. to 5 p.m., Monday to Friday inclusive.</w:t>
      </w:r>
    </w:p>
    <w:p>
      <w:pPr>
        <w:pStyle w:val="Footnotesection"/>
      </w:pPr>
      <w:r>
        <w:tab/>
        <w:t xml:space="preserve">[Regulation 37 amended in Gazette 17 Mar 1960 p. 778; 19 May 1989 p. 1495.] </w:t>
      </w:r>
    </w:p>
    <w:p>
      <w:pPr>
        <w:pStyle w:val="Heading5"/>
        <w:rPr>
          <w:snapToGrid w:val="0"/>
        </w:rPr>
      </w:pPr>
      <w:bookmarkStart w:id="50" w:name="_Toc382379944"/>
      <w:r>
        <w:rPr>
          <w:rStyle w:val="CharSectno"/>
        </w:rPr>
        <w:t>38</w:t>
      </w:r>
      <w:r>
        <w:rPr>
          <w:snapToGrid w:val="0"/>
        </w:rPr>
        <w:t>.</w:t>
      </w:r>
      <w:r>
        <w:rPr>
          <w:snapToGrid w:val="0"/>
        </w:rPr>
        <w:tab/>
        <w:t>Overtime</w:t>
      </w:r>
      <w:bookmarkEnd w:id="50"/>
      <w:r>
        <w:rPr>
          <w:snapToGrid w:val="0"/>
        </w:rPr>
        <w:t xml:space="preserve"> </w:t>
      </w:r>
    </w:p>
    <w:p>
      <w:pPr>
        <w:pStyle w:val="Subsection"/>
        <w:rPr>
          <w:snapToGrid w:val="0"/>
        </w:rPr>
      </w:pPr>
      <w:r>
        <w:rPr>
          <w:snapToGrid w:val="0"/>
        </w:rPr>
        <w:tab/>
      </w:r>
      <w:r>
        <w:rPr>
          <w:snapToGrid w:val="0"/>
        </w:rPr>
        <w:tab/>
        <w:t>The cost over and above the ordinary cost of day work, of all labour and supervision, etc., employed during any hours, not being working hours as above defined, or on holidays, shall be paid for by the vessel in addition to the usual charges. The extra cost of lighting a shed or berth to enable a vessel to work during any hours, not being working hours, or on holidays as aforesaid, shall also be paid by the vessel.</w:t>
      </w:r>
    </w:p>
    <w:p>
      <w:pPr>
        <w:pStyle w:val="Footnotesection"/>
      </w:pPr>
      <w:r>
        <w:tab/>
        <w:t xml:space="preserve">[Regulation 38 amended in Gazette 19 May 1989 p. 1495.] </w:t>
      </w:r>
    </w:p>
    <w:p>
      <w:pPr>
        <w:pStyle w:val="Heading5"/>
        <w:rPr>
          <w:snapToGrid w:val="0"/>
        </w:rPr>
      </w:pPr>
      <w:bookmarkStart w:id="51" w:name="_Toc382379945"/>
      <w:r>
        <w:rPr>
          <w:rStyle w:val="CharSectno"/>
        </w:rPr>
        <w:t>38A</w:t>
      </w:r>
      <w:r>
        <w:rPr>
          <w:snapToGrid w:val="0"/>
        </w:rPr>
        <w:t>.</w:t>
      </w:r>
      <w:r>
        <w:rPr>
          <w:snapToGrid w:val="0"/>
        </w:rPr>
        <w:tab/>
        <w:t>Wages incurred through ships’ delays to be paid for</w:t>
      </w:r>
      <w:bookmarkEnd w:id="51"/>
      <w:r>
        <w:rPr>
          <w:snapToGrid w:val="0"/>
        </w:rPr>
        <w:t xml:space="preserve"> </w:t>
      </w:r>
    </w:p>
    <w:p>
      <w:pPr>
        <w:pStyle w:val="Subsection"/>
        <w:rPr>
          <w:snapToGrid w:val="0"/>
        </w:rPr>
      </w:pPr>
      <w:r>
        <w:rPr>
          <w:snapToGrid w:val="0"/>
        </w:rPr>
        <w:tab/>
      </w:r>
      <w:r>
        <w:rPr>
          <w:snapToGrid w:val="0"/>
        </w:rPr>
        <w:tab/>
        <w:t>Where by reason of delay which is caused by a vessel through the breakdown of the gear, or through the time occupied in the rigging of its gear, or through the fact that more than average time is taken in handling its cargo, the Department is involved in the payment of wages to persons engaged to handle its cargo, the master or owner of the vessel shall, on demand by the Department, pay to the Department the amount of those wages.</w:t>
      </w:r>
    </w:p>
    <w:p>
      <w:pPr>
        <w:pStyle w:val="Footnotesection"/>
      </w:pPr>
      <w:r>
        <w:tab/>
        <w:t xml:space="preserve">[Regulation 38A inserted in Gazette 12 Jul 1957 p. 2271; amended in Gazette 19 May 1989 p. 1495.] </w:t>
      </w:r>
    </w:p>
    <w:p>
      <w:pPr>
        <w:pStyle w:val="Heading5"/>
        <w:rPr>
          <w:snapToGrid w:val="0"/>
        </w:rPr>
      </w:pPr>
      <w:bookmarkStart w:id="52" w:name="_Toc382379946"/>
      <w:r>
        <w:rPr>
          <w:rStyle w:val="CharSectno"/>
        </w:rPr>
        <w:t>39</w:t>
      </w:r>
      <w:r>
        <w:rPr>
          <w:snapToGrid w:val="0"/>
        </w:rPr>
        <w:t>.</w:t>
      </w:r>
      <w:r>
        <w:rPr>
          <w:snapToGrid w:val="0"/>
        </w:rPr>
        <w:tab/>
        <w:t>Master to give notice of desire to work</w:t>
      </w:r>
      <w:bookmarkEnd w:id="52"/>
      <w:r>
        <w:rPr>
          <w:snapToGrid w:val="0"/>
        </w:rPr>
        <w:t xml:space="preserve"> </w:t>
      </w:r>
    </w:p>
    <w:p>
      <w:pPr>
        <w:pStyle w:val="Subsection"/>
        <w:rPr>
          <w:snapToGrid w:val="0"/>
        </w:rPr>
      </w:pPr>
      <w:r>
        <w:rPr>
          <w:snapToGrid w:val="0"/>
        </w:rPr>
        <w:tab/>
      </w:r>
      <w:r>
        <w:rPr>
          <w:snapToGrid w:val="0"/>
        </w:rPr>
        <w:tab/>
        <w:t>The master of a vessel desiring to work any hours, not being working hours as defined above, shall give to the officer in charge, 2 hours’ notice, and on holidays 12 hours’ notice, of his desire to do so.</w:t>
      </w:r>
    </w:p>
    <w:p>
      <w:pPr>
        <w:pStyle w:val="Footnotesection"/>
      </w:pPr>
      <w:r>
        <w:tab/>
        <w:t xml:space="preserve">[Regulation 39 amended in Gazette 19 May 1989 p. 1495.] </w:t>
      </w:r>
    </w:p>
    <w:p>
      <w:pPr>
        <w:pStyle w:val="Heading3"/>
        <w:rPr>
          <w:snapToGrid w:val="0"/>
        </w:rPr>
      </w:pPr>
      <w:bookmarkStart w:id="53" w:name="_Toc382379947"/>
      <w:r>
        <w:rPr>
          <w:rStyle w:val="CharDivNo"/>
        </w:rPr>
        <w:t>Division 9</w:t>
      </w:r>
      <w:r>
        <w:rPr>
          <w:snapToGrid w:val="0"/>
        </w:rPr>
        <w:t> — </w:t>
      </w:r>
      <w:r>
        <w:rPr>
          <w:rStyle w:val="CharDivText"/>
        </w:rPr>
        <w:t>Livestock or vehicles on jetties or premises</w:t>
      </w:r>
      <w:bookmarkEnd w:id="53"/>
      <w:r>
        <w:rPr>
          <w:rStyle w:val="CharDivText"/>
        </w:rPr>
        <w:t xml:space="preserve"> </w:t>
      </w:r>
    </w:p>
    <w:p>
      <w:pPr>
        <w:pStyle w:val="Footnoteheading"/>
      </w:pPr>
      <w:r>
        <w:tab/>
        <w:t xml:space="preserve">[Heading inserted in Gazette 19 May 1989 p. 1494.] </w:t>
      </w:r>
    </w:p>
    <w:p>
      <w:pPr>
        <w:pStyle w:val="Heading5"/>
        <w:rPr>
          <w:snapToGrid w:val="0"/>
        </w:rPr>
      </w:pPr>
      <w:bookmarkStart w:id="54" w:name="_Toc382379948"/>
      <w:r>
        <w:rPr>
          <w:rStyle w:val="CharSectno"/>
        </w:rPr>
        <w:t>40</w:t>
      </w:r>
      <w:r>
        <w:rPr>
          <w:snapToGrid w:val="0"/>
        </w:rPr>
        <w:t>.</w:t>
      </w:r>
      <w:r>
        <w:rPr>
          <w:snapToGrid w:val="0"/>
        </w:rPr>
        <w:tab/>
        <w:t>Livestock on jetties or premises</w:t>
      </w:r>
      <w:bookmarkEnd w:id="54"/>
      <w:r>
        <w:rPr>
          <w:snapToGrid w:val="0"/>
        </w:rPr>
        <w:t xml:space="preserve"> </w:t>
      </w:r>
    </w:p>
    <w:p>
      <w:pPr>
        <w:pStyle w:val="Subsection"/>
        <w:rPr>
          <w:snapToGrid w:val="0"/>
        </w:rPr>
      </w:pPr>
      <w:r>
        <w:rPr>
          <w:snapToGrid w:val="0"/>
        </w:rPr>
        <w:tab/>
      </w:r>
      <w:r>
        <w:rPr>
          <w:snapToGrid w:val="0"/>
        </w:rPr>
        <w:tab/>
        <w:t>No person shall drive or negligently allow any cattle, horse, sheep, swine, or other animal to stray upon any jetty or premises of the Department.</w:t>
      </w:r>
    </w:p>
    <w:p>
      <w:pPr>
        <w:pStyle w:val="Footnotesection"/>
      </w:pPr>
      <w:r>
        <w:tab/>
        <w:t xml:space="preserve">[Regulation 40 amended in Gazette 19 May 1989 p. 1495.] </w:t>
      </w:r>
    </w:p>
    <w:p>
      <w:pPr>
        <w:pStyle w:val="Heading5"/>
        <w:rPr>
          <w:snapToGrid w:val="0"/>
        </w:rPr>
      </w:pPr>
      <w:bookmarkStart w:id="55" w:name="_Toc382379949"/>
      <w:r>
        <w:rPr>
          <w:rStyle w:val="CharSectno"/>
        </w:rPr>
        <w:t>41</w:t>
      </w:r>
      <w:r>
        <w:rPr>
          <w:snapToGrid w:val="0"/>
        </w:rPr>
        <w:t>.</w:t>
      </w:r>
      <w:r>
        <w:rPr>
          <w:snapToGrid w:val="0"/>
        </w:rPr>
        <w:tab/>
        <w:t>Riding vehicles etc. on jetties or premises</w:t>
      </w:r>
      <w:bookmarkEnd w:id="55"/>
      <w:r>
        <w:rPr>
          <w:snapToGrid w:val="0"/>
        </w:rPr>
        <w:t xml:space="preserve"> </w:t>
      </w:r>
    </w:p>
    <w:p>
      <w:pPr>
        <w:pStyle w:val="Subsection"/>
        <w:rPr>
          <w:snapToGrid w:val="0"/>
        </w:rPr>
      </w:pPr>
      <w:r>
        <w:rPr>
          <w:snapToGrid w:val="0"/>
        </w:rPr>
        <w:tab/>
      </w:r>
      <w:r>
        <w:rPr>
          <w:snapToGrid w:val="0"/>
        </w:rPr>
        <w:tab/>
        <w:t>No person shall ride or drive any horse or bicycle, motor car, or other vehicle upon or along any jetty or premises, or any pathway or other way used in connection with the jetty or premises of the Department without the permission of the officer in charge of the jetty.</w:t>
      </w:r>
    </w:p>
    <w:p>
      <w:pPr>
        <w:pStyle w:val="Footnotesection"/>
      </w:pPr>
      <w:r>
        <w:tab/>
        <w:t xml:space="preserve">[Regulation 41 amended in Gazette 17 Mar 1960 p. 779; 19 May 1989 p. 1495.] </w:t>
      </w:r>
    </w:p>
    <w:p>
      <w:pPr>
        <w:pStyle w:val="Heading5"/>
        <w:rPr>
          <w:snapToGrid w:val="0"/>
        </w:rPr>
      </w:pPr>
      <w:bookmarkStart w:id="56" w:name="_Toc382379950"/>
      <w:r>
        <w:rPr>
          <w:rStyle w:val="CharSectno"/>
        </w:rPr>
        <w:t>41A</w:t>
      </w:r>
      <w:r>
        <w:rPr>
          <w:snapToGrid w:val="0"/>
        </w:rPr>
        <w:t>.</w:t>
      </w:r>
      <w:r>
        <w:rPr>
          <w:snapToGrid w:val="0"/>
        </w:rPr>
        <w:tab/>
        <w:t>Vehicles not to be parked on jetties</w:t>
      </w:r>
      <w:bookmarkEnd w:id="56"/>
      <w:r>
        <w:rPr>
          <w:snapToGrid w:val="0"/>
        </w:rPr>
        <w:t xml:space="preserve"> </w:t>
      </w:r>
    </w:p>
    <w:p>
      <w:pPr>
        <w:pStyle w:val="Subsection"/>
        <w:rPr>
          <w:snapToGrid w:val="0"/>
        </w:rPr>
      </w:pPr>
      <w:r>
        <w:rPr>
          <w:snapToGrid w:val="0"/>
        </w:rPr>
        <w:tab/>
      </w:r>
      <w:r>
        <w:rPr>
          <w:snapToGrid w:val="0"/>
        </w:rPr>
        <w:tab/>
        <w:t>No person shall drive, park, stand, or leave unattended a vehicle on a jetty or the approaches to a jetty unless he is expressly authorised to do so by the officer in charge of the jetty and then only if that person drives, parks, stands, or leaves unattended, the vehicle for the purpose of loading or unloading stores or cargo on or from the vehicle.</w:t>
      </w:r>
    </w:p>
    <w:p>
      <w:pPr>
        <w:pStyle w:val="Footnotesection"/>
      </w:pPr>
      <w:r>
        <w:tab/>
        <w:t xml:space="preserve">[Regulation 41A inserted in Gazette 17 Mar 1960 p. 779; amended in Gazette 19 May 1989 p. 1495.] </w:t>
      </w:r>
    </w:p>
    <w:p>
      <w:pPr>
        <w:pStyle w:val="Heading5"/>
        <w:rPr>
          <w:snapToGrid w:val="0"/>
        </w:rPr>
      </w:pPr>
      <w:bookmarkStart w:id="57" w:name="_Toc382379951"/>
      <w:r>
        <w:rPr>
          <w:rStyle w:val="CharSectno"/>
        </w:rPr>
        <w:t>41B</w:t>
      </w:r>
      <w:r>
        <w:rPr>
          <w:snapToGrid w:val="0"/>
        </w:rPr>
        <w:t>.</w:t>
      </w:r>
      <w:r>
        <w:rPr>
          <w:snapToGrid w:val="0"/>
        </w:rPr>
        <w:tab/>
        <w:t>Department not responsible for vehicles on jetties</w:t>
      </w:r>
      <w:bookmarkEnd w:id="57"/>
      <w:r>
        <w:rPr>
          <w:snapToGrid w:val="0"/>
        </w:rPr>
        <w:t xml:space="preserve"> </w:t>
      </w:r>
    </w:p>
    <w:p>
      <w:pPr>
        <w:pStyle w:val="Subsection"/>
        <w:rPr>
          <w:snapToGrid w:val="0"/>
        </w:rPr>
      </w:pPr>
      <w:r>
        <w:rPr>
          <w:snapToGrid w:val="0"/>
        </w:rPr>
        <w:tab/>
      </w:r>
      <w:r>
        <w:rPr>
          <w:snapToGrid w:val="0"/>
        </w:rPr>
        <w:tab/>
        <w:t>Where permission has been granted under these regulations to a person to drive a vehicle on to a jetty the Department will not be responsible to any person for damage caused to the vehicle, or to any other vehicle, or to any person by that vehicle while on the jetty or the approaches to the jetty.</w:t>
      </w:r>
    </w:p>
    <w:p>
      <w:pPr>
        <w:pStyle w:val="Footnotesection"/>
      </w:pPr>
      <w:r>
        <w:tab/>
        <w:t xml:space="preserve">[Regulation 41B inserted in Gazette 17 Mar 1960 p. 779; amended in Gazette 19 May 1989 p. 1495.] </w:t>
      </w:r>
    </w:p>
    <w:p>
      <w:pPr>
        <w:pStyle w:val="Heading5"/>
        <w:rPr>
          <w:snapToGrid w:val="0"/>
        </w:rPr>
      </w:pPr>
      <w:bookmarkStart w:id="58" w:name="_Toc382379952"/>
      <w:r>
        <w:rPr>
          <w:rStyle w:val="CharSectno"/>
        </w:rPr>
        <w:t>42</w:t>
      </w:r>
      <w:r>
        <w:rPr>
          <w:snapToGrid w:val="0"/>
        </w:rPr>
        <w:t>.</w:t>
      </w:r>
      <w:r>
        <w:rPr>
          <w:snapToGrid w:val="0"/>
        </w:rPr>
        <w:tab/>
        <w:t>Drivers of vehicles to obey instructions</w:t>
      </w:r>
      <w:bookmarkEnd w:id="58"/>
      <w:r>
        <w:rPr>
          <w:snapToGrid w:val="0"/>
        </w:rPr>
        <w:t xml:space="preserve"> </w:t>
      </w:r>
    </w:p>
    <w:p>
      <w:pPr>
        <w:pStyle w:val="Subsection"/>
        <w:rPr>
          <w:snapToGrid w:val="0"/>
        </w:rPr>
      </w:pPr>
      <w:r>
        <w:rPr>
          <w:snapToGrid w:val="0"/>
        </w:rPr>
        <w:tab/>
      </w:r>
      <w:r>
        <w:rPr>
          <w:snapToGrid w:val="0"/>
        </w:rPr>
        <w:tab/>
        <w:t>Every driver of a car, cart, dray, or other vehicle shall, while in or upon any jetty or premises of the Department, obey the reasonable instructions and directions of any authorised employee of the Department.</w:t>
      </w:r>
    </w:p>
    <w:p>
      <w:pPr>
        <w:pStyle w:val="Footnotesection"/>
        <w:keepLines w:val="0"/>
      </w:pPr>
      <w:r>
        <w:tab/>
        <w:t xml:space="preserve">[Regulation 42 amended in Gazette 19 May 1989 p. 1495.] </w:t>
      </w:r>
    </w:p>
    <w:p>
      <w:pPr>
        <w:pStyle w:val="Heading5"/>
      </w:pPr>
      <w:bookmarkStart w:id="59" w:name="_Toc382379953"/>
      <w:r>
        <w:rPr>
          <w:rStyle w:val="CharSectno"/>
        </w:rPr>
        <w:t>42A</w:t>
      </w:r>
      <w:r>
        <w:t>.</w:t>
      </w:r>
      <w:r>
        <w:tab/>
        <w:t>Fees for vehicular use of jetty</w:t>
      </w:r>
      <w:bookmarkEnd w:id="59"/>
    </w:p>
    <w:p>
      <w:pPr>
        <w:pStyle w:val="Subsection"/>
      </w:pPr>
      <w:r>
        <w:tab/>
      </w:r>
      <w:r>
        <w:tab/>
        <w:t>The fees (if any) payable for vehicular use of a jetty and land adjacent to it are as set out —</w:t>
      </w:r>
    </w:p>
    <w:p>
      <w:pPr>
        <w:pStyle w:val="Indenta"/>
      </w:pPr>
      <w:r>
        <w:tab/>
        <w:t>(a)</w:t>
      </w:r>
      <w:r>
        <w:tab/>
        <w:t xml:space="preserve">for a jetty at a place outside the </w:t>
      </w:r>
      <w:smartTag w:uri="urn:schemas-microsoft-com:office:smarttags" w:element="place">
        <w:smartTag w:uri="urn:schemas-microsoft-com:office:smarttags" w:element="PlaceType">
          <w:r>
            <w:t>Port</w:t>
          </w:r>
        </w:smartTag>
        <w:r>
          <w:t xml:space="preserve"> of </w:t>
        </w:r>
        <w:smartTag w:uri="urn:schemas-microsoft-com:office:smarttags" w:element="PlaceName">
          <w:r>
            <w:t>Perth</w:t>
          </w:r>
        </w:smartTag>
      </w:smartTag>
      <w:r>
        <w:t>, in Schedule 1;</w:t>
      </w:r>
    </w:p>
    <w:p>
      <w:pPr>
        <w:pStyle w:val="Indenta"/>
      </w:pPr>
      <w:r>
        <w:tab/>
        <w:t>(b)</w:t>
      </w:r>
      <w:r>
        <w:tab/>
        <w:t xml:space="preserve">for a jetty in the </w:t>
      </w:r>
      <w:smartTag w:uri="urn:schemas-microsoft-com:office:smarttags" w:element="place">
        <w:smartTag w:uri="urn:schemas-microsoft-com:office:smarttags" w:element="PlaceType">
          <w:r>
            <w:t>Port</w:t>
          </w:r>
        </w:smartTag>
        <w:r>
          <w:t xml:space="preserve"> of </w:t>
        </w:r>
        <w:smartTag w:uri="urn:schemas-microsoft-com:office:smarttags" w:element="PlaceName">
          <w:r>
            <w:t>Perth</w:t>
          </w:r>
        </w:smartTag>
      </w:smartTag>
      <w:r>
        <w:t>, in Schedule 2.</w:t>
      </w:r>
    </w:p>
    <w:p>
      <w:pPr>
        <w:pStyle w:val="Footnotesection"/>
        <w:rPr>
          <w:rStyle w:val="CharSectno"/>
        </w:rPr>
      </w:pPr>
      <w:r>
        <w:tab/>
        <w:t>[Regulation 42A inserted in Gazette 22 Jun 2007 p. 2908</w:t>
      </w:r>
      <w:r>
        <w:noBreakHyphen/>
        <w:t>9.]</w:t>
      </w:r>
    </w:p>
    <w:p>
      <w:pPr>
        <w:pStyle w:val="Heading5"/>
        <w:rPr>
          <w:snapToGrid w:val="0"/>
        </w:rPr>
      </w:pPr>
      <w:bookmarkStart w:id="60" w:name="_Toc382379954"/>
      <w:r>
        <w:rPr>
          <w:rStyle w:val="CharSectno"/>
        </w:rPr>
        <w:t>43</w:t>
      </w:r>
      <w:r>
        <w:rPr>
          <w:snapToGrid w:val="0"/>
        </w:rPr>
        <w:t>.</w:t>
      </w:r>
      <w:r>
        <w:rPr>
          <w:snapToGrid w:val="0"/>
        </w:rPr>
        <w:tab/>
        <w:t>Persons not to be on jetties when livestock is being handled</w:t>
      </w:r>
      <w:bookmarkEnd w:id="60"/>
      <w:r>
        <w:rPr>
          <w:snapToGrid w:val="0"/>
        </w:rPr>
        <w:t xml:space="preserve"> </w:t>
      </w:r>
    </w:p>
    <w:p>
      <w:pPr>
        <w:pStyle w:val="Subsection"/>
        <w:rPr>
          <w:snapToGrid w:val="0"/>
        </w:rPr>
      </w:pPr>
      <w:r>
        <w:rPr>
          <w:snapToGrid w:val="0"/>
        </w:rPr>
        <w:tab/>
      </w:r>
      <w:r>
        <w:rPr>
          <w:snapToGrid w:val="0"/>
        </w:rPr>
        <w:tab/>
        <w:t>No person shall remain on or pass over any jetty while livestock is being landed or shipped, unless by the permission of the officer in charge.</w:t>
      </w:r>
    </w:p>
    <w:p>
      <w:pPr>
        <w:pStyle w:val="Footnotesection"/>
      </w:pPr>
      <w:r>
        <w:tab/>
        <w:t xml:space="preserve">[Regulation 43 amended in Gazette 19 May 1989 p. 1495.] </w:t>
      </w:r>
    </w:p>
    <w:p>
      <w:pPr>
        <w:pStyle w:val="Heading3"/>
        <w:keepLines/>
        <w:rPr>
          <w:snapToGrid w:val="0"/>
        </w:rPr>
      </w:pPr>
      <w:bookmarkStart w:id="61" w:name="_Toc382379955"/>
      <w:r>
        <w:rPr>
          <w:rStyle w:val="CharDivNo"/>
        </w:rPr>
        <w:t>Division 10</w:t>
      </w:r>
      <w:r>
        <w:rPr>
          <w:snapToGrid w:val="0"/>
        </w:rPr>
        <w:t> — </w:t>
      </w:r>
      <w:r>
        <w:rPr>
          <w:rStyle w:val="CharDivText"/>
        </w:rPr>
        <w:t>Miscellaneous</w:t>
      </w:r>
      <w:bookmarkEnd w:id="61"/>
      <w:r>
        <w:rPr>
          <w:rStyle w:val="CharDivText"/>
        </w:rPr>
        <w:t xml:space="preserve"> </w:t>
      </w:r>
    </w:p>
    <w:p>
      <w:pPr>
        <w:pStyle w:val="Footnoteheading"/>
        <w:keepNext/>
        <w:keepLines/>
      </w:pPr>
      <w:r>
        <w:tab/>
        <w:t xml:space="preserve">[Heading inserted in Gazette 19 May 1989 p. 1494.] </w:t>
      </w:r>
    </w:p>
    <w:p>
      <w:pPr>
        <w:pStyle w:val="Heading5"/>
        <w:rPr>
          <w:snapToGrid w:val="0"/>
        </w:rPr>
      </w:pPr>
      <w:bookmarkStart w:id="62" w:name="_Toc382379956"/>
      <w:r>
        <w:rPr>
          <w:rStyle w:val="CharSectno"/>
        </w:rPr>
        <w:t>44</w:t>
      </w:r>
      <w:r>
        <w:rPr>
          <w:snapToGrid w:val="0"/>
        </w:rPr>
        <w:t>.</w:t>
      </w:r>
      <w:r>
        <w:rPr>
          <w:snapToGrid w:val="0"/>
        </w:rPr>
        <w:tab/>
        <w:t>Bill posting, defacement and obscenity</w:t>
      </w:r>
      <w:bookmarkEnd w:id="62"/>
      <w:r>
        <w:rPr>
          <w:snapToGrid w:val="0"/>
        </w:rPr>
        <w:t xml:space="preserve"> </w:t>
      </w:r>
    </w:p>
    <w:p>
      <w:pPr>
        <w:pStyle w:val="Subsection"/>
        <w:rPr>
          <w:snapToGrid w:val="0"/>
        </w:rPr>
      </w:pPr>
      <w:r>
        <w:rPr>
          <w:snapToGrid w:val="0"/>
        </w:rPr>
        <w:tab/>
      </w:r>
      <w:r>
        <w:rPr>
          <w:snapToGrid w:val="0"/>
        </w:rPr>
        <w:tab/>
        <w:t>No person, unless authorised in writing by the Department, shall — </w:t>
      </w:r>
    </w:p>
    <w:p>
      <w:pPr>
        <w:pStyle w:val="Indenta"/>
        <w:rPr>
          <w:snapToGrid w:val="0"/>
        </w:rPr>
      </w:pPr>
      <w:r>
        <w:rPr>
          <w:snapToGrid w:val="0"/>
        </w:rPr>
        <w:tab/>
        <w:t>(a)</w:t>
      </w:r>
      <w:r>
        <w:rPr>
          <w:snapToGrid w:val="0"/>
        </w:rPr>
        <w:tab/>
        <w:t>post, stick, paint, or write, or cause to be posted, stuck, painted, or written any placard, bill, advertisement, sign, or other matter within or on any jetty post, fence, gate, platform, wall, building, or other property or premises of the Department;</w:t>
      </w:r>
    </w:p>
    <w:p>
      <w:pPr>
        <w:pStyle w:val="Indenta"/>
        <w:rPr>
          <w:snapToGrid w:val="0"/>
        </w:rPr>
      </w:pPr>
      <w:r>
        <w:rPr>
          <w:snapToGrid w:val="0"/>
        </w:rPr>
        <w:tab/>
        <w:t>(b)</w:t>
      </w:r>
      <w:r>
        <w:rPr>
          <w:snapToGrid w:val="0"/>
        </w:rPr>
        <w:tab/>
        <w:t>deface any writing or printing on or attached to any board or any notice authorised to be maintained on any jetty, or on any carriage or rolling stock, or on any fence or building upon any jetty or premises of the Department;</w:t>
      </w:r>
    </w:p>
    <w:p>
      <w:pPr>
        <w:pStyle w:val="Indenta"/>
        <w:rPr>
          <w:snapToGrid w:val="0"/>
        </w:rPr>
      </w:pPr>
      <w:r>
        <w:rPr>
          <w:snapToGrid w:val="0"/>
        </w:rPr>
        <w:tab/>
        <w:t>(c)</w:t>
      </w:r>
      <w:r>
        <w:rPr>
          <w:snapToGrid w:val="0"/>
        </w:rPr>
        <w:tab/>
        <w:t>write any indecent words or draw any indecent or obscene picture or representation on any part of any jetty, or on any carriage or rolling stock, or on any fence or building upon any jetty or premises of the Department.</w:t>
      </w:r>
    </w:p>
    <w:p>
      <w:pPr>
        <w:pStyle w:val="Footnotesection"/>
      </w:pPr>
      <w:r>
        <w:tab/>
        <w:t xml:space="preserve">[Regulation 44 amended in Gazette 19 May 1989 p. 1495.] </w:t>
      </w:r>
    </w:p>
    <w:p>
      <w:pPr>
        <w:pStyle w:val="Heading5"/>
        <w:rPr>
          <w:snapToGrid w:val="0"/>
        </w:rPr>
      </w:pPr>
      <w:bookmarkStart w:id="63" w:name="_Toc382379957"/>
      <w:r>
        <w:rPr>
          <w:rStyle w:val="CharSectno"/>
        </w:rPr>
        <w:t>45</w:t>
      </w:r>
      <w:r>
        <w:rPr>
          <w:snapToGrid w:val="0"/>
        </w:rPr>
        <w:t>.</w:t>
      </w:r>
      <w:r>
        <w:rPr>
          <w:snapToGrid w:val="0"/>
        </w:rPr>
        <w:tab/>
        <w:t>Disorderly persons</w:t>
      </w:r>
      <w:bookmarkEnd w:id="63"/>
      <w:r>
        <w:rPr>
          <w:snapToGrid w:val="0"/>
        </w:rPr>
        <w:t xml:space="preserve"> </w:t>
      </w:r>
    </w:p>
    <w:p>
      <w:pPr>
        <w:pStyle w:val="Subsection"/>
        <w:rPr>
          <w:snapToGrid w:val="0"/>
        </w:rPr>
      </w:pPr>
      <w:r>
        <w:rPr>
          <w:snapToGrid w:val="0"/>
        </w:rPr>
        <w:tab/>
        <w:t>(a)</w:t>
      </w:r>
      <w:r>
        <w:rPr>
          <w:snapToGrid w:val="0"/>
        </w:rPr>
        <w:tab/>
        <w:t>No drunk, idle, or disorderly person shall enter or remain in or upon any jetty, shed, vehicle, or premises of the Department.</w:t>
      </w:r>
    </w:p>
    <w:p>
      <w:pPr>
        <w:pStyle w:val="Subsection"/>
        <w:rPr>
          <w:snapToGrid w:val="0"/>
        </w:rPr>
      </w:pPr>
      <w:r>
        <w:rPr>
          <w:snapToGrid w:val="0"/>
        </w:rPr>
        <w:tab/>
        <w:t>(b)</w:t>
      </w:r>
      <w:r>
        <w:rPr>
          <w:snapToGrid w:val="0"/>
        </w:rPr>
        <w:tab/>
        <w:t>No person shall behave in a violent or offensive manner to the annoyance of others, or write or use any insulting, indecent, obscene, blasphemous, or abusive words, or wilfully interfere with the comfort of any person in or upon any jetty, shed, vehicle, or premises of the Department.</w:t>
      </w:r>
    </w:p>
    <w:p>
      <w:pPr>
        <w:pStyle w:val="Subsection"/>
        <w:keepNext/>
        <w:rPr>
          <w:snapToGrid w:val="0"/>
        </w:rPr>
      </w:pPr>
      <w:r>
        <w:rPr>
          <w:snapToGrid w:val="0"/>
        </w:rPr>
        <w:tab/>
        <w:t>(c)</w:t>
      </w:r>
      <w:r>
        <w:rPr>
          <w:snapToGrid w:val="0"/>
        </w:rPr>
        <w:tab/>
        <w:t>No person shall commit any nuisance or gamble in or upon any jetty, shed, vehicle, or premises of the Department.</w:t>
      </w:r>
    </w:p>
    <w:p>
      <w:pPr>
        <w:pStyle w:val="Footnotesection"/>
      </w:pPr>
      <w:r>
        <w:tab/>
        <w:t xml:space="preserve">[Regulation 45 amended in Gazette 19 May 1989 p. 1495.] </w:t>
      </w:r>
    </w:p>
    <w:p>
      <w:pPr>
        <w:pStyle w:val="Heading5"/>
        <w:rPr>
          <w:snapToGrid w:val="0"/>
        </w:rPr>
      </w:pPr>
      <w:bookmarkStart w:id="64" w:name="_Toc382379958"/>
      <w:r>
        <w:rPr>
          <w:rStyle w:val="CharSectno"/>
        </w:rPr>
        <w:t>46</w:t>
      </w:r>
      <w:r>
        <w:rPr>
          <w:snapToGrid w:val="0"/>
        </w:rPr>
        <w:t>.</w:t>
      </w:r>
      <w:r>
        <w:rPr>
          <w:snapToGrid w:val="0"/>
        </w:rPr>
        <w:tab/>
        <w:t>Fires not to be lit</w:t>
      </w:r>
      <w:bookmarkEnd w:id="64"/>
      <w:r>
        <w:rPr>
          <w:snapToGrid w:val="0"/>
        </w:rPr>
        <w:t xml:space="preserve"> </w:t>
      </w:r>
    </w:p>
    <w:p>
      <w:pPr>
        <w:pStyle w:val="Subsection"/>
        <w:rPr>
          <w:snapToGrid w:val="0"/>
        </w:rPr>
      </w:pPr>
      <w:r>
        <w:rPr>
          <w:snapToGrid w:val="0"/>
        </w:rPr>
        <w:tab/>
      </w:r>
      <w:r>
        <w:rPr>
          <w:snapToGrid w:val="0"/>
        </w:rPr>
        <w:tab/>
        <w:t>No person shall, under any pretext whatever, light, place, or keep a fire upon or so near as to endanger any jetty, shed, car, carriage, or other work of a like nature, nor in or upon any tramway or premises whatsoever of the Department constructed entirely or in part of wood.</w:t>
      </w:r>
    </w:p>
    <w:p>
      <w:pPr>
        <w:pStyle w:val="Footnotesection"/>
      </w:pPr>
      <w:r>
        <w:tab/>
        <w:t xml:space="preserve">[Regulation 46 amended in Gazette 19 May 1989 p. 1495.] </w:t>
      </w:r>
    </w:p>
    <w:p>
      <w:pPr>
        <w:pStyle w:val="Heading5"/>
        <w:rPr>
          <w:snapToGrid w:val="0"/>
        </w:rPr>
      </w:pPr>
      <w:bookmarkStart w:id="65" w:name="_Toc382379959"/>
      <w:r>
        <w:rPr>
          <w:rStyle w:val="CharSectno"/>
        </w:rPr>
        <w:t>47</w:t>
      </w:r>
      <w:r>
        <w:rPr>
          <w:snapToGrid w:val="0"/>
        </w:rPr>
        <w:t>.</w:t>
      </w:r>
      <w:r>
        <w:rPr>
          <w:snapToGrid w:val="0"/>
        </w:rPr>
        <w:tab/>
        <w:t>Gates to be shut</w:t>
      </w:r>
      <w:bookmarkEnd w:id="65"/>
      <w:r>
        <w:rPr>
          <w:snapToGrid w:val="0"/>
        </w:rPr>
        <w:t xml:space="preserve"> </w:t>
      </w:r>
    </w:p>
    <w:p>
      <w:pPr>
        <w:pStyle w:val="Subsection"/>
        <w:rPr>
          <w:snapToGrid w:val="0"/>
        </w:rPr>
      </w:pPr>
      <w:r>
        <w:rPr>
          <w:snapToGrid w:val="0"/>
        </w:rPr>
        <w:tab/>
      </w:r>
      <w:r>
        <w:rPr>
          <w:snapToGrid w:val="0"/>
        </w:rPr>
        <w:tab/>
        <w:t>No person shall neglect to shut any gate or slip panel in any fence forming the boundary of or upon or adjoining any jetty or premises of the Department.</w:t>
      </w:r>
    </w:p>
    <w:p>
      <w:pPr>
        <w:pStyle w:val="Footnotesection"/>
      </w:pPr>
      <w:r>
        <w:tab/>
        <w:t xml:space="preserve">[Regulation 47 amended in Gazette 19 May 1989 p. 1495.] </w:t>
      </w:r>
    </w:p>
    <w:p>
      <w:pPr>
        <w:pStyle w:val="Heading5"/>
        <w:rPr>
          <w:snapToGrid w:val="0"/>
        </w:rPr>
      </w:pPr>
      <w:bookmarkStart w:id="66" w:name="_Toc382379960"/>
      <w:r>
        <w:rPr>
          <w:rStyle w:val="CharSectno"/>
        </w:rPr>
        <w:t>48</w:t>
      </w:r>
      <w:r>
        <w:rPr>
          <w:snapToGrid w:val="0"/>
        </w:rPr>
        <w:t>.</w:t>
      </w:r>
      <w:r>
        <w:rPr>
          <w:snapToGrid w:val="0"/>
        </w:rPr>
        <w:tab/>
        <w:t>Interference with lights</w:t>
      </w:r>
      <w:bookmarkEnd w:id="66"/>
      <w:r>
        <w:rPr>
          <w:snapToGrid w:val="0"/>
        </w:rPr>
        <w:t xml:space="preserve"> </w:t>
      </w:r>
    </w:p>
    <w:p>
      <w:pPr>
        <w:pStyle w:val="Subsection"/>
        <w:rPr>
          <w:snapToGrid w:val="0"/>
        </w:rPr>
      </w:pPr>
      <w:r>
        <w:rPr>
          <w:snapToGrid w:val="0"/>
        </w:rPr>
        <w:tab/>
      </w:r>
      <w:r>
        <w:rPr>
          <w:snapToGrid w:val="0"/>
        </w:rPr>
        <w:tab/>
        <w:t>No person shall interfere with, damage, or remove any portion of any electric or other type of light or lamp or the mains or fittings thereof, on any jetty, vehicle or premises of the Department.</w:t>
      </w:r>
    </w:p>
    <w:p>
      <w:pPr>
        <w:pStyle w:val="Footnotesection"/>
      </w:pPr>
      <w:r>
        <w:tab/>
        <w:t xml:space="preserve">[Regulation 48 amended in Gazette 19 May 1989 p. 1495.] </w:t>
      </w:r>
    </w:p>
    <w:p>
      <w:pPr>
        <w:pStyle w:val="Heading5"/>
        <w:rPr>
          <w:snapToGrid w:val="0"/>
        </w:rPr>
      </w:pPr>
      <w:bookmarkStart w:id="67" w:name="_Toc382379961"/>
      <w:r>
        <w:rPr>
          <w:rStyle w:val="CharSectno"/>
        </w:rPr>
        <w:t>49</w:t>
      </w:r>
      <w:r>
        <w:rPr>
          <w:snapToGrid w:val="0"/>
        </w:rPr>
        <w:t>.</w:t>
      </w:r>
      <w:r>
        <w:rPr>
          <w:snapToGrid w:val="0"/>
        </w:rPr>
        <w:tab/>
        <w:t>Interference with or damaging property</w:t>
      </w:r>
      <w:bookmarkEnd w:id="67"/>
      <w:r>
        <w:rPr>
          <w:snapToGrid w:val="0"/>
        </w:rPr>
        <w:t xml:space="preserve"> </w:t>
      </w:r>
    </w:p>
    <w:p>
      <w:pPr>
        <w:pStyle w:val="Subsection"/>
        <w:keepNext/>
        <w:keepLines/>
        <w:rPr>
          <w:snapToGrid w:val="0"/>
        </w:rPr>
      </w:pPr>
      <w:r>
        <w:rPr>
          <w:snapToGrid w:val="0"/>
        </w:rPr>
        <w:tab/>
      </w:r>
      <w:r>
        <w:rPr>
          <w:snapToGrid w:val="0"/>
        </w:rPr>
        <w:tab/>
        <w:t>No person shall do, attempt to do, assist or aid in doing, cause or procure to be done, any of the following things:</w:t>
      </w:r>
    </w:p>
    <w:p>
      <w:pPr>
        <w:pStyle w:val="Indenta"/>
        <w:rPr>
          <w:snapToGrid w:val="0"/>
        </w:rPr>
      </w:pPr>
      <w:r>
        <w:rPr>
          <w:snapToGrid w:val="0"/>
        </w:rPr>
        <w:tab/>
        <w:t>(a)</w:t>
      </w:r>
      <w:r>
        <w:rPr>
          <w:snapToGrid w:val="0"/>
        </w:rPr>
        <w:tab/>
        <w:t>place any rolling stock or appliance on any tramway or premises without lawful authority so to do;</w:t>
      </w:r>
    </w:p>
    <w:p>
      <w:pPr>
        <w:pStyle w:val="Indenta"/>
        <w:rPr>
          <w:snapToGrid w:val="0"/>
        </w:rPr>
      </w:pPr>
      <w:r>
        <w:rPr>
          <w:snapToGrid w:val="0"/>
        </w:rPr>
        <w:tab/>
        <w:t>(b)</w:t>
      </w:r>
      <w:r>
        <w:rPr>
          <w:snapToGrid w:val="0"/>
        </w:rPr>
        <w:tab/>
        <w:t>move any part of the rolling stock or appliances on any tramway or premises, or leave the same on any part of the tramway or premises without lawful authority so to do;</w:t>
      </w:r>
    </w:p>
    <w:p>
      <w:pPr>
        <w:pStyle w:val="Indenta"/>
        <w:rPr>
          <w:snapToGrid w:val="0"/>
        </w:rPr>
      </w:pPr>
      <w:r>
        <w:rPr>
          <w:snapToGrid w:val="0"/>
        </w:rPr>
        <w:tab/>
        <w:t>(c)</w:t>
      </w:r>
      <w:r>
        <w:rPr>
          <w:snapToGrid w:val="0"/>
        </w:rPr>
        <w:tab/>
        <w:t>move or in any way interfere with any signals, points, stop blocks, or show any signal whatsoever likely to mislead;</w:t>
      </w:r>
    </w:p>
    <w:p>
      <w:pPr>
        <w:pStyle w:val="Indenta"/>
        <w:rPr>
          <w:snapToGrid w:val="0"/>
        </w:rPr>
      </w:pPr>
      <w:r>
        <w:rPr>
          <w:snapToGrid w:val="0"/>
        </w:rPr>
        <w:tab/>
        <w:t>(d)</w:t>
      </w:r>
      <w:r>
        <w:rPr>
          <w:snapToGrid w:val="0"/>
        </w:rPr>
        <w:tab/>
        <w:t>remove from any jetty or premises of the Department any rolling stock, tarpaulins, tools, appliances, or property of any kind, or permit any of such rolling stock, tarpaulins, tools, appliances, or property to be unlawfully in his possession or on his premises;</w:t>
      </w:r>
    </w:p>
    <w:p>
      <w:pPr>
        <w:pStyle w:val="Indenta"/>
        <w:rPr>
          <w:snapToGrid w:val="0"/>
        </w:rPr>
      </w:pPr>
      <w:r>
        <w:rPr>
          <w:snapToGrid w:val="0"/>
        </w:rPr>
        <w:tab/>
        <w:t>(e)</w:t>
      </w:r>
      <w:r>
        <w:rPr>
          <w:snapToGrid w:val="0"/>
        </w:rPr>
        <w:tab/>
        <w:t>damage any jetty or any locomotive, carriage, wagon, rolling stock, machinery, material, or thing used upon or belonging to any jetty or premises of the Department.</w:t>
      </w:r>
    </w:p>
    <w:p>
      <w:pPr>
        <w:pStyle w:val="Footnotesection"/>
      </w:pPr>
      <w:r>
        <w:tab/>
        <w:t xml:space="preserve">[Regulation 49 amended in Gazette 19 May 1985 p. 1495.] </w:t>
      </w:r>
    </w:p>
    <w:p>
      <w:pPr>
        <w:pStyle w:val="Heading5"/>
        <w:rPr>
          <w:snapToGrid w:val="0"/>
        </w:rPr>
      </w:pPr>
      <w:bookmarkStart w:id="68" w:name="_Toc382379962"/>
      <w:r>
        <w:rPr>
          <w:rStyle w:val="CharSectno"/>
        </w:rPr>
        <w:t>50</w:t>
      </w:r>
      <w:r>
        <w:rPr>
          <w:snapToGrid w:val="0"/>
        </w:rPr>
        <w:t>.</w:t>
      </w:r>
      <w:r>
        <w:rPr>
          <w:snapToGrid w:val="0"/>
        </w:rPr>
        <w:tab/>
        <w:t>Lost property</w:t>
      </w:r>
      <w:bookmarkEnd w:id="68"/>
      <w:r>
        <w:rPr>
          <w:snapToGrid w:val="0"/>
        </w:rPr>
        <w:t xml:space="preserve"> </w:t>
      </w:r>
    </w:p>
    <w:p>
      <w:pPr>
        <w:pStyle w:val="Subsection"/>
        <w:rPr>
          <w:snapToGrid w:val="0"/>
        </w:rPr>
      </w:pPr>
      <w:r>
        <w:rPr>
          <w:snapToGrid w:val="0"/>
        </w:rPr>
        <w:tab/>
      </w:r>
      <w:r>
        <w:rPr>
          <w:snapToGrid w:val="0"/>
        </w:rPr>
        <w:tab/>
        <w:t>Any person who finds any lost property upon any jetty or premises, or in any carriage or other vehicle of the Department shall immediately hand same over to the officer in charge, either of the jetty or premises, or in charge of the carriage or vehicle, as the case may be.</w:t>
      </w:r>
    </w:p>
    <w:p>
      <w:pPr>
        <w:pStyle w:val="Footnotesection"/>
        <w:ind w:left="890" w:hanging="890"/>
      </w:pPr>
      <w:r>
        <w:tab/>
        <w:t xml:space="preserve">[Regulation 50 amended in Gazette 19 May 1985 p. 1495.] </w:t>
      </w:r>
    </w:p>
    <w:p>
      <w:pPr>
        <w:pStyle w:val="Heading5"/>
        <w:rPr>
          <w:snapToGrid w:val="0"/>
        </w:rPr>
      </w:pPr>
      <w:bookmarkStart w:id="69" w:name="_Toc382379963"/>
      <w:r>
        <w:rPr>
          <w:rStyle w:val="CharSectno"/>
        </w:rPr>
        <w:t>51</w:t>
      </w:r>
      <w:r>
        <w:rPr>
          <w:snapToGrid w:val="0"/>
        </w:rPr>
        <w:t>.</w:t>
      </w:r>
      <w:r>
        <w:rPr>
          <w:snapToGrid w:val="0"/>
        </w:rPr>
        <w:tab/>
        <w:t>Obstruction of officers, or premises</w:t>
      </w:r>
      <w:bookmarkEnd w:id="69"/>
      <w:r>
        <w:rPr>
          <w:snapToGrid w:val="0"/>
        </w:rPr>
        <w:t xml:space="preserve"> </w:t>
      </w:r>
    </w:p>
    <w:p>
      <w:pPr>
        <w:pStyle w:val="Subsection"/>
        <w:keepNext/>
        <w:keepLines/>
        <w:rPr>
          <w:snapToGrid w:val="0"/>
        </w:rPr>
      </w:pPr>
      <w:r>
        <w:rPr>
          <w:snapToGrid w:val="0"/>
        </w:rPr>
        <w:tab/>
      </w:r>
      <w:r>
        <w:rPr>
          <w:snapToGrid w:val="0"/>
        </w:rPr>
        <w:tab/>
        <w:t>No person shall do, attempt to do, assist or aid in doing, cause or procure to be done, any of the following things:</w:t>
      </w:r>
    </w:p>
    <w:p>
      <w:pPr>
        <w:pStyle w:val="Indenta"/>
        <w:rPr>
          <w:snapToGrid w:val="0"/>
        </w:rPr>
      </w:pPr>
      <w:r>
        <w:rPr>
          <w:snapToGrid w:val="0"/>
        </w:rPr>
        <w:tab/>
        <w:t>(a)</w:t>
      </w:r>
      <w:r>
        <w:rPr>
          <w:snapToGrid w:val="0"/>
        </w:rPr>
        <w:tab/>
        <w:t>obstruct any officer or servant employed on any jetty or premises of the Department, in the due performance of his duty;</w:t>
      </w:r>
    </w:p>
    <w:p>
      <w:pPr>
        <w:pStyle w:val="Indenta"/>
        <w:rPr>
          <w:snapToGrid w:val="0"/>
        </w:rPr>
      </w:pPr>
      <w:r>
        <w:rPr>
          <w:snapToGrid w:val="0"/>
        </w:rPr>
        <w:tab/>
        <w:t>(b)</w:t>
      </w:r>
      <w:r>
        <w:rPr>
          <w:snapToGrid w:val="0"/>
        </w:rPr>
        <w:tab/>
        <w:t>do any act which obstructs or may obstruct the working of any jetty or premises of the Department, or endanger the lives of any person or persons travelling thereon.</w:t>
      </w:r>
    </w:p>
    <w:p>
      <w:pPr>
        <w:pStyle w:val="Footnotesection"/>
      </w:pPr>
      <w:r>
        <w:tab/>
        <w:t xml:space="preserve">[Regulation 51 amended in Gazette 19 May 1989 p. 1495.] </w:t>
      </w:r>
    </w:p>
    <w:p>
      <w:pPr>
        <w:pStyle w:val="Heading5"/>
        <w:spacing w:before="120"/>
        <w:rPr>
          <w:snapToGrid w:val="0"/>
        </w:rPr>
      </w:pPr>
      <w:bookmarkStart w:id="70" w:name="_Toc382379964"/>
      <w:r>
        <w:rPr>
          <w:rStyle w:val="CharSectno"/>
        </w:rPr>
        <w:t>52</w:t>
      </w:r>
      <w:r>
        <w:rPr>
          <w:snapToGrid w:val="0"/>
        </w:rPr>
        <w:t>.</w:t>
      </w:r>
      <w:r>
        <w:rPr>
          <w:snapToGrid w:val="0"/>
        </w:rPr>
        <w:tab/>
        <w:t>Obstruction of or damage to jetties or premises</w:t>
      </w:r>
      <w:bookmarkEnd w:id="70"/>
      <w:r>
        <w:rPr>
          <w:snapToGrid w:val="0"/>
        </w:rPr>
        <w:t xml:space="preserve"> </w:t>
      </w:r>
    </w:p>
    <w:p>
      <w:pPr>
        <w:pStyle w:val="Subsection"/>
        <w:keepNext/>
        <w:keepLines/>
        <w:rPr>
          <w:snapToGrid w:val="0"/>
        </w:rPr>
      </w:pPr>
      <w:r>
        <w:rPr>
          <w:snapToGrid w:val="0"/>
        </w:rPr>
        <w:tab/>
      </w:r>
      <w:r>
        <w:rPr>
          <w:snapToGrid w:val="0"/>
        </w:rPr>
        <w:tab/>
        <w:t>No person, without having lawful authority or written permission from the officer in charge of any jetty, shall cause or procure to be done any of the following acts:</w:t>
      </w:r>
    </w:p>
    <w:p>
      <w:pPr>
        <w:pStyle w:val="Indenta"/>
        <w:rPr>
          <w:snapToGrid w:val="0"/>
        </w:rPr>
      </w:pPr>
      <w:r>
        <w:rPr>
          <w:snapToGrid w:val="0"/>
        </w:rPr>
        <w:tab/>
        <w:t>(a)</w:t>
      </w:r>
      <w:r>
        <w:rPr>
          <w:snapToGrid w:val="0"/>
        </w:rPr>
        <w:tab/>
        <w:t>encroach upon any jetty or premises of the Department by making any building, fence, ditch, or other obstacle thereon;</w:t>
      </w:r>
    </w:p>
    <w:p>
      <w:pPr>
        <w:pStyle w:val="Indenta"/>
        <w:rPr>
          <w:snapToGrid w:val="0"/>
        </w:rPr>
      </w:pPr>
      <w:r>
        <w:rPr>
          <w:snapToGrid w:val="0"/>
        </w:rPr>
        <w:tab/>
        <w:t>(b)</w:t>
      </w:r>
      <w:r>
        <w:rPr>
          <w:snapToGrid w:val="0"/>
        </w:rPr>
        <w:tab/>
        <w:t>damage, dig up, destroy, remove, or alter in any way the material or soil thereof;</w:t>
      </w:r>
    </w:p>
    <w:p>
      <w:pPr>
        <w:pStyle w:val="Indenta"/>
        <w:rPr>
          <w:snapToGrid w:val="0"/>
        </w:rPr>
      </w:pPr>
      <w:r>
        <w:rPr>
          <w:snapToGrid w:val="0"/>
        </w:rPr>
        <w:tab/>
        <w:t>(c)</w:t>
      </w:r>
      <w:r>
        <w:rPr>
          <w:snapToGrid w:val="0"/>
        </w:rPr>
        <w:tab/>
        <w:t>fill up, divert, alter, or obstruct any drain or watercourse directly carrying water off, or made to protect the same, or do any act whereby any drain or watercourse is stopped or the flow of water therein is obstructed;</w:t>
      </w:r>
    </w:p>
    <w:p>
      <w:pPr>
        <w:pStyle w:val="Indenta"/>
        <w:rPr>
          <w:snapToGrid w:val="0"/>
        </w:rPr>
      </w:pPr>
      <w:r>
        <w:rPr>
          <w:snapToGrid w:val="0"/>
        </w:rPr>
        <w:tab/>
        <w:t>(d)</w:t>
      </w:r>
      <w:r>
        <w:rPr>
          <w:snapToGrid w:val="0"/>
        </w:rPr>
        <w:tab/>
        <w:t>interfere with or divert or dig any such drain or watercourse;</w:t>
      </w:r>
    </w:p>
    <w:p>
      <w:pPr>
        <w:pStyle w:val="Indenta"/>
        <w:rPr>
          <w:snapToGrid w:val="0"/>
        </w:rPr>
      </w:pPr>
      <w:r>
        <w:rPr>
          <w:snapToGrid w:val="0"/>
        </w:rPr>
        <w:tab/>
        <w:t>(e)</w:t>
      </w:r>
      <w:r>
        <w:rPr>
          <w:snapToGrid w:val="0"/>
        </w:rPr>
        <w:tab/>
        <w:t>unlawfully throw or put any stone, gravel, or timber, or any substance, whether solid or liquid, or any other matter or thing, on any jetty or premises of the Department;</w:t>
      </w:r>
    </w:p>
    <w:p>
      <w:pPr>
        <w:pStyle w:val="Indenta"/>
        <w:rPr>
          <w:snapToGrid w:val="0"/>
        </w:rPr>
      </w:pPr>
      <w:r>
        <w:rPr>
          <w:snapToGrid w:val="0"/>
        </w:rPr>
        <w:tab/>
        <w:t>(f)</w:t>
      </w:r>
      <w:r>
        <w:rPr>
          <w:snapToGrid w:val="0"/>
        </w:rPr>
        <w:tab/>
        <w:t>cut down, break, remove, or destroy any fence, building, or bridge, or any telegraph line or post in or upon any jetty or premises of the Department.</w:t>
      </w:r>
    </w:p>
    <w:p>
      <w:pPr>
        <w:pStyle w:val="Footnotesection"/>
        <w:keepLines w:val="0"/>
        <w:ind w:left="890" w:hanging="890"/>
      </w:pPr>
      <w:r>
        <w:tab/>
        <w:t xml:space="preserve">[Regulation 52 amended in Gazette 19 May 1989 p. 1495.] </w:t>
      </w:r>
    </w:p>
    <w:p>
      <w:pPr>
        <w:pStyle w:val="Heading5"/>
        <w:rPr>
          <w:snapToGrid w:val="0"/>
        </w:rPr>
      </w:pPr>
      <w:bookmarkStart w:id="71" w:name="_Toc382379965"/>
      <w:r>
        <w:rPr>
          <w:rStyle w:val="CharSectno"/>
        </w:rPr>
        <w:t>53</w:t>
      </w:r>
      <w:r>
        <w:rPr>
          <w:snapToGrid w:val="0"/>
        </w:rPr>
        <w:t>.</w:t>
      </w:r>
      <w:r>
        <w:rPr>
          <w:snapToGrid w:val="0"/>
        </w:rPr>
        <w:tab/>
        <w:t>Rubbish etc. not to be thrown</w:t>
      </w:r>
      <w:bookmarkEnd w:id="71"/>
      <w:r>
        <w:rPr>
          <w:snapToGrid w:val="0"/>
        </w:rPr>
        <w:t xml:space="preserve"> </w:t>
      </w:r>
    </w:p>
    <w:p>
      <w:pPr>
        <w:pStyle w:val="Subsection"/>
        <w:rPr>
          <w:snapToGrid w:val="0"/>
        </w:rPr>
      </w:pPr>
      <w:r>
        <w:rPr>
          <w:snapToGrid w:val="0"/>
        </w:rPr>
        <w:tab/>
      </w:r>
      <w:r>
        <w:rPr>
          <w:snapToGrid w:val="0"/>
        </w:rPr>
        <w:tab/>
        <w:t>No person shall throw or cause to be thrown at or from any car, carriage, or other vehicle of the Department, or on to any jetty, or premises vested in, used by, or under the control of the Department, any glass, stone, or other missile, or any filth, dirt, rubbish, or other matter of a similar nature.</w:t>
      </w:r>
    </w:p>
    <w:p>
      <w:pPr>
        <w:pStyle w:val="Footnotesection"/>
      </w:pPr>
      <w:r>
        <w:tab/>
        <w:t xml:space="preserve">[Regulation 53 amended in Gazette 19 May 1989 p. 1495.] </w:t>
      </w:r>
    </w:p>
    <w:p>
      <w:pPr>
        <w:pStyle w:val="Heading5"/>
      </w:pPr>
      <w:bookmarkStart w:id="72" w:name="_Toc382379966"/>
      <w:r>
        <w:rPr>
          <w:rStyle w:val="CharSectno"/>
        </w:rPr>
        <w:t>53A</w:t>
      </w:r>
      <w:r>
        <w:t>.</w:t>
      </w:r>
      <w:r>
        <w:tab/>
        <w:t>Fees for rubbish removal</w:t>
      </w:r>
      <w:bookmarkEnd w:id="72"/>
    </w:p>
    <w:p>
      <w:pPr>
        <w:pStyle w:val="Subsection"/>
      </w:pPr>
      <w:r>
        <w:tab/>
      </w:r>
      <w:r>
        <w:tab/>
        <w:t>The fees (if any) payable for removal of rubbish by the Department are as set out —</w:t>
      </w:r>
    </w:p>
    <w:p>
      <w:pPr>
        <w:pStyle w:val="Indenta"/>
      </w:pPr>
      <w:r>
        <w:tab/>
        <w:t>(a)</w:t>
      </w:r>
      <w:r>
        <w:tab/>
        <w:t xml:space="preserve">for a jetty at a place outside the </w:t>
      </w:r>
      <w:smartTag w:uri="urn:schemas-microsoft-com:office:smarttags" w:element="place">
        <w:smartTag w:uri="urn:schemas-microsoft-com:office:smarttags" w:element="PlaceType">
          <w:r>
            <w:t>Port</w:t>
          </w:r>
        </w:smartTag>
        <w:r>
          <w:t xml:space="preserve"> of </w:t>
        </w:r>
        <w:smartTag w:uri="urn:schemas-microsoft-com:office:smarttags" w:element="PlaceName">
          <w:r>
            <w:t>Perth</w:t>
          </w:r>
        </w:smartTag>
      </w:smartTag>
      <w:r>
        <w:t>, in Schedule 1;</w:t>
      </w:r>
    </w:p>
    <w:p>
      <w:pPr>
        <w:pStyle w:val="Indenta"/>
      </w:pPr>
      <w:r>
        <w:tab/>
        <w:t>(b)</w:t>
      </w:r>
      <w:r>
        <w:tab/>
        <w:t xml:space="preserve">for a jetty in the </w:t>
      </w:r>
      <w:smartTag w:uri="urn:schemas-microsoft-com:office:smarttags" w:element="place">
        <w:smartTag w:uri="urn:schemas-microsoft-com:office:smarttags" w:element="PlaceType">
          <w:r>
            <w:t>Port</w:t>
          </w:r>
        </w:smartTag>
        <w:r>
          <w:t xml:space="preserve"> of </w:t>
        </w:r>
        <w:smartTag w:uri="urn:schemas-microsoft-com:office:smarttags" w:element="PlaceName">
          <w:r>
            <w:t>Perth</w:t>
          </w:r>
        </w:smartTag>
      </w:smartTag>
      <w:r>
        <w:t>, in Schedule 2.</w:t>
      </w:r>
    </w:p>
    <w:p>
      <w:pPr>
        <w:pStyle w:val="Footnotesection"/>
      </w:pPr>
      <w:r>
        <w:tab/>
        <w:t>[Regulation 53A inserted in Gazette 22 Jun 2007 p. 2909.]</w:t>
      </w:r>
    </w:p>
    <w:p>
      <w:pPr>
        <w:pStyle w:val="Heading5"/>
        <w:rPr>
          <w:snapToGrid w:val="0"/>
        </w:rPr>
      </w:pPr>
      <w:bookmarkStart w:id="73" w:name="_Toc382379967"/>
      <w:r>
        <w:rPr>
          <w:rStyle w:val="CharSectno"/>
        </w:rPr>
        <w:t>54</w:t>
      </w:r>
      <w:r>
        <w:rPr>
          <w:snapToGrid w:val="0"/>
        </w:rPr>
        <w:t>.</w:t>
      </w:r>
      <w:r>
        <w:rPr>
          <w:snapToGrid w:val="0"/>
        </w:rPr>
        <w:tab/>
      </w:r>
      <w:smartTag w:uri="urn:schemas-microsoft-com:office:smarttags" w:element="place">
        <w:smartTag w:uri="urn:schemas-microsoft-com:office:smarttags" w:element="City">
          <w:r>
            <w:rPr>
              <w:snapToGrid w:val="0"/>
            </w:rPr>
            <w:t>Sale</w:t>
          </w:r>
        </w:smartTag>
      </w:smartTag>
      <w:r>
        <w:rPr>
          <w:snapToGrid w:val="0"/>
        </w:rPr>
        <w:t xml:space="preserve"> of articles prohibited</w:t>
      </w:r>
      <w:bookmarkEnd w:id="73"/>
      <w:r>
        <w:rPr>
          <w:snapToGrid w:val="0"/>
        </w:rPr>
        <w:t xml:space="preserve"> </w:t>
      </w:r>
    </w:p>
    <w:p>
      <w:pPr>
        <w:pStyle w:val="Subsection"/>
        <w:rPr>
          <w:snapToGrid w:val="0"/>
        </w:rPr>
      </w:pPr>
      <w:r>
        <w:rPr>
          <w:snapToGrid w:val="0"/>
        </w:rPr>
        <w:tab/>
      </w:r>
      <w:r>
        <w:rPr>
          <w:snapToGrid w:val="0"/>
        </w:rPr>
        <w:tab/>
        <w:t>No person, unless authorised by the Department, shall sell or attempt to sell any article on any jetty or premises, or in any car, carriage, or other vehicle of the Department.</w:t>
      </w:r>
    </w:p>
    <w:p>
      <w:pPr>
        <w:pStyle w:val="Footnotesection"/>
      </w:pPr>
      <w:r>
        <w:tab/>
        <w:t xml:space="preserve">[Regulation 54 amended in Gazette 19 May 1989 p. 1495.] </w:t>
      </w:r>
    </w:p>
    <w:p>
      <w:pPr>
        <w:pStyle w:val="Heading5"/>
        <w:rPr>
          <w:snapToGrid w:val="0"/>
        </w:rPr>
      </w:pPr>
      <w:bookmarkStart w:id="74" w:name="_Toc382379968"/>
      <w:r>
        <w:rPr>
          <w:rStyle w:val="CharSectno"/>
        </w:rPr>
        <w:t>55</w:t>
      </w:r>
      <w:r>
        <w:rPr>
          <w:snapToGrid w:val="0"/>
        </w:rPr>
        <w:t>.</w:t>
      </w:r>
      <w:r>
        <w:rPr>
          <w:snapToGrid w:val="0"/>
        </w:rPr>
        <w:tab/>
        <w:t>Smoking and loitering</w:t>
      </w:r>
      <w:bookmarkEnd w:id="74"/>
      <w:r>
        <w:rPr>
          <w:snapToGrid w:val="0"/>
        </w:rPr>
        <w:t xml:space="preserve"> </w:t>
      </w:r>
    </w:p>
    <w:p>
      <w:pPr>
        <w:pStyle w:val="Subsection"/>
        <w:rPr>
          <w:snapToGrid w:val="0"/>
        </w:rPr>
      </w:pPr>
      <w:r>
        <w:rPr>
          <w:snapToGrid w:val="0"/>
        </w:rPr>
        <w:tab/>
      </w:r>
      <w:r>
        <w:rPr>
          <w:snapToGrid w:val="0"/>
        </w:rPr>
        <w:tab/>
        <w:t>No person shall smoke in, under, or near to any shed, or loiter therein or thereunder, or upon any jetty, or lounge or sleep among the cargo placed in or under any shed or upon any jetty, or play at any game, or, without the written consent of the Department, address any assemblage of persons in any shed or on any jetty or any approach thereto.</w:t>
      </w:r>
    </w:p>
    <w:p>
      <w:pPr>
        <w:pStyle w:val="Footnotesection"/>
      </w:pPr>
      <w:r>
        <w:tab/>
        <w:t xml:space="preserve">[Regulation 55 amended in Gazette 19 May 1989 p. 1495.] </w:t>
      </w:r>
    </w:p>
    <w:p>
      <w:pPr>
        <w:pStyle w:val="Heading5"/>
        <w:rPr>
          <w:snapToGrid w:val="0"/>
        </w:rPr>
      </w:pPr>
      <w:bookmarkStart w:id="75" w:name="_Toc382379969"/>
      <w:r>
        <w:rPr>
          <w:rStyle w:val="CharSectno"/>
        </w:rPr>
        <w:t>56</w:t>
      </w:r>
      <w:r>
        <w:rPr>
          <w:snapToGrid w:val="0"/>
        </w:rPr>
        <w:t>.</w:t>
      </w:r>
      <w:r>
        <w:rPr>
          <w:snapToGrid w:val="0"/>
        </w:rPr>
        <w:tab/>
        <w:t>Trespassing</w:t>
      </w:r>
      <w:bookmarkEnd w:id="75"/>
      <w:r>
        <w:rPr>
          <w:snapToGrid w:val="0"/>
        </w:rPr>
        <w:t xml:space="preserve"> </w:t>
      </w:r>
    </w:p>
    <w:p>
      <w:pPr>
        <w:pStyle w:val="Subsection"/>
        <w:rPr>
          <w:snapToGrid w:val="0"/>
        </w:rPr>
      </w:pPr>
      <w:r>
        <w:rPr>
          <w:snapToGrid w:val="0"/>
        </w:rPr>
        <w:tab/>
      </w:r>
      <w:r>
        <w:rPr>
          <w:snapToGrid w:val="0"/>
        </w:rPr>
        <w:tab/>
        <w:t>No person shall trespass on any premises, or be in any vehicle or shed of the Department, unless he has business therein, and no person shall remain on such premises or in such vehicle or shed after having been directed by the officer in charge to withdraw.</w:t>
      </w:r>
    </w:p>
    <w:p>
      <w:pPr>
        <w:pStyle w:val="Footnotesection"/>
      </w:pPr>
      <w:r>
        <w:tab/>
        <w:t xml:space="preserve">[Regulation 56 amended in Gazette 19 May 1989 p. 1495.] </w:t>
      </w:r>
    </w:p>
    <w:p>
      <w:pPr>
        <w:pStyle w:val="Ednotesection"/>
      </w:pPr>
      <w:r>
        <w:t>[</w:t>
      </w:r>
      <w:r>
        <w:rPr>
          <w:b/>
        </w:rPr>
        <w:t>57</w:t>
      </w:r>
      <w:r>
        <w:rPr>
          <w:b/>
        </w:rPr>
        <w:noBreakHyphen/>
        <w:t>67.</w:t>
      </w:r>
      <w:r>
        <w:tab/>
        <w:t xml:space="preserve">Deleted in Gazette 24 Nov 1972 p. 4487.] </w:t>
      </w:r>
    </w:p>
    <w:p>
      <w:pPr>
        <w:pStyle w:val="Heading5"/>
        <w:rPr>
          <w:snapToGrid w:val="0"/>
        </w:rPr>
      </w:pPr>
      <w:bookmarkStart w:id="76" w:name="_Toc382379970"/>
      <w:r>
        <w:rPr>
          <w:rStyle w:val="CharSectno"/>
        </w:rPr>
        <w:t>67A</w:t>
      </w:r>
      <w:r>
        <w:rPr>
          <w:snapToGrid w:val="0"/>
        </w:rPr>
        <w:t>.</w:t>
      </w:r>
      <w:r>
        <w:rPr>
          <w:snapToGrid w:val="0"/>
        </w:rPr>
        <w:tab/>
        <w:t>Conditions for construction and installation of pipelines</w:t>
      </w:r>
      <w:bookmarkEnd w:id="76"/>
      <w:r>
        <w:rPr>
          <w:snapToGrid w:val="0"/>
        </w:rPr>
        <w:t xml:space="preserve"> </w:t>
      </w:r>
    </w:p>
    <w:p>
      <w:pPr>
        <w:pStyle w:val="Subsection"/>
        <w:rPr>
          <w:snapToGrid w:val="0"/>
        </w:rPr>
      </w:pPr>
      <w:r>
        <w:rPr>
          <w:snapToGrid w:val="0"/>
        </w:rPr>
        <w:tab/>
      </w:r>
      <w:r>
        <w:rPr>
          <w:snapToGrid w:val="0"/>
        </w:rPr>
        <w:tab/>
        <w:t>Standard conditions for construction and installation of pipelines for transmission of liquids derived from petroleum, coal and shale on and from jetties to storage tanks:</w:t>
      </w:r>
    </w:p>
    <w:p>
      <w:pPr>
        <w:pStyle w:val="Indenta"/>
        <w:spacing w:before="120"/>
        <w:rPr>
          <w:snapToGrid w:val="0"/>
        </w:rPr>
      </w:pPr>
      <w:r>
        <w:rPr>
          <w:snapToGrid w:val="0"/>
        </w:rPr>
        <w:tab/>
        <w:t>(1)</w:t>
      </w:r>
      <w:r>
        <w:rPr>
          <w:snapToGrid w:val="0"/>
        </w:rPr>
        <w:tab/>
        <w:t>This regulation applies to pipelines for the transmission of inflammable liquid, liquids derived from petroleum, coal or shale and liquids having a flash point less than 61°C from the point of discharge from or intake of the vessel to or from the storage point.</w:t>
      </w:r>
    </w:p>
    <w:p>
      <w:pPr>
        <w:pStyle w:val="Indenta"/>
        <w:spacing w:before="120"/>
        <w:rPr>
          <w:snapToGrid w:val="0"/>
        </w:rPr>
      </w:pPr>
      <w:r>
        <w:rPr>
          <w:snapToGrid w:val="0"/>
        </w:rPr>
        <w:tab/>
        <w:t>(2)</w:t>
      </w:r>
      <w:r>
        <w:rPr>
          <w:snapToGrid w:val="0"/>
        </w:rPr>
        <w:tab/>
        <w:t>The various directions and requirements contained in these conditions shall be read as addressed to the owner of the pipelines, valves, hoses or other appliances except where specifically stated otherwise, and he shall be entirely and solely responsible for their full and complete observance.</w:t>
      </w:r>
    </w:p>
    <w:p>
      <w:pPr>
        <w:pStyle w:val="Indenta"/>
        <w:spacing w:before="120"/>
        <w:rPr>
          <w:snapToGrid w:val="0"/>
        </w:rPr>
      </w:pPr>
      <w:r>
        <w:rPr>
          <w:snapToGrid w:val="0"/>
        </w:rPr>
        <w:tab/>
        <w:t>(3)</w:t>
      </w:r>
      <w:r>
        <w:rPr>
          <w:snapToGrid w:val="0"/>
        </w:rPr>
        <w:tab/>
        <w:t>Any proposal for the construction or installation of a pipeline on and from any jetty shall be submitted to the Department together with full specifications and details and such construction or installation shall not be commenced and no jetty shall be used for that purpose except by licence from the Minister or chief executive officer.</w:t>
      </w:r>
    </w:p>
    <w:p>
      <w:pPr>
        <w:pStyle w:val="Indenta"/>
        <w:spacing w:before="120"/>
        <w:rPr>
          <w:snapToGrid w:val="0"/>
        </w:rPr>
      </w:pPr>
      <w:r>
        <w:rPr>
          <w:snapToGrid w:val="0"/>
        </w:rPr>
        <w:tab/>
        <w:t>(4)(a)</w:t>
      </w:r>
      <w:r>
        <w:rPr>
          <w:snapToGrid w:val="0"/>
        </w:rPr>
        <w:tab/>
        <w:t>When an existing pipeline is to be relaid or renewed, or any major repairs are to be effected, such pipeline or such section thereof as the Department may determine shall be classified as a new pipeline and shall conform to this regulation.</w:t>
      </w:r>
    </w:p>
    <w:p>
      <w:pPr>
        <w:pStyle w:val="Indenta"/>
        <w:spacing w:before="120"/>
        <w:rPr>
          <w:snapToGrid w:val="0"/>
        </w:rPr>
      </w:pPr>
      <w:r>
        <w:rPr>
          <w:snapToGrid w:val="0"/>
        </w:rPr>
        <w:tab/>
        <w:t>(b)</w:t>
      </w:r>
      <w:r>
        <w:rPr>
          <w:snapToGrid w:val="0"/>
        </w:rPr>
        <w:tab/>
        <w:t>Major repairs include any repairs or alterations involving welding.</w:t>
      </w:r>
    </w:p>
    <w:p>
      <w:pPr>
        <w:pStyle w:val="Indenta"/>
        <w:spacing w:before="120"/>
        <w:rPr>
          <w:snapToGrid w:val="0"/>
        </w:rPr>
      </w:pPr>
      <w:r>
        <w:rPr>
          <w:snapToGrid w:val="0"/>
        </w:rPr>
        <w:tab/>
        <w:t>(5)</w:t>
      </w:r>
      <w:r>
        <w:rPr>
          <w:snapToGrid w:val="0"/>
        </w:rPr>
        <w:tab/>
        <w:t>Where the Department is of the opinion that it is in the interest of public safety so to do it may by notice in writing given to the owner of a pipeline require such owner to relay, renew or repair such pipeline in such manner and within such time as the notice requires.</w:t>
      </w:r>
    </w:p>
    <w:p>
      <w:pPr>
        <w:pStyle w:val="Indenta"/>
        <w:spacing w:before="120"/>
        <w:rPr>
          <w:snapToGrid w:val="0"/>
        </w:rPr>
      </w:pPr>
      <w:r>
        <w:rPr>
          <w:snapToGrid w:val="0"/>
        </w:rPr>
        <w:tab/>
        <w:t>(6)</w:t>
      </w:r>
      <w:r>
        <w:rPr>
          <w:snapToGrid w:val="0"/>
        </w:rPr>
        <w:tab/>
        <w:t>Pipelines, valves, flanges and fittings shall comply with the relevant requirements of British Standards, British Institute of Petroleum Safety Codes, American Petroleum Institute Specification for Line Pipe or other specifications approved by the Department.</w:t>
      </w:r>
    </w:p>
    <w:p>
      <w:pPr>
        <w:pStyle w:val="Indenta"/>
        <w:spacing w:before="120"/>
        <w:rPr>
          <w:snapToGrid w:val="0"/>
        </w:rPr>
      </w:pPr>
      <w:r>
        <w:rPr>
          <w:snapToGrid w:val="0"/>
        </w:rPr>
        <w:tab/>
        <w:t>(7)</w:t>
      </w:r>
      <w:r>
        <w:rPr>
          <w:snapToGrid w:val="0"/>
        </w:rPr>
        <w:tab/>
        <w:t>Joints in pipelines shall be welded wherever practicable, and otherwise shall be made with flanged ends or other means approved by the Department.</w:t>
      </w:r>
    </w:p>
    <w:p>
      <w:pPr>
        <w:pStyle w:val="Indenta"/>
        <w:spacing w:before="120"/>
        <w:rPr>
          <w:snapToGrid w:val="0"/>
        </w:rPr>
      </w:pPr>
      <w:r>
        <w:rPr>
          <w:snapToGrid w:val="0"/>
        </w:rPr>
        <w:tab/>
        <w:t>(8)</w:t>
      </w:r>
      <w:r>
        <w:rPr>
          <w:snapToGrid w:val="0"/>
        </w:rPr>
        <w:tab/>
        <w:t>Where pipelines are supported by a wharf, they shall be secured in an adequate manner, proper provision being made for expansion movement and anchorages.</w:t>
      </w:r>
    </w:p>
    <w:p>
      <w:pPr>
        <w:pStyle w:val="Indenta"/>
        <w:spacing w:before="120"/>
        <w:rPr>
          <w:snapToGrid w:val="0"/>
        </w:rPr>
      </w:pPr>
      <w:r>
        <w:rPr>
          <w:snapToGrid w:val="0"/>
        </w:rPr>
        <w:tab/>
        <w:t>(9)</w:t>
      </w:r>
      <w:r>
        <w:rPr>
          <w:snapToGrid w:val="0"/>
        </w:rPr>
        <w:tab/>
        <w:t>Where valves and outlets in pipelines are placed below the deck of a wharf, access openings, with covers, shall be provided to them.</w:t>
      </w:r>
    </w:p>
    <w:p>
      <w:pPr>
        <w:pStyle w:val="Indenta"/>
        <w:spacing w:before="120"/>
        <w:rPr>
          <w:snapToGrid w:val="0"/>
        </w:rPr>
      </w:pPr>
      <w:r>
        <w:rPr>
          <w:snapToGrid w:val="0"/>
        </w:rPr>
        <w:tab/>
        <w:t>(10)</w:t>
      </w:r>
      <w:r>
        <w:rPr>
          <w:snapToGrid w:val="0"/>
        </w:rPr>
        <w:tab/>
        <w:t>Pipelines on wharves shall be fitted with a stop valve at the outer or seaward end, and an approved non</w:t>
      </w:r>
      <w:r>
        <w:rPr>
          <w:snapToGrid w:val="0"/>
        </w:rPr>
        <w:noBreakHyphen/>
        <w:t>return valve shall be placed immediately behind the connections between the flexible hose and the shore pipeline. Where required by the Department an approved non</w:t>
      </w:r>
      <w:r>
        <w:rPr>
          <w:snapToGrid w:val="0"/>
        </w:rPr>
        <w:noBreakHyphen/>
        <w:t>return valve shall be placed in the pipeline at the shore end of the wharf or at the shore end of a submarine pipeline. Subject to the approval of the Department the requirement of a non</w:t>
      </w:r>
      <w:r>
        <w:rPr>
          <w:snapToGrid w:val="0"/>
        </w:rPr>
        <w:noBreakHyphen/>
        <w:t>return valve at the seaward end of the pipeline may be dispensed with, if the distance from the outer or seaward end of the line to the non</w:t>
      </w:r>
      <w:r>
        <w:rPr>
          <w:snapToGrid w:val="0"/>
        </w:rPr>
        <w:noBreakHyphen/>
        <w:t>return valve on shore does not exceed 15 m.</w:t>
      </w:r>
      <w:r>
        <w:rPr>
          <w:snapToGrid w:val="0"/>
        </w:rPr>
        <w:br/>
        <w:t>In special circumstances, and as approved in writing by the Department, a non</w:t>
      </w:r>
      <w:r>
        <w:rPr>
          <w:snapToGrid w:val="0"/>
        </w:rPr>
        <w:noBreakHyphen/>
        <w:t>return valve may be by</w:t>
      </w:r>
      <w:r>
        <w:rPr>
          <w:snapToGrid w:val="0"/>
        </w:rPr>
        <w:noBreakHyphen/>
        <w:t>passed by the installation of a rising spindle gate valve connected to an approved branch line for “Go</w:t>
      </w:r>
      <w:r>
        <w:rPr>
          <w:snapToGrid w:val="0"/>
        </w:rPr>
        <w:noBreakHyphen/>
        <w:t>Devil” or product separation device operation and back loading. This valve must be kept closed and locked except when the pipeline is to be cleared of contents or back loading is taking place or the operations are such as to require insertion of a product separation device.</w:t>
      </w:r>
    </w:p>
    <w:p>
      <w:pPr>
        <w:pStyle w:val="Indenta"/>
        <w:spacing w:before="120"/>
        <w:rPr>
          <w:snapToGrid w:val="0"/>
        </w:rPr>
      </w:pPr>
      <w:r>
        <w:rPr>
          <w:snapToGrid w:val="0"/>
        </w:rPr>
        <w:tab/>
        <w:t>(11)</w:t>
      </w:r>
      <w:r>
        <w:rPr>
          <w:snapToGrid w:val="0"/>
        </w:rPr>
        <w:tab/>
        <w:t>Rising spindle gate valves of a type approved by the Department shall be used at pipeline control points.</w:t>
      </w:r>
    </w:p>
    <w:p>
      <w:pPr>
        <w:pStyle w:val="Indenta"/>
        <w:spacing w:before="120"/>
        <w:rPr>
          <w:snapToGrid w:val="0"/>
        </w:rPr>
      </w:pPr>
      <w:r>
        <w:rPr>
          <w:snapToGrid w:val="0"/>
        </w:rPr>
        <w:tab/>
        <w:t>(12)</w:t>
      </w:r>
      <w:r>
        <w:rPr>
          <w:snapToGrid w:val="0"/>
        </w:rPr>
        <w:tab/>
        <w:t>Pipelines used for the transmission of inflammable liquid with a flash point less than 61°C shall be suitably bended and earthed in a manner approved by the Department. A suitably designed cathodic protection system may be accepted for the purpose of this paragraph.</w:t>
      </w:r>
    </w:p>
    <w:p>
      <w:pPr>
        <w:pStyle w:val="Indenta"/>
        <w:spacing w:before="120"/>
        <w:rPr>
          <w:snapToGrid w:val="0"/>
        </w:rPr>
      </w:pPr>
      <w:r>
        <w:rPr>
          <w:snapToGrid w:val="0"/>
        </w:rPr>
        <w:tab/>
        <w:t>(13)</w:t>
      </w:r>
      <w:r>
        <w:rPr>
          <w:snapToGrid w:val="0"/>
        </w:rPr>
        <w:tab/>
        <w:t>The seaward end of pipelines and hoses left connected thereto on wharves shall be made liquid</w:t>
      </w:r>
      <w:r>
        <w:rPr>
          <w:snapToGrid w:val="0"/>
        </w:rPr>
        <w:noBreakHyphen/>
        <w:t>tight by fitting with either blank flanges properly secured and fastened by at least 4 bolts, or screwed caps.</w:t>
      </w:r>
    </w:p>
    <w:p>
      <w:pPr>
        <w:pStyle w:val="Indenta"/>
        <w:spacing w:before="120"/>
        <w:rPr>
          <w:snapToGrid w:val="0"/>
        </w:rPr>
      </w:pPr>
      <w:r>
        <w:rPr>
          <w:snapToGrid w:val="0"/>
        </w:rPr>
        <w:tab/>
        <w:t>(14)</w:t>
      </w:r>
      <w:r>
        <w:rPr>
          <w:snapToGrid w:val="0"/>
        </w:rPr>
        <w:tab/>
        <w:t>Pipelines and the control valves shall be marked as required by the Department.</w:t>
      </w:r>
    </w:p>
    <w:p>
      <w:pPr>
        <w:pStyle w:val="Indenta"/>
        <w:spacing w:before="120"/>
        <w:rPr>
          <w:snapToGrid w:val="0"/>
        </w:rPr>
      </w:pPr>
      <w:r>
        <w:rPr>
          <w:snapToGrid w:val="0"/>
        </w:rPr>
        <w:tab/>
        <w:t>(15)</w:t>
      </w:r>
      <w:r>
        <w:rPr>
          <w:snapToGrid w:val="0"/>
        </w:rPr>
        <w:tab/>
        <w:t>Pipelines not situated on wharves shall be laid above ground wherever possible and shall be properly supported at a height of not less than 160 mm above ground, but shall not rest directly on wood.</w:t>
      </w:r>
    </w:p>
    <w:p>
      <w:pPr>
        <w:pStyle w:val="Indenta"/>
        <w:spacing w:before="120"/>
        <w:rPr>
          <w:snapToGrid w:val="0"/>
        </w:rPr>
      </w:pPr>
      <w:r>
        <w:rPr>
          <w:snapToGrid w:val="0"/>
        </w:rPr>
        <w:tab/>
        <w:t>(16)</w:t>
      </w:r>
      <w:r>
        <w:rPr>
          <w:snapToGrid w:val="0"/>
        </w:rPr>
        <w:tab/>
        <w:t>Pipelines shall receive adequate protection against corrosion and other injury.</w:t>
      </w:r>
    </w:p>
    <w:p>
      <w:pPr>
        <w:pStyle w:val="Indenta"/>
        <w:spacing w:before="120"/>
        <w:rPr>
          <w:snapToGrid w:val="0"/>
        </w:rPr>
      </w:pPr>
      <w:r>
        <w:rPr>
          <w:snapToGrid w:val="0"/>
        </w:rPr>
        <w:tab/>
        <w:t>(17)</w:t>
      </w:r>
      <w:r>
        <w:rPr>
          <w:snapToGrid w:val="0"/>
        </w:rPr>
        <w:tab/>
        <w:t>If so required by the Department any pipeline laid under water shall be afforded cathodic protection in an approved manner.</w:t>
      </w:r>
    </w:p>
    <w:p>
      <w:pPr>
        <w:pStyle w:val="Indenta"/>
        <w:spacing w:before="120"/>
        <w:rPr>
          <w:snapToGrid w:val="0"/>
        </w:rPr>
      </w:pPr>
      <w:r>
        <w:rPr>
          <w:snapToGrid w:val="0"/>
        </w:rPr>
        <w:tab/>
        <w:t>(18)</w:t>
      </w:r>
      <w:r>
        <w:rPr>
          <w:snapToGrid w:val="0"/>
        </w:rPr>
        <w:tab/>
        <w:t>Pipelines laid under railway tracks, roads or streets, or where they may be subjected to heavy loading, shall be installed in accordance with the plans and specifications of the “Recommended practice on form of agreement and specifications for pipelines crossings under railroad tracks” issued by the American Petroleum Institute (A.P.I. Code No. 26) or other specification or proposal in regard to sleeving or culverting approved by the Department.</w:t>
      </w:r>
    </w:p>
    <w:p>
      <w:pPr>
        <w:pStyle w:val="Indenta"/>
        <w:spacing w:before="120"/>
        <w:rPr>
          <w:snapToGrid w:val="0"/>
        </w:rPr>
      </w:pPr>
      <w:r>
        <w:rPr>
          <w:snapToGrid w:val="0"/>
        </w:rPr>
        <w:tab/>
        <w:t>(19)</w:t>
      </w:r>
      <w:r>
        <w:rPr>
          <w:snapToGrid w:val="0"/>
        </w:rPr>
        <w:tab/>
        <w:t>Pipelines laid in ground, the surface of which is subject to loading of vehicular traffic, shall have at least 610 mm of approved cover over the top of the pipe, excluding flanges; proper access pits, with covers, shall be provided for valves, and flanged joints shall be readily accessible.</w:t>
      </w:r>
    </w:p>
    <w:p>
      <w:pPr>
        <w:pStyle w:val="Indenta"/>
        <w:spacing w:before="120"/>
        <w:rPr>
          <w:snapToGrid w:val="0"/>
        </w:rPr>
      </w:pPr>
      <w:r>
        <w:rPr>
          <w:snapToGrid w:val="0"/>
        </w:rPr>
        <w:tab/>
        <w:t>(20)</w:t>
      </w:r>
      <w:r>
        <w:rPr>
          <w:snapToGrid w:val="0"/>
        </w:rPr>
        <w:tab/>
        <w:t>When first installed, pipe lines shall be tested to a pressure of 2 MPa with water in sections over the full length of the pipeline, each section not exceeding distance between consecutive flanged joints, and full pressure shall be maintained for the period of each test with a minimum period of 30 minutes.</w:t>
      </w:r>
    </w:p>
    <w:p>
      <w:pPr>
        <w:pStyle w:val="Indenta"/>
        <w:spacing w:before="120"/>
        <w:rPr>
          <w:snapToGrid w:val="0"/>
        </w:rPr>
      </w:pPr>
      <w:r>
        <w:rPr>
          <w:snapToGrid w:val="0"/>
        </w:rPr>
        <w:tab/>
        <w:t>(21)</w:t>
      </w:r>
      <w:r>
        <w:rPr>
          <w:snapToGrid w:val="0"/>
        </w:rPr>
        <w:tab/>
        <w:t>Provision shall be made to relieve excessive pressure due to temperature variations in pipelines left full of liquid.</w:t>
      </w:r>
    </w:p>
    <w:p>
      <w:pPr>
        <w:pStyle w:val="Footnotesection"/>
      </w:pPr>
      <w:r>
        <w:tab/>
        <w:t xml:space="preserve">[Regulation 67A inserted in Gazette 17 Mar 1960 p. 779; amended in Gazette 28 Sep 1960 p. 2987; 16 Sep 1963 p. 2829; 15 Jun 1973 p. 2237 (erratum 13 Dec 1974 p. 5344); 30 Dec 2004 p. 6953.] </w:t>
      </w:r>
    </w:p>
    <w:p>
      <w:pPr>
        <w:pStyle w:val="Heading5"/>
        <w:spacing w:before="240"/>
        <w:rPr>
          <w:snapToGrid w:val="0"/>
        </w:rPr>
      </w:pPr>
      <w:bookmarkStart w:id="77" w:name="_Toc382379971"/>
      <w:r>
        <w:rPr>
          <w:rStyle w:val="CharSectno"/>
        </w:rPr>
        <w:t>67B</w:t>
      </w:r>
      <w:r>
        <w:rPr>
          <w:snapToGrid w:val="0"/>
        </w:rPr>
        <w:t>.</w:t>
      </w:r>
      <w:r>
        <w:rPr>
          <w:snapToGrid w:val="0"/>
        </w:rPr>
        <w:tab/>
        <w:t>Maintenance and operation of pipelines</w:t>
      </w:r>
      <w:bookmarkEnd w:id="77"/>
      <w:r>
        <w:rPr>
          <w:snapToGrid w:val="0"/>
        </w:rPr>
        <w:t xml:space="preserve"> </w:t>
      </w:r>
    </w:p>
    <w:p>
      <w:pPr>
        <w:pStyle w:val="Subsection"/>
        <w:rPr>
          <w:snapToGrid w:val="0"/>
        </w:rPr>
      </w:pPr>
      <w:r>
        <w:rPr>
          <w:snapToGrid w:val="0"/>
        </w:rPr>
        <w:tab/>
      </w:r>
      <w:r>
        <w:rPr>
          <w:snapToGrid w:val="0"/>
        </w:rPr>
        <w:tab/>
        <w:t>Maintenance and operation of pipelines for transmission of liquids derived from petroleum, coal and shale on or from jetties to storage tanks:</w:t>
      </w:r>
    </w:p>
    <w:p>
      <w:pPr>
        <w:pStyle w:val="Indenta"/>
        <w:spacing w:before="100"/>
        <w:rPr>
          <w:snapToGrid w:val="0"/>
        </w:rPr>
      </w:pPr>
      <w:r>
        <w:rPr>
          <w:snapToGrid w:val="0"/>
        </w:rPr>
        <w:tab/>
        <w:t>(1)</w:t>
      </w:r>
      <w:r>
        <w:rPr>
          <w:snapToGrid w:val="0"/>
        </w:rPr>
        <w:tab/>
        <w:t>Underground pipelines between the wharf and the storage tanks shall be examined by the owner at intervals not exceeding 3 years and a certificate forwarded to the Department that the pipelines are in good order and condition and such certificate shall state the basis on which it is issued, e.g., visual examination, pressure tests or metal thickness tests.</w:t>
      </w:r>
    </w:p>
    <w:p>
      <w:pPr>
        <w:pStyle w:val="Indenta"/>
        <w:spacing w:before="100"/>
        <w:rPr>
          <w:snapToGrid w:val="0"/>
        </w:rPr>
      </w:pPr>
      <w:r>
        <w:rPr>
          <w:snapToGrid w:val="0"/>
        </w:rPr>
        <w:tab/>
        <w:t>(2)</w:t>
      </w:r>
      <w:r>
        <w:rPr>
          <w:snapToGrid w:val="0"/>
        </w:rPr>
        <w:tab/>
        <w:t>Valves and other appliances used during pumping operations shall be inspected to ensure certainty of operation on each occasion before pumping commences.</w:t>
      </w:r>
    </w:p>
    <w:p>
      <w:pPr>
        <w:pStyle w:val="Indenta"/>
        <w:rPr>
          <w:snapToGrid w:val="0"/>
        </w:rPr>
      </w:pPr>
      <w:r>
        <w:rPr>
          <w:snapToGrid w:val="0"/>
        </w:rPr>
        <w:tab/>
        <w:t>(3)(a)</w:t>
      </w:r>
      <w:r>
        <w:rPr>
          <w:snapToGrid w:val="0"/>
        </w:rPr>
        <w:tab/>
        <w:t>Flexible hoses used in connection with the pumping of liquids derived from inflammable liquid, liquids derived from petroleum, coal or shale and liquids having a flash point less than 61°C to or from a vessel shall be of approved quality with a safe working pressure of at least 700 kPa.</w:t>
      </w:r>
    </w:p>
    <w:p>
      <w:pPr>
        <w:pStyle w:val="Indenta"/>
        <w:rPr>
          <w:snapToGrid w:val="0"/>
        </w:rPr>
      </w:pPr>
      <w:r>
        <w:rPr>
          <w:snapToGrid w:val="0"/>
        </w:rPr>
        <w:tab/>
        <w:t>(b)</w:t>
      </w:r>
      <w:r>
        <w:rPr>
          <w:snapToGrid w:val="0"/>
        </w:rPr>
        <w:tab/>
        <w:t>Such flexible hoses shall be fitted with Turk’s heads of hemp or sisal rope, or other approved means of protection at intervals of 1 m.</w:t>
      </w:r>
    </w:p>
    <w:p>
      <w:pPr>
        <w:pStyle w:val="Indenta"/>
        <w:rPr>
          <w:snapToGrid w:val="0"/>
        </w:rPr>
      </w:pPr>
      <w:r>
        <w:rPr>
          <w:snapToGrid w:val="0"/>
        </w:rPr>
        <w:tab/>
        <w:t>(c)</w:t>
      </w:r>
      <w:r>
        <w:rPr>
          <w:snapToGrid w:val="0"/>
        </w:rPr>
        <w:tab/>
        <w:t>The number of the hose, the safe working pressure and the ownership thereof, shall be indicated on each such flexible hose, by means of an engraved metallic plate incorporated in and forming part of such hose, or in such other manner as may be approved by the Department.</w:t>
      </w:r>
    </w:p>
    <w:p>
      <w:pPr>
        <w:pStyle w:val="Indenta"/>
        <w:rPr>
          <w:snapToGrid w:val="0"/>
        </w:rPr>
      </w:pPr>
      <w:r>
        <w:rPr>
          <w:snapToGrid w:val="0"/>
        </w:rPr>
        <w:tab/>
        <w:t>(d)</w:t>
      </w:r>
      <w:r>
        <w:rPr>
          <w:snapToGrid w:val="0"/>
        </w:rPr>
        <w:tab/>
        <w:t>To prevent the flow of direct current between ship and pipeline an insulating flange shall be fitted in the shore pipeline, or one easily identifiable, non</w:t>
      </w:r>
      <w:r>
        <w:rPr>
          <w:snapToGrid w:val="0"/>
        </w:rPr>
        <w:noBreakHyphen/>
        <w:t>conductive hose inserted in the hose string and the insulating flange or non</w:t>
      </w:r>
      <w:r>
        <w:rPr>
          <w:snapToGrid w:val="0"/>
        </w:rPr>
        <w:noBreakHyphen/>
        <w:t>conductive hose, as the case may be, shall comply in all respects with the Association of Australian Port and Marine Authorities, Rules for the Handling of Dangerous Goods and Oils in Ports, Part 5.</w:t>
      </w:r>
    </w:p>
    <w:p>
      <w:pPr>
        <w:pStyle w:val="Indenta"/>
        <w:rPr>
          <w:snapToGrid w:val="0"/>
        </w:rPr>
      </w:pPr>
      <w:r>
        <w:rPr>
          <w:snapToGrid w:val="0"/>
        </w:rPr>
        <w:tab/>
        <w:t>(4)</w:t>
      </w:r>
      <w:r>
        <w:rPr>
          <w:snapToGrid w:val="0"/>
        </w:rPr>
        <w:tab/>
        <w:t>Flexible hoses used in connection with the pumping of liquids derived from inflammable liquid, liquids derived from petroleum, coal or shale and liquids having a flash point less than 61°C to or from a vessel shall be tested under working conditions at intervals of not more than 6 months to at least 25% in excess of the actual maximum working pressure under which it is operated and the results of such test shall be recorded in a register to be kept by the owner and such record shall be made available for examination by the Department as required. A report on tests of hoses used by an owner shall be provided to the Department in January and July of each year. Such flexible hoses shall be properly and adequately supported to prevent chafing and kinking during pumping operations.</w:t>
      </w:r>
    </w:p>
    <w:p>
      <w:pPr>
        <w:pStyle w:val="Indenta"/>
        <w:rPr>
          <w:snapToGrid w:val="0"/>
        </w:rPr>
      </w:pPr>
      <w:r>
        <w:rPr>
          <w:snapToGrid w:val="0"/>
        </w:rPr>
        <w:tab/>
        <w:t>(5)</w:t>
      </w:r>
      <w:r>
        <w:rPr>
          <w:snapToGrid w:val="0"/>
        </w:rPr>
        <w:tab/>
        <w:t>Pipelines used in connection with the pumping to or from a vessel of liquids derived from inflammable liquid, liquids derived from petroleum, coal or shale and liquids having a flash point less than 61°C and unrefined crude petroleum, shall be provided with drip trays or drums under the seaward end of the pipeline of a type approved by the Department.</w:t>
      </w:r>
    </w:p>
    <w:p>
      <w:pPr>
        <w:pStyle w:val="Indenta"/>
        <w:rPr>
          <w:snapToGrid w:val="0"/>
        </w:rPr>
      </w:pPr>
      <w:r>
        <w:rPr>
          <w:snapToGrid w:val="0"/>
        </w:rPr>
        <w:tab/>
        <w:t>(6)</w:t>
      </w:r>
      <w:r>
        <w:rPr>
          <w:snapToGrid w:val="0"/>
        </w:rPr>
        <w:tab/>
        <w:t>Pipelines and fittings shall be inspected each time before use in loading or discharge and tested to a pressure 25% in excess of normal operating pressure at 3 monthly intervals.</w:t>
      </w:r>
    </w:p>
    <w:p>
      <w:pPr>
        <w:pStyle w:val="Indenta"/>
        <w:rPr>
          <w:snapToGrid w:val="0"/>
        </w:rPr>
      </w:pPr>
      <w:r>
        <w:rPr>
          <w:snapToGrid w:val="0"/>
        </w:rPr>
        <w:tab/>
        <w:t>(7)</w:t>
      </w:r>
      <w:r>
        <w:rPr>
          <w:snapToGrid w:val="0"/>
        </w:rPr>
        <w:tab/>
        <w:t>Electrical equipment on oil wharves or located within 15 m of shore terminal valves in pipelines shall comply with the appropriate section of the Wiring Rules of the Standards Association of Australia</w:t>
      </w:r>
      <w:r>
        <w:rPr>
          <w:snapToGrid w:val="0"/>
          <w:vertAlign w:val="superscript"/>
        </w:rPr>
        <w:t> 3</w:t>
      </w:r>
      <w:r>
        <w:rPr>
          <w:snapToGrid w:val="0"/>
        </w:rPr>
        <w:t xml:space="preserve"> and the requirements of the proper local electrical authority, and shall be inspected at intervals of not more than 6 months to ensure their continued compliance with such rules or requirements.</w:t>
      </w:r>
    </w:p>
    <w:p>
      <w:pPr>
        <w:pStyle w:val="Indenta"/>
        <w:rPr>
          <w:snapToGrid w:val="0"/>
        </w:rPr>
      </w:pPr>
      <w:r>
        <w:rPr>
          <w:snapToGrid w:val="0"/>
        </w:rPr>
        <w:tab/>
        <w:t>(8)</w:t>
      </w:r>
      <w:r>
        <w:rPr>
          <w:snapToGrid w:val="0"/>
        </w:rPr>
        <w:tab/>
        <w:t>Pipelines for transmission of inflammable liquid with a flash point less than 61°C shall be tested at intervals of not more than 12 months to ensure that they are suitably bonded and earthed as required by the Department.</w:t>
      </w:r>
    </w:p>
    <w:p>
      <w:pPr>
        <w:pStyle w:val="Indenta"/>
        <w:rPr>
          <w:snapToGrid w:val="0"/>
        </w:rPr>
      </w:pPr>
      <w:r>
        <w:rPr>
          <w:snapToGrid w:val="0"/>
        </w:rPr>
        <w:tab/>
        <w:t>(9)</w:t>
      </w:r>
      <w:r>
        <w:rPr>
          <w:snapToGrid w:val="0"/>
        </w:rPr>
        <w:tab/>
        <w:t>At the commencement of pumping of inflammable liquids having a flash point less than 61°C, and after each change of grade of liquid at which water clearance is employed, the velocity in the pipelines shall be restricted to a maximum of 1 m per second for a period of 30 minutes, or sufficient time to clear the pipeline twice, whichever is the longer, but where a change of grade of inflammable liquid is made by face to face pumping or short water plug separation the velocity need not be so restricted.</w:t>
      </w:r>
      <w:r>
        <w:rPr>
          <w:snapToGrid w:val="0"/>
        </w:rPr>
        <w:br/>
        <w:t>This slow pumping rate shall also be observed when filling empty tanks until the fill pipe is covered. When pipelines vary in bore, the limiting rate shall be applied to that part having the smallest bore.</w:t>
      </w:r>
    </w:p>
    <w:p>
      <w:pPr>
        <w:pStyle w:val="Indenta"/>
        <w:rPr>
          <w:snapToGrid w:val="0"/>
        </w:rPr>
      </w:pPr>
      <w:r>
        <w:rPr>
          <w:snapToGrid w:val="0"/>
        </w:rPr>
        <w:tab/>
        <w:t>(10)</w:t>
      </w:r>
      <w:r>
        <w:rPr>
          <w:snapToGrid w:val="0"/>
        </w:rPr>
        <w:tab/>
        <w:t>During pumping operations, pipelines shall be regularly patrolled throughout their full length so that any leakage may be detected.</w:t>
      </w:r>
    </w:p>
    <w:p>
      <w:pPr>
        <w:pStyle w:val="Indenta"/>
        <w:rPr>
          <w:snapToGrid w:val="0"/>
        </w:rPr>
      </w:pPr>
      <w:r>
        <w:rPr>
          <w:snapToGrid w:val="0"/>
        </w:rPr>
        <w:tab/>
        <w:t>(11)</w:t>
      </w:r>
      <w:r>
        <w:rPr>
          <w:snapToGrid w:val="0"/>
        </w:rPr>
        <w:tab/>
        <w:t>During the whole period of pumping operations, the terminal valves on wharf or jetty, and the delivery or control valve on the vessel, shall be closely watched by competent persons who shall close the valves in the event of any untoward occurrence.</w:t>
      </w:r>
    </w:p>
    <w:p>
      <w:pPr>
        <w:pStyle w:val="Indenta"/>
        <w:rPr>
          <w:snapToGrid w:val="0"/>
        </w:rPr>
      </w:pPr>
      <w:r>
        <w:rPr>
          <w:snapToGrid w:val="0"/>
        </w:rPr>
        <w:tab/>
        <w:t>(12)</w:t>
      </w:r>
      <w:r>
        <w:rPr>
          <w:snapToGrid w:val="0"/>
        </w:rPr>
        <w:tab/>
        <w:t>Pipelines, valves, hoses and other appliances used for transferring inflammable liquids with a flash point less than 61°C shall be maintained free from leakage and gas</w:t>
      </w:r>
      <w:r>
        <w:rPr>
          <w:snapToGrid w:val="0"/>
        </w:rPr>
        <w:noBreakHyphen/>
        <w:t>tight and, unless otherwise authorised by the Department, on the completion of loading or unloading shall be thoroughly freed of inflammable liquid and the hoses disconnected from the shore pipelines. Pipelines, valves, hoses and other appliances used for transferring oil with a flash point not less than 61°C shall be kept in good condition and free from leakage and all due precautions shall be taken to prevent any oil escaping into tidal water.</w:t>
      </w:r>
    </w:p>
    <w:p>
      <w:pPr>
        <w:pStyle w:val="Indenta"/>
        <w:rPr>
          <w:snapToGrid w:val="0"/>
        </w:rPr>
      </w:pPr>
      <w:r>
        <w:rPr>
          <w:snapToGrid w:val="0"/>
        </w:rPr>
        <w:tab/>
        <w:t>(13)</w:t>
      </w:r>
      <w:r>
        <w:rPr>
          <w:snapToGrid w:val="0"/>
        </w:rPr>
        <w:tab/>
        <w:t>Necessary precautions shall be taken to ensure that boats, barges or other small craft shall not moor under or remain near the wharf where pumping operations are being carried out.</w:t>
      </w:r>
    </w:p>
    <w:p>
      <w:pPr>
        <w:pStyle w:val="Indenta"/>
        <w:rPr>
          <w:snapToGrid w:val="0"/>
        </w:rPr>
      </w:pPr>
      <w:r>
        <w:rPr>
          <w:snapToGrid w:val="0"/>
        </w:rPr>
        <w:tab/>
        <w:t>(14)</w:t>
      </w:r>
      <w:r>
        <w:rPr>
          <w:snapToGrid w:val="0"/>
        </w:rPr>
        <w:tab/>
        <w:t>No naked light, matches or other source of ignition shall be brought within a distance of 15 m of shore terminal valves when pumping operations are being carried out, and any torch used shall be of flame</w:t>
      </w:r>
      <w:r>
        <w:rPr>
          <w:snapToGrid w:val="0"/>
        </w:rPr>
        <w:noBreakHyphen/>
        <w:t>proof construction, and any artificial light used shall also be of flame</w:t>
      </w:r>
      <w:r>
        <w:rPr>
          <w:snapToGrid w:val="0"/>
        </w:rPr>
        <w:noBreakHyphen/>
        <w:t>proof construction unless mounted at least 7.5 m above the level of the wharf, when it shall be of a type approved by the Department.</w:t>
      </w:r>
    </w:p>
    <w:p>
      <w:pPr>
        <w:pStyle w:val="Indenta"/>
        <w:rPr>
          <w:snapToGrid w:val="0"/>
        </w:rPr>
      </w:pPr>
      <w:r>
        <w:rPr>
          <w:snapToGrid w:val="0"/>
        </w:rPr>
        <w:tab/>
        <w:t>(15)</w:t>
      </w:r>
      <w:r>
        <w:rPr>
          <w:snapToGrid w:val="0"/>
        </w:rPr>
        <w:tab/>
        <w:t>A reliable watchman or watchmen shall be stationed in the vicinity of the vessel during pumping operations and such watchman or watchmen shall be persons approved by the Department and in such number as it may require.</w:t>
      </w:r>
    </w:p>
    <w:p>
      <w:pPr>
        <w:pStyle w:val="Indenta"/>
        <w:rPr>
          <w:snapToGrid w:val="0"/>
        </w:rPr>
      </w:pPr>
      <w:r>
        <w:rPr>
          <w:snapToGrid w:val="0"/>
        </w:rPr>
        <w:tab/>
        <w:t>(16)</w:t>
      </w:r>
      <w:r>
        <w:rPr>
          <w:snapToGrid w:val="0"/>
        </w:rPr>
        <w:tab/>
        <w:t>A responsible representative of the master of a vessel and a representative of the installation to which or from which the inflammable liquid is being transmitted by pipelines, shall be on duty at all times at the point of discharge from or intake of the vessel during preparation for any pumping operation.</w:t>
      </w:r>
    </w:p>
    <w:p>
      <w:pPr>
        <w:pStyle w:val="Indenta"/>
        <w:rPr>
          <w:snapToGrid w:val="0"/>
        </w:rPr>
      </w:pPr>
      <w:r>
        <w:rPr>
          <w:snapToGrid w:val="0"/>
        </w:rPr>
        <w:tab/>
        <w:t>(17)</w:t>
      </w:r>
      <w:r>
        <w:rPr>
          <w:snapToGrid w:val="0"/>
        </w:rPr>
        <w:tab/>
        <w:t>The owner of the vessel and of the installation to or from which pumping operations will be made shall ensure, in his respective sphere, that sufficient fire</w:t>
      </w:r>
      <w:r>
        <w:rPr>
          <w:snapToGrid w:val="0"/>
        </w:rPr>
        <w:noBreakHyphen/>
        <w:t>fighting equipment as approved by the Department is available for immediate use should such be required.</w:t>
      </w:r>
    </w:p>
    <w:p>
      <w:pPr>
        <w:pStyle w:val="Indenta"/>
        <w:rPr>
          <w:snapToGrid w:val="0"/>
        </w:rPr>
      </w:pPr>
      <w:r>
        <w:rPr>
          <w:snapToGrid w:val="0"/>
        </w:rPr>
        <w:tab/>
        <w:t>(18)</w:t>
      </w:r>
      <w:r>
        <w:rPr>
          <w:snapToGrid w:val="0"/>
        </w:rPr>
        <w:tab/>
        <w:t>Any untoward occurrence shall be reported immediately to the Department or its representative.</w:t>
      </w:r>
    </w:p>
    <w:p>
      <w:pPr>
        <w:pStyle w:val="Indenta"/>
        <w:rPr>
          <w:snapToGrid w:val="0"/>
        </w:rPr>
      </w:pPr>
      <w:r>
        <w:rPr>
          <w:snapToGrid w:val="0"/>
        </w:rPr>
        <w:tab/>
        <w:t>(19)</w:t>
      </w:r>
      <w:r>
        <w:rPr>
          <w:snapToGrid w:val="0"/>
        </w:rPr>
        <w:tab/>
        <w:t>The approval of the Department shall be obtained on each occasion in respect of each particular vessel before pumping operations commence and any additional conditions stipulated by it shall be observed.</w:t>
      </w:r>
    </w:p>
    <w:p>
      <w:pPr>
        <w:pStyle w:val="Indenta"/>
        <w:rPr>
          <w:snapToGrid w:val="0"/>
        </w:rPr>
      </w:pPr>
      <w:r>
        <w:rPr>
          <w:snapToGrid w:val="0"/>
        </w:rPr>
        <w:tab/>
        <w:t>(20)</w:t>
      </w:r>
      <w:r>
        <w:rPr>
          <w:snapToGrid w:val="0"/>
        </w:rPr>
        <w:tab/>
        <w:t>Operations shall be discontinued should the Department consider such course necessary in the interests of safety.</w:t>
      </w:r>
    </w:p>
    <w:p>
      <w:pPr>
        <w:pStyle w:val="Indenta"/>
        <w:rPr>
          <w:snapToGrid w:val="0"/>
        </w:rPr>
      </w:pPr>
      <w:r>
        <w:rPr>
          <w:snapToGrid w:val="0"/>
        </w:rPr>
        <w:tab/>
        <w:t>(21)</w:t>
      </w:r>
      <w:r>
        <w:rPr>
          <w:snapToGrid w:val="0"/>
        </w:rPr>
        <w:tab/>
        <w:t>When pumping operations cease temporarily valves on the vessel and on the shore pipeline shall be closed.</w:t>
      </w:r>
    </w:p>
    <w:p>
      <w:pPr>
        <w:pStyle w:val="Indenta"/>
        <w:rPr>
          <w:snapToGrid w:val="0"/>
        </w:rPr>
      </w:pPr>
      <w:r>
        <w:rPr>
          <w:snapToGrid w:val="0"/>
        </w:rPr>
        <w:tab/>
        <w:t>(22)</w:t>
      </w:r>
      <w:r>
        <w:rPr>
          <w:snapToGrid w:val="0"/>
        </w:rPr>
        <w:tab/>
        <w:t>On completion of pumping operations pipelines outside storage installations and used for the transmission of inflammable liquids with a flash point less than 61°C shall be thoroughly cleared of the inflammable liquid by flushing with water and shall be kept full of water.</w:t>
      </w:r>
    </w:p>
    <w:p>
      <w:pPr>
        <w:pStyle w:val="Indenta"/>
        <w:rPr>
          <w:snapToGrid w:val="0"/>
        </w:rPr>
      </w:pPr>
      <w:r>
        <w:rPr>
          <w:snapToGrid w:val="0"/>
        </w:rPr>
        <w:tab/>
        <w:t>(23)</w:t>
      </w:r>
      <w:r>
        <w:rPr>
          <w:snapToGrid w:val="0"/>
        </w:rPr>
        <w:tab/>
        <w:t>Notwithstanding the requirements of subregulation (22), the Department may grant exemption from this provision in the case of underwater pipelines used for the transmission of crude oil having a flash point of less than 61°C or any pipeline provided it is patrolled to the satisfaction of the Department.</w:t>
      </w:r>
    </w:p>
    <w:p>
      <w:pPr>
        <w:pStyle w:val="Indenta"/>
        <w:rPr>
          <w:snapToGrid w:val="0"/>
        </w:rPr>
      </w:pPr>
      <w:r>
        <w:rPr>
          <w:snapToGrid w:val="0"/>
        </w:rPr>
        <w:tab/>
        <w:t>(23A)</w:t>
      </w:r>
      <w:r>
        <w:rPr>
          <w:snapToGrid w:val="0"/>
        </w:rPr>
        <w:tab/>
        <w:t>Petroleum substance that is heated above the ambient temperature shall not be pumped through a pipeline or flexible hose unless the pipeline or flexible hose is designed and constructed for use at the elevated temperature of the substance to be pumped.</w:t>
      </w:r>
    </w:p>
    <w:p>
      <w:pPr>
        <w:pStyle w:val="Indenta"/>
        <w:rPr>
          <w:snapToGrid w:val="0"/>
        </w:rPr>
      </w:pPr>
      <w:r>
        <w:rPr>
          <w:snapToGrid w:val="0"/>
        </w:rPr>
        <w:tab/>
        <w:t>(24)</w:t>
      </w:r>
      <w:r>
        <w:rPr>
          <w:snapToGrid w:val="0"/>
        </w:rPr>
        <w:tab/>
        <w:t>Except with the approval of the Department, on completion of pumping operations pipelines shall be cleared of oil with a flash point of not less than 65°C from the point of loading or discharge to the non</w:t>
      </w:r>
      <w:r>
        <w:rPr>
          <w:snapToGrid w:val="0"/>
        </w:rPr>
        <w:noBreakHyphen/>
        <w:t>return valve at the shore end of the wharf.</w:t>
      </w:r>
    </w:p>
    <w:p>
      <w:pPr>
        <w:pStyle w:val="Indenta"/>
        <w:rPr>
          <w:snapToGrid w:val="0"/>
        </w:rPr>
      </w:pPr>
      <w:r>
        <w:rPr>
          <w:snapToGrid w:val="0"/>
        </w:rPr>
        <w:tab/>
        <w:t>(25)</w:t>
      </w:r>
      <w:r>
        <w:rPr>
          <w:snapToGrid w:val="0"/>
        </w:rPr>
        <w:tab/>
        <w:t>Subject to the written approval of the Department, liquids derived from petroleum, coal and shale may be pumped to or from a vessel after sunset, provided that the following conditions and such other conditions as may be stipulated by the Department are complied with:</w:t>
      </w:r>
    </w:p>
    <w:p>
      <w:pPr>
        <w:pStyle w:val="Indenti"/>
        <w:rPr>
          <w:snapToGrid w:val="0"/>
        </w:rPr>
      </w:pPr>
      <w:r>
        <w:rPr>
          <w:snapToGrid w:val="0"/>
        </w:rPr>
        <w:tab/>
        <w:t>(a)</w:t>
      </w:r>
      <w:r>
        <w:rPr>
          <w:snapToGrid w:val="0"/>
        </w:rPr>
        <w:tab/>
        <w:t>Pipelines, hoses, valves and other appliances shall be coupled up and pumping commenced at least one hour before sunset, and such pipelines and hoses shall not be uncoupled or otherwise interfered with except in daylight unless with special permission of the Department and in the presence of its representative.</w:t>
      </w:r>
    </w:p>
    <w:p>
      <w:pPr>
        <w:pStyle w:val="Indenti"/>
        <w:rPr>
          <w:snapToGrid w:val="0"/>
        </w:rPr>
      </w:pPr>
      <w:r>
        <w:rPr>
          <w:snapToGrid w:val="0"/>
        </w:rPr>
        <w:tab/>
        <w:t>(b)</w:t>
      </w:r>
      <w:r>
        <w:rPr>
          <w:snapToGrid w:val="0"/>
        </w:rPr>
        <w:tab/>
        <w:t>Adequate lighting of an approved type shall be provided to the satisfaction of the Department.</w:t>
      </w:r>
    </w:p>
    <w:p>
      <w:pPr>
        <w:pStyle w:val="Indenta"/>
        <w:rPr>
          <w:snapToGrid w:val="0"/>
        </w:rPr>
      </w:pPr>
      <w:r>
        <w:rPr>
          <w:snapToGrid w:val="0"/>
        </w:rPr>
        <w:tab/>
        <w:t>(26)</w:t>
      </w:r>
      <w:r>
        <w:rPr>
          <w:snapToGrid w:val="0"/>
        </w:rPr>
        <w:tab/>
        <w:t>Arrangements shall be made by the master of the vessel to ensure that there shall be sufficient staff of officers and men available at all times to ensure the efficient carrying on of the work or to remove the vessel if so required.</w:t>
      </w:r>
    </w:p>
    <w:p>
      <w:pPr>
        <w:pStyle w:val="Footnotesection"/>
      </w:pPr>
      <w:r>
        <w:tab/>
        <w:t xml:space="preserve">[Regulation 67B inserted in Gazette 17 Mar 1960 p. 780; amended in Gazette 20 Dec 1962 p. 4054; 16 Sep 1963 p. 2829; 15 Jun 1973 p. 2237; 6 Feb 1981 p. 555; 24 Aug 2004 p. 3659.] </w:t>
      </w:r>
    </w:p>
    <w:p>
      <w:pPr>
        <w:pStyle w:val="Ednotesection"/>
      </w:pPr>
      <w:r>
        <w:t>[</w:t>
      </w:r>
      <w:r>
        <w:rPr>
          <w:b/>
        </w:rPr>
        <w:t>67C.</w:t>
      </w:r>
      <w:r>
        <w:tab/>
        <w:t xml:space="preserve">Deleted in Gazette 14 Apr 1966 p. 918.] </w:t>
      </w:r>
    </w:p>
    <w:p>
      <w:pPr>
        <w:pStyle w:val="Heading5"/>
        <w:rPr>
          <w:snapToGrid w:val="0"/>
        </w:rPr>
      </w:pPr>
      <w:bookmarkStart w:id="78" w:name="_Toc382379972"/>
      <w:r>
        <w:rPr>
          <w:rStyle w:val="CharSectno"/>
        </w:rPr>
        <w:t>67D</w:t>
      </w:r>
      <w:r>
        <w:rPr>
          <w:snapToGrid w:val="0"/>
        </w:rPr>
        <w:t>.</w:t>
      </w:r>
      <w:r>
        <w:rPr>
          <w:snapToGrid w:val="0"/>
        </w:rPr>
        <w:tab/>
        <w:t>Penalty for failure to remove or amend pipeline</w:t>
      </w:r>
      <w:bookmarkEnd w:id="78"/>
      <w:r>
        <w:rPr>
          <w:snapToGrid w:val="0"/>
        </w:rPr>
        <w:t xml:space="preserve"> </w:t>
      </w:r>
    </w:p>
    <w:p>
      <w:pPr>
        <w:pStyle w:val="Subsection"/>
        <w:rPr>
          <w:snapToGrid w:val="0"/>
        </w:rPr>
      </w:pPr>
      <w:r>
        <w:rPr>
          <w:snapToGrid w:val="0"/>
        </w:rPr>
        <w:tab/>
      </w:r>
      <w:r>
        <w:rPr>
          <w:snapToGrid w:val="0"/>
        </w:rPr>
        <w:tab/>
        <w:t>Where the Minister or chief executive officer requires a person to whom a licence has been granted or assigned under these regulations to remove or amend a pipeline on the expiration of the licence that person if he neglects or fails to comply in all respects with the direction, is guilty of an offence against these regulations.</w:t>
      </w:r>
    </w:p>
    <w:p>
      <w:pPr>
        <w:pStyle w:val="Footnotesection"/>
      </w:pPr>
      <w:r>
        <w:tab/>
        <w:t xml:space="preserve">[Regulation 67D inserted as regulation 67E in Gazette 17 Mar 1960 p. 783; renumbered 67D in Gazette 28 Sep 1960 p. 2988; amended in Gazette 30 Dec 2004 p. 6953.] </w:t>
      </w:r>
    </w:p>
    <w:p>
      <w:pPr>
        <w:pStyle w:val="Heading5"/>
      </w:pPr>
      <w:bookmarkStart w:id="79" w:name="_Toc382379973"/>
      <w:r>
        <w:rPr>
          <w:rStyle w:val="CharSectno"/>
        </w:rPr>
        <w:t>67DA</w:t>
      </w:r>
      <w:r>
        <w:t>.</w:t>
      </w:r>
      <w:r>
        <w:tab/>
        <w:t>Fuelling vessels at service jetties limited</w:t>
      </w:r>
      <w:bookmarkEnd w:id="79"/>
    </w:p>
    <w:p>
      <w:pPr>
        <w:pStyle w:val="Subsection"/>
      </w:pPr>
      <w:r>
        <w:tab/>
      </w:r>
      <w:r>
        <w:tab/>
        <w:t xml:space="preserve">A person must not fuel a vessel from a service jetty unless the person does so — </w:t>
      </w:r>
    </w:p>
    <w:p>
      <w:pPr>
        <w:pStyle w:val="Indenta"/>
      </w:pPr>
      <w:r>
        <w:tab/>
        <w:t>(a)</w:t>
      </w:r>
      <w:r>
        <w:tab/>
        <w:t xml:space="preserve">in accordance with a licence issued under the </w:t>
      </w:r>
      <w:r>
        <w:rPr>
          <w:i/>
        </w:rPr>
        <w:t>Jetties Act 1926</w:t>
      </w:r>
      <w:r>
        <w:t xml:space="preserve"> section 7(1); or</w:t>
      </w:r>
    </w:p>
    <w:p>
      <w:pPr>
        <w:pStyle w:val="Indenta"/>
      </w:pPr>
      <w:r>
        <w:tab/>
        <w:t>(b)</w:t>
      </w:r>
      <w:r>
        <w:tab/>
        <w:t>with the prior written approval of the chief executive officer or an Officer appointed by the chief executive officer in writing to give that permission.</w:t>
      </w:r>
    </w:p>
    <w:p>
      <w:pPr>
        <w:pStyle w:val="Penstart"/>
      </w:pPr>
      <w:r>
        <w:tab/>
        <w:t>Penalty: a fine of $500.</w:t>
      </w:r>
    </w:p>
    <w:p>
      <w:pPr>
        <w:pStyle w:val="Footnotesection"/>
      </w:pPr>
      <w:r>
        <w:tab/>
        <w:t>[Regulation 67DA inserted in Gazette 7 Dec 2007 p. 5984.]</w:t>
      </w:r>
    </w:p>
    <w:p>
      <w:pPr>
        <w:pStyle w:val="Heading2"/>
      </w:pPr>
      <w:bookmarkStart w:id="80" w:name="_Toc382379974"/>
      <w:r>
        <w:rPr>
          <w:rStyle w:val="CharPartNo"/>
        </w:rPr>
        <w:t>Part 2</w:t>
      </w:r>
      <w:r>
        <w:t> — </w:t>
      </w:r>
      <w:r>
        <w:rPr>
          <w:rStyle w:val="CharPartText"/>
        </w:rPr>
        <w:t xml:space="preserve">Regulations applying to jetties within the </w:t>
      </w:r>
      <w:smartTag w:uri="urn:schemas-microsoft-com:office:smarttags" w:element="place">
        <w:smartTag w:uri="urn:schemas-microsoft-com:office:smarttags" w:element="PlaceType">
          <w:r>
            <w:rPr>
              <w:rStyle w:val="CharPartText"/>
            </w:rPr>
            <w:t>Port</w:t>
          </w:r>
        </w:smartTag>
        <w:r>
          <w:rPr>
            <w:rStyle w:val="CharPartText"/>
          </w:rPr>
          <w:t xml:space="preserve"> of </w:t>
        </w:r>
        <w:smartTag w:uri="urn:schemas-microsoft-com:office:smarttags" w:element="PlaceName">
          <w:r>
            <w:rPr>
              <w:rStyle w:val="CharPartText"/>
            </w:rPr>
            <w:t>Perth</w:t>
          </w:r>
        </w:smartTag>
      </w:smartTag>
      <w:bookmarkEnd w:id="80"/>
      <w:r>
        <w:rPr>
          <w:rStyle w:val="CharPartText"/>
        </w:rPr>
        <w:t xml:space="preserve"> </w:t>
      </w:r>
    </w:p>
    <w:p>
      <w:pPr>
        <w:pStyle w:val="Footnoteheading"/>
      </w:pPr>
      <w:r>
        <w:tab/>
        <w:t xml:space="preserve">[Heading inserted in Gazette 19 May 1989 p. 1494.] </w:t>
      </w:r>
    </w:p>
    <w:p>
      <w:pPr>
        <w:pStyle w:val="Heading3"/>
        <w:rPr>
          <w:snapToGrid w:val="0"/>
        </w:rPr>
      </w:pPr>
      <w:bookmarkStart w:id="81" w:name="_Toc382379975"/>
      <w:r>
        <w:rPr>
          <w:rStyle w:val="CharDivNo"/>
        </w:rPr>
        <w:t>Division 1</w:t>
      </w:r>
      <w:r>
        <w:rPr>
          <w:snapToGrid w:val="0"/>
        </w:rPr>
        <w:t> — </w:t>
      </w:r>
      <w:r>
        <w:rPr>
          <w:rStyle w:val="CharDivText"/>
        </w:rPr>
        <w:t>Application of this Part</w:t>
      </w:r>
      <w:bookmarkEnd w:id="81"/>
      <w:r>
        <w:rPr>
          <w:rStyle w:val="CharDivText"/>
        </w:rPr>
        <w:t xml:space="preserve"> </w:t>
      </w:r>
    </w:p>
    <w:p>
      <w:pPr>
        <w:pStyle w:val="Footnoteheading"/>
      </w:pPr>
      <w:r>
        <w:tab/>
        <w:t xml:space="preserve">[Heading inserted in Gazette 19 May 1989 p. 1494.] </w:t>
      </w:r>
    </w:p>
    <w:p>
      <w:pPr>
        <w:pStyle w:val="Heading5"/>
        <w:rPr>
          <w:snapToGrid w:val="0"/>
        </w:rPr>
      </w:pPr>
      <w:bookmarkStart w:id="82" w:name="_Toc382379976"/>
      <w:r>
        <w:rPr>
          <w:rStyle w:val="CharSectno"/>
        </w:rPr>
        <w:t>67E</w:t>
      </w:r>
      <w:r>
        <w:rPr>
          <w:snapToGrid w:val="0"/>
        </w:rPr>
        <w:t>.</w:t>
      </w:r>
      <w:r>
        <w:rPr>
          <w:snapToGrid w:val="0"/>
        </w:rPr>
        <w:tab/>
        <w:t>Application</w:t>
      </w:r>
      <w:bookmarkEnd w:id="82"/>
      <w:r>
        <w:rPr>
          <w:snapToGrid w:val="0"/>
        </w:rPr>
        <w:t xml:space="preserve"> </w:t>
      </w:r>
    </w:p>
    <w:p>
      <w:pPr>
        <w:pStyle w:val="Subsection"/>
        <w:rPr>
          <w:snapToGrid w:val="0"/>
        </w:rPr>
      </w:pPr>
      <w:r>
        <w:rPr>
          <w:snapToGrid w:val="0"/>
        </w:rPr>
        <w:tab/>
      </w:r>
      <w:r>
        <w:rPr>
          <w:snapToGrid w:val="0"/>
        </w:rPr>
        <w:tab/>
        <w:t xml:space="preserve">This Part applies to all jetties within the </w:t>
      </w:r>
      <w:smartTag w:uri="urn:schemas-microsoft-com:office:smarttags" w:element="place">
        <w:smartTag w:uri="urn:schemas-microsoft-com:office:smarttags" w:element="PlaceType">
          <w:r>
            <w:rPr>
              <w:snapToGrid w:val="0"/>
            </w:rPr>
            <w:t>Port</w:t>
          </w:r>
        </w:smartTag>
        <w:r>
          <w:rPr>
            <w:snapToGrid w:val="0"/>
          </w:rPr>
          <w:t xml:space="preserve"> of </w:t>
        </w:r>
        <w:smartTag w:uri="urn:schemas-microsoft-com:office:smarttags" w:element="PlaceName">
          <w:r>
            <w:rPr>
              <w:snapToGrid w:val="0"/>
            </w:rPr>
            <w:t>Perth</w:t>
          </w:r>
        </w:smartTag>
      </w:smartTag>
      <w:r>
        <w:rPr>
          <w:snapToGrid w:val="0"/>
        </w:rPr>
        <w:t>.</w:t>
      </w:r>
    </w:p>
    <w:p>
      <w:pPr>
        <w:pStyle w:val="Footnoteheading"/>
      </w:pPr>
      <w:r>
        <w:tab/>
        <w:t xml:space="preserve">[Regulation 67E inserted in Gazette 19 May 1989 p. 1494.] </w:t>
      </w:r>
    </w:p>
    <w:p>
      <w:pPr>
        <w:pStyle w:val="Heading3"/>
        <w:rPr>
          <w:snapToGrid w:val="0"/>
        </w:rPr>
      </w:pPr>
      <w:bookmarkStart w:id="83" w:name="_Toc382379977"/>
      <w:r>
        <w:rPr>
          <w:rStyle w:val="CharDivNo"/>
        </w:rPr>
        <w:t>Division 2</w:t>
      </w:r>
      <w:r>
        <w:rPr>
          <w:snapToGrid w:val="0"/>
        </w:rPr>
        <w:t> — </w:t>
      </w:r>
      <w:r>
        <w:rPr>
          <w:rStyle w:val="CharDivText"/>
        </w:rPr>
        <w:t>Management and use of jetties</w:t>
      </w:r>
      <w:bookmarkEnd w:id="83"/>
      <w:r>
        <w:rPr>
          <w:rStyle w:val="CharDivText"/>
        </w:rPr>
        <w:t xml:space="preserve"> </w:t>
      </w:r>
    </w:p>
    <w:p>
      <w:pPr>
        <w:pStyle w:val="Footnoteheading"/>
        <w:rPr>
          <w:snapToGrid w:val="0"/>
        </w:rPr>
      </w:pPr>
      <w:r>
        <w:rPr>
          <w:snapToGrid w:val="0"/>
        </w:rPr>
        <w:tab/>
        <w:t xml:space="preserve">[Heading inserted in Gazette 19 May 1989 p. 1494.] </w:t>
      </w:r>
    </w:p>
    <w:p>
      <w:pPr>
        <w:pStyle w:val="Heading5"/>
        <w:rPr>
          <w:snapToGrid w:val="0"/>
        </w:rPr>
      </w:pPr>
      <w:bookmarkStart w:id="84" w:name="_Toc382379978"/>
      <w:r>
        <w:rPr>
          <w:rStyle w:val="CharSectno"/>
        </w:rPr>
        <w:t>68</w:t>
      </w:r>
      <w:r>
        <w:rPr>
          <w:snapToGrid w:val="0"/>
        </w:rPr>
        <w:t>.</w:t>
      </w:r>
      <w:r>
        <w:rPr>
          <w:snapToGrid w:val="0"/>
        </w:rPr>
        <w:tab/>
        <w:t>Control of jetties</w:t>
      </w:r>
      <w:bookmarkEnd w:id="84"/>
      <w:r>
        <w:rPr>
          <w:snapToGrid w:val="0"/>
        </w:rPr>
        <w:t xml:space="preserve"> </w:t>
      </w:r>
    </w:p>
    <w:p>
      <w:pPr>
        <w:pStyle w:val="Subsection"/>
        <w:rPr>
          <w:snapToGrid w:val="0"/>
        </w:rPr>
      </w:pPr>
      <w:r>
        <w:rPr>
          <w:snapToGrid w:val="0"/>
        </w:rPr>
        <w:tab/>
      </w:r>
      <w:r>
        <w:rPr>
          <w:snapToGrid w:val="0"/>
        </w:rPr>
        <w:tab/>
        <w:t xml:space="preserve">All public jetties in the </w:t>
      </w:r>
      <w:smartTag w:uri="urn:schemas-microsoft-com:office:smarttags" w:element="PlaceType">
        <w:r>
          <w:rPr>
            <w:snapToGrid w:val="0"/>
          </w:rPr>
          <w:t>Port</w:t>
        </w:r>
      </w:smartTag>
      <w:r>
        <w:rPr>
          <w:snapToGrid w:val="0"/>
        </w:rPr>
        <w:t xml:space="preserve"> of </w:t>
      </w:r>
      <w:smartTag w:uri="urn:schemas-microsoft-com:office:smarttags" w:element="PlaceName">
        <w:r>
          <w:rPr>
            <w:snapToGrid w:val="0"/>
          </w:rPr>
          <w:t>Perth</w:t>
        </w:r>
      </w:smartTag>
      <w:r>
        <w:t xml:space="preserve">, except the Main Ferry Jetty at </w:t>
      </w:r>
      <w:smartTag w:uri="urn:schemas-microsoft-com:office:smarttags" w:element="place">
        <w:smartTag w:uri="urn:schemas-microsoft-com:office:smarttags" w:element="PlaceName">
          <w:r>
            <w:t>Rottnest</w:t>
          </w:r>
        </w:smartTag>
        <w:r>
          <w:t xml:space="preserve"> </w:t>
        </w:r>
        <w:smartTag w:uri="urn:schemas-microsoft-com:office:smarttags" w:element="PlaceType">
          <w:r>
            <w:t>Island</w:t>
          </w:r>
        </w:smartTag>
      </w:smartTag>
      <w:r>
        <w:t xml:space="preserve">, </w:t>
      </w:r>
      <w:r>
        <w:rPr>
          <w:snapToGrid w:val="0"/>
        </w:rPr>
        <w:t>shall henceforth be under the control of the Department.</w:t>
      </w:r>
    </w:p>
    <w:p>
      <w:pPr>
        <w:pStyle w:val="Footnotesection"/>
      </w:pPr>
      <w:r>
        <w:tab/>
        <w:t xml:space="preserve">[Regulation 68 amended in Gazette 19 May 1989 p. 1495; </w:t>
      </w:r>
      <w:r>
        <w:rPr>
          <w:color w:val="000000"/>
        </w:rPr>
        <w:t>27 Jun 2003 p. </w:t>
      </w:r>
      <w:r>
        <w:t xml:space="preserve">2502.] </w:t>
      </w:r>
    </w:p>
    <w:p>
      <w:pPr>
        <w:pStyle w:val="Heading5"/>
        <w:rPr>
          <w:snapToGrid w:val="0"/>
        </w:rPr>
      </w:pPr>
      <w:bookmarkStart w:id="85" w:name="_Toc382379979"/>
      <w:r>
        <w:rPr>
          <w:rStyle w:val="CharSectno"/>
        </w:rPr>
        <w:t>69</w:t>
      </w:r>
      <w:r>
        <w:rPr>
          <w:snapToGrid w:val="0"/>
        </w:rPr>
        <w:t>.</w:t>
      </w:r>
      <w:r>
        <w:rPr>
          <w:snapToGrid w:val="0"/>
        </w:rPr>
        <w:tab/>
        <w:t>Use of jetties</w:t>
      </w:r>
      <w:bookmarkEnd w:id="85"/>
      <w:r>
        <w:rPr>
          <w:snapToGrid w:val="0"/>
        </w:rPr>
        <w:t xml:space="preserve"> </w:t>
      </w:r>
    </w:p>
    <w:p>
      <w:pPr>
        <w:pStyle w:val="Subsection"/>
        <w:rPr>
          <w:snapToGrid w:val="0"/>
        </w:rPr>
      </w:pPr>
      <w:r>
        <w:rPr>
          <w:snapToGrid w:val="0"/>
        </w:rPr>
        <w:tab/>
        <w:t>(a)</w:t>
      </w:r>
      <w:r>
        <w:rPr>
          <w:snapToGrid w:val="0"/>
        </w:rPr>
        <w:tab/>
        <w:t>No person shall land at, use, or enter upon any public jetty except in accordance with these regulations.</w:t>
      </w:r>
    </w:p>
    <w:p>
      <w:pPr>
        <w:pStyle w:val="Subsection"/>
        <w:rPr>
          <w:snapToGrid w:val="0"/>
        </w:rPr>
      </w:pPr>
      <w:r>
        <w:rPr>
          <w:snapToGrid w:val="0"/>
        </w:rPr>
        <w:tab/>
        <w:t>(b)</w:t>
      </w:r>
      <w:r>
        <w:rPr>
          <w:snapToGrid w:val="0"/>
        </w:rPr>
        <w:tab/>
        <w:t xml:space="preserve">No person shall in any way whatsoever make use of any public jetty under construction, or before the same shall have been declared open to the public by notice published in the </w:t>
      </w:r>
      <w:r>
        <w:rPr>
          <w:i/>
          <w:snapToGrid w:val="0"/>
        </w:rPr>
        <w:t>Government Gazette</w:t>
      </w:r>
      <w:r>
        <w:rPr>
          <w:snapToGrid w:val="0"/>
        </w:rPr>
        <w:t>.</w:t>
      </w:r>
    </w:p>
    <w:p>
      <w:pPr>
        <w:pStyle w:val="Footnotesection"/>
      </w:pPr>
      <w:r>
        <w:tab/>
        <w:t xml:space="preserve">[Regulation 69 amended in Gazette 19 May 1989 p. 1495.] </w:t>
      </w:r>
    </w:p>
    <w:p>
      <w:pPr>
        <w:pStyle w:val="Heading5"/>
        <w:keepLines w:val="0"/>
        <w:rPr>
          <w:snapToGrid w:val="0"/>
        </w:rPr>
      </w:pPr>
      <w:bookmarkStart w:id="86" w:name="_Toc382379980"/>
      <w:r>
        <w:rPr>
          <w:rStyle w:val="CharSectno"/>
        </w:rPr>
        <w:t>70</w:t>
      </w:r>
      <w:r>
        <w:rPr>
          <w:snapToGrid w:val="0"/>
        </w:rPr>
        <w:t>.</w:t>
      </w:r>
      <w:r>
        <w:rPr>
          <w:snapToGrid w:val="0"/>
        </w:rPr>
        <w:tab/>
        <w:t>Jetties may be closed</w:t>
      </w:r>
      <w:bookmarkEnd w:id="86"/>
      <w:r>
        <w:rPr>
          <w:snapToGrid w:val="0"/>
        </w:rPr>
        <w:t xml:space="preserve"> </w:t>
      </w:r>
    </w:p>
    <w:p>
      <w:pPr>
        <w:pStyle w:val="Subsection"/>
        <w:rPr>
          <w:snapToGrid w:val="0"/>
        </w:rPr>
      </w:pPr>
      <w:r>
        <w:rPr>
          <w:snapToGrid w:val="0"/>
        </w:rPr>
        <w:tab/>
        <w:t>(a)</w:t>
      </w:r>
      <w:r>
        <w:rPr>
          <w:snapToGrid w:val="0"/>
        </w:rPr>
        <w:tab/>
        <w:t>The Department may at any time temporarily or permanently close any public jetty, because of inclemency of weather, or for any other reason whatsoever, by posting a notice on same to that effect, or by otherwise publicly declaring such public jetty to be closed.</w:t>
      </w:r>
    </w:p>
    <w:p>
      <w:pPr>
        <w:pStyle w:val="Subsection"/>
        <w:rPr>
          <w:snapToGrid w:val="0"/>
        </w:rPr>
      </w:pPr>
      <w:r>
        <w:rPr>
          <w:snapToGrid w:val="0"/>
        </w:rPr>
        <w:tab/>
        <w:t>(b)</w:t>
      </w:r>
      <w:r>
        <w:rPr>
          <w:snapToGrid w:val="0"/>
        </w:rPr>
        <w:tab/>
        <w:t>The Minister for Transport may at any time temporarily or permanently close any public jetty for repairs, alterations, additions, or any other reason whatsoever, by posting a notice on same to that effect, or otherwise publicly declaring such public jetty to be closed.</w:t>
      </w:r>
    </w:p>
    <w:p>
      <w:pPr>
        <w:pStyle w:val="Footnotesection"/>
      </w:pPr>
      <w:r>
        <w:tab/>
        <w:t xml:space="preserve">[Regulation 70 amended in Gazette 19 May 1989 p. 1495.] </w:t>
      </w:r>
    </w:p>
    <w:p>
      <w:pPr>
        <w:pStyle w:val="Ednotesection"/>
      </w:pPr>
      <w:r>
        <w:t>[</w:t>
      </w:r>
      <w:r>
        <w:rPr>
          <w:b/>
        </w:rPr>
        <w:t>70A.</w:t>
      </w:r>
      <w:r>
        <w:tab/>
        <w:t xml:space="preserve">Deleted in Gazette </w:t>
      </w:r>
      <w:r>
        <w:rPr>
          <w:color w:val="000000"/>
        </w:rPr>
        <w:t>27 Jun 2003 p. </w:t>
      </w:r>
      <w:r>
        <w:t>2502.]</w:t>
      </w:r>
    </w:p>
    <w:p>
      <w:pPr>
        <w:pStyle w:val="Ednotesection"/>
      </w:pPr>
      <w:r>
        <w:t>[</w:t>
      </w:r>
      <w:r>
        <w:rPr>
          <w:b/>
        </w:rPr>
        <w:t>70B.</w:t>
      </w:r>
      <w:r>
        <w:rPr>
          <w:b/>
        </w:rPr>
        <w:tab/>
      </w:r>
      <w:r>
        <w:t>Deleted in Gazette 25 Jun 2004 p. 2270.]</w:t>
      </w:r>
    </w:p>
    <w:p>
      <w:pPr>
        <w:pStyle w:val="Heading3"/>
        <w:rPr>
          <w:snapToGrid w:val="0"/>
        </w:rPr>
      </w:pPr>
      <w:bookmarkStart w:id="87" w:name="_Toc382379981"/>
      <w:r>
        <w:rPr>
          <w:rStyle w:val="CharDivNo"/>
        </w:rPr>
        <w:t>Division 3</w:t>
      </w:r>
      <w:r>
        <w:rPr>
          <w:snapToGrid w:val="0"/>
        </w:rPr>
        <w:t> — </w:t>
      </w:r>
      <w:r>
        <w:rPr>
          <w:rStyle w:val="CharDivText"/>
        </w:rPr>
        <w:t>Mooring and berthing of vessels</w:t>
      </w:r>
      <w:bookmarkEnd w:id="87"/>
      <w:r>
        <w:rPr>
          <w:rStyle w:val="CharDivText"/>
        </w:rPr>
        <w:t xml:space="preserve"> </w:t>
      </w:r>
    </w:p>
    <w:p>
      <w:pPr>
        <w:pStyle w:val="Footnoteheading"/>
      </w:pPr>
      <w:r>
        <w:tab/>
        <w:t xml:space="preserve">[Heading inserted in Gazette 19 May 1989 p. 1494.] </w:t>
      </w:r>
    </w:p>
    <w:p>
      <w:pPr>
        <w:pStyle w:val="Heading5"/>
        <w:keepNext w:val="0"/>
        <w:keepLines w:val="0"/>
        <w:rPr>
          <w:snapToGrid w:val="0"/>
        </w:rPr>
      </w:pPr>
      <w:bookmarkStart w:id="88" w:name="_Toc382379982"/>
      <w:r>
        <w:rPr>
          <w:rStyle w:val="CharSectno"/>
        </w:rPr>
        <w:t>71</w:t>
      </w:r>
      <w:r>
        <w:rPr>
          <w:snapToGrid w:val="0"/>
        </w:rPr>
        <w:t>.</w:t>
      </w:r>
      <w:r>
        <w:rPr>
          <w:snapToGrid w:val="0"/>
        </w:rPr>
        <w:tab/>
        <w:t>Permit required to moor etc. alongside jetty or buoy</w:t>
      </w:r>
      <w:bookmarkEnd w:id="88"/>
      <w:r>
        <w:rPr>
          <w:snapToGrid w:val="0"/>
        </w:rPr>
        <w:t xml:space="preserve"> </w:t>
      </w:r>
    </w:p>
    <w:p>
      <w:pPr>
        <w:pStyle w:val="Subsection"/>
        <w:rPr>
          <w:snapToGrid w:val="0"/>
        </w:rPr>
      </w:pPr>
      <w:r>
        <w:rPr>
          <w:snapToGrid w:val="0"/>
        </w:rPr>
        <w:tab/>
      </w:r>
      <w:r>
        <w:rPr>
          <w:snapToGrid w:val="0"/>
        </w:rPr>
        <w:tab/>
        <w:t>No person shall moor, fasten, or take any vessel alongside any public jetty or buoy in the port, or cause or permit any vessel to be so moored, fastened, or taken, unless the owner of such vessel shall have first obtained from the Department permission in writing to make use of such public jetty or buoy.</w:t>
      </w:r>
    </w:p>
    <w:p>
      <w:pPr>
        <w:pStyle w:val="Footnotesection"/>
      </w:pPr>
      <w:r>
        <w:tab/>
        <w:t xml:space="preserve">[Regulation 71 amended in Gazette 19 May 1989 p. 1495.] </w:t>
      </w:r>
    </w:p>
    <w:p>
      <w:pPr>
        <w:pStyle w:val="Heading5"/>
        <w:rPr>
          <w:snapToGrid w:val="0"/>
        </w:rPr>
      </w:pPr>
      <w:bookmarkStart w:id="89" w:name="_Toc382379983"/>
      <w:r>
        <w:rPr>
          <w:rStyle w:val="CharSectno"/>
        </w:rPr>
        <w:t>72</w:t>
      </w:r>
      <w:r>
        <w:rPr>
          <w:snapToGrid w:val="0"/>
        </w:rPr>
        <w:t>.</w:t>
      </w:r>
      <w:r>
        <w:rPr>
          <w:snapToGrid w:val="0"/>
        </w:rPr>
        <w:tab/>
        <w:t>Duration of, and charges for, permits</w:t>
      </w:r>
      <w:bookmarkEnd w:id="89"/>
      <w:r>
        <w:rPr>
          <w:snapToGrid w:val="0"/>
        </w:rPr>
        <w:t xml:space="preserve"> </w:t>
      </w:r>
    </w:p>
    <w:p>
      <w:pPr>
        <w:pStyle w:val="Subsection"/>
        <w:rPr>
          <w:snapToGrid w:val="0"/>
        </w:rPr>
      </w:pPr>
      <w:r>
        <w:rPr>
          <w:snapToGrid w:val="0"/>
        </w:rPr>
        <w:tab/>
        <w:t>(1)</w:t>
      </w:r>
      <w:r>
        <w:rPr>
          <w:snapToGrid w:val="0"/>
        </w:rPr>
        <w:tab/>
        <w:t>A permit issued under regulation 71 shall remain in force for one year from the date of issue or such lesser time as is specified on the permit and shall have effect subject to regulation 70 and regulation 75.</w:t>
      </w:r>
    </w:p>
    <w:p>
      <w:pPr>
        <w:pStyle w:val="Subsection"/>
        <w:rPr>
          <w:snapToGrid w:val="0"/>
        </w:rPr>
      </w:pPr>
      <w:r>
        <w:rPr>
          <w:snapToGrid w:val="0"/>
        </w:rPr>
        <w:tab/>
        <w:t>(2)</w:t>
      </w:r>
      <w:r>
        <w:rPr>
          <w:snapToGrid w:val="0"/>
        </w:rPr>
        <w:tab/>
        <w:t>Payment for a permit shall be made in advance unless, in respect of a permit to be issued for one year, the General Manager approves of payment quarterly in advance.</w:t>
      </w:r>
    </w:p>
    <w:p>
      <w:pPr>
        <w:pStyle w:val="Subsection"/>
        <w:rPr>
          <w:snapToGrid w:val="0"/>
        </w:rPr>
      </w:pPr>
      <w:r>
        <w:rPr>
          <w:snapToGrid w:val="0"/>
        </w:rPr>
        <w:tab/>
        <w:t>(3)</w:t>
      </w:r>
      <w:r>
        <w:rPr>
          <w:snapToGrid w:val="0"/>
        </w:rPr>
        <w:tab/>
        <w:t xml:space="preserve">Subject to this regulation, permission or a permit shall not be granted under regulation 71 or 73 until the appropriate fee set out in </w:t>
      </w:r>
      <w:r>
        <w:t xml:space="preserve">Schedule 2 </w:t>
      </w:r>
      <w:r>
        <w:rPr>
          <w:snapToGrid w:val="0"/>
        </w:rPr>
        <w:t>has been paid to the Department.</w:t>
      </w:r>
    </w:p>
    <w:p>
      <w:pPr>
        <w:pStyle w:val="Subsection"/>
        <w:rPr>
          <w:snapToGrid w:val="0"/>
        </w:rPr>
      </w:pPr>
      <w:r>
        <w:rPr>
          <w:snapToGrid w:val="0"/>
        </w:rPr>
        <w:tab/>
        <w:t>(4)</w:t>
      </w:r>
      <w:r>
        <w:rPr>
          <w:snapToGrid w:val="0"/>
        </w:rPr>
        <w:tab/>
        <w:t>A permit may be cancelled and the berth reallocated by the Department where payment is not made in advance.</w:t>
      </w:r>
    </w:p>
    <w:p>
      <w:pPr>
        <w:pStyle w:val="Subsection"/>
        <w:rPr>
          <w:snapToGrid w:val="0"/>
        </w:rPr>
      </w:pPr>
      <w:r>
        <w:rPr>
          <w:snapToGrid w:val="0"/>
        </w:rPr>
        <w:tab/>
        <w:t>(5)</w:t>
      </w:r>
      <w:r>
        <w:rPr>
          <w:snapToGrid w:val="0"/>
        </w:rPr>
        <w:tab/>
        <w:t>Where a vessel permanently vacates the berth for which it holds a permit, the Department may cancel the permit.</w:t>
      </w:r>
    </w:p>
    <w:p>
      <w:pPr>
        <w:pStyle w:val="Subsection"/>
        <w:rPr>
          <w:snapToGrid w:val="0"/>
        </w:rPr>
      </w:pPr>
      <w:r>
        <w:rPr>
          <w:snapToGrid w:val="0"/>
        </w:rPr>
        <w:tab/>
        <w:t>(6)</w:t>
      </w:r>
      <w:r>
        <w:rPr>
          <w:snapToGrid w:val="0"/>
        </w:rPr>
        <w:tab/>
        <w:t>The provisions of subregulation (3) do not apply to any vessels owned and operated by the Police Department</w:t>
      </w:r>
      <w:r>
        <w:rPr>
          <w:snapToGrid w:val="0"/>
          <w:vertAlign w:val="superscript"/>
        </w:rPr>
        <w:t> 4</w:t>
      </w:r>
      <w:r>
        <w:rPr>
          <w:snapToGrid w:val="0"/>
        </w:rPr>
        <w:t xml:space="preserve"> or other Government department or instrumentality exempted in writing by the Department.</w:t>
      </w:r>
    </w:p>
    <w:p>
      <w:pPr>
        <w:pStyle w:val="Subsection"/>
        <w:rPr>
          <w:snapToGrid w:val="0"/>
        </w:rPr>
      </w:pPr>
      <w:r>
        <w:rPr>
          <w:snapToGrid w:val="0"/>
        </w:rPr>
        <w:tab/>
        <w:t>(7)</w:t>
      </w:r>
      <w:r>
        <w:rPr>
          <w:snapToGrid w:val="0"/>
        </w:rPr>
        <w:tab/>
        <w:t xml:space="preserve">A vessel shall not be subject to charges pursuant to this regulation where a charge is paid in respect of that vessel for the berth pursuant to regulation 57 of the </w:t>
      </w:r>
      <w:r>
        <w:rPr>
          <w:i/>
          <w:snapToGrid w:val="0"/>
        </w:rPr>
        <w:t>Navigable Waters Regulations 1958</w:t>
      </w:r>
      <w:r>
        <w:rPr>
          <w:snapToGrid w:val="0"/>
          <w:vertAlign w:val="superscript"/>
        </w:rPr>
        <w:t> 5</w:t>
      </w:r>
      <w:r>
        <w:rPr>
          <w:snapToGrid w:val="0"/>
        </w:rPr>
        <w:t>.</w:t>
      </w:r>
    </w:p>
    <w:p>
      <w:pPr>
        <w:pStyle w:val="Footnotesection"/>
      </w:pPr>
      <w:r>
        <w:tab/>
        <w:t>[Regulation 72 inserted in Gazette 25 Nov 1983 p. 4669</w:t>
      </w:r>
      <w:r>
        <w:noBreakHyphen/>
        <w:t>70; amended in Gazette 30 Aug 1985 p. 3077; 16 Oct 1987 p. 3893; 29 Jun 1989 p. 1917</w:t>
      </w:r>
      <w:r>
        <w:noBreakHyphen/>
        <w:t xml:space="preserve">18; 1 Aug 1990 p. 3633; 30 Jun 1992 p. 2893; 24 Jun 2005 p. 2817.] </w:t>
      </w:r>
    </w:p>
    <w:p>
      <w:pPr>
        <w:pStyle w:val="Heading5"/>
        <w:rPr>
          <w:snapToGrid w:val="0"/>
        </w:rPr>
      </w:pPr>
      <w:bookmarkStart w:id="90" w:name="_Toc382379984"/>
      <w:r>
        <w:rPr>
          <w:rStyle w:val="CharSectno"/>
        </w:rPr>
        <w:t>73</w:t>
      </w:r>
      <w:r>
        <w:rPr>
          <w:snapToGrid w:val="0"/>
        </w:rPr>
        <w:t>.</w:t>
      </w:r>
      <w:r>
        <w:rPr>
          <w:snapToGrid w:val="0"/>
        </w:rPr>
        <w:tab/>
        <w:t>Permit for exclusive use of berth</w:t>
      </w:r>
      <w:bookmarkEnd w:id="90"/>
      <w:r>
        <w:rPr>
          <w:snapToGrid w:val="0"/>
        </w:rPr>
        <w:t xml:space="preserve"> </w:t>
      </w:r>
    </w:p>
    <w:p>
      <w:pPr>
        <w:pStyle w:val="Subsection"/>
        <w:rPr>
          <w:snapToGrid w:val="0"/>
        </w:rPr>
      </w:pPr>
      <w:r>
        <w:rPr>
          <w:snapToGrid w:val="0"/>
        </w:rPr>
        <w:tab/>
        <w:t>(1)</w:t>
      </w:r>
      <w:r>
        <w:rPr>
          <w:snapToGrid w:val="0"/>
        </w:rPr>
        <w:tab/>
        <w:t>Subject to the payment of the charge payable under regulation 72 the Department may grant to the owner of any vessel licensed to carry passengers a permit for the exclusive use of a berth at a public jetty as a berth for such vessel, subject to accommodation for the time being available.</w:t>
      </w:r>
    </w:p>
    <w:p>
      <w:pPr>
        <w:pStyle w:val="Subsection"/>
        <w:rPr>
          <w:snapToGrid w:val="0"/>
        </w:rPr>
      </w:pPr>
      <w:r>
        <w:rPr>
          <w:snapToGrid w:val="0"/>
        </w:rPr>
        <w:tab/>
        <w:t>(2)</w:t>
      </w:r>
      <w:r>
        <w:rPr>
          <w:snapToGrid w:val="0"/>
        </w:rPr>
        <w:tab/>
        <w:t>Where a permit for the exclusive use of a berth is granted under subregulation (1) for a vessel, no other vessel shall use the berth while the permit is current.</w:t>
      </w:r>
    </w:p>
    <w:p>
      <w:pPr>
        <w:pStyle w:val="Subsection"/>
        <w:rPr>
          <w:snapToGrid w:val="0"/>
        </w:rPr>
      </w:pPr>
      <w:r>
        <w:rPr>
          <w:snapToGrid w:val="0"/>
        </w:rPr>
        <w:tab/>
        <w:t>(3)</w:t>
      </w:r>
      <w:r>
        <w:rPr>
          <w:snapToGrid w:val="0"/>
        </w:rPr>
        <w:tab/>
        <w:t>Any permit granted under this regulation may specify — </w:t>
      </w:r>
    </w:p>
    <w:p>
      <w:pPr>
        <w:pStyle w:val="Indenta"/>
        <w:rPr>
          <w:snapToGrid w:val="0"/>
        </w:rPr>
      </w:pPr>
      <w:r>
        <w:rPr>
          <w:snapToGrid w:val="0"/>
        </w:rPr>
        <w:tab/>
        <w:t>(a)</w:t>
      </w:r>
      <w:r>
        <w:rPr>
          <w:snapToGrid w:val="0"/>
        </w:rPr>
        <w:tab/>
        <w:t xml:space="preserve">any other berth or jetty within the </w:t>
      </w:r>
      <w:smartTag w:uri="urn:schemas-microsoft-com:office:smarttags" w:element="place">
        <w:smartTag w:uri="urn:schemas-microsoft-com:office:smarttags" w:element="PlaceType">
          <w:r>
            <w:rPr>
              <w:snapToGrid w:val="0"/>
            </w:rPr>
            <w:t>Port</w:t>
          </w:r>
        </w:smartTag>
        <w:r>
          <w:rPr>
            <w:snapToGrid w:val="0"/>
          </w:rPr>
          <w:t xml:space="preserve"> of </w:t>
        </w:r>
        <w:smartTag w:uri="urn:schemas-microsoft-com:office:smarttags" w:element="PlaceName">
          <w:r>
            <w:rPr>
              <w:snapToGrid w:val="0"/>
            </w:rPr>
            <w:t>Perth</w:t>
          </w:r>
        </w:smartTag>
      </w:smartTag>
      <w:r>
        <w:rPr>
          <w:snapToGrid w:val="0"/>
        </w:rPr>
        <w:t xml:space="preserve"> at which the vessel may berth to pick up or set down passengers;</w:t>
      </w:r>
    </w:p>
    <w:p>
      <w:pPr>
        <w:pStyle w:val="Indenta"/>
        <w:rPr>
          <w:snapToGrid w:val="0"/>
        </w:rPr>
      </w:pPr>
      <w:r>
        <w:rPr>
          <w:snapToGrid w:val="0"/>
        </w:rPr>
        <w:tab/>
        <w:t>(b)</w:t>
      </w:r>
      <w:r>
        <w:rPr>
          <w:snapToGrid w:val="0"/>
        </w:rPr>
        <w:tab/>
        <w:t>the time or times that the vessel may berth or pick up or set down passengers;</w:t>
      </w:r>
    </w:p>
    <w:p>
      <w:pPr>
        <w:pStyle w:val="Indenta"/>
        <w:rPr>
          <w:snapToGrid w:val="0"/>
        </w:rPr>
      </w:pPr>
      <w:r>
        <w:rPr>
          <w:snapToGrid w:val="0"/>
        </w:rPr>
        <w:tab/>
        <w:t>(c)</w:t>
      </w:r>
      <w:r>
        <w:rPr>
          <w:snapToGrid w:val="0"/>
        </w:rPr>
        <w:tab/>
        <w:t>other conditions which the Manager considers necessary for good order on or about a public jetty or in the interests of safety of the passengers, vessel or jetty.</w:t>
      </w:r>
    </w:p>
    <w:p>
      <w:pPr>
        <w:pStyle w:val="Subsection"/>
        <w:rPr>
          <w:snapToGrid w:val="0"/>
        </w:rPr>
      </w:pPr>
      <w:r>
        <w:rPr>
          <w:snapToGrid w:val="0"/>
        </w:rPr>
        <w:tab/>
        <w:t>(4)</w:t>
      </w:r>
      <w:r>
        <w:rPr>
          <w:snapToGrid w:val="0"/>
        </w:rPr>
        <w:tab/>
        <w:t>Any of the conditions specified in a permit issued under this regulation may be amended or varied by notice in writing served on the person in charge of the vessel subject to the permit or upon the owner of the vessel by letter addressed to his registered office.</w:t>
      </w:r>
    </w:p>
    <w:p>
      <w:pPr>
        <w:pStyle w:val="Subsection"/>
        <w:rPr>
          <w:snapToGrid w:val="0"/>
        </w:rPr>
      </w:pPr>
      <w:r>
        <w:rPr>
          <w:snapToGrid w:val="0"/>
        </w:rPr>
        <w:tab/>
        <w:t>(5)</w:t>
      </w:r>
      <w:r>
        <w:rPr>
          <w:snapToGrid w:val="0"/>
        </w:rPr>
        <w:tab/>
        <w:t>A person who, by act or omission, contravenes the conditions of a permit issued under this regulation or under regulation 71 is liable on conviction to a penalty not exceeding $200.</w:t>
      </w:r>
    </w:p>
    <w:p>
      <w:pPr>
        <w:pStyle w:val="Subsection"/>
        <w:rPr>
          <w:snapToGrid w:val="0"/>
        </w:rPr>
      </w:pPr>
      <w:r>
        <w:rPr>
          <w:snapToGrid w:val="0"/>
        </w:rPr>
        <w:tab/>
        <w:t>(6)</w:t>
      </w:r>
      <w:r>
        <w:rPr>
          <w:snapToGrid w:val="0"/>
        </w:rPr>
        <w:tab/>
        <w:t>The Minister may cancel any permit issued under regulation 71 or this regulation if he is satisfied that the holder of a permit has failed to observe the conditions of the permit so issued or has failed to observe any regulation relating to the maintenance of good order or safety on or about a public jetty.</w:t>
      </w:r>
    </w:p>
    <w:p>
      <w:pPr>
        <w:pStyle w:val="Footnotesection"/>
      </w:pPr>
      <w:r>
        <w:tab/>
        <w:t xml:space="preserve">[Regulation 73 inserted in Gazette 31 Mar 1978 p. 990; amended in Gazette 25 Nov 1983 p. 4670.] </w:t>
      </w:r>
    </w:p>
    <w:p>
      <w:pPr>
        <w:pStyle w:val="Heading5"/>
        <w:rPr>
          <w:snapToGrid w:val="0"/>
        </w:rPr>
      </w:pPr>
      <w:bookmarkStart w:id="91" w:name="_Toc382379985"/>
      <w:r>
        <w:rPr>
          <w:rStyle w:val="CharSectno"/>
        </w:rPr>
        <w:t>74</w:t>
      </w:r>
      <w:r>
        <w:rPr>
          <w:snapToGrid w:val="0"/>
        </w:rPr>
        <w:t>.</w:t>
      </w:r>
      <w:r>
        <w:rPr>
          <w:snapToGrid w:val="0"/>
        </w:rPr>
        <w:tab/>
        <w:t>Manner of mooring vessels</w:t>
      </w:r>
      <w:bookmarkEnd w:id="91"/>
      <w:r>
        <w:rPr>
          <w:snapToGrid w:val="0"/>
        </w:rPr>
        <w:t xml:space="preserve"> </w:t>
      </w:r>
    </w:p>
    <w:p>
      <w:pPr>
        <w:pStyle w:val="Subsection"/>
        <w:rPr>
          <w:snapToGrid w:val="0"/>
        </w:rPr>
      </w:pPr>
      <w:r>
        <w:rPr>
          <w:snapToGrid w:val="0"/>
        </w:rPr>
        <w:tab/>
        <w:t>(a)</w:t>
      </w:r>
      <w:r>
        <w:rPr>
          <w:snapToGrid w:val="0"/>
        </w:rPr>
        <w:tab/>
        <w:t>No vessel shall be moored or made fast to any public jetty or any part thereof, except to such mooring piles, ringbolts, or other fastenings as are or may be provided, and no vessel shall remain alongside any public jetty unless so fastened.</w:t>
      </w:r>
    </w:p>
    <w:p>
      <w:pPr>
        <w:pStyle w:val="Subsection"/>
        <w:rPr>
          <w:snapToGrid w:val="0"/>
        </w:rPr>
      </w:pPr>
      <w:r>
        <w:rPr>
          <w:snapToGrid w:val="0"/>
        </w:rPr>
        <w:tab/>
        <w:t>(b)</w:t>
      </w:r>
      <w:r>
        <w:rPr>
          <w:snapToGrid w:val="0"/>
        </w:rPr>
        <w:tab/>
        <w:t>No vessel or any obstruction shall be fastened to or near any public steps or landing place for passengers in such a manner as to impede free access to such public steps or landing places.</w:t>
      </w:r>
    </w:p>
    <w:p>
      <w:pPr>
        <w:pStyle w:val="Footnotesection"/>
      </w:pPr>
      <w:r>
        <w:tab/>
        <w:t xml:space="preserve">[Regulation 74 amended in Gazette 19 May 1989 p. 1495.] </w:t>
      </w:r>
    </w:p>
    <w:p>
      <w:pPr>
        <w:pStyle w:val="Heading5"/>
        <w:rPr>
          <w:snapToGrid w:val="0"/>
        </w:rPr>
      </w:pPr>
      <w:bookmarkStart w:id="92" w:name="_Toc382379986"/>
      <w:r>
        <w:rPr>
          <w:rStyle w:val="CharSectno"/>
        </w:rPr>
        <w:t>75</w:t>
      </w:r>
      <w:r>
        <w:rPr>
          <w:snapToGrid w:val="0"/>
        </w:rPr>
        <w:t>.</w:t>
      </w:r>
      <w:r>
        <w:rPr>
          <w:snapToGrid w:val="0"/>
        </w:rPr>
        <w:tab/>
        <w:t>Vessels not to remain at jetties longer than necessary</w:t>
      </w:r>
      <w:bookmarkEnd w:id="92"/>
      <w:r>
        <w:rPr>
          <w:snapToGrid w:val="0"/>
        </w:rPr>
        <w:t xml:space="preserve"> </w:t>
      </w:r>
    </w:p>
    <w:p>
      <w:pPr>
        <w:pStyle w:val="Subsection"/>
        <w:rPr>
          <w:snapToGrid w:val="0"/>
        </w:rPr>
      </w:pPr>
      <w:r>
        <w:rPr>
          <w:snapToGrid w:val="0"/>
        </w:rPr>
        <w:tab/>
      </w:r>
      <w:r>
        <w:rPr>
          <w:snapToGrid w:val="0"/>
        </w:rPr>
        <w:tab/>
        <w:t>No vessel shall be fastened to or remain alongside any public jetty longer than is necessary, and shall immediately be removed therefrom, on the master or person in charge of such vessel receiving orders to that effect from an officer of the Department.</w:t>
      </w:r>
    </w:p>
    <w:p>
      <w:pPr>
        <w:pStyle w:val="Footnotesection"/>
      </w:pPr>
      <w:r>
        <w:tab/>
        <w:t xml:space="preserve">[Regulation 75 amended in Gazette 19 May 1989 p. 1495.] </w:t>
      </w:r>
    </w:p>
    <w:p>
      <w:pPr>
        <w:pStyle w:val="Heading5"/>
        <w:rPr>
          <w:snapToGrid w:val="0"/>
        </w:rPr>
      </w:pPr>
      <w:bookmarkStart w:id="93" w:name="_Toc382379987"/>
      <w:r>
        <w:rPr>
          <w:rStyle w:val="CharSectno"/>
        </w:rPr>
        <w:t>76</w:t>
      </w:r>
      <w:r>
        <w:rPr>
          <w:snapToGrid w:val="0"/>
        </w:rPr>
        <w:t>.</w:t>
      </w:r>
      <w:r>
        <w:rPr>
          <w:snapToGrid w:val="0"/>
        </w:rPr>
        <w:tab/>
        <w:t>Mooring of rafts and boathouses</w:t>
      </w:r>
      <w:bookmarkEnd w:id="93"/>
      <w:r>
        <w:rPr>
          <w:snapToGrid w:val="0"/>
        </w:rPr>
        <w:t xml:space="preserve"> </w:t>
      </w:r>
    </w:p>
    <w:p>
      <w:pPr>
        <w:pStyle w:val="Subsection"/>
        <w:rPr>
          <w:snapToGrid w:val="0"/>
        </w:rPr>
      </w:pPr>
      <w:r>
        <w:rPr>
          <w:snapToGrid w:val="0"/>
        </w:rPr>
        <w:tab/>
      </w:r>
      <w:r>
        <w:rPr>
          <w:snapToGrid w:val="0"/>
        </w:rPr>
        <w:tab/>
        <w:t>No raft or boathouse shall be moored within 91 m of any public jetty overnight; nor shall any raft or boathouse be moored in the fairway by day or by night, and any raft or boathouse moored overnight shall burn 2 bright lights from sunset to sunrise, one at each end, and fixed at least 2.4 m above water level.</w:t>
      </w:r>
    </w:p>
    <w:p>
      <w:pPr>
        <w:pStyle w:val="Footnotesection"/>
      </w:pPr>
      <w:r>
        <w:tab/>
        <w:t xml:space="preserve">[Regulation 76 amended in Gazette 15 Jun 1973 p. 2238; 19 May 1989 p. 1495; 24 Aug 2004 p. 3659.] </w:t>
      </w:r>
    </w:p>
    <w:p>
      <w:pPr>
        <w:pStyle w:val="Heading5"/>
        <w:rPr>
          <w:snapToGrid w:val="0"/>
        </w:rPr>
      </w:pPr>
      <w:bookmarkStart w:id="94" w:name="_Toc382379988"/>
      <w:r>
        <w:rPr>
          <w:rStyle w:val="CharSectno"/>
        </w:rPr>
        <w:t>77</w:t>
      </w:r>
      <w:r>
        <w:rPr>
          <w:snapToGrid w:val="0"/>
        </w:rPr>
        <w:t>.</w:t>
      </w:r>
      <w:r>
        <w:rPr>
          <w:snapToGrid w:val="0"/>
        </w:rPr>
        <w:tab/>
        <w:t>Vessels to be in charge of competent person</w:t>
      </w:r>
      <w:bookmarkEnd w:id="94"/>
      <w:r>
        <w:rPr>
          <w:snapToGrid w:val="0"/>
        </w:rPr>
        <w:t xml:space="preserve"> </w:t>
      </w:r>
    </w:p>
    <w:p>
      <w:pPr>
        <w:pStyle w:val="Subsection"/>
        <w:rPr>
          <w:snapToGrid w:val="0"/>
        </w:rPr>
      </w:pPr>
      <w:r>
        <w:rPr>
          <w:snapToGrid w:val="0"/>
        </w:rPr>
        <w:tab/>
      </w:r>
      <w:r>
        <w:rPr>
          <w:snapToGrid w:val="0"/>
        </w:rPr>
        <w:tab/>
        <w:t>No vessel (except small rowing boats) shall come alongside or remain fastened to any public jetty unless in charge of a competent person.</w:t>
      </w:r>
    </w:p>
    <w:p>
      <w:pPr>
        <w:pStyle w:val="Footnotesection"/>
      </w:pPr>
      <w:r>
        <w:tab/>
        <w:t>[Regulation 77 amended in Gazette 19 May 1989 p. 1495.]</w:t>
      </w:r>
    </w:p>
    <w:p>
      <w:pPr>
        <w:pStyle w:val="Heading5"/>
        <w:rPr>
          <w:snapToGrid w:val="0"/>
        </w:rPr>
      </w:pPr>
      <w:bookmarkStart w:id="95" w:name="_Toc382379989"/>
      <w:r>
        <w:rPr>
          <w:rStyle w:val="CharSectno"/>
        </w:rPr>
        <w:t>78</w:t>
      </w:r>
      <w:r>
        <w:rPr>
          <w:snapToGrid w:val="0"/>
        </w:rPr>
        <w:t>.</w:t>
      </w:r>
      <w:r>
        <w:rPr>
          <w:snapToGrid w:val="0"/>
        </w:rPr>
        <w:tab/>
        <w:t>Approaching jetties after sunset</w:t>
      </w:r>
      <w:bookmarkEnd w:id="95"/>
      <w:r>
        <w:rPr>
          <w:snapToGrid w:val="0"/>
        </w:rPr>
        <w:t xml:space="preserve"> </w:t>
      </w:r>
    </w:p>
    <w:p>
      <w:pPr>
        <w:pStyle w:val="Subsection"/>
        <w:rPr>
          <w:snapToGrid w:val="0"/>
        </w:rPr>
      </w:pPr>
      <w:r>
        <w:rPr>
          <w:snapToGrid w:val="0"/>
        </w:rPr>
        <w:tab/>
      </w:r>
      <w:r>
        <w:rPr>
          <w:snapToGrid w:val="0"/>
        </w:rPr>
        <w:tab/>
        <w:t>No vessel (except small rowing boats) shall approach any jetty after sunset without burning the lights usually used by steamers or sailing vessels when under way.</w:t>
      </w:r>
    </w:p>
    <w:p>
      <w:pPr>
        <w:pStyle w:val="Footnotesection"/>
      </w:pPr>
      <w:r>
        <w:tab/>
        <w:t xml:space="preserve">[Regulation 78 amended in Gazette 19 May 1989 p. 1495.] </w:t>
      </w:r>
    </w:p>
    <w:p>
      <w:pPr>
        <w:pStyle w:val="Heading3"/>
        <w:keepLines/>
        <w:rPr>
          <w:snapToGrid w:val="0"/>
        </w:rPr>
      </w:pPr>
      <w:bookmarkStart w:id="96" w:name="_Toc382379990"/>
      <w:r>
        <w:rPr>
          <w:rStyle w:val="CharDivNo"/>
        </w:rPr>
        <w:t>Division 4</w:t>
      </w:r>
      <w:r>
        <w:rPr>
          <w:snapToGrid w:val="0"/>
        </w:rPr>
        <w:t> — </w:t>
      </w:r>
      <w:r>
        <w:rPr>
          <w:rStyle w:val="CharDivText"/>
        </w:rPr>
        <w:t>Loading or discharging cargo</w:t>
      </w:r>
      <w:bookmarkEnd w:id="96"/>
      <w:r>
        <w:rPr>
          <w:rStyle w:val="CharDivText"/>
        </w:rPr>
        <w:t xml:space="preserve"> </w:t>
      </w:r>
    </w:p>
    <w:p>
      <w:pPr>
        <w:pStyle w:val="Footnoteheading"/>
        <w:keepNext/>
        <w:keepLines/>
      </w:pPr>
      <w:r>
        <w:tab/>
        <w:t xml:space="preserve">[Heading inserted in Gazette 19 May 1989 p. 1494.] </w:t>
      </w:r>
    </w:p>
    <w:p>
      <w:pPr>
        <w:pStyle w:val="Ednotesection"/>
        <w:keepNext/>
        <w:keepLines/>
      </w:pPr>
      <w:r>
        <w:t>[</w:t>
      </w:r>
      <w:r>
        <w:rPr>
          <w:b/>
        </w:rPr>
        <w:t>79.</w:t>
      </w:r>
      <w:r>
        <w:tab/>
        <w:t xml:space="preserve">Deleted in Gazette 30 Jun 1992 p. 2893.] </w:t>
      </w:r>
    </w:p>
    <w:p>
      <w:pPr>
        <w:pStyle w:val="Heading5"/>
        <w:rPr>
          <w:snapToGrid w:val="0"/>
        </w:rPr>
      </w:pPr>
      <w:bookmarkStart w:id="97" w:name="_Toc382379991"/>
      <w:r>
        <w:rPr>
          <w:rStyle w:val="CharSectno"/>
        </w:rPr>
        <w:t>80</w:t>
      </w:r>
      <w:r>
        <w:rPr>
          <w:snapToGrid w:val="0"/>
        </w:rPr>
        <w:t>.</w:t>
      </w:r>
      <w:r>
        <w:rPr>
          <w:snapToGrid w:val="0"/>
        </w:rPr>
        <w:tab/>
        <w:t>Vessels loading or discharging</w:t>
      </w:r>
      <w:bookmarkEnd w:id="97"/>
      <w:r>
        <w:rPr>
          <w:snapToGrid w:val="0"/>
        </w:rPr>
        <w:t xml:space="preserve"> </w:t>
      </w:r>
    </w:p>
    <w:p>
      <w:pPr>
        <w:pStyle w:val="Subsection"/>
        <w:rPr>
          <w:snapToGrid w:val="0"/>
        </w:rPr>
      </w:pPr>
      <w:r>
        <w:rPr>
          <w:snapToGrid w:val="0"/>
        </w:rPr>
        <w:tab/>
      </w:r>
      <w:r>
        <w:rPr>
          <w:snapToGrid w:val="0"/>
        </w:rPr>
        <w:tab/>
        <w:t>No vessel loading or discharging cargo shall come alongside any public jetty until the cargo is ready to be loaded or vehicles are ready to receive delivery, in the case of a vessel discharging, and no vessel shall occupy a berth at any public jetty while waiting to load or discharge cargo, but only when actually occupied in loading or discharging, and between sunrise and sunset and on week days, except by written permission of the Department.</w:t>
      </w:r>
    </w:p>
    <w:p>
      <w:pPr>
        <w:pStyle w:val="Footnotesection"/>
      </w:pPr>
      <w:r>
        <w:tab/>
        <w:t xml:space="preserve">[Regulation 80 amended in Gazette 19 May 1989 p. 1495.] </w:t>
      </w:r>
    </w:p>
    <w:p>
      <w:pPr>
        <w:pStyle w:val="Heading5"/>
        <w:rPr>
          <w:snapToGrid w:val="0"/>
        </w:rPr>
      </w:pPr>
      <w:bookmarkStart w:id="98" w:name="_Toc382379992"/>
      <w:r>
        <w:rPr>
          <w:rStyle w:val="CharSectno"/>
        </w:rPr>
        <w:t>81</w:t>
      </w:r>
      <w:r>
        <w:rPr>
          <w:snapToGrid w:val="0"/>
        </w:rPr>
        <w:t>.</w:t>
      </w:r>
      <w:r>
        <w:rPr>
          <w:snapToGrid w:val="0"/>
        </w:rPr>
        <w:tab/>
        <w:t>Cargo to be removed</w:t>
      </w:r>
      <w:bookmarkEnd w:id="98"/>
      <w:r>
        <w:rPr>
          <w:snapToGrid w:val="0"/>
        </w:rPr>
        <w:t xml:space="preserve"> </w:t>
      </w:r>
    </w:p>
    <w:p>
      <w:pPr>
        <w:pStyle w:val="Subsection"/>
        <w:rPr>
          <w:snapToGrid w:val="0"/>
        </w:rPr>
      </w:pPr>
      <w:r>
        <w:rPr>
          <w:snapToGrid w:val="0"/>
        </w:rPr>
        <w:tab/>
        <w:t>(a)</w:t>
      </w:r>
      <w:r>
        <w:rPr>
          <w:snapToGrid w:val="0"/>
        </w:rPr>
        <w:tab/>
        <w:t>When any goods, merchandise, or plant of any description are placed on any public jetty for shipment or ex ship, the removal of the same shall proceed concurrently with the delivery on such public jetty.</w:t>
      </w:r>
    </w:p>
    <w:p>
      <w:pPr>
        <w:pStyle w:val="Subsection"/>
        <w:rPr>
          <w:snapToGrid w:val="0"/>
        </w:rPr>
      </w:pPr>
      <w:r>
        <w:rPr>
          <w:snapToGrid w:val="0"/>
        </w:rPr>
        <w:tab/>
        <w:t>(b)</w:t>
      </w:r>
      <w:r>
        <w:rPr>
          <w:snapToGrid w:val="0"/>
        </w:rPr>
        <w:tab/>
        <w:t>All cargo or other material must be removed from any public jetty within 24 hours of the time it is deposited there, or at any time, upon the receipt by the consignor or consignee of such cargo or material, of notice from an officer of the Department.</w:t>
      </w:r>
    </w:p>
    <w:p>
      <w:pPr>
        <w:pStyle w:val="Subsection"/>
        <w:rPr>
          <w:snapToGrid w:val="0"/>
        </w:rPr>
      </w:pPr>
      <w:r>
        <w:rPr>
          <w:snapToGrid w:val="0"/>
        </w:rPr>
        <w:tab/>
        <w:t>(c)</w:t>
      </w:r>
      <w:r>
        <w:rPr>
          <w:snapToGrid w:val="0"/>
        </w:rPr>
        <w:tab/>
        <w:t>In the event of the consignor or consignee refusing or neglecting to remove any cargo or other material from any public jetty when required so to do by an officer of the Department, such cargo or material may be ordered to be removed, and the cost of removal shall be borne by the said consignor or consignee, and he shall, in addition to such cost, be liable to the penalty prescribed for breach of these regulations.</w:t>
      </w:r>
    </w:p>
    <w:p>
      <w:pPr>
        <w:pStyle w:val="Footnotesection"/>
      </w:pPr>
      <w:r>
        <w:tab/>
        <w:t xml:space="preserve">[Regulation 81 amended in Gazette 19 May 1989 p. 1495.] </w:t>
      </w:r>
    </w:p>
    <w:p>
      <w:pPr>
        <w:pStyle w:val="Heading5"/>
        <w:rPr>
          <w:snapToGrid w:val="0"/>
        </w:rPr>
      </w:pPr>
      <w:bookmarkStart w:id="99" w:name="_Toc382379993"/>
      <w:r>
        <w:rPr>
          <w:rStyle w:val="CharSectno"/>
        </w:rPr>
        <w:t>82</w:t>
      </w:r>
      <w:r>
        <w:rPr>
          <w:snapToGrid w:val="0"/>
        </w:rPr>
        <w:t>.</w:t>
      </w:r>
      <w:r>
        <w:rPr>
          <w:snapToGrid w:val="0"/>
        </w:rPr>
        <w:tab/>
        <w:t>Cargo not to remain on jetties overnight</w:t>
      </w:r>
      <w:bookmarkEnd w:id="99"/>
      <w:r>
        <w:rPr>
          <w:snapToGrid w:val="0"/>
        </w:rPr>
        <w:t xml:space="preserve"> </w:t>
      </w:r>
    </w:p>
    <w:p>
      <w:pPr>
        <w:pStyle w:val="Subsection"/>
        <w:rPr>
          <w:snapToGrid w:val="0"/>
        </w:rPr>
      </w:pPr>
      <w:r>
        <w:rPr>
          <w:snapToGrid w:val="0"/>
        </w:rPr>
        <w:tab/>
      </w:r>
      <w:r>
        <w:rPr>
          <w:snapToGrid w:val="0"/>
        </w:rPr>
        <w:tab/>
        <w:t>No cargo shall remain on any public jetty overnight, without written permission from the Department, and then the said cargo shall remain at the owner’s risk, and such owner will be held responsible for any damage whatsoever incurred thereby. Under no circumstances shall any dangerous cargo or volatile spirit be allowed to remain on any public jetty overnight.</w:t>
      </w:r>
    </w:p>
    <w:p>
      <w:pPr>
        <w:pStyle w:val="Footnotesection"/>
      </w:pPr>
      <w:r>
        <w:tab/>
        <w:t xml:space="preserve">[Regulation 82 amended in Gazette 19 May 1989 p. 1495.] </w:t>
      </w:r>
    </w:p>
    <w:p>
      <w:pPr>
        <w:pStyle w:val="Heading5"/>
        <w:rPr>
          <w:snapToGrid w:val="0"/>
        </w:rPr>
      </w:pPr>
      <w:bookmarkStart w:id="100" w:name="_Toc382379994"/>
      <w:r>
        <w:rPr>
          <w:rStyle w:val="CharSectno"/>
        </w:rPr>
        <w:t>83</w:t>
      </w:r>
      <w:r>
        <w:rPr>
          <w:snapToGrid w:val="0"/>
        </w:rPr>
        <w:t>.</w:t>
      </w:r>
      <w:r>
        <w:rPr>
          <w:snapToGrid w:val="0"/>
        </w:rPr>
        <w:tab/>
        <w:t>Explosives not to be handled without permission</w:t>
      </w:r>
      <w:bookmarkEnd w:id="100"/>
      <w:r>
        <w:rPr>
          <w:snapToGrid w:val="0"/>
        </w:rPr>
        <w:t xml:space="preserve"> </w:t>
      </w:r>
    </w:p>
    <w:p>
      <w:pPr>
        <w:pStyle w:val="Subsection"/>
        <w:rPr>
          <w:snapToGrid w:val="0"/>
        </w:rPr>
      </w:pPr>
      <w:r>
        <w:rPr>
          <w:snapToGrid w:val="0"/>
        </w:rPr>
        <w:tab/>
      </w:r>
      <w:r>
        <w:rPr>
          <w:snapToGrid w:val="0"/>
        </w:rPr>
        <w:tab/>
        <w:t xml:space="preserve">No explosives, as defined by section 4 of the </w:t>
      </w:r>
      <w:r>
        <w:rPr>
          <w:i/>
          <w:snapToGrid w:val="0"/>
        </w:rPr>
        <w:t>Explosives Act 1895</w:t>
      </w:r>
      <w:r>
        <w:rPr>
          <w:snapToGrid w:val="0"/>
          <w:vertAlign w:val="superscript"/>
        </w:rPr>
        <w:t> 6</w:t>
      </w:r>
      <w:r>
        <w:rPr>
          <w:snapToGrid w:val="0"/>
        </w:rPr>
        <w:t>, shall be landed or discharged on any public jetty without the permission of the Department.</w:t>
      </w:r>
    </w:p>
    <w:p>
      <w:pPr>
        <w:pStyle w:val="Footnotesection"/>
      </w:pPr>
      <w:r>
        <w:tab/>
        <w:t xml:space="preserve">[Regulation 83 amended in Gazette 19 May 1989 p. 1495.] </w:t>
      </w:r>
    </w:p>
    <w:p>
      <w:pPr>
        <w:pStyle w:val="Heading5"/>
        <w:rPr>
          <w:snapToGrid w:val="0"/>
        </w:rPr>
      </w:pPr>
      <w:bookmarkStart w:id="101" w:name="_Toc382379995"/>
      <w:r>
        <w:rPr>
          <w:rStyle w:val="CharSectno"/>
        </w:rPr>
        <w:t>84</w:t>
      </w:r>
      <w:r>
        <w:rPr>
          <w:snapToGrid w:val="0"/>
        </w:rPr>
        <w:t>.</w:t>
      </w:r>
      <w:r>
        <w:rPr>
          <w:snapToGrid w:val="0"/>
        </w:rPr>
        <w:tab/>
        <w:t>Manner of handling cargo</w:t>
      </w:r>
      <w:bookmarkEnd w:id="101"/>
      <w:r>
        <w:rPr>
          <w:snapToGrid w:val="0"/>
        </w:rPr>
        <w:t xml:space="preserve"> </w:t>
      </w:r>
    </w:p>
    <w:p>
      <w:pPr>
        <w:pStyle w:val="Subsection"/>
        <w:rPr>
          <w:snapToGrid w:val="0"/>
        </w:rPr>
      </w:pPr>
      <w:r>
        <w:rPr>
          <w:snapToGrid w:val="0"/>
        </w:rPr>
        <w:tab/>
      </w:r>
      <w:r>
        <w:rPr>
          <w:snapToGrid w:val="0"/>
        </w:rPr>
        <w:tab/>
        <w:t>All cargo carted or conveyed on to any public jetty shall be carefully removed from the vehicles carrying the same into the vessel receiving the same, and shall in no case be tipped from such vessel on to the said public jetty. Provided that this regulation shall not apply to sand, stone, gravel, soil or manure, which is carefully loaded on any such public jetty by special permission, in writing, of the Department.</w:t>
      </w:r>
    </w:p>
    <w:p>
      <w:pPr>
        <w:pStyle w:val="Footnotesection"/>
      </w:pPr>
      <w:r>
        <w:tab/>
        <w:t xml:space="preserve">[Regulation 84 amended in Gazette 19 May 1989 p. 1495.] </w:t>
      </w:r>
    </w:p>
    <w:p>
      <w:pPr>
        <w:pStyle w:val="Heading3"/>
        <w:rPr>
          <w:snapToGrid w:val="0"/>
        </w:rPr>
      </w:pPr>
      <w:bookmarkStart w:id="102" w:name="_Toc382379996"/>
      <w:r>
        <w:rPr>
          <w:rStyle w:val="CharDivNo"/>
        </w:rPr>
        <w:t>Division 5</w:t>
      </w:r>
      <w:r>
        <w:rPr>
          <w:snapToGrid w:val="0"/>
        </w:rPr>
        <w:t> — </w:t>
      </w:r>
      <w:r>
        <w:rPr>
          <w:rStyle w:val="CharDivText"/>
        </w:rPr>
        <w:t>Navigation of vessels</w:t>
      </w:r>
      <w:bookmarkEnd w:id="102"/>
      <w:r>
        <w:rPr>
          <w:rStyle w:val="CharDivText"/>
        </w:rPr>
        <w:t xml:space="preserve"> </w:t>
      </w:r>
    </w:p>
    <w:p>
      <w:pPr>
        <w:pStyle w:val="Footnoteheading"/>
      </w:pPr>
      <w:r>
        <w:tab/>
        <w:t xml:space="preserve">[Heading inserted in Gazette 19 May 1989 p. 1494.] </w:t>
      </w:r>
    </w:p>
    <w:p>
      <w:pPr>
        <w:pStyle w:val="Heading5"/>
        <w:rPr>
          <w:snapToGrid w:val="0"/>
        </w:rPr>
      </w:pPr>
      <w:bookmarkStart w:id="103" w:name="_Toc382379997"/>
      <w:r>
        <w:rPr>
          <w:rStyle w:val="CharSectno"/>
        </w:rPr>
        <w:t>85</w:t>
      </w:r>
      <w:r>
        <w:rPr>
          <w:snapToGrid w:val="0"/>
        </w:rPr>
        <w:t>.</w:t>
      </w:r>
      <w:r>
        <w:rPr>
          <w:snapToGrid w:val="0"/>
        </w:rPr>
        <w:tab/>
        <w:t>Power vessels approaching jetties</w:t>
      </w:r>
      <w:bookmarkEnd w:id="103"/>
      <w:r>
        <w:rPr>
          <w:snapToGrid w:val="0"/>
        </w:rPr>
        <w:t xml:space="preserve"> </w:t>
      </w:r>
    </w:p>
    <w:p>
      <w:pPr>
        <w:pStyle w:val="Subsection"/>
        <w:rPr>
          <w:snapToGrid w:val="0"/>
        </w:rPr>
      </w:pPr>
      <w:r>
        <w:rPr>
          <w:snapToGrid w:val="0"/>
        </w:rPr>
        <w:tab/>
        <w:t>(a)</w:t>
      </w:r>
      <w:r>
        <w:rPr>
          <w:snapToGrid w:val="0"/>
        </w:rPr>
        <w:tab/>
        <w:t>In the case of 2 power vessels approaching the same public jetty at the same time from opposite directions, the power vessel bound down a river shall give way to the power vessel bound up a river.</w:t>
      </w:r>
    </w:p>
    <w:p>
      <w:pPr>
        <w:pStyle w:val="Subsection"/>
        <w:rPr>
          <w:snapToGrid w:val="0"/>
        </w:rPr>
      </w:pPr>
      <w:r>
        <w:rPr>
          <w:snapToGrid w:val="0"/>
        </w:rPr>
        <w:tab/>
        <w:t>(b)</w:t>
      </w:r>
      <w:r>
        <w:rPr>
          <w:snapToGrid w:val="0"/>
        </w:rPr>
        <w:tab/>
        <w:t>In the case of 2 power vessels approaching the same public jetty at the same time in the same direction, the power vessel on the outer course shall give way to the power vessel on the inner course.</w:t>
      </w:r>
    </w:p>
    <w:p>
      <w:pPr>
        <w:pStyle w:val="Footnotesection"/>
      </w:pPr>
      <w:r>
        <w:tab/>
        <w:t xml:space="preserve">[Regulation 85 amended in Gazette 19 May 1989 p. 1494.] </w:t>
      </w:r>
    </w:p>
    <w:p>
      <w:pPr>
        <w:pStyle w:val="Heading3"/>
        <w:rPr>
          <w:snapToGrid w:val="0"/>
        </w:rPr>
      </w:pPr>
      <w:bookmarkStart w:id="104" w:name="_Toc382379998"/>
      <w:r>
        <w:rPr>
          <w:rStyle w:val="CharDivNo"/>
        </w:rPr>
        <w:t>Division 6</w:t>
      </w:r>
      <w:r>
        <w:rPr>
          <w:snapToGrid w:val="0"/>
        </w:rPr>
        <w:t> — </w:t>
      </w:r>
      <w:r>
        <w:rPr>
          <w:rStyle w:val="CharDivText"/>
        </w:rPr>
        <w:t>Miscellaneous</w:t>
      </w:r>
      <w:bookmarkEnd w:id="104"/>
      <w:r>
        <w:rPr>
          <w:rStyle w:val="CharDivText"/>
        </w:rPr>
        <w:t xml:space="preserve"> </w:t>
      </w:r>
    </w:p>
    <w:p>
      <w:pPr>
        <w:pStyle w:val="Footnoteheading"/>
      </w:pPr>
      <w:r>
        <w:tab/>
        <w:t xml:space="preserve">[Heading inserted in Gazette 19 May 1989 p. 1494.] </w:t>
      </w:r>
    </w:p>
    <w:p>
      <w:pPr>
        <w:pStyle w:val="Heading5"/>
        <w:rPr>
          <w:snapToGrid w:val="0"/>
        </w:rPr>
      </w:pPr>
      <w:bookmarkStart w:id="105" w:name="_Toc382379999"/>
      <w:r>
        <w:rPr>
          <w:rStyle w:val="CharSectno"/>
        </w:rPr>
        <w:t>86</w:t>
      </w:r>
      <w:r>
        <w:rPr>
          <w:snapToGrid w:val="0"/>
        </w:rPr>
        <w:t>.</w:t>
      </w:r>
      <w:r>
        <w:rPr>
          <w:snapToGrid w:val="0"/>
        </w:rPr>
        <w:tab/>
        <w:t>Bathing from jetties</w:t>
      </w:r>
      <w:bookmarkEnd w:id="105"/>
      <w:r>
        <w:rPr>
          <w:snapToGrid w:val="0"/>
        </w:rPr>
        <w:t xml:space="preserve"> </w:t>
      </w:r>
    </w:p>
    <w:p>
      <w:pPr>
        <w:pStyle w:val="Subsection"/>
        <w:rPr>
          <w:snapToGrid w:val="0"/>
        </w:rPr>
      </w:pPr>
      <w:r>
        <w:rPr>
          <w:snapToGrid w:val="0"/>
        </w:rPr>
        <w:tab/>
      </w:r>
      <w:r>
        <w:rPr>
          <w:snapToGrid w:val="0"/>
        </w:rPr>
        <w:tab/>
        <w:t>Bathing between the hours of 7.30 a.m. and 9.30 p.m. from any public jetty is prohibited.</w:t>
      </w:r>
    </w:p>
    <w:p>
      <w:pPr>
        <w:pStyle w:val="Footnotesection"/>
      </w:pPr>
      <w:r>
        <w:tab/>
        <w:t xml:space="preserve">[Regulation 86 amended in Gazette 19 May 1989 p. 1495.] </w:t>
      </w:r>
    </w:p>
    <w:p>
      <w:pPr>
        <w:pStyle w:val="Heading5"/>
        <w:rPr>
          <w:snapToGrid w:val="0"/>
        </w:rPr>
      </w:pPr>
      <w:bookmarkStart w:id="106" w:name="_Toc382380000"/>
      <w:r>
        <w:rPr>
          <w:rStyle w:val="CharSectno"/>
        </w:rPr>
        <w:t>87</w:t>
      </w:r>
      <w:r>
        <w:rPr>
          <w:snapToGrid w:val="0"/>
        </w:rPr>
        <w:t>.</w:t>
      </w:r>
      <w:r>
        <w:rPr>
          <w:snapToGrid w:val="0"/>
        </w:rPr>
        <w:tab/>
        <w:t>Damage to jetties</w:t>
      </w:r>
      <w:bookmarkEnd w:id="106"/>
      <w:r>
        <w:rPr>
          <w:snapToGrid w:val="0"/>
        </w:rPr>
        <w:t xml:space="preserve"> </w:t>
      </w:r>
    </w:p>
    <w:p>
      <w:pPr>
        <w:pStyle w:val="Subsection"/>
        <w:rPr>
          <w:snapToGrid w:val="0"/>
        </w:rPr>
      </w:pPr>
      <w:r>
        <w:rPr>
          <w:snapToGrid w:val="0"/>
        </w:rPr>
        <w:tab/>
      </w:r>
      <w:r>
        <w:rPr>
          <w:snapToGrid w:val="0"/>
        </w:rPr>
        <w:tab/>
        <w:t>The owner or owners of every vessel shall be personally liable for all damage to any public jetty done or occasioned by any person employed in such vessel, or in loading or discharging thereof; also for any penalties incurred by the master or crew or person employed on or in connection with such vessel, and any repairs rendered necessary may be executed by the Department, and the cost of such repairs shall be paid by the owner or owners liable for such damage, within 7 days after demand, and may be recovered by the Department summarily or otherwise, and any default in payment shall render such owner or owners liable to the penalty provided for breach of these regulations.</w:t>
      </w:r>
    </w:p>
    <w:p>
      <w:pPr>
        <w:pStyle w:val="Footnotesection"/>
      </w:pPr>
      <w:r>
        <w:tab/>
        <w:t xml:space="preserve">[Regulation 87 amended in Gazette 19 May 1989 p. 1495.] </w:t>
      </w:r>
    </w:p>
    <w:p>
      <w:pPr>
        <w:pStyle w:val="Heading5"/>
        <w:rPr>
          <w:snapToGrid w:val="0"/>
        </w:rPr>
      </w:pPr>
      <w:bookmarkStart w:id="107" w:name="_Toc382380001"/>
      <w:r>
        <w:rPr>
          <w:rStyle w:val="CharSectno"/>
        </w:rPr>
        <w:t>88</w:t>
      </w:r>
      <w:r>
        <w:rPr>
          <w:snapToGrid w:val="0"/>
        </w:rPr>
        <w:t>.</w:t>
      </w:r>
      <w:r>
        <w:rPr>
          <w:snapToGrid w:val="0"/>
        </w:rPr>
        <w:tab/>
        <w:t>Fishing from certain places prohibited</w:t>
      </w:r>
      <w:bookmarkEnd w:id="107"/>
      <w:r>
        <w:rPr>
          <w:snapToGrid w:val="0"/>
        </w:rPr>
        <w:t xml:space="preserve"> </w:t>
      </w:r>
    </w:p>
    <w:p>
      <w:pPr>
        <w:pStyle w:val="Subsection"/>
        <w:rPr>
          <w:snapToGrid w:val="0"/>
        </w:rPr>
      </w:pPr>
      <w:r>
        <w:rPr>
          <w:snapToGrid w:val="0"/>
        </w:rPr>
        <w:tab/>
      </w:r>
      <w:r>
        <w:rPr>
          <w:snapToGrid w:val="0"/>
        </w:rPr>
        <w:tab/>
        <w:t xml:space="preserve">No person shall fish from any portion of the road bridge over the </w:t>
      </w:r>
      <w:smartTag w:uri="urn:schemas-microsoft-com:office:smarttags" w:element="PlaceName">
        <w:r>
          <w:rPr>
            <w:snapToGrid w:val="0"/>
          </w:rPr>
          <w:t>Swan</w:t>
        </w:r>
      </w:smartTag>
      <w:r>
        <w:rPr>
          <w:snapToGrid w:val="0"/>
        </w:rPr>
        <w:t xml:space="preserve"> </w:t>
      </w:r>
      <w:smartTag w:uri="urn:schemas-microsoft-com:office:smarttags" w:element="PlaceType">
        <w:r>
          <w:rPr>
            <w:snapToGrid w:val="0"/>
          </w:rPr>
          <w:t>River</w:t>
        </w:r>
      </w:smartTag>
      <w:r>
        <w:rPr>
          <w:snapToGrid w:val="0"/>
        </w:rPr>
        <w:t xml:space="preserve"> at Fremantle, or from the Canning bridge, or from the bridge or embankment across the </w:t>
      </w:r>
      <w:smartTag w:uri="urn:schemas-microsoft-com:office:smarttags" w:element="PlaceName">
        <w:r>
          <w:rPr>
            <w:snapToGrid w:val="0"/>
          </w:rPr>
          <w:t>Swan</w:t>
        </w:r>
      </w:smartTag>
      <w:r>
        <w:rPr>
          <w:snapToGrid w:val="0"/>
        </w:rPr>
        <w:t xml:space="preserve"> </w:t>
      </w:r>
      <w:smartTag w:uri="urn:schemas-microsoft-com:office:smarttags" w:element="PlaceType">
        <w:r>
          <w:rPr>
            <w:snapToGrid w:val="0"/>
          </w:rPr>
          <w:t>River</w:t>
        </w:r>
      </w:smartTag>
      <w:r>
        <w:rPr>
          <w:snapToGrid w:val="0"/>
        </w:rPr>
        <w:t xml:space="preserve">, at </w:t>
      </w:r>
      <w:smartTag w:uri="urn:schemas-microsoft-com:office:smarttags" w:element="City">
        <w:r>
          <w:rPr>
            <w:snapToGrid w:val="0"/>
          </w:rPr>
          <w:t>Perth</w:t>
        </w:r>
      </w:smartTag>
      <w:r>
        <w:rPr>
          <w:snapToGrid w:val="0"/>
        </w:rPr>
        <w:t xml:space="preserve">, known as the </w:t>
      </w:r>
      <w:smartTag w:uri="urn:schemas-microsoft-com:office:smarttags" w:element="place">
        <w:smartTag w:uri="urn:schemas-microsoft-com:office:smarttags" w:element="City">
          <w:r>
            <w:rPr>
              <w:snapToGrid w:val="0"/>
            </w:rPr>
            <w:t>Perth</w:t>
          </w:r>
        </w:smartTag>
      </w:smartTag>
      <w:r>
        <w:rPr>
          <w:snapToGrid w:val="0"/>
        </w:rPr>
        <w:t xml:space="preserve"> causeway.</w:t>
      </w:r>
    </w:p>
    <w:p>
      <w:pPr>
        <w:pStyle w:val="Footnotesection"/>
      </w:pPr>
      <w:r>
        <w:tab/>
        <w:t xml:space="preserve">[Regulation 88 amended in Gazette 19 May 1989 p. 1495.] </w:t>
      </w:r>
    </w:p>
    <w:p>
      <w:pPr>
        <w:pStyle w:val="Heading5"/>
        <w:rPr>
          <w:snapToGrid w:val="0"/>
        </w:rPr>
      </w:pPr>
      <w:bookmarkStart w:id="108" w:name="_Toc382380002"/>
      <w:r>
        <w:rPr>
          <w:rStyle w:val="CharSectno"/>
        </w:rPr>
        <w:t>89</w:t>
      </w:r>
      <w:r>
        <w:rPr>
          <w:snapToGrid w:val="0"/>
        </w:rPr>
        <w:t>.</w:t>
      </w:r>
      <w:r>
        <w:rPr>
          <w:snapToGrid w:val="0"/>
        </w:rPr>
        <w:tab/>
        <w:t>Fishing nets on jetties</w:t>
      </w:r>
      <w:bookmarkEnd w:id="108"/>
      <w:r>
        <w:rPr>
          <w:snapToGrid w:val="0"/>
        </w:rPr>
        <w:t xml:space="preserve"> </w:t>
      </w:r>
    </w:p>
    <w:p>
      <w:pPr>
        <w:pStyle w:val="Subsection"/>
        <w:rPr>
          <w:snapToGrid w:val="0"/>
        </w:rPr>
      </w:pPr>
      <w:r>
        <w:rPr>
          <w:snapToGrid w:val="0"/>
        </w:rPr>
        <w:tab/>
      </w:r>
      <w:r>
        <w:rPr>
          <w:snapToGrid w:val="0"/>
        </w:rPr>
        <w:tab/>
        <w:t>No fishing nets shall be hung on or spread about any part of any public jetty.</w:t>
      </w:r>
    </w:p>
    <w:p>
      <w:pPr>
        <w:pStyle w:val="Footnotesection"/>
      </w:pPr>
      <w:r>
        <w:tab/>
        <w:t xml:space="preserve">[Regulation 89 amended in Gazette 19 May 1989 p. 1495.] </w:t>
      </w:r>
    </w:p>
    <w:p>
      <w:pPr>
        <w:pStyle w:val="Heading5"/>
        <w:rPr>
          <w:snapToGrid w:val="0"/>
        </w:rPr>
      </w:pPr>
      <w:bookmarkStart w:id="109" w:name="_Toc382380003"/>
      <w:r>
        <w:rPr>
          <w:rStyle w:val="CharSectno"/>
        </w:rPr>
        <w:t>90</w:t>
      </w:r>
      <w:r>
        <w:rPr>
          <w:snapToGrid w:val="0"/>
        </w:rPr>
        <w:t>.</w:t>
      </w:r>
      <w:r>
        <w:rPr>
          <w:snapToGrid w:val="0"/>
        </w:rPr>
        <w:tab/>
        <w:t>Gangways to be provided</w:t>
      </w:r>
      <w:bookmarkEnd w:id="109"/>
      <w:r>
        <w:rPr>
          <w:snapToGrid w:val="0"/>
        </w:rPr>
        <w:t xml:space="preserve"> </w:t>
      </w:r>
    </w:p>
    <w:p>
      <w:pPr>
        <w:pStyle w:val="Subsection"/>
        <w:rPr>
          <w:snapToGrid w:val="0"/>
        </w:rPr>
      </w:pPr>
      <w:r>
        <w:rPr>
          <w:snapToGrid w:val="0"/>
        </w:rPr>
        <w:tab/>
      </w:r>
      <w:r>
        <w:rPr>
          <w:snapToGrid w:val="0"/>
        </w:rPr>
        <w:tab/>
        <w:t>Steam vessels landing or shipping passengers at any public jetty shall provide suitable gangways of not less than 770 mm in width, having a hand</w:t>
      </w:r>
      <w:r>
        <w:rPr>
          <w:snapToGrid w:val="0"/>
        </w:rPr>
        <w:noBreakHyphen/>
        <w:t>rail on both sides, and, after sunset, these gangways shall be sufficiently lighted.</w:t>
      </w:r>
    </w:p>
    <w:p>
      <w:pPr>
        <w:pStyle w:val="Footnotesection"/>
      </w:pPr>
      <w:r>
        <w:tab/>
        <w:t xml:space="preserve">[Regulation 90 amended in Gazette 15 Jun 1973 p. 2239; 19 May 1989 p. 1495.] </w:t>
      </w:r>
    </w:p>
    <w:p>
      <w:pPr>
        <w:pStyle w:val="Heading5"/>
        <w:rPr>
          <w:snapToGrid w:val="0"/>
        </w:rPr>
      </w:pPr>
      <w:bookmarkStart w:id="110" w:name="_Toc382380004"/>
      <w:r>
        <w:rPr>
          <w:rStyle w:val="CharSectno"/>
        </w:rPr>
        <w:t>91</w:t>
      </w:r>
      <w:r>
        <w:rPr>
          <w:snapToGrid w:val="0"/>
        </w:rPr>
        <w:t>.</w:t>
      </w:r>
      <w:r>
        <w:rPr>
          <w:snapToGrid w:val="0"/>
        </w:rPr>
        <w:tab/>
        <w:t>Interference with jetties or approaches</w:t>
      </w:r>
      <w:bookmarkEnd w:id="110"/>
      <w:r>
        <w:rPr>
          <w:snapToGrid w:val="0"/>
        </w:rPr>
        <w:t xml:space="preserve"> </w:t>
      </w:r>
    </w:p>
    <w:p>
      <w:pPr>
        <w:pStyle w:val="Subsection"/>
        <w:rPr>
          <w:snapToGrid w:val="0"/>
        </w:rPr>
      </w:pPr>
      <w:r>
        <w:rPr>
          <w:snapToGrid w:val="0"/>
        </w:rPr>
        <w:tab/>
      </w:r>
      <w:r>
        <w:rPr>
          <w:snapToGrid w:val="0"/>
        </w:rPr>
        <w:tab/>
        <w:t>No person shall remove or cause to be removed from any public jetty, or the approaches thereto, any gravel, stone, timber, trees, shrubs, grasses, or other material, without the written permission of the Minister for Transport or his representative.</w:t>
      </w:r>
    </w:p>
    <w:p>
      <w:pPr>
        <w:pStyle w:val="Footnotesection"/>
      </w:pPr>
      <w:r>
        <w:tab/>
        <w:t xml:space="preserve">[Regulation 91 amended in Gazette 19 May 1989 p. 1495.] </w:t>
      </w:r>
    </w:p>
    <w:p>
      <w:pPr>
        <w:pStyle w:val="Heading5"/>
        <w:rPr>
          <w:snapToGrid w:val="0"/>
        </w:rPr>
      </w:pPr>
      <w:bookmarkStart w:id="111" w:name="_Toc382380005"/>
      <w:r>
        <w:rPr>
          <w:rStyle w:val="CharSectno"/>
        </w:rPr>
        <w:t>92</w:t>
      </w:r>
      <w:r>
        <w:rPr>
          <w:snapToGrid w:val="0"/>
        </w:rPr>
        <w:t>.</w:t>
      </w:r>
      <w:r>
        <w:rPr>
          <w:snapToGrid w:val="0"/>
        </w:rPr>
        <w:tab/>
        <w:t>Lifebuoys on jetties</w:t>
      </w:r>
      <w:bookmarkEnd w:id="111"/>
      <w:r>
        <w:rPr>
          <w:snapToGrid w:val="0"/>
        </w:rPr>
        <w:t xml:space="preserve"> </w:t>
      </w:r>
    </w:p>
    <w:p>
      <w:pPr>
        <w:pStyle w:val="Subsection"/>
        <w:rPr>
          <w:snapToGrid w:val="0"/>
        </w:rPr>
      </w:pPr>
      <w:r>
        <w:rPr>
          <w:snapToGrid w:val="0"/>
        </w:rPr>
        <w:tab/>
      </w:r>
      <w:r>
        <w:rPr>
          <w:snapToGrid w:val="0"/>
        </w:rPr>
        <w:tab/>
        <w:t>No person shall remove, damage, or destroy any lifebuoy on any public jetty or use the same for any purpose other than saving life.</w:t>
      </w:r>
    </w:p>
    <w:p>
      <w:pPr>
        <w:pStyle w:val="Footnotesection"/>
      </w:pPr>
      <w:r>
        <w:tab/>
        <w:t xml:space="preserve">[Regulation 92 amended in Gazette 19 May 1989 p. 1495.] </w:t>
      </w:r>
    </w:p>
    <w:p>
      <w:pPr>
        <w:pStyle w:val="Heading5"/>
        <w:rPr>
          <w:snapToGrid w:val="0"/>
        </w:rPr>
      </w:pPr>
      <w:bookmarkStart w:id="112" w:name="_Toc382380006"/>
      <w:r>
        <w:rPr>
          <w:rStyle w:val="CharSectno"/>
        </w:rPr>
        <w:t>93</w:t>
      </w:r>
      <w:r>
        <w:rPr>
          <w:snapToGrid w:val="0"/>
        </w:rPr>
        <w:t>.</w:t>
      </w:r>
      <w:r>
        <w:rPr>
          <w:snapToGrid w:val="0"/>
        </w:rPr>
        <w:tab/>
        <w:t>Obstruction of jetties or officers</w:t>
      </w:r>
      <w:bookmarkEnd w:id="112"/>
      <w:r>
        <w:rPr>
          <w:snapToGrid w:val="0"/>
        </w:rPr>
        <w:t xml:space="preserve"> </w:t>
      </w:r>
    </w:p>
    <w:p>
      <w:pPr>
        <w:pStyle w:val="Subsection"/>
        <w:rPr>
          <w:snapToGrid w:val="0"/>
        </w:rPr>
      </w:pPr>
      <w:r>
        <w:rPr>
          <w:snapToGrid w:val="0"/>
        </w:rPr>
        <w:tab/>
        <w:t>(a)</w:t>
      </w:r>
      <w:r>
        <w:rPr>
          <w:snapToGrid w:val="0"/>
        </w:rPr>
        <w:tab/>
        <w:t>No person shall erect any bench, shear legs, crane, stocks, or other plant whatsoever, or in any way obstruct any public jetty, without first obtaining, in writing, the permission of the Minister for Transport or his representative.</w:t>
      </w:r>
    </w:p>
    <w:p>
      <w:pPr>
        <w:pStyle w:val="Subsection"/>
        <w:rPr>
          <w:snapToGrid w:val="0"/>
        </w:rPr>
      </w:pPr>
      <w:r>
        <w:rPr>
          <w:snapToGrid w:val="0"/>
        </w:rPr>
        <w:tab/>
        <w:t>(b)</w:t>
      </w:r>
      <w:r>
        <w:rPr>
          <w:snapToGrid w:val="0"/>
        </w:rPr>
        <w:tab/>
        <w:t>No person or persons shall obstruct any representative of the Minister for Transport in carrying out the construction of, or repairs or additions to, any public jetty.</w:t>
      </w:r>
    </w:p>
    <w:p>
      <w:pPr>
        <w:pStyle w:val="Footnotesection"/>
      </w:pPr>
      <w:r>
        <w:tab/>
        <w:t xml:space="preserve">[Regulation 93 amended in Gazette 19 May 1989 p. 1495.] </w:t>
      </w:r>
    </w:p>
    <w:p>
      <w:pPr>
        <w:pStyle w:val="Heading5"/>
        <w:rPr>
          <w:snapToGrid w:val="0"/>
        </w:rPr>
      </w:pPr>
      <w:bookmarkStart w:id="113" w:name="_Toc382380007"/>
      <w:r>
        <w:rPr>
          <w:rStyle w:val="CharSectno"/>
        </w:rPr>
        <w:t>94</w:t>
      </w:r>
      <w:r>
        <w:rPr>
          <w:snapToGrid w:val="0"/>
        </w:rPr>
        <w:t>.</w:t>
      </w:r>
      <w:r>
        <w:rPr>
          <w:snapToGrid w:val="0"/>
        </w:rPr>
        <w:tab/>
        <w:t>Rubbish not to be thrown in river etc.</w:t>
      </w:r>
      <w:bookmarkEnd w:id="113"/>
    </w:p>
    <w:p>
      <w:pPr>
        <w:pStyle w:val="Subsection"/>
        <w:rPr>
          <w:snapToGrid w:val="0"/>
        </w:rPr>
      </w:pPr>
      <w:r>
        <w:rPr>
          <w:snapToGrid w:val="0"/>
        </w:rPr>
        <w:tab/>
      </w:r>
      <w:r>
        <w:rPr>
          <w:snapToGrid w:val="0"/>
        </w:rPr>
        <w:tab/>
        <w:t>No stones, rubbish, ashes, or any other substance shall be thrown into any part of the river or discharged upon a public jetty, except at such places, if any, as may be defined for such purpose by the Department.</w:t>
      </w:r>
    </w:p>
    <w:p>
      <w:pPr>
        <w:pStyle w:val="Footnotesection"/>
      </w:pPr>
      <w:r>
        <w:tab/>
        <w:t xml:space="preserve">[Regulation 94 amended in Gazette 19 May 1989 p. 1495.] </w:t>
      </w:r>
    </w:p>
    <w:p>
      <w:pPr>
        <w:pStyle w:val="Heading2"/>
      </w:pPr>
      <w:bookmarkStart w:id="114" w:name="_Toc382380008"/>
      <w:r>
        <w:rPr>
          <w:rStyle w:val="CharPartNo"/>
        </w:rPr>
        <w:t>Part 2A</w:t>
      </w:r>
      <w:r>
        <w:rPr>
          <w:rStyle w:val="CharDivNo"/>
        </w:rPr>
        <w:t> </w:t>
      </w:r>
      <w:r>
        <w:t>—</w:t>
      </w:r>
      <w:r>
        <w:rPr>
          <w:rStyle w:val="CharDivText"/>
        </w:rPr>
        <w:t> </w:t>
      </w:r>
      <w:r>
        <w:rPr>
          <w:rStyle w:val="CharPartText"/>
        </w:rPr>
        <w:t xml:space="preserve">Mooring and berthing other than in the </w:t>
      </w:r>
      <w:smartTag w:uri="urn:schemas-microsoft-com:office:smarttags" w:element="place">
        <w:smartTag w:uri="urn:schemas-microsoft-com:office:smarttags" w:element="PlaceType">
          <w:r>
            <w:rPr>
              <w:rStyle w:val="CharPartText"/>
            </w:rPr>
            <w:t>Port</w:t>
          </w:r>
        </w:smartTag>
        <w:r>
          <w:rPr>
            <w:rStyle w:val="CharPartText"/>
          </w:rPr>
          <w:t xml:space="preserve"> of </w:t>
        </w:r>
        <w:smartTag w:uri="urn:schemas-microsoft-com:office:smarttags" w:element="PlaceName">
          <w:r>
            <w:rPr>
              <w:rStyle w:val="CharPartText"/>
            </w:rPr>
            <w:t>Perth</w:t>
          </w:r>
        </w:smartTag>
      </w:smartTag>
      <w:bookmarkEnd w:id="114"/>
      <w:r>
        <w:rPr>
          <w:rStyle w:val="CharPartText"/>
        </w:rPr>
        <w:t xml:space="preserve"> </w:t>
      </w:r>
    </w:p>
    <w:p>
      <w:pPr>
        <w:pStyle w:val="Footnoteheading"/>
      </w:pPr>
      <w:r>
        <w:tab/>
        <w:t>[Heading inserted in Gazette 1 Aug 1990 p. 3633</w:t>
      </w:r>
      <w:r>
        <w:noBreakHyphen/>
        <w:t xml:space="preserve">4.] </w:t>
      </w:r>
    </w:p>
    <w:p>
      <w:pPr>
        <w:pStyle w:val="Heading5"/>
      </w:pPr>
      <w:bookmarkStart w:id="115" w:name="_Toc382380009"/>
      <w:r>
        <w:rPr>
          <w:rStyle w:val="CharSectno"/>
        </w:rPr>
        <w:t>94A</w:t>
      </w:r>
      <w:r>
        <w:t>.</w:t>
      </w:r>
      <w:r>
        <w:tab/>
        <w:t>Fees etc. for pen rentals and services</w:t>
      </w:r>
      <w:bookmarkEnd w:id="115"/>
    </w:p>
    <w:p>
      <w:pPr>
        <w:pStyle w:val="Subsection"/>
      </w:pPr>
      <w:r>
        <w:tab/>
      </w:r>
      <w:r>
        <w:tab/>
        <w:t xml:space="preserve">The fees and charges payable for pen rentals and services in particular ports and harbours (other than the </w:t>
      </w:r>
      <w:smartTag w:uri="urn:schemas-microsoft-com:office:smarttags" w:element="place">
        <w:smartTag w:uri="urn:schemas-microsoft-com:office:smarttags" w:element="PlaceType">
          <w:r>
            <w:t>Port</w:t>
          </w:r>
        </w:smartTag>
        <w:r>
          <w:t xml:space="preserve"> of </w:t>
        </w:r>
        <w:smartTag w:uri="urn:schemas-microsoft-com:office:smarttags" w:element="PlaceName">
          <w:r>
            <w:t>Perth</w:t>
          </w:r>
        </w:smartTag>
      </w:smartTag>
      <w:r>
        <w:t>) are as set out in Schedule 1.</w:t>
      </w:r>
    </w:p>
    <w:p>
      <w:pPr>
        <w:pStyle w:val="Footnotesection"/>
      </w:pPr>
      <w:r>
        <w:tab/>
        <w:t>[Regulation 94A inserted in Gazette 14 Jun 2002 p. 2800; amended in Gazette 24 Jun 2005 p. 2817; 22 Jun 2007 p. 2909.]</w:t>
      </w:r>
    </w:p>
    <w:p>
      <w:pPr>
        <w:pStyle w:val="Heading5"/>
        <w:rPr>
          <w:snapToGrid w:val="0"/>
        </w:rPr>
      </w:pPr>
      <w:bookmarkStart w:id="116" w:name="_Toc382380010"/>
      <w:r>
        <w:rPr>
          <w:rStyle w:val="CharSectno"/>
        </w:rPr>
        <w:t>94B</w:t>
      </w:r>
      <w:r>
        <w:rPr>
          <w:snapToGrid w:val="0"/>
        </w:rPr>
        <w:t>.</w:t>
      </w:r>
      <w:r>
        <w:rPr>
          <w:snapToGrid w:val="0"/>
        </w:rPr>
        <w:tab/>
        <w:t>Fees for pile mooring</w:t>
      </w:r>
      <w:bookmarkEnd w:id="116"/>
      <w:r>
        <w:rPr>
          <w:snapToGrid w:val="0"/>
        </w:rPr>
        <w:t xml:space="preserve"> </w:t>
      </w:r>
    </w:p>
    <w:p>
      <w:pPr>
        <w:pStyle w:val="Subsection"/>
        <w:rPr>
          <w:snapToGrid w:val="0"/>
        </w:rPr>
      </w:pPr>
      <w:r>
        <w:rPr>
          <w:snapToGrid w:val="0"/>
        </w:rPr>
        <w:tab/>
      </w:r>
      <w:r>
        <w:rPr>
          <w:snapToGrid w:val="0"/>
        </w:rPr>
        <w:tab/>
        <w:t xml:space="preserve">The fees for pile mooring rental set out in </w:t>
      </w:r>
      <w:r>
        <w:t xml:space="preserve">Schedule 1 </w:t>
      </w:r>
      <w:r>
        <w:rPr>
          <w:snapToGrid w:val="0"/>
        </w:rPr>
        <w:t>are payable in respect to a pile mooring rented by any vessel in any boat harbour or fishing boat harbour in the State, according to the size of that vessel.</w:t>
      </w:r>
    </w:p>
    <w:p>
      <w:pPr>
        <w:pStyle w:val="Footnotesection"/>
      </w:pPr>
      <w:r>
        <w:tab/>
        <w:t>[Regulation 94B inserted in Gazette 1 Aug 1990 p. 3633</w:t>
      </w:r>
      <w:r>
        <w:noBreakHyphen/>
        <w:t xml:space="preserve">4; amended in Gazette 25 Jun 1996 p. 2981; 24 Jun 2005 p. 2817; 22 Jun 2007 p. 2909.] </w:t>
      </w:r>
    </w:p>
    <w:p>
      <w:pPr>
        <w:pStyle w:val="Heading5"/>
        <w:rPr>
          <w:snapToGrid w:val="0"/>
        </w:rPr>
      </w:pPr>
      <w:bookmarkStart w:id="117" w:name="_Toc382380011"/>
      <w:r>
        <w:rPr>
          <w:rStyle w:val="CharSectno"/>
        </w:rPr>
        <w:t>94C</w:t>
      </w:r>
      <w:r>
        <w:rPr>
          <w:snapToGrid w:val="0"/>
        </w:rPr>
        <w:t>.</w:t>
      </w:r>
      <w:r>
        <w:rPr>
          <w:snapToGrid w:val="0"/>
        </w:rPr>
        <w:tab/>
        <w:t>Fees for berthing or mooring on a casual basis</w:t>
      </w:r>
      <w:bookmarkEnd w:id="117"/>
      <w:r>
        <w:rPr>
          <w:snapToGrid w:val="0"/>
        </w:rPr>
        <w:t xml:space="preserve"> </w:t>
      </w:r>
    </w:p>
    <w:p>
      <w:pPr>
        <w:pStyle w:val="Subsection"/>
        <w:rPr>
          <w:snapToGrid w:val="0"/>
        </w:rPr>
      </w:pPr>
      <w:r>
        <w:rPr>
          <w:snapToGrid w:val="0"/>
        </w:rPr>
        <w:tab/>
      </w:r>
      <w:r>
        <w:rPr>
          <w:snapToGrid w:val="0"/>
        </w:rPr>
        <w:tab/>
        <w:t xml:space="preserve">Where no other fee is prescribed for berthing or mooring at a wharf or public jetty, the fee set out in </w:t>
      </w:r>
      <w:r>
        <w:t xml:space="preserve">Schedule 1 </w:t>
      </w:r>
      <w:r>
        <w:rPr>
          <w:snapToGrid w:val="0"/>
        </w:rPr>
        <w:t>is payable for berthing or mooring on a casual basis at a wharf or public jetty, other than those within the Port of Perth.</w:t>
      </w:r>
    </w:p>
    <w:p>
      <w:pPr>
        <w:pStyle w:val="Footnotesection"/>
      </w:pPr>
      <w:r>
        <w:tab/>
        <w:t xml:space="preserve">[Regulation 94C inserted in Gazette 30 Jun 1992 p. 2893; amended in Gazette 24 Jun 2005 p. 2817; 22 Jun 2007 p. 2909.] </w:t>
      </w:r>
    </w:p>
    <w:p>
      <w:pPr>
        <w:pStyle w:val="Heading5"/>
      </w:pPr>
      <w:bookmarkStart w:id="118" w:name="_Toc382380012"/>
      <w:r>
        <w:rPr>
          <w:rStyle w:val="CharSectno"/>
        </w:rPr>
        <w:t>94D</w:t>
      </w:r>
      <w:r>
        <w:t>.</w:t>
      </w:r>
      <w:r>
        <w:tab/>
        <w:t>Waiving fees or charges in emergencies</w:t>
      </w:r>
      <w:bookmarkEnd w:id="118"/>
    </w:p>
    <w:p>
      <w:pPr>
        <w:pStyle w:val="Subsection"/>
      </w:pPr>
      <w:r>
        <w:tab/>
      </w:r>
      <w:r>
        <w:tab/>
        <w:t>The chief executive officer of the Department may waive a fee or charge payable under this Division for the use of a service jetty by a vessel in need of emergency repair.</w:t>
      </w:r>
    </w:p>
    <w:p>
      <w:pPr>
        <w:pStyle w:val="Footnotesection"/>
      </w:pPr>
      <w:r>
        <w:tab/>
        <w:t>[Regulation 94D inserted in Gazette 22 Jun 2007 p. 2910.]</w:t>
      </w:r>
    </w:p>
    <w:p>
      <w:pPr>
        <w:pStyle w:val="Heading2"/>
      </w:pPr>
      <w:bookmarkStart w:id="119" w:name="_Toc382380013"/>
      <w:r>
        <w:rPr>
          <w:rStyle w:val="CharPartNo"/>
        </w:rPr>
        <w:t>Part 3</w:t>
      </w:r>
      <w:r>
        <w:t> — </w:t>
      </w:r>
      <w:r>
        <w:rPr>
          <w:rStyle w:val="CharPartText"/>
        </w:rPr>
        <w:t>Special provisions applying at particular ports</w:t>
      </w:r>
      <w:bookmarkEnd w:id="119"/>
      <w:r>
        <w:rPr>
          <w:rStyle w:val="CharPartText"/>
        </w:rPr>
        <w:t xml:space="preserve"> </w:t>
      </w:r>
    </w:p>
    <w:p>
      <w:pPr>
        <w:pStyle w:val="Footnoteheading"/>
      </w:pPr>
      <w:r>
        <w:tab/>
        <w:t xml:space="preserve">[Heading inserted in Gazette 19 May 1989 p. 1494.] </w:t>
      </w:r>
    </w:p>
    <w:p>
      <w:pPr>
        <w:pStyle w:val="Heading3"/>
        <w:rPr>
          <w:snapToGrid w:val="0"/>
        </w:rPr>
      </w:pPr>
      <w:bookmarkStart w:id="120" w:name="_Toc382380014"/>
      <w:r>
        <w:rPr>
          <w:rStyle w:val="CharDivNo"/>
        </w:rPr>
        <w:t>Division 1</w:t>
      </w:r>
      <w:r>
        <w:rPr>
          <w:snapToGrid w:val="0"/>
        </w:rPr>
        <w:t> — </w:t>
      </w:r>
      <w:r>
        <w:rPr>
          <w:rStyle w:val="CharDivText"/>
        </w:rPr>
        <w:t>Use of slipways</w:t>
      </w:r>
      <w:bookmarkEnd w:id="120"/>
      <w:r>
        <w:rPr>
          <w:rStyle w:val="CharDivText"/>
        </w:rPr>
        <w:t xml:space="preserve"> </w:t>
      </w:r>
    </w:p>
    <w:p>
      <w:pPr>
        <w:pStyle w:val="Footnoteheading"/>
      </w:pPr>
      <w:r>
        <w:tab/>
        <w:t xml:space="preserve">[Heading inserted in Gazette 19 May 1989 p. 1494.] </w:t>
      </w:r>
    </w:p>
    <w:p>
      <w:pPr>
        <w:pStyle w:val="Heading5"/>
      </w:pPr>
      <w:bookmarkStart w:id="121" w:name="_Toc382380015"/>
      <w:r>
        <w:rPr>
          <w:rStyle w:val="CharSectno"/>
        </w:rPr>
        <w:t>95</w:t>
      </w:r>
      <w:r>
        <w:t>.</w:t>
      </w:r>
      <w:r>
        <w:tab/>
        <w:t>Management and control of departmental slipways</w:t>
      </w:r>
      <w:bookmarkEnd w:id="121"/>
    </w:p>
    <w:p>
      <w:pPr>
        <w:pStyle w:val="Subsection"/>
      </w:pPr>
      <w:r>
        <w:tab/>
        <w:t>(1)</w:t>
      </w:r>
      <w:r>
        <w:tab/>
        <w:t>Part 3 Division 1 applies to slipways under the direct control of the Department.</w:t>
      </w:r>
    </w:p>
    <w:p>
      <w:pPr>
        <w:pStyle w:val="Subsection"/>
        <w:ind w:left="851" w:hanging="851"/>
      </w:pPr>
      <w:r>
        <w:tab/>
        <w:t>(2)</w:t>
      </w:r>
      <w:r>
        <w:tab/>
        <w:t>The official designated by the Director General as the “regional coordinator” for a region in which any slipways under the control of the Department are situated shall have the management and control of those slipways.</w:t>
      </w:r>
    </w:p>
    <w:p>
      <w:pPr>
        <w:pStyle w:val="Footnotesection"/>
      </w:pPr>
      <w:r>
        <w:tab/>
        <w:t>[Regulation 95 inserted in Gazette 20 Jun 2000 p. 3044.]</w:t>
      </w:r>
    </w:p>
    <w:p>
      <w:pPr>
        <w:pStyle w:val="Heading5"/>
        <w:rPr>
          <w:snapToGrid w:val="0"/>
        </w:rPr>
      </w:pPr>
      <w:bookmarkStart w:id="122" w:name="_Toc382380016"/>
      <w:r>
        <w:rPr>
          <w:rStyle w:val="CharSectno"/>
        </w:rPr>
        <w:t>95A</w:t>
      </w:r>
      <w:r>
        <w:rPr>
          <w:snapToGrid w:val="0"/>
        </w:rPr>
        <w:t>.</w:t>
      </w:r>
      <w:r>
        <w:rPr>
          <w:snapToGrid w:val="0"/>
        </w:rPr>
        <w:tab/>
        <w:t>Application for use of slipway</w:t>
      </w:r>
      <w:bookmarkEnd w:id="122"/>
      <w:r>
        <w:rPr>
          <w:snapToGrid w:val="0"/>
        </w:rPr>
        <w:t xml:space="preserve"> </w:t>
      </w:r>
    </w:p>
    <w:p>
      <w:pPr>
        <w:pStyle w:val="Subsection"/>
        <w:rPr>
          <w:snapToGrid w:val="0"/>
        </w:rPr>
      </w:pPr>
      <w:r>
        <w:rPr>
          <w:snapToGrid w:val="0"/>
        </w:rPr>
        <w:tab/>
        <w:t>(a)</w:t>
      </w:r>
      <w:r>
        <w:rPr>
          <w:snapToGrid w:val="0"/>
        </w:rPr>
        <w:tab/>
        <w:t xml:space="preserve">All applications for the use of the slipway shall be made by the owner or master of the vessel, in writing in the Form 3 set out in </w:t>
      </w:r>
      <w:r>
        <w:t xml:space="preserve">Schedule 3, </w:t>
      </w:r>
      <w:r>
        <w:rPr>
          <w:snapToGrid w:val="0"/>
        </w:rPr>
        <w:t>and he shall be bound by the conditions and schedule of charges.</w:t>
      </w:r>
    </w:p>
    <w:p>
      <w:pPr>
        <w:pStyle w:val="Subsection"/>
        <w:rPr>
          <w:snapToGrid w:val="0"/>
        </w:rPr>
      </w:pPr>
      <w:r>
        <w:rPr>
          <w:snapToGrid w:val="0"/>
        </w:rPr>
        <w:tab/>
        <w:t>(b)</w:t>
      </w:r>
      <w:r>
        <w:rPr>
          <w:snapToGrid w:val="0"/>
        </w:rPr>
        <w:tab/>
        <w:t xml:space="preserve">The priority for the use of the slipway shall be determined by the </w:t>
      </w:r>
      <w:r>
        <w:rPr>
          <w:spacing w:val="-2"/>
        </w:rPr>
        <w:t xml:space="preserve">regional coordinator (designated under regulation 95) </w:t>
      </w:r>
      <w:r>
        <w:rPr>
          <w:snapToGrid w:val="0"/>
        </w:rPr>
        <w:t>having the management and control of the slipway who shall have authority to grant or refuse any application.</w:t>
      </w:r>
    </w:p>
    <w:p>
      <w:pPr>
        <w:pStyle w:val="Footnotesection"/>
      </w:pPr>
      <w:r>
        <w:tab/>
        <w:t xml:space="preserve">[Regulation 95A inserted in Gazette 11 Jan 1946 p. 13; amended in Gazette 2 May 1952 p. 1106; 17 Mar 1960 p. 783; 24 Nov 1972 p. 4488; 19 Oct 1973 p. 3818; 19 May 1987 p. 1495; 30 Jun 1995 p. 2699; 20 Jun 2000 p. 3044; 24 Jun 2005 p. 2818.] </w:t>
      </w:r>
    </w:p>
    <w:p>
      <w:pPr>
        <w:pStyle w:val="Heading5"/>
        <w:rPr>
          <w:snapToGrid w:val="0"/>
        </w:rPr>
      </w:pPr>
      <w:bookmarkStart w:id="123" w:name="_Toc382380017"/>
      <w:r>
        <w:rPr>
          <w:rStyle w:val="CharSectno"/>
        </w:rPr>
        <w:t>96</w:t>
      </w:r>
      <w:r>
        <w:rPr>
          <w:snapToGrid w:val="0"/>
        </w:rPr>
        <w:t>.</w:t>
      </w:r>
      <w:r>
        <w:rPr>
          <w:snapToGrid w:val="0"/>
        </w:rPr>
        <w:tab/>
        <w:t>Charges for use of slipway</w:t>
      </w:r>
      <w:bookmarkEnd w:id="123"/>
      <w:r>
        <w:rPr>
          <w:snapToGrid w:val="0"/>
        </w:rPr>
        <w:t xml:space="preserve"> </w:t>
      </w:r>
    </w:p>
    <w:p>
      <w:pPr>
        <w:pStyle w:val="Subsection"/>
        <w:rPr>
          <w:snapToGrid w:val="0"/>
        </w:rPr>
      </w:pPr>
      <w:r>
        <w:rPr>
          <w:snapToGrid w:val="0"/>
        </w:rPr>
        <w:tab/>
        <w:t>(a)</w:t>
      </w:r>
      <w:r>
        <w:rPr>
          <w:snapToGrid w:val="0"/>
        </w:rPr>
        <w:tab/>
        <w:t xml:space="preserve">All vessels shall be charged for services rendered </w:t>
      </w:r>
      <w:r>
        <w:t xml:space="preserve">at or in relation to a slip </w:t>
      </w:r>
      <w:r>
        <w:rPr>
          <w:snapToGrid w:val="0"/>
        </w:rPr>
        <w:t xml:space="preserve">as prescribed in </w:t>
      </w:r>
      <w:r>
        <w:t>Schedule 1.</w:t>
      </w:r>
    </w:p>
    <w:p>
      <w:pPr>
        <w:pStyle w:val="Subsection"/>
        <w:rPr>
          <w:snapToGrid w:val="0"/>
        </w:rPr>
      </w:pPr>
      <w:r>
        <w:rPr>
          <w:snapToGrid w:val="0"/>
        </w:rPr>
        <w:tab/>
        <w:t>(b)</w:t>
      </w:r>
      <w:r>
        <w:rPr>
          <w:snapToGrid w:val="0"/>
        </w:rPr>
        <w:tab/>
        <w:t xml:space="preserve">The dues charged shall cover the use of the slip, the haulage of the vessel to the slip and the supply of water and electric power. The owner or master of the vessel must arrange for the proper wedging, blocking, etc., to the satisfaction of the </w:t>
      </w:r>
      <w:r>
        <w:rPr>
          <w:spacing w:val="-2"/>
        </w:rPr>
        <w:t xml:space="preserve">regional coordinator (designated under regulation 95) </w:t>
      </w:r>
      <w:r>
        <w:rPr>
          <w:snapToGrid w:val="0"/>
        </w:rPr>
        <w:t>having the management and control of the slipway. Any damage done to the structure and/or cradle shall be repaired at the expense of the owner or master of the vessel causing the damage.</w:t>
      </w:r>
    </w:p>
    <w:p>
      <w:pPr>
        <w:pStyle w:val="Subsection"/>
        <w:rPr>
          <w:snapToGrid w:val="0"/>
        </w:rPr>
      </w:pPr>
      <w:r>
        <w:rPr>
          <w:snapToGrid w:val="0"/>
        </w:rPr>
        <w:tab/>
        <w:t>(c)</w:t>
      </w:r>
      <w:r>
        <w:rPr>
          <w:snapToGrid w:val="0"/>
        </w:rPr>
        <w:tab/>
        <w:t>The owner or master of any vessel using the slip shall be responsible for the payment of all charges which he shall pay before the vessel is removed from the slip.</w:t>
      </w:r>
    </w:p>
    <w:p>
      <w:pPr>
        <w:pStyle w:val="Footnotesection"/>
      </w:pPr>
      <w:r>
        <w:tab/>
        <w:t xml:space="preserve">[Regulation 96 inserted in Gazette 11 Jan 1946 p. 13; amended in Gazette 2 May 1952 p. 1106; 17 Mar 1960 p. 783; 24 Nov 1972 p. 4488; 19 Oct 1973 p. 3818; 19 May 1989 p. 1495; 20 Jun 2000 p. 3044; 24 Jun 2005 p. 2818; 22 Jun 2007 p. 2910.] </w:t>
      </w:r>
    </w:p>
    <w:p>
      <w:pPr>
        <w:pStyle w:val="Heading5"/>
        <w:rPr>
          <w:snapToGrid w:val="0"/>
        </w:rPr>
      </w:pPr>
      <w:bookmarkStart w:id="124" w:name="_Toc382380018"/>
      <w:r>
        <w:rPr>
          <w:rStyle w:val="CharSectno"/>
        </w:rPr>
        <w:t>97</w:t>
      </w:r>
      <w:r>
        <w:rPr>
          <w:snapToGrid w:val="0"/>
        </w:rPr>
        <w:t>.</w:t>
      </w:r>
      <w:r>
        <w:rPr>
          <w:snapToGrid w:val="0"/>
        </w:rPr>
        <w:tab/>
        <w:t>Government vessels may take precedence</w:t>
      </w:r>
      <w:bookmarkEnd w:id="124"/>
      <w:r>
        <w:rPr>
          <w:snapToGrid w:val="0"/>
        </w:rPr>
        <w:t xml:space="preserve"> </w:t>
      </w:r>
    </w:p>
    <w:p>
      <w:pPr>
        <w:pStyle w:val="Subsection"/>
        <w:rPr>
          <w:snapToGrid w:val="0"/>
        </w:rPr>
      </w:pPr>
      <w:r>
        <w:rPr>
          <w:snapToGrid w:val="0"/>
        </w:rPr>
        <w:tab/>
      </w:r>
      <w:r>
        <w:rPr>
          <w:snapToGrid w:val="0"/>
        </w:rPr>
        <w:tab/>
        <w:t>Government vessels shall, when considered necessary, take precedence of all other craft, notwithstanding any previous application by private owners for the use of the slip.</w:t>
      </w:r>
    </w:p>
    <w:p>
      <w:pPr>
        <w:pStyle w:val="Footnotesection"/>
      </w:pPr>
      <w:r>
        <w:tab/>
        <w:t xml:space="preserve">[Regulation 97 inserted in Gazette 11 Jan 1946 p. 13; amended in Gazette 19 May 1989 p. 1495.] </w:t>
      </w:r>
    </w:p>
    <w:p>
      <w:pPr>
        <w:pStyle w:val="Heading5"/>
        <w:rPr>
          <w:snapToGrid w:val="0"/>
        </w:rPr>
      </w:pPr>
      <w:bookmarkStart w:id="125" w:name="_Toc382380019"/>
      <w:r>
        <w:rPr>
          <w:rStyle w:val="CharSectno"/>
        </w:rPr>
        <w:t>98</w:t>
      </w:r>
      <w:r>
        <w:rPr>
          <w:snapToGrid w:val="0"/>
        </w:rPr>
        <w:t>.</w:t>
      </w:r>
      <w:r>
        <w:rPr>
          <w:snapToGrid w:val="0"/>
        </w:rPr>
        <w:tab/>
        <w:t>Vessels may forfeit their turn</w:t>
      </w:r>
      <w:bookmarkEnd w:id="125"/>
      <w:r>
        <w:rPr>
          <w:snapToGrid w:val="0"/>
        </w:rPr>
        <w:t xml:space="preserve"> </w:t>
      </w:r>
    </w:p>
    <w:p>
      <w:pPr>
        <w:pStyle w:val="Subsection"/>
        <w:rPr>
          <w:snapToGrid w:val="0"/>
        </w:rPr>
      </w:pPr>
      <w:r>
        <w:rPr>
          <w:snapToGrid w:val="0"/>
        </w:rPr>
        <w:tab/>
      </w:r>
      <w:r>
        <w:rPr>
          <w:snapToGrid w:val="0"/>
        </w:rPr>
        <w:tab/>
        <w:t>Vessels registered for and not arriving at the slip at the appointed time will be liable to the forfeiture of their turn.</w:t>
      </w:r>
    </w:p>
    <w:p>
      <w:pPr>
        <w:pStyle w:val="Footnotesection"/>
      </w:pPr>
      <w:r>
        <w:tab/>
        <w:t xml:space="preserve">[Regulation 98 inserted in Gazette 11 Jan 1946 p. 13; amended in Gazette 19 May 1989 p. 1496.] </w:t>
      </w:r>
    </w:p>
    <w:p>
      <w:pPr>
        <w:pStyle w:val="Heading5"/>
        <w:rPr>
          <w:snapToGrid w:val="0"/>
        </w:rPr>
      </w:pPr>
      <w:bookmarkStart w:id="126" w:name="_Toc382380020"/>
      <w:r>
        <w:rPr>
          <w:rStyle w:val="CharSectno"/>
        </w:rPr>
        <w:t>99</w:t>
      </w:r>
      <w:r>
        <w:rPr>
          <w:snapToGrid w:val="0"/>
        </w:rPr>
        <w:t>.</w:t>
      </w:r>
      <w:r>
        <w:rPr>
          <w:snapToGrid w:val="0"/>
        </w:rPr>
        <w:tab/>
        <w:t>Department will not undertake repairs etc.</w:t>
      </w:r>
      <w:bookmarkEnd w:id="126"/>
    </w:p>
    <w:p>
      <w:pPr>
        <w:pStyle w:val="Subsection"/>
        <w:keepNext/>
        <w:rPr>
          <w:snapToGrid w:val="0"/>
        </w:rPr>
      </w:pPr>
      <w:r>
        <w:rPr>
          <w:snapToGrid w:val="0"/>
        </w:rPr>
        <w:tab/>
      </w:r>
      <w:r>
        <w:rPr>
          <w:snapToGrid w:val="0"/>
        </w:rPr>
        <w:tab/>
        <w:t>The Department will not undertake the repairs of vessels; all parties availing themselves of the use of the slip will be required to make their own arrangements for these and provide all necessary material.</w:t>
      </w:r>
    </w:p>
    <w:p>
      <w:pPr>
        <w:pStyle w:val="Footnotesection"/>
      </w:pPr>
      <w:r>
        <w:tab/>
        <w:t xml:space="preserve">[Regulation 99 inserted in Gazette 11 Jan 1946 p. 13; amended in Gazette 19 May 1989 p. 1496.] </w:t>
      </w:r>
    </w:p>
    <w:p>
      <w:pPr>
        <w:pStyle w:val="Heading5"/>
        <w:rPr>
          <w:snapToGrid w:val="0"/>
        </w:rPr>
      </w:pPr>
      <w:bookmarkStart w:id="127" w:name="_Toc382380021"/>
      <w:r>
        <w:rPr>
          <w:rStyle w:val="CharSectno"/>
        </w:rPr>
        <w:t>100</w:t>
      </w:r>
      <w:r>
        <w:rPr>
          <w:snapToGrid w:val="0"/>
        </w:rPr>
        <w:t>.</w:t>
      </w:r>
      <w:r>
        <w:rPr>
          <w:snapToGrid w:val="0"/>
        </w:rPr>
        <w:tab/>
        <w:t>Department not responsible for damage to vessel when in use of slip</w:t>
      </w:r>
      <w:bookmarkEnd w:id="127"/>
      <w:r>
        <w:rPr>
          <w:snapToGrid w:val="0"/>
        </w:rPr>
        <w:t xml:space="preserve"> </w:t>
      </w:r>
    </w:p>
    <w:p>
      <w:pPr>
        <w:pStyle w:val="Subsection"/>
        <w:rPr>
          <w:snapToGrid w:val="0"/>
        </w:rPr>
      </w:pPr>
      <w:r>
        <w:rPr>
          <w:snapToGrid w:val="0"/>
        </w:rPr>
        <w:tab/>
      </w:r>
      <w:r>
        <w:rPr>
          <w:snapToGrid w:val="0"/>
        </w:rPr>
        <w:tab/>
        <w:t>The Department will not be responsible for and shall incur no liability in respect of any damage to any vessel while being hauled up, remaining on, or being lowered from the slip, or in any way in connection with the use of the slip.</w:t>
      </w:r>
    </w:p>
    <w:p>
      <w:pPr>
        <w:pStyle w:val="Footnotesection"/>
      </w:pPr>
      <w:r>
        <w:tab/>
        <w:t xml:space="preserve">[Regulation 100 inserted in Gazette 11 Jan 1946 p. 13; amended in Gazette 19 May 1989 p. 1496.] </w:t>
      </w:r>
    </w:p>
    <w:p>
      <w:pPr>
        <w:pStyle w:val="Heading5"/>
        <w:rPr>
          <w:snapToGrid w:val="0"/>
        </w:rPr>
      </w:pPr>
      <w:bookmarkStart w:id="128" w:name="_Toc382380022"/>
      <w:r>
        <w:rPr>
          <w:rStyle w:val="CharSectno"/>
        </w:rPr>
        <w:t>101</w:t>
      </w:r>
      <w:r>
        <w:rPr>
          <w:snapToGrid w:val="0"/>
        </w:rPr>
        <w:t>.</w:t>
      </w:r>
      <w:r>
        <w:rPr>
          <w:snapToGrid w:val="0"/>
        </w:rPr>
        <w:tab/>
        <w:t>Duties of owner or master using slipway</w:t>
      </w:r>
      <w:bookmarkEnd w:id="128"/>
      <w:r>
        <w:rPr>
          <w:snapToGrid w:val="0"/>
        </w:rPr>
        <w:t xml:space="preserve"> </w:t>
      </w:r>
    </w:p>
    <w:p>
      <w:pPr>
        <w:pStyle w:val="Subsection"/>
        <w:rPr>
          <w:snapToGrid w:val="0"/>
        </w:rPr>
      </w:pPr>
      <w:r>
        <w:rPr>
          <w:snapToGrid w:val="0"/>
        </w:rPr>
        <w:tab/>
        <w:t>(1)</w:t>
      </w:r>
      <w:r>
        <w:rPr>
          <w:snapToGrid w:val="0"/>
        </w:rPr>
        <w:tab/>
        <w:t>The owner or master of a vessel using the slipway shall — </w:t>
      </w:r>
    </w:p>
    <w:p>
      <w:pPr>
        <w:pStyle w:val="Indenta"/>
        <w:rPr>
          <w:snapToGrid w:val="0"/>
        </w:rPr>
      </w:pPr>
      <w:r>
        <w:rPr>
          <w:snapToGrid w:val="0"/>
        </w:rPr>
        <w:tab/>
        <w:t>(a)</w:t>
      </w:r>
      <w:r>
        <w:rPr>
          <w:snapToGrid w:val="0"/>
        </w:rPr>
        <w:tab/>
        <w:t xml:space="preserve">keep it in a clean and tidy condition to the satisfaction of the </w:t>
      </w:r>
      <w:r>
        <w:rPr>
          <w:spacing w:val="-2"/>
        </w:rPr>
        <w:t xml:space="preserve">regional coordinator (designated under regulation 95) </w:t>
      </w:r>
      <w:r>
        <w:rPr>
          <w:snapToGrid w:val="0"/>
        </w:rPr>
        <w:t>having the management and control of the slipway; and</w:t>
      </w:r>
    </w:p>
    <w:p>
      <w:pPr>
        <w:pStyle w:val="Indenta"/>
        <w:rPr>
          <w:snapToGrid w:val="0"/>
        </w:rPr>
      </w:pPr>
      <w:r>
        <w:rPr>
          <w:snapToGrid w:val="0"/>
        </w:rPr>
        <w:tab/>
        <w:t>(b)</w:t>
      </w:r>
      <w:r>
        <w:rPr>
          <w:snapToGrid w:val="0"/>
        </w:rPr>
        <w:tab/>
        <w:t>remove all barnacles and weed from the slipway area on the day that the vessel is hauled from the water.</w:t>
      </w:r>
    </w:p>
    <w:p>
      <w:pPr>
        <w:pStyle w:val="Subsection"/>
        <w:rPr>
          <w:snapToGrid w:val="0"/>
        </w:rPr>
      </w:pPr>
      <w:r>
        <w:rPr>
          <w:snapToGrid w:val="0"/>
        </w:rPr>
        <w:tab/>
        <w:t>(2)</w:t>
      </w:r>
      <w:r>
        <w:rPr>
          <w:snapToGrid w:val="0"/>
        </w:rPr>
        <w:tab/>
        <w:t>Where the owner or master fails to comply with subregulation (1) the Department may arrange for the cleaning of the slipway area and may recover the cost thereof from the owner or master of the vessel.</w:t>
      </w:r>
    </w:p>
    <w:p>
      <w:pPr>
        <w:pStyle w:val="Footnotesection"/>
      </w:pPr>
      <w:r>
        <w:tab/>
        <w:t xml:space="preserve">[Regulation 101 inserted in Gazette 19 Oct 1973 p. 3819; amended in Gazette 20 Jun 2000 p. 3044.] </w:t>
      </w:r>
    </w:p>
    <w:p>
      <w:pPr>
        <w:pStyle w:val="Heading5"/>
        <w:rPr>
          <w:snapToGrid w:val="0"/>
        </w:rPr>
      </w:pPr>
      <w:bookmarkStart w:id="129" w:name="_Toc382380023"/>
      <w:r>
        <w:rPr>
          <w:rStyle w:val="CharSectno"/>
        </w:rPr>
        <w:t>101A</w:t>
      </w:r>
      <w:r>
        <w:rPr>
          <w:snapToGrid w:val="0"/>
        </w:rPr>
        <w:t>.</w:t>
      </w:r>
      <w:r>
        <w:rPr>
          <w:snapToGrid w:val="0"/>
        </w:rPr>
        <w:tab/>
        <w:t>Slipping of more than one vessel at a time</w:t>
      </w:r>
      <w:bookmarkEnd w:id="129"/>
      <w:r>
        <w:rPr>
          <w:snapToGrid w:val="0"/>
        </w:rPr>
        <w:t xml:space="preserve"> </w:t>
      </w:r>
    </w:p>
    <w:p>
      <w:pPr>
        <w:pStyle w:val="Subsection"/>
        <w:rPr>
          <w:snapToGrid w:val="0"/>
        </w:rPr>
      </w:pPr>
      <w:r>
        <w:rPr>
          <w:snapToGrid w:val="0"/>
        </w:rPr>
        <w:tab/>
      </w:r>
      <w:r>
        <w:rPr>
          <w:snapToGrid w:val="0"/>
        </w:rPr>
        <w:tab/>
        <w:t xml:space="preserve">The </w:t>
      </w:r>
      <w:r>
        <w:rPr>
          <w:spacing w:val="-2"/>
        </w:rPr>
        <w:t xml:space="preserve">regional coordinator (designated under regulation 95) </w:t>
      </w:r>
      <w:r>
        <w:rPr>
          <w:snapToGrid w:val="0"/>
        </w:rPr>
        <w:t>in charge may by special permission allow more than one vessel to be taken on a slipway at the one time.</w:t>
      </w:r>
    </w:p>
    <w:p>
      <w:pPr>
        <w:pStyle w:val="Footnotesection"/>
      </w:pPr>
      <w:r>
        <w:tab/>
        <w:t xml:space="preserve">[Regulation 101A inserted in Gazette 24 Nov 1972 p. 4488; amended in Gazette 19 May 1989 p. 1496; 20 Jun 2000 p. 3044.] </w:t>
      </w:r>
    </w:p>
    <w:p>
      <w:pPr>
        <w:pStyle w:val="Heading5"/>
        <w:spacing w:before="180"/>
        <w:rPr>
          <w:snapToGrid w:val="0"/>
        </w:rPr>
      </w:pPr>
      <w:bookmarkStart w:id="130" w:name="_Toc382380024"/>
      <w:r>
        <w:rPr>
          <w:rStyle w:val="CharSectno"/>
        </w:rPr>
        <w:t>101B</w:t>
      </w:r>
      <w:r>
        <w:rPr>
          <w:snapToGrid w:val="0"/>
        </w:rPr>
        <w:t>.</w:t>
      </w:r>
      <w:r>
        <w:rPr>
          <w:snapToGrid w:val="0"/>
        </w:rPr>
        <w:tab/>
        <w:t>Dispute procedure</w:t>
      </w:r>
      <w:bookmarkEnd w:id="130"/>
      <w:r>
        <w:rPr>
          <w:snapToGrid w:val="0"/>
        </w:rPr>
        <w:t xml:space="preserve"> </w:t>
      </w:r>
    </w:p>
    <w:p>
      <w:pPr>
        <w:pStyle w:val="Subsection"/>
        <w:rPr>
          <w:snapToGrid w:val="0"/>
        </w:rPr>
      </w:pPr>
      <w:r>
        <w:rPr>
          <w:snapToGrid w:val="0"/>
        </w:rPr>
        <w:tab/>
      </w:r>
      <w:r>
        <w:rPr>
          <w:snapToGrid w:val="0"/>
        </w:rPr>
        <w:tab/>
        <w:t>If any dispute shall arise between the owner or master and the Department, such dispute shall be referred to and be determined by the Minister whose decision shall be final and binding upon the Department and the owner or master of the vessel.</w:t>
      </w:r>
    </w:p>
    <w:p>
      <w:pPr>
        <w:pStyle w:val="Footnotesection"/>
      </w:pPr>
      <w:r>
        <w:tab/>
        <w:t xml:space="preserve">[Regulation 101B inserted in Gazette 11 Jan 1946 p. 13; amended in Gazette 19 May 1989 p. 1496.] </w:t>
      </w:r>
    </w:p>
    <w:p>
      <w:pPr>
        <w:pStyle w:val="Ednotesection"/>
        <w:spacing w:before="180"/>
        <w:ind w:left="890" w:hanging="890"/>
      </w:pPr>
      <w:r>
        <w:t>[</w:t>
      </w:r>
      <w:r>
        <w:rPr>
          <w:b/>
        </w:rPr>
        <w:t>102-105.</w:t>
      </w:r>
      <w:r>
        <w:tab/>
        <w:t>Deleted in Gazette 24 Nov 1972 p. 4488.]</w:t>
      </w:r>
    </w:p>
    <w:p>
      <w:pPr>
        <w:pStyle w:val="Heading3"/>
        <w:rPr>
          <w:snapToGrid w:val="0"/>
        </w:rPr>
      </w:pPr>
      <w:bookmarkStart w:id="131" w:name="_Toc382380025"/>
      <w:r>
        <w:rPr>
          <w:rStyle w:val="CharDivNo"/>
        </w:rPr>
        <w:t>Division 2</w:t>
      </w:r>
      <w:r>
        <w:rPr>
          <w:snapToGrid w:val="0"/>
        </w:rPr>
        <w:t> — </w:t>
      </w:r>
      <w:r>
        <w:rPr>
          <w:rStyle w:val="CharDivText"/>
        </w:rPr>
        <w:t>Use of mooring springs</w:t>
      </w:r>
      <w:bookmarkEnd w:id="131"/>
      <w:r>
        <w:rPr>
          <w:snapToGrid w:val="0"/>
        </w:rPr>
        <w:t xml:space="preserve"> </w:t>
      </w:r>
    </w:p>
    <w:p>
      <w:pPr>
        <w:pStyle w:val="Footnoteheading"/>
      </w:pPr>
      <w:r>
        <w:tab/>
        <w:t xml:space="preserve">[Heading inserted in Gazette 19 May 1989 p. 1494.] </w:t>
      </w:r>
    </w:p>
    <w:p>
      <w:pPr>
        <w:pStyle w:val="Ednotesection"/>
        <w:spacing w:before="180"/>
      </w:pPr>
      <w:r>
        <w:t>[</w:t>
      </w:r>
      <w:r>
        <w:rPr>
          <w:b/>
        </w:rPr>
        <w:t>105A</w:t>
      </w:r>
      <w:r>
        <w:rPr>
          <w:b/>
        </w:rPr>
        <w:noBreakHyphen/>
        <w:t>105E.</w:t>
      </w:r>
      <w:r>
        <w:tab/>
        <w:t>Deleted in Gazette 30 Jun 1995 p. 2700.]</w:t>
      </w:r>
    </w:p>
    <w:p>
      <w:pPr>
        <w:pStyle w:val="Heading5"/>
        <w:spacing w:before="180"/>
        <w:rPr>
          <w:snapToGrid w:val="0"/>
        </w:rPr>
      </w:pPr>
      <w:bookmarkStart w:id="132" w:name="_Toc382380026"/>
      <w:r>
        <w:rPr>
          <w:rStyle w:val="CharSectno"/>
        </w:rPr>
        <w:t>105F</w:t>
      </w:r>
      <w:r>
        <w:rPr>
          <w:snapToGrid w:val="0"/>
        </w:rPr>
        <w:t>.</w:t>
      </w:r>
      <w:r>
        <w:rPr>
          <w:snapToGrid w:val="0"/>
        </w:rPr>
        <w:tab/>
        <w:t>Approaching bollard or jetty to which mooring spring or rope fastened</w:t>
      </w:r>
      <w:bookmarkEnd w:id="132"/>
      <w:r>
        <w:rPr>
          <w:snapToGrid w:val="0"/>
        </w:rPr>
        <w:t xml:space="preserve"> </w:t>
      </w:r>
    </w:p>
    <w:p>
      <w:pPr>
        <w:pStyle w:val="Subsection"/>
        <w:rPr>
          <w:snapToGrid w:val="0"/>
        </w:rPr>
      </w:pPr>
      <w:r>
        <w:rPr>
          <w:snapToGrid w:val="0"/>
        </w:rPr>
        <w:tab/>
      </w:r>
      <w:r>
        <w:rPr>
          <w:snapToGrid w:val="0"/>
        </w:rPr>
        <w:tab/>
        <w:t>A person shall not, unless authorised by the officer in charge, approach within 4 m of any bollard, or any other part of such public jetty to which any mooring spring or rope is fastened.</w:t>
      </w:r>
    </w:p>
    <w:p>
      <w:pPr>
        <w:pStyle w:val="Footnotesection"/>
      </w:pPr>
      <w:r>
        <w:tab/>
        <w:t xml:space="preserve">[Regulation 105F inserted in Gazette 3 Jan 1947 p. 7; amended in Gazette 15 Jun 1973 p. 2238.] </w:t>
      </w:r>
    </w:p>
    <w:p>
      <w:pPr>
        <w:pStyle w:val="Ednotesection"/>
        <w:spacing w:before="180"/>
        <w:ind w:left="890" w:hanging="890"/>
      </w:pPr>
      <w:r>
        <w:t>[</w:t>
      </w:r>
      <w:r>
        <w:rPr>
          <w:b/>
        </w:rPr>
        <w:t>105G, 105H, 105HA, 105HB.</w:t>
      </w:r>
      <w:r>
        <w:tab/>
        <w:t>Deleted in Gazette 30 Jun 1995 p. 2700.]</w:t>
      </w:r>
    </w:p>
    <w:p>
      <w:pPr>
        <w:pStyle w:val="Ednotedivision"/>
        <w:spacing w:before="180"/>
      </w:pPr>
      <w:r>
        <w:t>[Division 3 (r. 105HC) deleted in Gazette 30 Jun 1995 p. 2700.]</w:t>
      </w:r>
    </w:p>
    <w:p>
      <w:pPr>
        <w:pStyle w:val="Heading3"/>
        <w:rPr>
          <w:snapToGrid w:val="0"/>
        </w:rPr>
      </w:pPr>
      <w:bookmarkStart w:id="133" w:name="_Toc382380027"/>
      <w:r>
        <w:rPr>
          <w:rStyle w:val="CharDivNo"/>
        </w:rPr>
        <w:t>Division 4</w:t>
      </w:r>
      <w:r>
        <w:rPr>
          <w:snapToGrid w:val="0"/>
        </w:rPr>
        <w:t> — </w:t>
      </w:r>
      <w:r>
        <w:rPr>
          <w:rStyle w:val="CharDivText"/>
        </w:rPr>
        <w:t>Use of weighbridges at Wyndham</w:t>
      </w:r>
      <w:bookmarkEnd w:id="133"/>
    </w:p>
    <w:p>
      <w:pPr>
        <w:pStyle w:val="Footnoteheading"/>
      </w:pPr>
      <w:r>
        <w:tab/>
        <w:t xml:space="preserve">[Heading inserted in Gazette 19 May 1989 p. 1494; amended in Gazette 20 Jun 2000 p. 3044.] </w:t>
      </w:r>
    </w:p>
    <w:p>
      <w:pPr>
        <w:pStyle w:val="Heading5"/>
        <w:rPr>
          <w:snapToGrid w:val="0"/>
        </w:rPr>
      </w:pPr>
      <w:bookmarkStart w:id="134" w:name="_Toc382380028"/>
      <w:r>
        <w:rPr>
          <w:rStyle w:val="CharSectno"/>
        </w:rPr>
        <w:t>105I</w:t>
      </w:r>
      <w:r>
        <w:rPr>
          <w:snapToGrid w:val="0"/>
        </w:rPr>
        <w:t>.</w:t>
      </w:r>
      <w:r>
        <w:rPr>
          <w:snapToGrid w:val="0"/>
        </w:rPr>
        <w:tab/>
        <w:t>Weighbridge fees</w:t>
      </w:r>
      <w:bookmarkEnd w:id="134"/>
    </w:p>
    <w:p>
      <w:pPr>
        <w:pStyle w:val="Subsection"/>
        <w:rPr>
          <w:snapToGrid w:val="0"/>
        </w:rPr>
      </w:pPr>
      <w:r>
        <w:rPr>
          <w:snapToGrid w:val="0"/>
        </w:rPr>
        <w:tab/>
        <w:t>(1)</w:t>
      </w:r>
      <w:r>
        <w:rPr>
          <w:snapToGrid w:val="0"/>
        </w:rPr>
        <w:tab/>
        <w:t xml:space="preserve">A person making use of the 50 t weighbridges at Wyndham shall pay the fee set out in </w:t>
      </w:r>
      <w:r>
        <w:t>Schedule 1.</w:t>
      </w:r>
    </w:p>
    <w:p>
      <w:pPr>
        <w:pStyle w:val="Subsection"/>
        <w:rPr>
          <w:snapToGrid w:val="0"/>
        </w:rPr>
      </w:pPr>
      <w:r>
        <w:rPr>
          <w:snapToGrid w:val="0"/>
        </w:rPr>
        <w:tab/>
        <w:t>(2)</w:t>
      </w:r>
      <w:r>
        <w:rPr>
          <w:snapToGrid w:val="0"/>
        </w:rPr>
        <w:tab/>
        <w:t>A person making use of the weighbridge outside of normal working hours shall pay the wages of the operator, in addition to the fees prescribed by subregulation (1).</w:t>
      </w:r>
    </w:p>
    <w:p>
      <w:pPr>
        <w:pStyle w:val="Subsection"/>
        <w:rPr>
          <w:snapToGrid w:val="0"/>
        </w:rPr>
      </w:pPr>
      <w:r>
        <w:rPr>
          <w:snapToGrid w:val="0"/>
        </w:rPr>
        <w:tab/>
        <w:t>(3)</w:t>
      </w:r>
      <w:r>
        <w:rPr>
          <w:snapToGrid w:val="0"/>
        </w:rPr>
        <w:tab/>
        <w:t>Where multi</w:t>
      </w:r>
      <w:r>
        <w:rPr>
          <w:snapToGrid w:val="0"/>
        </w:rPr>
        <w:noBreakHyphen/>
        <w:t>unit vehicles are weighed, under this regulation, each unit shall be weighed separately and a ticket issued for each unit.</w:t>
      </w:r>
    </w:p>
    <w:p>
      <w:pPr>
        <w:pStyle w:val="Footnotesection"/>
      </w:pPr>
      <w:r>
        <w:tab/>
        <w:t xml:space="preserve">[Regulation 105I inserted in Gazette 11 Aug 1964 p. 2880; amended in Gazette 17 Mar 1966 p. 731; 30 Dec 1968 p. 3949; 24 Nov 1972 p. 4488; 15 Jun 1973 p. 2238; 20 Jun 1980 p. 1835; 26 Jun 1981 p. 2410; 9 Jul 1982 p. 2510; 5 Aug 1983 p. 2835; 8 Aug 1986 p. 2828; 16 Oct 1987 p. 3894; 14 Oct 1988 p. 4164; 30 Jun 1989 p. 1918; 1 Aug 1990 p. 3634; 26 Jul 1991 p. 3920; 30 Jun 1992 p. 2893; 29 Jun 1993 p. 3192; 30 Jun 1995 p. 2700; 20 Jun 2000 p. 3045; 24 Jun 2005 p. 2818.] </w:t>
      </w:r>
    </w:p>
    <w:p>
      <w:pPr>
        <w:pStyle w:val="Ednotedivision"/>
      </w:pPr>
      <w:r>
        <w:t>[Division 5 (r. 105J) deleted in Gazette 30 Jun 1992 p. 2893.]</w:t>
      </w:r>
    </w:p>
    <w:p>
      <w:pPr>
        <w:pStyle w:val="Heading2"/>
      </w:pPr>
      <w:bookmarkStart w:id="135" w:name="_Toc382380029"/>
      <w:r>
        <w:rPr>
          <w:rStyle w:val="CharPartNo"/>
        </w:rPr>
        <w:t>Part 4</w:t>
      </w:r>
      <w:r>
        <w:rPr>
          <w:rStyle w:val="CharDivNo"/>
        </w:rPr>
        <w:t> </w:t>
      </w:r>
      <w:r>
        <w:t>—</w:t>
      </w:r>
      <w:r>
        <w:rPr>
          <w:rStyle w:val="CharDivText"/>
        </w:rPr>
        <w:t> </w:t>
      </w:r>
      <w:r>
        <w:rPr>
          <w:rStyle w:val="CharPartText"/>
        </w:rPr>
        <w:t>Breach of regulations and penalties</w:t>
      </w:r>
      <w:bookmarkEnd w:id="135"/>
    </w:p>
    <w:p>
      <w:pPr>
        <w:pStyle w:val="Footnoteheading"/>
      </w:pPr>
      <w:r>
        <w:tab/>
        <w:t xml:space="preserve">[Heading inserted in Gazette 19 May 1989 p. 1494.] </w:t>
      </w:r>
    </w:p>
    <w:p>
      <w:pPr>
        <w:pStyle w:val="Heading5"/>
        <w:rPr>
          <w:snapToGrid w:val="0"/>
        </w:rPr>
      </w:pPr>
      <w:bookmarkStart w:id="136" w:name="_Toc382380030"/>
      <w:r>
        <w:rPr>
          <w:rStyle w:val="CharSectno"/>
        </w:rPr>
        <w:t>106</w:t>
      </w:r>
      <w:r>
        <w:rPr>
          <w:snapToGrid w:val="0"/>
        </w:rPr>
        <w:t>.</w:t>
      </w:r>
      <w:r>
        <w:rPr>
          <w:snapToGrid w:val="0"/>
        </w:rPr>
        <w:tab/>
        <w:t>Powers of officer of Department</w:t>
      </w:r>
      <w:bookmarkEnd w:id="136"/>
      <w:r>
        <w:rPr>
          <w:snapToGrid w:val="0"/>
        </w:rPr>
        <w:t xml:space="preserve"> </w:t>
      </w:r>
    </w:p>
    <w:p>
      <w:pPr>
        <w:pStyle w:val="Subsection"/>
        <w:rPr>
          <w:snapToGrid w:val="0"/>
        </w:rPr>
      </w:pPr>
      <w:r>
        <w:rPr>
          <w:snapToGrid w:val="0"/>
        </w:rPr>
        <w:tab/>
      </w:r>
      <w:r>
        <w:rPr>
          <w:snapToGrid w:val="0"/>
        </w:rPr>
        <w:tab/>
        <w:t>When the breach of these regulations is attended with any danger or annoyance to the public or any person, any officer of the Department may summarily interfere to obviate or remove such danger or annoyance or the person causing the same, without prejudice to any proceedings against the offender for any penalty to which he may be liable.</w:t>
      </w:r>
    </w:p>
    <w:p>
      <w:pPr>
        <w:pStyle w:val="Footnotesection"/>
      </w:pPr>
      <w:r>
        <w:tab/>
        <w:t xml:space="preserve">[Regulation 106 amended in Gazette 19 May 1989 p. 1496.] </w:t>
      </w:r>
    </w:p>
    <w:p>
      <w:pPr>
        <w:pStyle w:val="Heading5"/>
        <w:rPr>
          <w:snapToGrid w:val="0"/>
        </w:rPr>
      </w:pPr>
      <w:bookmarkStart w:id="137" w:name="_Toc382380031"/>
      <w:r>
        <w:rPr>
          <w:rStyle w:val="CharSectno"/>
        </w:rPr>
        <w:t>107</w:t>
      </w:r>
      <w:r>
        <w:rPr>
          <w:snapToGrid w:val="0"/>
        </w:rPr>
        <w:t>.</w:t>
      </w:r>
      <w:r>
        <w:rPr>
          <w:snapToGrid w:val="0"/>
        </w:rPr>
        <w:tab/>
        <w:t>Recovery of expenses incurred by breaches of regulations</w:t>
      </w:r>
      <w:bookmarkEnd w:id="137"/>
      <w:r>
        <w:rPr>
          <w:snapToGrid w:val="0"/>
        </w:rPr>
        <w:t xml:space="preserve"> </w:t>
      </w:r>
    </w:p>
    <w:p>
      <w:pPr>
        <w:pStyle w:val="Subsection"/>
        <w:rPr>
          <w:snapToGrid w:val="0"/>
        </w:rPr>
      </w:pPr>
      <w:r>
        <w:rPr>
          <w:snapToGrid w:val="0"/>
        </w:rPr>
        <w:tab/>
      </w:r>
      <w:r>
        <w:rPr>
          <w:snapToGrid w:val="0"/>
        </w:rPr>
        <w:tab/>
        <w:t>Where any person or persons by the foregoing regulations or any of them are required to do or perform any act or thing, and any such act or thing remains undone, the Minister for Transport or the Department may cause the same to be performed, and charge the cost and expenses against such person or persons, and the amount thereof may be recovered as a debt due to the Crown in any court of competent jurisdiction.</w:t>
      </w:r>
    </w:p>
    <w:p>
      <w:pPr>
        <w:pStyle w:val="Footnotesection"/>
      </w:pPr>
      <w:r>
        <w:tab/>
        <w:t xml:space="preserve">[Regulation 107 amended in Gazette 19 May 1989 p. 1496.] </w:t>
      </w:r>
    </w:p>
    <w:p>
      <w:pPr>
        <w:pStyle w:val="Heading5"/>
        <w:rPr>
          <w:snapToGrid w:val="0"/>
        </w:rPr>
      </w:pPr>
      <w:bookmarkStart w:id="138" w:name="_Toc382380032"/>
      <w:r>
        <w:rPr>
          <w:rStyle w:val="CharSectno"/>
        </w:rPr>
        <w:t>107A</w:t>
      </w:r>
      <w:r>
        <w:rPr>
          <w:snapToGrid w:val="0"/>
        </w:rPr>
        <w:t>.</w:t>
      </w:r>
      <w:r>
        <w:rPr>
          <w:snapToGrid w:val="0"/>
        </w:rPr>
        <w:tab/>
        <w:t>Police have authority to enforce regulations</w:t>
      </w:r>
      <w:bookmarkEnd w:id="138"/>
      <w:r>
        <w:rPr>
          <w:snapToGrid w:val="0"/>
        </w:rPr>
        <w:t xml:space="preserve"> </w:t>
      </w:r>
    </w:p>
    <w:p>
      <w:pPr>
        <w:pStyle w:val="Subsection"/>
        <w:rPr>
          <w:snapToGrid w:val="0"/>
        </w:rPr>
      </w:pPr>
      <w:r>
        <w:rPr>
          <w:snapToGrid w:val="0"/>
        </w:rPr>
        <w:tab/>
      </w:r>
      <w:r>
        <w:rPr>
          <w:snapToGrid w:val="0"/>
        </w:rPr>
        <w:tab/>
        <w:t>For the purpose of seeing that all or any of these regulations are carried out and to preserve order, Police officers in uniform shall have access to any jetty or premises of the Department at any hour of the day or night, and shall be allowed and authorised to ask any reasonable question of any person thereon, and any information required shall in all cases be furnished.</w:t>
      </w:r>
    </w:p>
    <w:p>
      <w:pPr>
        <w:pStyle w:val="Footnotesection"/>
      </w:pPr>
      <w:r>
        <w:tab/>
        <w:t xml:space="preserve">[Regulation 107A inserted in Gazette 17 Mar 1960 p. 784; amended in Gazette 19 May 1989 p. 1496.] </w:t>
      </w:r>
    </w:p>
    <w:p>
      <w:pPr>
        <w:pStyle w:val="Heading5"/>
        <w:rPr>
          <w:snapToGrid w:val="0"/>
        </w:rPr>
      </w:pPr>
      <w:bookmarkStart w:id="139" w:name="_Toc382380033"/>
      <w:r>
        <w:rPr>
          <w:rStyle w:val="CharSectno"/>
        </w:rPr>
        <w:t>108</w:t>
      </w:r>
      <w:r>
        <w:rPr>
          <w:snapToGrid w:val="0"/>
        </w:rPr>
        <w:t>.</w:t>
      </w:r>
      <w:r>
        <w:rPr>
          <w:snapToGrid w:val="0"/>
        </w:rPr>
        <w:tab/>
        <w:t>Penalty for offences</w:t>
      </w:r>
      <w:bookmarkEnd w:id="139"/>
      <w:r>
        <w:rPr>
          <w:snapToGrid w:val="0"/>
        </w:rPr>
        <w:t xml:space="preserve"> </w:t>
      </w:r>
    </w:p>
    <w:p>
      <w:pPr>
        <w:pStyle w:val="Subsection"/>
        <w:rPr>
          <w:snapToGrid w:val="0"/>
        </w:rPr>
      </w:pPr>
      <w:r>
        <w:rPr>
          <w:snapToGrid w:val="0"/>
        </w:rPr>
        <w:tab/>
      </w:r>
      <w:r>
        <w:rPr>
          <w:snapToGrid w:val="0"/>
        </w:rPr>
        <w:tab/>
        <w:t>Every person who by any act or omission fails in any respect to observe, perform, or comply with any provision or requirement of any of the foregoing regulations shall be guilty of an offence against these regulations, and where no particular penalty is prescribed by these regulations, shall on conviction be liable to a penalty not exceeding $200.</w:t>
      </w:r>
    </w:p>
    <w:p>
      <w:pPr>
        <w:pStyle w:val="Footnotesection"/>
      </w:pPr>
      <w:r>
        <w:tab/>
        <w:t xml:space="preserve">[Regulation 108 amended by Act No. 113 of 1965 s. 8(1); amended in Gazette 17 Sep 1976 p. 3463; 19 May 1989 p. 1496.] </w:t>
      </w:r>
    </w:p>
    <w:p>
      <w:pPr>
        <w:sectPr>
          <w:headerReference w:type="even" r:id="rId24"/>
          <w:headerReference w:type="default" r:id="rId25"/>
          <w:footerReference w:type="even" r:id="rId26"/>
          <w:footerReference w:type="default" r:id="rId27"/>
          <w:headerReference w:type="first" r:id="rId28"/>
          <w:footerReference w:type="first" r:id="rId29"/>
          <w:pgSz w:w="11906" w:h="16838" w:code="9"/>
          <w:pgMar w:top="2376" w:right="2405" w:bottom="3542" w:left="2405" w:header="706" w:footer="3380" w:gutter="0"/>
          <w:pgNumType w:start="1"/>
          <w:cols w:space="720"/>
          <w:noEndnote/>
          <w:titlePg/>
          <w:docGrid w:linePitch="326"/>
        </w:sectPr>
      </w:pPr>
    </w:p>
    <w:p>
      <w:pPr>
        <w:pStyle w:val="yScheduleHeading"/>
      </w:pPr>
      <w:bookmarkStart w:id="140" w:name="_Toc382380034"/>
      <w:r>
        <w:rPr>
          <w:rStyle w:val="CharSchNo"/>
        </w:rPr>
        <w:t>Schedule 1</w:t>
      </w:r>
      <w:r>
        <w:t> — </w:t>
      </w:r>
      <w:r>
        <w:rPr>
          <w:rStyle w:val="CharSchText"/>
        </w:rPr>
        <w:t>Charges, dues and fees at places outside the Port of Perth</w:t>
      </w:r>
      <w:bookmarkEnd w:id="140"/>
    </w:p>
    <w:p>
      <w:pPr>
        <w:pStyle w:val="yShoulderClause"/>
        <w:spacing w:before="80"/>
      </w:pPr>
      <w:r>
        <w:t>[r. 6, 10A, 11, 25, 42A, 53A, 94A, 94B, 94C, 96 and 105I]</w:t>
      </w:r>
    </w:p>
    <w:p>
      <w:pPr>
        <w:pStyle w:val="yFootnoteheading"/>
        <w:spacing w:before="100"/>
      </w:pPr>
      <w:r>
        <w:tab/>
        <w:t>[Heading inserted in Gazette 28 Jun 2013 p. 2831.]</w:t>
      </w:r>
    </w:p>
    <w:p>
      <w:pPr>
        <w:pStyle w:val="yHeading3"/>
        <w:spacing w:before="200"/>
      </w:pPr>
      <w:bookmarkStart w:id="141" w:name="_Toc382380035"/>
      <w:r>
        <w:rPr>
          <w:rStyle w:val="CharSDivNo"/>
        </w:rPr>
        <w:t>Division 1</w:t>
      </w:r>
      <w:r>
        <w:rPr>
          <w:b w:val="0"/>
        </w:rPr>
        <w:t> — </w:t>
      </w:r>
      <w:r>
        <w:rPr>
          <w:rStyle w:val="CharSDivText"/>
        </w:rPr>
        <w:t>Specified places</w:t>
      </w:r>
      <w:bookmarkEnd w:id="141"/>
    </w:p>
    <w:p>
      <w:pPr>
        <w:pStyle w:val="yFootnoteheading"/>
        <w:spacing w:before="100"/>
      </w:pPr>
      <w:r>
        <w:tab/>
        <w:t>[Heading inserted in Gazette 28 Jun 2013 p. 2832.]</w:t>
      </w:r>
    </w:p>
    <w:p>
      <w:pPr>
        <w:pStyle w:val="yHeading5"/>
        <w:spacing w:before="180"/>
      </w:pPr>
      <w:bookmarkStart w:id="142" w:name="_Toc382380036"/>
      <w:r>
        <w:rPr>
          <w:rStyle w:val="CharSClsNo"/>
        </w:rPr>
        <w:t>1</w:t>
      </w:r>
      <w:r>
        <w:t>.</w:t>
      </w:r>
      <w:r>
        <w:tab/>
      </w:r>
      <w:smartTag w:uri="urn:schemas-microsoft-com:office:smarttags" w:element="City">
        <w:r>
          <w:t>Albany</w:t>
        </w:r>
      </w:smartTag>
      <w:r>
        <w:t xml:space="preserve">, </w:t>
      </w:r>
      <w:smartTag w:uri="urn:schemas-microsoft-com:office:smarttags" w:element="City">
        <w:r>
          <w:t>Albany</w:t>
        </w:r>
      </w:smartTag>
      <w:r>
        <w:t xml:space="preserve"> Waterfront </w:t>
      </w:r>
      <w:smartTag w:uri="urn:schemas-microsoft-com:office:smarttags" w:element="place">
        <w:smartTag w:uri="urn:schemas-microsoft-com:office:smarttags" w:element="City">
          <w:r>
            <w:t>Marina</w:t>
          </w:r>
        </w:smartTag>
      </w:smartTag>
      <w:bookmarkEnd w:id="142"/>
    </w:p>
    <w:p>
      <w:pPr>
        <w:pStyle w:val="ySubsection"/>
        <w:spacing w:before="120"/>
      </w:pPr>
      <w:r>
        <w:tab/>
        <w:t>(1)</w:t>
      </w:r>
      <w:r>
        <w:tab/>
        <w:t xml:space="preserve">This clause applies to the Albany Waterfront Marina at </w:t>
      </w:r>
      <w:smartTag w:uri="urn:schemas-microsoft-com:office:smarttags" w:element="place">
        <w:smartTag w:uri="urn:schemas-microsoft-com:office:smarttags" w:element="City">
          <w:r>
            <w:t>Albany</w:t>
          </w:r>
        </w:smartTag>
      </w:smartTag>
      <w:r>
        <w:t>.</w:t>
      </w:r>
    </w:p>
    <w:p>
      <w:pPr>
        <w:pStyle w:val="ySubsection"/>
        <w:spacing w:before="120"/>
      </w:pPr>
      <w:r>
        <w:tab/>
        <w:t>(2)</w:t>
      </w:r>
      <w:r>
        <w:tab/>
        <w:t>The fees and charges to be paid under regulations 6 and 94A are set out in Table 1.1.</w:t>
      </w:r>
    </w:p>
    <w:p>
      <w:pPr>
        <w:pStyle w:val="yTHeadingNAm"/>
        <w:spacing w:before="120" w:after="40"/>
      </w:pPr>
      <w:r>
        <w:t>Table 1.1 (Berthing and pen rental)</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94"/>
        <w:gridCol w:w="992"/>
      </w:tblGrid>
      <w:tr>
        <w:trPr>
          <w:cantSplit/>
          <w:tblHeader/>
        </w:trPr>
        <w:tc>
          <w:tcPr>
            <w:tcW w:w="567" w:type="dxa"/>
            <w:tcBorders>
              <w:top w:val="single" w:sz="4" w:space="0" w:color="auto"/>
              <w:bottom w:val="single" w:sz="4" w:space="0" w:color="auto"/>
            </w:tcBorders>
          </w:tcPr>
          <w:p>
            <w:pPr>
              <w:pStyle w:val="yTableNAm"/>
              <w:rPr>
                <w:b/>
              </w:rPr>
            </w:pPr>
            <w:r>
              <w:rPr>
                <w:b/>
              </w:rPr>
              <w:t>Item</w:t>
            </w:r>
          </w:p>
        </w:tc>
        <w:tc>
          <w:tcPr>
            <w:tcW w:w="4394" w:type="dxa"/>
            <w:tcBorders>
              <w:top w:val="single" w:sz="4" w:space="0" w:color="auto"/>
              <w:bottom w:val="single" w:sz="4" w:space="0" w:color="auto"/>
            </w:tcBorders>
          </w:tcPr>
          <w:p>
            <w:pPr>
              <w:pStyle w:val="yTableNAm"/>
              <w:rPr>
                <w:b/>
              </w:rPr>
            </w:pPr>
            <w:r>
              <w:rPr>
                <w:b/>
              </w:rPr>
              <w:t>Service</w:t>
            </w:r>
          </w:p>
        </w:tc>
        <w:tc>
          <w:tcPr>
            <w:tcW w:w="992" w:type="dxa"/>
            <w:tcBorders>
              <w:top w:val="single" w:sz="4" w:space="0" w:color="auto"/>
              <w:bottom w:val="single" w:sz="4" w:space="0" w:color="auto"/>
            </w:tcBorders>
          </w:tcPr>
          <w:p>
            <w:pPr>
              <w:pStyle w:val="yTableNAm"/>
              <w:jc w:val="center"/>
              <w:rPr>
                <w:b/>
              </w:rPr>
            </w:pPr>
            <w:r>
              <w:rPr>
                <w:b/>
              </w:rPr>
              <w:t>$</w:t>
            </w:r>
          </w:p>
        </w:tc>
      </w:tr>
      <w:tr>
        <w:trPr>
          <w:cantSplit/>
        </w:trPr>
        <w:tc>
          <w:tcPr>
            <w:tcW w:w="567" w:type="dxa"/>
          </w:tcPr>
          <w:p>
            <w:pPr>
              <w:pStyle w:val="yTableNAm"/>
            </w:pPr>
            <w:r>
              <w:t>1.</w:t>
            </w:r>
          </w:p>
        </w:tc>
        <w:tc>
          <w:tcPr>
            <w:tcW w:w="4394" w:type="dxa"/>
          </w:tcPr>
          <w:p>
            <w:pPr>
              <w:pStyle w:val="yTableNAm"/>
            </w:pPr>
            <w:r>
              <w:t>For pen for commercial vessel, per m of the longer of the vessel’s length and the pen’s length —</w:t>
            </w:r>
          </w:p>
        </w:tc>
        <w:tc>
          <w:tcPr>
            <w:tcW w:w="992" w:type="dxa"/>
          </w:tcPr>
          <w:p>
            <w:pPr>
              <w:pStyle w:val="yTableNAm"/>
              <w:jc w:val="right"/>
            </w:pPr>
          </w:p>
        </w:tc>
      </w:tr>
      <w:tr>
        <w:trPr>
          <w:cantSplit/>
        </w:trPr>
        <w:tc>
          <w:tcPr>
            <w:tcW w:w="567" w:type="dxa"/>
          </w:tcPr>
          <w:p>
            <w:pPr>
              <w:pStyle w:val="yTableNAm"/>
            </w:pPr>
          </w:p>
        </w:tc>
        <w:tc>
          <w:tcPr>
            <w:tcW w:w="4394" w:type="dxa"/>
          </w:tcPr>
          <w:p>
            <w:pPr>
              <w:pStyle w:val="yTableNAm"/>
              <w:tabs>
                <w:tab w:val="clear" w:pos="567"/>
                <w:tab w:val="left" w:pos="415"/>
              </w:tabs>
              <w:ind w:left="415" w:hanging="415"/>
            </w:pPr>
            <w:r>
              <w:t>•</w:t>
            </w:r>
            <w:r>
              <w:tab/>
              <w:t>for 12 months paid in advance</w:t>
            </w:r>
          </w:p>
        </w:tc>
        <w:tc>
          <w:tcPr>
            <w:tcW w:w="992" w:type="dxa"/>
          </w:tcPr>
          <w:p>
            <w:pPr>
              <w:pStyle w:val="yTableNAm"/>
              <w:jc w:val="right"/>
            </w:pPr>
            <w:r>
              <w:t>389.54</w:t>
            </w:r>
          </w:p>
        </w:tc>
      </w:tr>
      <w:tr>
        <w:trPr>
          <w:cantSplit/>
        </w:trPr>
        <w:tc>
          <w:tcPr>
            <w:tcW w:w="567" w:type="dxa"/>
          </w:tcPr>
          <w:p>
            <w:pPr>
              <w:pStyle w:val="yTableNAm"/>
            </w:pPr>
          </w:p>
        </w:tc>
        <w:tc>
          <w:tcPr>
            <w:tcW w:w="4394" w:type="dxa"/>
          </w:tcPr>
          <w:p>
            <w:pPr>
              <w:pStyle w:val="yTableNAm"/>
              <w:tabs>
                <w:tab w:val="clear" w:pos="567"/>
                <w:tab w:val="left" w:pos="415"/>
              </w:tabs>
              <w:ind w:left="415" w:hanging="415"/>
            </w:pPr>
            <w:r>
              <w:t>•</w:t>
            </w:r>
            <w:r>
              <w:tab/>
              <w:t>for 3 months or more, per month, paid in advance</w:t>
            </w:r>
          </w:p>
        </w:tc>
        <w:tc>
          <w:tcPr>
            <w:tcW w:w="992" w:type="dxa"/>
          </w:tcPr>
          <w:p>
            <w:pPr>
              <w:pStyle w:val="yTableNAm"/>
              <w:jc w:val="right"/>
            </w:pPr>
            <w:r>
              <w:br/>
              <w:t>38.95</w:t>
            </w:r>
          </w:p>
        </w:tc>
      </w:tr>
      <w:tr>
        <w:trPr>
          <w:cantSplit/>
        </w:trPr>
        <w:tc>
          <w:tcPr>
            <w:tcW w:w="567" w:type="dxa"/>
          </w:tcPr>
          <w:p>
            <w:pPr>
              <w:pStyle w:val="yTableNAm"/>
            </w:pPr>
          </w:p>
        </w:tc>
        <w:tc>
          <w:tcPr>
            <w:tcW w:w="4394" w:type="dxa"/>
          </w:tcPr>
          <w:p>
            <w:pPr>
              <w:pStyle w:val="yTableNAm"/>
              <w:tabs>
                <w:tab w:val="clear" w:pos="567"/>
                <w:tab w:val="left" w:pos="415"/>
              </w:tabs>
              <w:ind w:left="415" w:hanging="415"/>
            </w:pPr>
            <w:r>
              <w:t>•</w:t>
            </w:r>
            <w:r>
              <w:tab/>
              <w:t>for one month or more, per month, paid in advance</w:t>
            </w:r>
          </w:p>
        </w:tc>
        <w:tc>
          <w:tcPr>
            <w:tcW w:w="992" w:type="dxa"/>
          </w:tcPr>
          <w:p>
            <w:pPr>
              <w:pStyle w:val="yTableNAm"/>
              <w:jc w:val="right"/>
            </w:pPr>
            <w:r>
              <w:br/>
              <w:t>58.43</w:t>
            </w:r>
          </w:p>
        </w:tc>
      </w:tr>
      <w:tr>
        <w:trPr>
          <w:cantSplit/>
        </w:trPr>
        <w:tc>
          <w:tcPr>
            <w:tcW w:w="567" w:type="dxa"/>
          </w:tcPr>
          <w:p>
            <w:pPr>
              <w:pStyle w:val="yTableNAm"/>
            </w:pPr>
          </w:p>
        </w:tc>
        <w:tc>
          <w:tcPr>
            <w:tcW w:w="4394" w:type="dxa"/>
          </w:tcPr>
          <w:p>
            <w:pPr>
              <w:pStyle w:val="yTableNAm"/>
              <w:tabs>
                <w:tab w:val="clear" w:pos="567"/>
                <w:tab w:val="left" w:pos="415"/>
              </w:tabs>
              <w:ind w:left="415" w:hanging="415"/>
            </w:pPr>
            <w:r>
              <w:t>•</w:t>
            </w:r>
            <w:r>
              <w:tab/>
              <w:t>for one week or more, per week, paid in advance</w:t>
            </w:r>
          </w:p>
        </w:tc>
        <w:tc>
          <w:tcPr>
            <w:tcW w:w="992" w:type="dxa"/>
          </w:tcPr>
          <w:p>
            <w:pPr>
              <w:pStyle w:val="yTableNAm"/>
              <w:jc w:val="right"/>
            </w:pPr>
            <w:r>
              <w:br/>
              <w:t>40.57</w:t>
            </w:r>
          </w:p>
        </w:tc>
      </w:tr>
      <w:tr>
        <w:trPr>
          <w:cantSplit/>
        </w:trPr>
        <w:tc>
          <w:tcPr>
            <w:tcW w:w="567" w:type="dxa"/>
          </w:tcPr>
          <w:p>
            <w:pPr>
              <w:pStyle w:val="yTableNAm"/>
            </w:pPr>
          </w:p>
        </w:tc>
        <w:tc>
          <w:tcPr>
            <w:tcW w:w="4394" w:type="dxa"/>
          </w:tcPr>
          <w:p>
            <w:pPr>
              <w:pStyle w:val="yTableNAm"/>
              <w:tabs>
                <w:tab w:val="clear" w:pos="567"/>
                <w:tab w:val="left" w:pos="415"/>
              </w:tabs>
              <w:ind w:left="415" w:hanging="415"/>
            </w:pPr>
            <w:r>
              <w:t>•</w:t>
            </w:r>
            <w:r>
              <w:tab/>
              <w:t xml:space="preserve">otherwise, per day </w:t>
            </w:r>
          </w:p>
        </w:tc>
        <w:tc>
          <w:tcPr>
            <w:tcW w:w="992" w:type="dxa"/>
          </w:tcPr>
          <w:p>
            <w:pPr>
              <w:pStyle w:val="yTableNAm"/>
              <w:jc w:val="right"/>
            </w:pPr>
            <w:r>
              <w:t>8.12</w:t>
            </w:r>
          </w:p>
        </w:tc>
      </w:tr>
      <w:tr>
        <w:trPr>
          <w:cantSplit/>
        </w:trPr>
        <w:tc>
          <w:tcPr>
            <w:tcW w:w="567" w:type="dxa"/>
          </w:tcPr>
          <w:p>
            <w:pPr>
              <w:pStyle w:val="yTableNAm"/>
            </w:pPr>
            <w:r>
              <w:t>2.</w:t>
            </w:r>
          </w:p>
        </w:tc>
        <w:tc>
          <w:tcPr>
            <w:tcW w:w="4394" w:type="dxa"/>
          </w:tcPr>
          <w:p>
            <w:pPr>
              <w:pStyle w:val="yTableNAm"/>
            </w:pPr>
            <w:r>
              <w:t xml:space="preserve">For pen for recreational vessel, per m of the longer of the vessel’s length and the pen’s length — </w:t>
            </w:r>
          </w:p>
        </w:tc>
        <w:tc>
          <w:tcPr>
            <w:tcW w:w="992" w:type="dxa"/>
          </w:tcPr>
          <w:p>
            <w:pPr>
              <w:pStyle w:val="yTableNAm"/>
              <w:jc w:val="right"/>
            </w:pPr>
          </w:p>
        </w:tc>
      </w:tr>
      <w:tr>
        <w:trPr>
          <w:cantSplit/>
        </w:trPr>
        <w:tc>
          <w:tcPr>
            <w:tcW w:w="567" w:type="dxa"/>
          </w:tcPr>
          <w:p>
            <w:pPr>
              <w:pStyle w:val="yTableNAm"/>
            </w:pPr>
          </w:p>
        </w:tc>
        <w:tc>
          <w:tcPr>
            <w:tcW w:w="4394" w:type="dxa"/>
          </w:tcPr>
          <w:p>
            <w:pPr>
              <w:pStyle w:val="yTableNAm"/>
              <w:tabs>
                <w:tab w:val="clear" w:pos="567"/>
                <w:tab w:val="left" w:pos="415"/>
              </w:tabs>
              <w:ind w:left="415" w:hanging="415"/>
            </w:pPr>
            <w:r>
              <w:t>•</w:t>
            </w:r>
            <w:r>
              <w:tab/>
              <w:t xml:space="preserve">for 12 months paid in advance </w:t>
            </w:r>
          </w:p>
        </w:tc>
        <w:tc>
          <w:tcPr>
            <w:tcW w:w="992" w:type="dxa"/>
          </w:tcPr>
          <w:p>
            <w:pPr>
              <w:pStyle w:val="yTableNAm"/>
              <w:jc w:val="right"/>
            </w:pPr>
            <w:r>
              <w:t>389.54</w:t>
            </w:r>
          </w:p>
        </w:tc>
      </w:tr>
      <w:tr>
        <w:trPr>
          <w:cantSplit/>
        </w:trPr>
        <w:tc>
          <w:tcPr>
            <w:tcW w:w="567" w:type="dxa"/>
          </w:tcPr>
          <w:p>
            <w:pPr>
              <w:pStyle w:val="yTableNAm"/>
            </w:pPr>
          </w:p>
        </w:tc>
        <w:tc>
          <w:tcPr>
            <w:tcW w:w="4394" w:type="dxa"/>
          </w:tcPr>
          <w:p>
            <w:pPr>
              <w:pStyle w:val="yTableNAm"/>
              <w:tabs>
                <w:tab w:val="clear" w:pos="567"/>
                <w:tab w:val="left" w:pos="415"/>
              </w:tabs>
              <w:ind w:left="415" w:hanging="415"/>
            </w:pPr>
            <w:r>
              <w:t>•</w:t>
            </w:r>
            <w:r>
              <w:tab/>
              <w:t>for 3 months or more, per month, paid in advance</w:t>
            </w:r>
          </w:p>
        </w:tc>
        <w:tc>
          <w:tcPr>
            <w:tcW w:w="992" w:type="dxa"/>
          </w:tcPr>
          <w:p>
            <w:pPr>
              <w:pStyle w:val="yTableNAm"/>
              <w:jc w:val="right"/>
            </w:pPr>
            <w:r>
              <w:br/>
              <w:t>38.95</w:t>
            </w:r>
          </w:p>
        </w:tc>
      </w:tr>
      <w:tr>
        <w:trPr>
          <w:cantSplit/>
        </w:trPr>
        <w:tc>
          <w:tcPr>
            <w:tcW w:w="567" w:type="dxa"/>
          </w:tcPr>
          <w:p>
            <w:pPr>
              <w:pStyle w:val="yTableNAm"/>
            </w:pPr>
          </w:p>
        </w:tc>
        <w:tc>
          <w:tcPr>
            <w:tcW w:w="4394" w:type="dxa"/>
          </w:tcPr>
          <w:p>
            <w:pPr>
              <w:pStyle w:val="yTableNAm"/>
              <w:tabs>
                <w:tab w:val="clear" w:pos="567"/>
                <w:tab w:val="left" w:pos="415"/>
              </w:tabs>
              <w:ind w:left="415" w:hanging="415"/>
            </w:pPr>
            <w:r>
              <w:t>•</w:t>
            </w:r>
            <w:r>
              <w:tab/>
              <w:t>for one month or more, per month, paid in advance</w:t>
            </w:r>
          </w:p>
        </w:tc>
        <w:tc>
          <w:tcPr>
            <w:tcW w:w="992" w:type="dxa"/>
          </w:tcPr>
          <w:p>
            <w:pPr>
              <w:pStyle w:val="yTableNAm"/>
              <w:jc w:val="right"/>
            </w:pPr>
            <w:r>
              <w:br/>
              <w:t>58.43</w:t>
            </w:r>
          </w:p>
        </w:tc>
      </w:tr>
      <w:tr>
        <w:trPr>
          <w:cantSplit/>
        </w:trPr>
        <w:tc>
          <w:tcPr>
            <w:tcW w:w="567" w:type="dxa"/>
          </w:tcPr>
          <w:p>
            <w:pPr>
              <w:pStyle w:val="yTableNAm"/>
            </w:pPr>
          </w:p>
        </w:tc>
        <w:tc>
          <w:tcPr>
            <w:tcW w:w="4394" w:type="dxa"/>
          </w:tcPr>
          <w:p>
            <w:pPr>
              <w:pStyle w:val="yTableNAm"/>
              <w:tabs>
                <w:tab w:val="clear" w:pos="567"/>
                <w:tab w:val="left" w:pos="415"/>
              </w:tabs>
              <w:ind w:left="415" w:hanging="415"/>
            </w:pPr>
            <w:r>
              <w:t>•</w:t>
            </w:r>
            <w:r>
              <w:tab/>
              <w:t>for one week or more, per week, paid in advance</w:t>
            </w:r>
          </w:p>
        </w:tc>
        <w:tc>
          <w:tcPr>
            <w:tcW w:w="992" w:type="dxa"/>
          </w:tcPr>
          <w:p>
            <w:pPr>
              <w:pStyle w:val="yTableNAm"/>
              <w:jc w:val="right"/>
            </w:pPr>
            <w:r>
              <w:br/>
              <w:t>26.13</w:t>
            </w:r>
          </w:p>
        </w:tc>
      </w:tr>
      <w:tr>
        <w:trPr>
          <w:cantSplit/>
        </w:trPr>
        <w:tc>
          <w:tcPr>
            <w:tcW w:w="567" w:type="dxa"/>
          </w:tcPr>
          <w:p>
            <w:pPr>
              <w:pStyle w:val="yTableNAm"/>
            </w:pPr>
          </w:p>
        </w:tc>
        <w:tc>
          <w:tcPr>
            <w:tcW w:w="4394" w:type="dxa"/>
          </w:tcPr>
          <w:p>
            <w:pPr>
              <w:pStyle w:val="yTableNAm"/>
              <w:tabs>
                <w:tab w:val="clear" w:pos="567"/>
                <w:tab w:val="left" w:pos="415"/>
              </w:tabs>
              <w:ind w:left="415" w:hanging="415"/>
            </w:pPr>
            <w:r>
              <w:t>•</w:t>
            </w:r>
            <w:r>
              <w:tab/>
              <w:t>otherwise, per day</w:t>
            </w:r>
          </w:p>
        </w:tc>
        <w:tc>
          <w:tcPr>
            <w:tcW w:w="992" w:type="dxa"/>
          </w:tcPr>
          <w:p>
            <w:pPr>
              <w:pStyle w:val="yTableNAm"/>
              <w:jc w:val="right"/>
            </w:pPr>
            <w:r>
              <w:t>5.23</w:t>
            </w:r>
          </w:p>
        </w:tc>
      </w:tr>
      <w:tr>
        <w:trPr>
          <w:cantSplit/>
        </w:trPr>
        <w:tc>
          <w:tcPr>
            <w:tcW w:w="567" w:type="dxa"/>
          </w:tcPr>
          <w:p>
            <w:pPr>
              <w:pStyle w:val="yTableNAm"/>
            </w:pPr>
            <w:r>
              <w:t>3.</w:t>
            </w:r>
          </w:p>
        </w:tc>
        <w:tc>
          <w:tcPr>
            <w:tcW w:w="4394" w:type="dxa"/>
          </w:tcPr>
          <w:p>
            <w:pPr>
              <w:pStyle w:val="yTableNAm"/>
            </w:pPr>
            <w:r>
              <w:t xml:space="preserve">For pen, or berth at service jetty or old timber jetty, per m of the vessel’s length, per day — </w:t>
            </w:r>
          </w:p>
        </w:tc>
        <w:tc>
          <w:tcPr>
            <w:tcW w:w="992" w:type="dxa"/>
          </w:tcPr>
          <w:p>
            <w:pPr>
              <w:pStyle w:val="yTableNAm"/>
              <w:jc w:val="right"/>
            </w:pPr>
          </w:p>
        </w:tc>
      </w:tr>
      <w:tr>
        <w:trPr>
          <w:cantSplit/>
        </w:trPr>
        <w:tc>
          <w:tcPr>
            <w:tcW w:w="567" w:type="dxa"/>
          </w:tcPr>
          <w:p>
            <w:pPr>
              <w:pStyle w:val="yTableNAm"/>
            </w:pPr>
          </w:p>
        </w:tc>
        <w:tc>
          <w:tcPr>
            <w:tcW w:w="4394" w:type="dxa"/>
          </w:tcPr>
          <w:p>
            <w:pPr>
              <w:pStyle w:val="yTableNAm"/>
              <w:tabs>
                <w:tab w:val="clear" w:pos="567"/>
                <w:tab w:val="left" w:pos="415"/>
              </w:tabs>
              <w:ind w:left="415" w:hanging="415"/>
            </w:pPr>
            <w:r>
              <w:t>•</w:t>
            </w:r>
            <w:r>
              <w:tab/>
              <w:t>for commercial vessel</w:t>
            </w:r>
          </w:p>
        </w:tc>
        <w:tc>
          <w:tcPr>
            <w:tcW w:w="992" w:type="dxa"/>
          </w:tcPr>
          <w:p>
            <w:pPr>
              <w:pStyle w:val="yTableNAm"/>
              <w:jc w:val="right"/>
            </w:pPr>
            <w:r>
              <w:t>8.12</w:t>
            </w:r>
          </w:p>
        </w:tc>
      </w:tr>
      <w:tr>
        <w:trPr>
          <w:cantSplit/>
        </w:trPr>
        <w:tc>
          <w:tcPr>
            <w:tcW w:w="567" w:type="dxa"/>
          </w:tcPr>
          <w:p>
            <w:pPr>
              <w:pStyle w:val="yTableNAm"/>
            </w:pPr>
          </w:p>
        </w:tc>
        <w:tc>
          <w:tcPr>
            <w:tcW w:w="4394" w:type="dxa"/>
          </w:tcPr>
          <w:p>
            <w:pPr>
              <w:pStyle w:val="yTableNAm"/>
              <w:tabs>
                <w:tab w:val="clear" w:pos="567"/>
                <w:tab w:val="left" w:pos="415"/>
              </w:tabs>
              <w:ind w:left="415" w:hanging="415"/>
            </w:pPr>
            <w:r>
              <w:t>•</w:t>
            </w:r>
            <w:r>
              <w:tab/>
              <w:t>for recreational vessel</w:t>
            </w:r>
          </w:p>
        </w:tc>
        <w:tc>
          <w:tcPr>
            <w:tcW w:w="992" w:type="dxa"/>
          </w:tcPr>
          <w:p>
            <w:pPr>
              <w:pStyle w:val="yTableNAm"/>
              <w:jc w:val="right"/>
            </w:pPr>
            <w:r>
              <w:t>5.23</w:t>
            </w:r>
          </w:p>
        </w:tc>
      </w:tr>
      <w:tr>
        <w:trPr>
          <w:cantSplit/>
        </w:trPr>
        <w:tc>
          <w:tcPr>
            <w:tcW w:w="567" w:type="dxa"/>
          </w:tcPr>
          <w:p>
            <w:pPr>
              <w:pStyle w:val="yTableNAm"/>
            </w:pPr>
            <w:r>
              <w:t>4.</w:t>
            </w:r>
          </w:p>
        </w:tc>
        <w:tc>
          <w:tcPr>
            <w:tcW w:w="4394" w:type="dxa"/>
          </w:tcPr>
          <w:p>
            <w:pPr>
              <w:pStyle w:val="yTableNAm"/>
            </w:pPr>
            <w:r>
              <w:t>For use of service jetty for short time just to load or unload vessel for which the item 1, 2 or 3 fee has not been paid, per m of the vessel’s length —</w:t>
            </w:r>
          </w:p>
        </w:tc>
        <w:tc>
          <w:tcPr>
            <w:tcW w:w="992" w:type="dxa"/>
          </w:tcPr>
          <w:p>
            <w:pPr>
              <w:pStyle w:val="yTableNAm"/>
              <w:jc w:val="right"/>
            </w:pPr>
          </w:p>
        </w:tc>
      </w:tr>
      <w:tr>
        <w:trPr>
          <w:cantSplit/>
        </w:trPr>
        <w:tc>
          <w:tcPr>
            <w:tcW w:w="567" w:type="dxa"/>
          </w:tcPr>
          <w:p>
            <w:pPr>
              <w:pStyle w:val="yTableNAm"/>
            </w:pPr>
          </w:p>
        </w:tc>
        <w:tc>
          <w:tcPr>
            <w:tcW w:w="4394" w:type="dxa"/>
          </w:tcPr>
          <w:p>
            <w:pPr>
              <w:pStyle w:val="yTableNAm"/>
              <w:tabs>
                <w:tab w:val="clear" w:pos="567"/>
                <w:tab w:val="left" w:pos="415"/>
              </w:tabs>
              <w:ind w:left="415" w:hanging="415"/>
            </w:pPr>
            <w:r>
              <w:t>•</w:t>
            </w:r>
            <w:r>
              <w:tab/>
              <w:t>for 12 months paid in advance</w:t>
            </w:r>
          </w:p>
        </w:tc>
        <w:tc>
          <w:tcPr>
            <w:tcW w:w="992" w:type="dxa"/>
          </w:tcPr>
          <w:p>
            <w:pPr>
              <w:pStyle w:val="yTableNAm"/>
              <w:jc w:val="right"/>
            </w:pPr>
            <w:r>
              <w:t>149.37</w:t>
            </w:r>
          </w:p>
        </w:tc>
      </w:tr>
      <w:tr>
        <w:trPr>
          <w:cantSplit/>
        </w:trPr>
        <w:tc>
          <w:tcPr>
            <w:tcW w:w="567" w:type="dxa"/>
            <w:tcBorders>
              <w:bottom w:val="single" w:sz="4" w:space="0" w:color="auto"/>
            </w:tcBorders>
          </w:tcPr>
          <w:p>
            <w:pPr>
              <w:pStyle w:val="yTableNAm"/>
            </w:pPr>
          </w:p>
        </w:tc>
        <w:tc>
          <w:tcPr>
            <w:tcW w:w="4394" w:type="dxa"/>
            <w:tcBorders>
              <w:bottom w:val="single" w:sz="4" w:space="0" w:color="auto"/>
            </w:tcBorders>
          </w:tcPr>
          <w:p>
            <w:pPr>
              <w:pStyle w:val="yTableNAm"/>
              <w:tabs>
                <w:tab w:val="clear" w:pos="567"/>
                <w:tab w:val="left" w:pos="415"/>
              </w:tabs>
              <w:ind w:left="415" w:hanging="415"/>
            </w:pPr>
            <w:r>
              <w:t>•</w:t>
            </w:r>
            <w:r>
              <w:tab/>
              <w:t>per day</w:t>
            </w:r>
          </w:p>
        </w:tc>
        <w:tc>
          <w:tcPr>
            <w:tcW w:w="992" w:type="dxa"/>
            <w:tcBorders>
              <w:bottom w:val="single" w:sz="4" w:space="0" w:color="auto"/>
            </w:tcBorders>
          </w:tcPr>
          <w:p>
            <w:pPr>
              <w:pStyle w:val="yTableNAm"/>
              <w:jc w:val="right"/>
            </w:pPr>
            <w:r>
              <w:t>4.87</w:t>
            </w:r>
          </w:p>
        </w:tc>
      </w:tr>
    </w:tbl>
    <w:p>
      <w:pPr>
        <w:pStyle w:val="yFootnotesection"/>
      </w:pPr>
      <w:r>
        <w:tab/>
        <w:t>[Clause 1 inserted in Gazette 28 Jun 2013 p. 2832</w:t>
      </w:r>
      <w:r>
        <w:noBreakHyphen/>
        <w:t>3.]</w:t>
      </w:r>
    </w:p>
    <w:p>
      <w:pPr>
        <w:pStyle w:val="yHeading5"/>
        <w:spacing w:before="180"/>
      </w:pPr>
      <w:bookmarkStart w:id="143" w:name="_Toc382380037"/>
      <w:r>
        <w:rPr>
          <w:rStyle w:val="CharSClsNo"/>
        </w:rPr>
        <w:t>2</w:t>
      </w:r>
      <w:r>
        <w:t>.</w:t>
      </w:r>
      <w:r>
        <w:rPr>
          <w:b w:val="0"/>
        </w:rPr>
        <w:tab/>
      </w:r>
      <w:r>
        <w:t xml:space="preserve">Albany, </w:t>
      </w:r>
      <w:smartTag w:uri="urn:schemas-microsoft-com:office:smarttags" w:element="place">
        <w:smartTag w:uri="urn:schemas-microsoft-com:office:smarttags" w:element="PlaceName">
          <w:r>
            <w:t>Emu</w:t>
          </w:r>
        </w:smartTag>
        <w:r>
          <w:t xml:space="preserve"> </w:t>
        </w:r>
        <w:smartTag w:uri="urn:schemas-microsoft-com:office:smarttags" w:element="PlaceType">
          <w:r>
            <w:t>Point</w:t>
          </w:r>
        </w:smartTag>
        <w:r>
          <w:t xml:space="preserve"> </w:t>
        </w:r>
        <w:smartTag w:uri="urn:schemas-microsoft-com:office:smarttags" w:element="PlaceName">
          <w:r>
            <w:t>Boat</w:t>
          </w:r>
        </w:smartTag>
        <w:r>
          <w:t xml:space="preserve"> </w:t>
        </w:r>
        <w:smartTag w:uri="urn:schemas-microsoft-com:office:smarttags" w:element="PlaceType">
          <w:r>
            <w:t>Harbour</w:t>
          </w:r>
        </w:smartTag>
      </w:smartTag>
      <w:bookmarkEnd w:id="143"/>
    </w:p>
    <w:p>
      <w:pPr>
        <w:pStyle w:val="ySubsection"/>
      </w:pPr>
      <w:r>
        <w:tab/>
        <w:t>(1)</w:t>
      </w:r>
      <w:r>
        <w:tab/>
        <w:t xml:space="preserve">This clause applies to the </w:t>
      </w:r>
      <w:smartTag w:uri="urn:schemas-microsoft-com:office:smarttags" w:element="PlaceName">
        <w:r>
          <w:t>Emu</w:t>
        </w:r>
      </w:smartTag>
      <w:r>
        <w:t xml:space="preserve"> </w:t>
      </w:r>
      <w:smartTag w:uri="urn:schemas-microsoft-com:office:smarttags" w:element="PlaceType">
        <w:r>
          <w:t>Point</w:t>
        </w:r>
      </w:smartTag>
      <w:r>
        <w:t xml:space="preserve"> </w:t>
      </w:r>
      <w:smartTag w:uri="urn:schemas-microsoft-com:office:smarttags" w:element="PlaceName">
        <w:r>
          <w:t>Boat</w:t>
        </w:r>
      </w:smartTag>
      <w:r>
        <w:t xml:space="preserve"> </w:t>
      </w:r>
      <w:smartTag w:uri="urn:schemas-microsoft-com:office:smarttags" w:element="PlaceType">
        <w:r>
          <w:t>Harbour</w:t>
        </w:r>
      </w:smartTag>
      <w:r>
        <w:t xml:space="preserve"> at </w:t>
      </w:r>
      <w:smartTag w:uri="urn:schemas-microsoft-com:office:smarttags" w:element="place">
        <w:smartTag w:uri="urn:schemas-microsoft-com:office:smarttags" w:element="City">
          <w:r>
            <w:t>Albany</w:t>
          </w:r>
        </w:smartTag>
      </w:smartTag>
      <w:r>
        <w:t>.</w:t>
      </w:r>
    </w:p>
    <w:p>
      <w:pPr>
        <w:pStyle w:val="ySubsection"/>
      </w:pPr>
      <w:r>
        <w:tab/>
        <w:t>(2)</w:t>
      </w:r>
      <w:r>
        <w:tab/>
        <w:t>The fees and charges to be paid under regulations 6 and 94A are set out in Table 2.1.</w:t>
      </w:r>
    </w:p>
    <w:p>
      <w:pPr>
        <w:pStyle w:val="yTHeadingNAm"/>
      </w:pPr>
      <w:r>
        <w:t>Table 2.1 (Berthing and pen rental)</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94"/>
        <w:gridCol w:w="992"/>
      </w:tblGrid>
      <w:tr>
        <w:trPr>
          <w:cantSplit/>
          <w:tblHeader/>
        </w:trPr>
        <w:tc>
          <w:tcPr>
            <w:tcW w:w="567" w:type="dxa"/>
            <w:tcBorders>
              <w:top w:val="single" w:sz="4" w:space="0" w:color="auto"/>
              <w:bottom w:val="single" w:sz="4" w:space="0" w:color="auto"/>
            </w:tcBorders>
          </w:tcPr>
          <w:p>
            <w:pPr>
              <w:pStyle w:val="yTableNAm"/>
              <w:rPr>
                <w:b/>
              </w:rPr>
            </w:pPr>
            <w:r>
              <w:rPr>
                <w:b/>
              </w:rPr>
              <w:t>Item</w:t>
            </w:r>
          </w:p>
        </w:tc>
        <w:tc>
          <w:tcPr>
            <w:tcW w:w="4394" w:type="dxa"/>
            <w:tcBorders>
              <w:top w:val="single" w:sz="4" w:space="0" w:color="auto"/>
              <w:bottom w:val="single" w:sz="4" w:space="0" w:color="auto"/>
            </w:tcBorders>
          </w:tcPr>
          <w:p>
            <w:pPr>
              <w:pStyle w:val="yTableNAm"/>
              <w:rPr>
                <w:b/>
              </w:rPr>
            </w:pPr>
            <w:r>
              <w:rPr>
                <w:b/>
              </w:rPr>
              <w:t>Service</w:t>
            </w:r>
          </w:p>
        </w:tc>
        <w:tc>
          <w:tcPr>
            <w:tcW w:w="992" w:type="dxa"/>
            <w:tcBorders>
              <w:top w:val="single" w:sz="4" w:space="0" w:color="auto"/>
              <w:bottom w:val="single" w:sz="4" w:space="0" w:color="auto"/>
            </w:tcBorders>
          </w:tcPr>
          <w:p>
            <w:pPr>
              <w:pStyle w:val="yTableNAm"/>
              <w:jc w:val="center"/>
              <w:rPr>
                <w:b/>
              </w:rPr>
            </w:pPr>
            <w:r>
              <w:rPr>
                <w:b/>
              </w:rPr>
              <w:t>$</w:t>
            </w:r>
          </w:p>
        </w:tc>
      </w:tr>
      <w:tr>
        <w:trPr>
          <w:cantSplit/>
        </w:trPr>
        <w:tc>
          <w:tcPr>
            <w:tcW w:w="567" w:type="dxa"/>
          </w:tcPr>
          <w:p>
            <w:pPr>
              <w:pStyle w:val="yTableNAm"/>
            </w:pPr>
            <w:r>
              <w:t>1.</w:t>
            </w:r>
          </w:p>
        </w:tc>
        <w:tc>
          <w:tcPr>
            <w:tcW w:w="4394" w:type="dxa"/>
          </w:tcPr>
          <w:p>
            <w:pPr>
              <w:pStyle w:val="yTableNAm"/>
            </w:pPr>
            <w:r>
              <w:t>For pen for commercial vessel 20 m or over, per m of the vessel’s length —</w:t>
            </w:r>
          </w:p>
        </w:tc>
        <w:tc>
          <w:tcPr>
            <w:tcW w:w="992" w:type="dxa"/>
          </w:tcPr>
          <w:p>
            <w:pPr>
              <w:pStyle w:val="yTableNAm"/>
              <w:jc w:val="right"/>
            </w:pPr>
          </w:p>
        </w:tc>
      </w:tr>
      <w:tr>
        <w:trPr>
          <w:cantSplit/>
        </w:trPr>
        <w:tc>
          <w:tcPr>
            <w:tcW w:w="567" w:type="dxa"/>
          </w:tcPr>
          <w:p>
            <w:pPr>
              <w:pStyle w:val="yTableNAm"/>
            </w:pPr>
          </w:p>
        </w:tc>
        <w:tc>
          <w:tcPr>
            <w:tcW w:w="4394" w:type="dxa"/>
          </w:tcPr>
          <w:p>
            <w:pPr>
              <w:pStyle w:val="yTableNAm"/>
              <w:tabs>
                <w:tab w:val="clear" w:pos="567"/>
                <w:tab w:val="left" w:pos="415"/>
              </w:tabs>
              <w:ind w:left="415" w:hanging="415"/>
            </w:pPr>
            <w:r>
              <w:t>•</w:t>
            </w:r>
            <w:r>
              <w:tab/>
              <w:t>for 12 months paid in advance</w:t>
            </w:r>
          </w:p>
        </w:tc>
        <w:tc>
          <w:tcPr>
            <w:tcW w:w="992" w:type="dxa"/>
          </w:tcPr>
          <w:p>
            <w:pPr>
              <w:pStyle w:val="yTableNAm"/>
              <w:jc w:val="right"/>
            </w:pPr>
            <w:r>
              <w:t>288.96</w:t>
            </w:r>
          </w:p>
        </w:tc>
      </w:tr>
      <w:tr>
        <w:trPr>
          <w:cantSplit/>
        </w:trPr>
        <w:tc>
          <w:tcPr>
            <w:tcW w:w="567" w:type="dxa"/>
          </w:tcPr>
          <w:p>
            <w:pPr>
              <w:pStyle w:val="yTableNAm"/>
            </w:pPr>
          </w:p>
        </w:tc>
        <w:tc>
          <w:tcPr>
            <w:tcW w:w="4394" w:type="dxa"/>
          </w:tcPr>
          <w:p>
            <w:pPr>
              <w:pStyle w:val="yTableNAm"/>
              <w:tabs>
                <w:tab w:val="clear" w:pos="567"/>
                <w:tab w:val="left" w:pos="415"/>
              </w:tabs>
              <w:ind w:left="415" w:hanging="415"/>
            </w:pPr>
            <w:r>
              <w:t>•</w:t>
            </w:r>
            <w:r>
              <w:tab/>
              <w:t>for 3 months or more, per month, paid in advance</w:t>
            </w:r>
          </w:p>
        </w:tc>
        <w:tc>
          <w:tcPr>
            <w:tcW w:w="992" w:type="dxa"/>
          </w:tcPr>
          <w:p>
            <w:pPr>
              <w:pStyle w:val="yTableNAm"/>
              <w:jc w:val="right"/>
            </w:pPr>
            <w:r>
              <w:br/>
              <w:t>28.89</w:t>
            </w:r>
          </w:p>
        </w:tc>
      </w:tr>
      <w:tr>
        <w:trPr>
          <w:cantSplit/>
        </w:trPr>
        <w:tc>
          <w:tcPr>
            <w:tcW w:w="567" w:type="dxa"/>
          </w:tcPr>
          <w:p>
            <w:pPr>
              <w:pStyle w:val="yTableNAm"/>
            </w:pPr>
          </w:p>
        </w:tc>
        <w:tc>
          <w:tcPr>
            <w:tcW w:w="4394" w:type="dxa"/>
          </w:tcPr>
          <w:p>
            <w:pPr>
              <w:pStyle w:val="yTableNAm"/>
              <w:tabs>
                <w:tab w:val="clear" w:pos="567"/>
                <w:tab w:val="left" w:pos="415"/>
              </w:tabs>
              <w:ind w:left="415" w:hanging="415"/>
            </w:pPr>
            <w:r>
              <w:t>•</w:t>
            </w:r>
            <w:r>
              <w:tab/>
              <w:t>for one month or more, per month, paid in advance</w:t>
            </w:r>
          </w:p>
        </w:tc>
        <w:tc>
          <w:tcPr>
            <w:tcW w:w="992" w:type="dxa"/>
          </w:tcPr>
          <w:p>
            <w:pPr>
              <w:pStyle w:val="yTableNAm"/>
              <w:jc w:val="right"/>
            </w:pPr>
            <w:r>
              <w:br/>
              <w:t>43.34</w:t>
            </w:r>
          </w:p>
        </w:tc>
      </w:tr>
      <w:tr>
        <w:trPr>
          <w:cantSplit/>
        </w:trPr>
        <w:tc>
          <w:tcPr>
            <w:tcW w:w="567" w:type="dxa"/>
          </w:tcPr>
          <w:p>
            <w:pPr>
              <w:pStyle w:val="yTableNAm"/>
            </w:pPr>
            <w:r>
              <w:t>2.</w:t>
            </w:r>
          </w:p>
        </w:tc>
        <w:tc>
          <w:tcPr>
            <w:tcW w:w="4394" w:type="dxa"/>
          </w:tcPr>
          <w:p>
            <w:pPr>
              <w:pStyle w:val="yTableNAm"/>
            </w:pPr>
            <w:r>
              <w:t xml:space="preserve">For pen for commercial vessel not over 20 m, per m of the vessel’s length — </w:t>
            </w:r>
          </w:p>
        </w:tc>
        <w:tc>
          <w:tcPr>
            <w:tcW w:w="992" w:type="dxa"/>
          </w:tcPr>
          <w:p>
            <w:pPr>
              <w:pStyle w:val="yTableNAm"/>
              <w:jc w:val="right"/>
            </w:pPr>
          </w:p>
        </w:tc>
      </w:tr>
      <w:tr>
        <w:trPr>
          <w:cantSplit/>
        </w:trPr>
        <w:tc>
          <w:tcPr>
            <w:tcW w:w="567" w:type="dxa"/>
          </w:tcPr>
          <w:p>
            <w:pPr>
              <w:pStyle w:val="yTableNAm"/>
            </w:pPr>
          </w:p>
        </w:tc>
        <w:tc>
          <w:tcPr>
            <w:tcW w:w="4394" w:type="dxa"/>
          </w:tcPr>
          <w:p>
            <w:pPr>
              <w:pStyle w:val="yTableNAm"/>
              <w:tabs>
                <w:tab w:val="clear" w:pos="567"/>
                <w:tab w:val="left" w:pos="415"/>
              </w:tabs>
              <w:ind w:left="415" w:hanging="415"/>
            </w:pPr>
            <w:r>
              <w:t>•</w:t>
            </w:r>
            <w:r>
              <w:tab/>
              <w:t>for 12 months paid in advance</w:t>
            </w:r>
          </w:p>
        </w:tc>
        <w:tc>
          <w:tcPr>
            <w:tcW w:w="992" w:type="dxa"/>
          </w:tcPr>
          <w:p>
            <w:pPr>
              <w:pStyle w:val="yTableNAm"/>
              <w:jc w:val="right"/>
            </w:pPr>
            <w:r>
              <w:t>243.54</w:t>
            </w:r>
          </w:p>
        </w:tc>
      </w:tr>
      <w:tr>
        <w:trPr>
          <w:cantSplit/>
        </w:trPr>
        <w:tc>
          <w:tcPr>
            <w:tcW w:w="567" w:type="dxa"/>
          </w:tcPr>
          <w:p>
            <w:pPr>
              <w:pStyle w:val="yTableNAm"/>
            </w:pPr>
          </w:p>
        </w:tc>
        <w:tc>
          <w:tcPr>
            <w:tcW w:w="4394" w:type="dxa"/>
          </w:tcPr>
          <w:p>
            <w:pPr>
              <w:pStyle w:val="yTableNAm"/>
              <w:tabs>
                <w:tab w:val="clear" w:pos="567"/>
                <w:tab w:val="left" w:pos="415"/>
              </w:tabs>
              <w:ind w:left="415" w:hanging="415"/>
            </w:pPr>
            <w:r>
              <w:t>•</w:t>
            </w:r>
            <w:r>
              <w:tab/>
              <w:t>for 3 months or more, per month, paid in advance</w:t>
            </w:r>
          </w:p>
        </w:tc>
        <w:tc>
          <w:tcPr>
            <w:tcW w:w="992" w:type="dxa"/>
          </w:tcPr>
          <w:p>
            <w:pPr>
              <w:pStyle w:val="yTableNAm"/>
              <w:jc w:val="right"/>
            </w:pPr>
            <w:r>
              <w:br/>
              <w:t>24.34</w:t>
            </w:r>
          </w:p>
        </w:tc>
      </w:tr>
      <w:tr>
        <w:trPr>
          <w:cantSplit/>
        </w:trPr>
        <w:tc>
          <w:tcPr>
            <w:tcW w:w="567" w:type="dxa"/>
          </w:tcPr>
          <w:p>
            <w:pPr>
              <w:pStyle w:val="yTableNAm"/>
            </w:pPr>
          </w:p>
        </w:tc>
        <w:tc>
          <w:tcPr>
            <w:tcW w:w="4394" w:type="dxa"/>
          </w:tcPr>
          <w:p>
            <w:pPr>
              <w:pStyle w:val="yTableNAm"/>
              <w:tabs>
                <w:tab w:val="clear" w:pos="567"/>
                <w:tab w:val="left" w:pos="415"/>
              </w:tabs>
              <w:ind w:left="415" w:hanging="415"/>
            </w:pPr>
            <w:r>
              <w:t>•</w:t>
            </w:r>
            <w:r>
              <w:tab/>
              <w:t>for one month or more, per month, paid in advance</w:t>
            </w:r>
          </w:p>
        </w:tc>
        <w:tc>
          <w:tcPr>
            <w:tcW w:w="992" w:type="dxa"/>
          </w:tcPr>
          <w:p>
            <w:pPr>
              <w:pStyle w:val="yTableNAm"/>
              <w:jc w:val="right"/>
            </w:pPr>
            <w:r>
              <w:br/>
              <w:t>36.53</w:t>
            </w:r>
          </w:p>
        </w:tc>
      </w:tr>
      <w:tr>
        <w:trPr>
          <w:cantSplit/>
        </w:trPr>
        <w:tc>
          <w:tcPr>
            <w:tcW w:w="567" w:type="dxa"/>
          </w:tcPr>
          <w:p>
            <w:pPr>
              <w:pStyle w:val="yTableNAm"/>
            </w:pPr>
            <w:r>
              <w:t>3.</w:t>
            </w:r>
          </w:p>
        </w:tc>
        <w:tc>
          <w:tcPr>
            <w:tcW w:w="4394" w:type="dxa"/>
          </w:tcPr>
          <w:p>
            <w:pPr>
              <w:pStyle w:val="yTableNAm"/>
            </w:pPr>
            <w:r>
              <w:t xml:space="preserve">For pen or berth for recreational vessel, per m of the vessel’s length — </w:t>
            </w:r>
          </w:p>
        </w:tc>
        <w:tc>
          <w:tcPr>
            <w:tcW w:w="992" w:type="dxa"/>
          </w:tcPr>
          <w:p>
            <w:pPr>
              <w:pStyle w:val="yTableNAm"/>
              <w:jc w:val="right"/>
            </w:pPr>
          </w:p>
        </w:tc>
      </w:tr>
      <w:tr>
        <w:trPr>
          <w:cantSplit/>
        </w:trPr>
        <w:tc>
          <w:tcPr>
            <w:tcW w:w="567" w:type="dxa"/>
          </w:tcPr>
          <w:p>
            <w:pPr>
              <w:pStyle w:val="yTableNAm"/>
            </w:pPr>
          </w:p>
        </w:tc>
        <w:tc>
          <w:tcPr>
            <w:tcW w:w="4394" w:type="dxa"/>
          </w:tcPr>
          <w:p>
            <w:pPr>
              <w:pStyle w:val="yTableNAm"/>
              <w:tabs>
                <w:tab w:val="clear" w:pos="567"/>
                <w:tab w:val="left" w:pos="415"/>
              </w:tabs>
              <w:ind w:left="415" w:hanging="415"/>
            </w:pPr>
            <w:r>
              <w:t>•</w:t>
            </w:r>
            <w:r>
              <w:tab/>
              <w:t>for 12 months paid in advance</w:t>
            </w:r>
          </w:p>
        </w:tc>
        <w:tc>
          <w:tcPr>
            <w:tcW w:w="992" w:type="dxa"/>
          </w:tcPr>
          <w:p>
            <w:pPr>
              <w:pStyle w:val="yTableNAm"/>
              <w:jc w:val="right"/>
            </w:pPr>
            <w:r>
              <w:t>220.79</w:t>
            </w:r>
          </w:p>
        </w:tc>
      </w:tr>
      <w:tr>
        <w:trPr>
          <w:cantSplit/>
        </w:trPr>
        <w:tc>
          <w:tcPr>
            <w:tcW w:w="567" w:type="dxa"/>
          </w:tcPr>
          <w:p>
            <w:pPr>
              <w:pStyle w:val="yTableNAm"/>
            </w:pPr>
          </w:p>
        </w:tc>
        <w:tc>
          <w:tcPr>
            <w:tcW w:w="4394" w:type="dxa"/>
          </w:tcPr>
          <w:p>
            <w:pPr>
              <w:pStyle w:val="yTableNAm"/>
              <w:tabs>
                <w:tab w:val="clear" w:pos="567"/>
                <w:tab w:val="left" w:pos="415"/>
              </w:tabs>
              <w:ind w:left="415" w:hanging="415"/>
            </w:pPr>
            <w:r>
              <w:t>•</w:t>
            </w:r>
            <w:r>
              <w:tab/>
              <w:t>for 3 months or more, per month, paid in advance</w:t>
            </w:r>
          </w:p>
        </w:tc>
        <w:tc>
          <w:tcPr>
            <w:tcW w:w="992" w:type="dxa"/>
          </w:tcPr>
          <w:p>
            <w:pPr>
              <w:pStyle w:val="yTableNAm"/>
              <w:jc w:val="right"/>
            </w:pPr>
            <w:r>
              <w:br/>
              <w:t>22.07</w:t>
            </w:r>
          </w:p>
        </w:tc>
      </w:tr>
      <w:tr>
        <w:trPr>
          <w:cantSplit/>
        </w:trPr>
        <w:tc>
          <w:tcPr>
            <w:tcW w:w="567" w:type="dxa"/>
          </w:tcPr>
          <w:p>
            <w:pPr>
              <w:pStyle w:val="yTableNAm"/>
            </w:pPr>
          </w:p>
        </w:tc>
        <w:tc>
          <w:tcPr>
            <w:tcW w:w="4394" w:type="dxa"/>
          </w:tcPr>
          <w:p>
            <w:pPr>
              <w:pStyle w:val="yTableNAm"/>
              <w:tabs>
                <w:tab w:val="clear" w:pos="567"/>
                <w:tab w:val="left" w:pos="415"/>
              </w:tabs>
              <w:ind w:left="415" w:hanging="415"/>
            </w:pPr>
            <w:r>
              <w:t>•</w:t>
            </w:r>
            <w:r>
              <w:tab/>
              <w:t>for one month or more, per month, paid in advance</w:t>
            </w:r>
          </w:p>
        </w:tc>
        <w:tc>
          <w:tcPr>
            <w:tcW w:w="992" w:type="dxa"/>
          </w:tcPr>
          <w:p>
            <w:pPr>
              <w:pStyle w:val="yTableNAm"/>
              <w:jc w:val="right"/>
            </w:pPr>
            <w:r>
              <w:br/>
              <w:t>33.12</w:t>
            </w:r>
          </w:p>
        </w:tc>
      </w:tr>
      <w:tr>
        <w:trPr>
          <w:cantSplit/>
        </w:trPr>
        <w:tc>
          <w:tcPr>
            <w:tcW w:w="567" w:type="dxa"/>
          </w:tcPr>
          <w:p>
            <w:pPr>
              <w:pStyle w:val="yTableNAm"/>
            </w:pPr>
            <w:r>
              <w:t>4.</w:t>
            </w:r>
          </w:p>
        </w:tc>
        <w:tc>
          <w:tcPr>
            <w:tcW w:w="4394" w:type="dxa"/>
          </w:tcPr>
          <w:p>
            <w:pPr>
              <w:pStyle w:val="yTableNAm"/>
            </w:pPr>
            <w:r>
              <w:t xml:space="preserve">For pen, or berth at service jetty, per m of the vessel’s length, per day — </w:t>
            </w:r>
          </w:p>
        </w:tc>
        <w:tc>
          <w:tcPr>
            <w:tcW w:w="992" w:type="dxa"/>
          </w:tcPr>
          <w:p>
            <w:pPr>
              <w:pStyle w:val="yTableNAm"/>
              <w:jc w:val="right"/>
            </w:pPr>
            <w:r>
              <w:br/>
            </w:r>
          </w:p>
        </w:tc>
      </w:tr>
      <w:tr>
        <w:trPr>
          <w:cantSplit/>
        </w:trPr>
        <w:tc>
          <w:tcPr>
            <w:tcW w:w="567" w:type="dxa"/>
          </w:tcPr>
          <w:p>
            <w:pPr>
              <w:pStyle w:val="yTableNAm"/>
            </w:pPr>
          </w:p>
        </w:tc>
        <w:tc>
          <w:tcPr>
            <w:tcW w:w="4394" w:type="dxa"/>
          </w:tcPr>
          <w:p>
            <w:pPr>
              <w:pStyle w:val="yTableNAm"/>
              <w:tabs>
                <w:tab w:val="clear" w:pos="567"/>
                <w:tab w:val="left" w:pos="415"/>
              </w:tabs>
              <w:ind w:left="415" w:hanging="415"/>
            </w:pPr>
            <w:r>
              <w:t>•</w:t>
            </w:r>
            <w:r>
              <w:tab/>
              <w:t>for commercial vessel</w:t>
            </w:r>
          </w:p>
        </w:tc>
        <w:tc>
          <w:tcPr>
            <w:tcW w:w="992" w:type="dxa"/>
          </w:tcPr>
          <w:p>
            <w:pPr>
              <w:pStyle w:val="yTableNAm"/>
              <w:jc w:val="right"/>
            </w:pPr>
            <w:r>
              <w:t>8.12</w:t>
            </w:r>
          </w:p>
        </w:tc>
      </w:tr>
      <w:tr>
        <w:trPr>
          <w:cantSplit/>
        </w:trPr>
        <w:tc>
          <w:tcPr>
            <w:tcW w:w="567" w:type="dxa"/>
          </w:tcPr>
          <w:p>
            <w:pPr>
              <w:pStyle w:val="yTableNAm"/>
            </w:pPr>
          </w:p>
        </w:tc>
        <w:tc>
          <w:tcPr>
            <w:tcW w:w="4394" w:type="dxa"/>
          </w:tcPr>
          <w:p>
            <w:pPr>
              <w:pStyle w:val="yTableNAm"/>
              <w:tabs>
                <w:tab w:val="clear" w:pos="567"/>
                <w:tab w:val="left" w:pos="415"/>
              </w:tabs>
              <w:ind w:left="415" w:hanging="415"/>
            </w:pPr>
            <w:r>
              <w:t>•</w:t>
            </w:r>
            <w:r>
              <w:tab/>
              <w:t>for recreational vessel</w:t>
            </w:r>
          </w:p>
        </w:tc>
        <w:tc>
          <w:tcPr>
            <w:tcW w:w="992" w:type="dxa"/>
          </w:tcPr>
          <w:p>
            <w:pPr>
              <w:pStyle w:val="yTableNAm"/>
              <w:jc w:val="right"/>
            </w:pPr>
            <w:r>
              <w:t>5.23</w:t>
            </w:r>
          </w:p>
        </w:tc>
      </w:tr>
      <w:tr>
        <w:trPr>
          <w:cantSplit/>
        </w:trPr>
        <w:tc>
          <w:tcPr>
            <w:tcW w:w="567" w:type="dxa"/>
          </w:tcPr>
          <w:p>
            <w:pPr>
              <w:pStyle w:val="yTableNAm"/>
            </w:pPr>
            <w:r>
              <w:t>5.</w:t>
            </w:r>
          </w:p>
        </w:tc>
        <w:tc>
          <w:tcPr>
            <w:tcW w:w="4394" w:type="dxa"/>
          </w:tcPr>
          <w:p>
            <w:pPr>
              <w:pStyle w:val="yTableNAm"/>
            </w:pPr>
            <w:r>
              <w:t>For use of service jetty for short time just to load or unload vessel for which the item 1, 2, 3 or 4 fee has not been paid, per m of the vessel’s length —</w:t>
            </w:r>
          </w:p>
        </w:tc>
        <w:tc>
          <w:tcPr>
            <w:tcW w:w="992" w:type="dxa"/>
          </w:tcPr>
          <w:p>
            <w:pPr>
              <w:pStyle w:val="yTableNAm"/>
              <w:jc w:val="right"/>
            </w:pPr>
          </w:p>
        </w:tc>
      </w:tr>
      <w:tr>
        <w:trPr>
          <w:cantSplit/>
        </w:trPr>
        <w:tc>
          <w:tcPr>
            <w:tcW w:w="567" w:type="dxa"/>
          </w:tcPr>
          <w:p>
            <w:pPr>
              <w:pStyle w:val="yTableNAm"/>
            </w:pPr>
          </w:p>
        </w:tc>
        <w:tc>
          <w:tcPr>
            <w:tcW w:w="4394" w:type="dxa"/>
          </w:tcPr>
          <w:p>
            <w:pPr>
              <w:pStyle w:val="yTableNAm"/>
              <w:tabs>
                <w:tab w:val="clear" w:pos="567"/>
                <w:tab w:val="left" w:pos="415"/>
              </w:tabs>
              <w:ind w:left="415" w:hanging="415"/>
            </w:pPr>
            <w:r>
              <w:t>•</w:t>
            </w:r>
            <w:r>
              <w:tab/>
              <w:t>for 12 months paid in advance</w:t>
            </w:r>
          </w:p>
        </w:tc>
        <w:tc>
          <w:tcPr>
            <w:tcW w:w="992" w:type="dxa"/>
          </w:tcPr>
          <w:p>
            <w:pPr>
              <w:pStyle w:val="yTableNAm"/>
              <w:jc w:val="right"/>
            </w:pPr>
            <w:r>
              <w:t>149.37</w:t>
            </w:r>
          </w:p>
        </w:tc>
      </w:tr>
      <w:tr>
        <w:trPr>
          <w:cantSplit/>
        </w:trPr>
        <w:tc>
          <w:tcPr>
            <w:tcW w:w="567" w:type="dxa"/>
          </w:tcPr>
          <w:p>
            <w:pPr>
              <w:pStyle w:val="yTableNAm"/>
            </w:pPr>
          </w:p>
        </w:tc>
        <w:tc>
          <w:tcPr>
            <w:tcW w:w="4394" w:type="dxa"/>
          </w:tcPr>
          <w:p>
            <w:pPr>
              <w:pStyle w:val="yTableNAm"/>
              <w:tabs>
                <w:tab w:val="clear" w:pos="567"/>
                <w:tab w:val="left" w:pos="415"/>
              </w:tabs>
              <w:ind w:left="415" w:hanging="415"/>
            </w:pPr>
            <w:r>
              <w:t>•</w:t>
            </w:r>
            <w:r>
              <w:tab/>
              <w:t>per day</w:t>
            </w:r>
          </w:p>
        </w:tc>
        <w:tc>
          <w:tcPr>
            <w:tcW w:w="992" w:type="dxa"/>
          </w:tcPr>
          <w:p>
            <w:pPr>
              <w:pStyle w:val="yTableNAm"/>
              <w:jc w:val="right"/>
            </w:pPr>
            <w:r>
              <w:t>4.87</w:t>
            </w:r>
          </w:p>
        </w:tc>
      </w:tr>
      <w:tr>
        <w:trPr>
          <w:cantSplit/>
        </w:trPr>
        <w:tc>
          <w:tcPr>
            <w:tcW w:w="567" w:type="dxa"/>
          </w:tcPr>
          <w:p>
            <w:pPr>
              <w:pStyle w:val="yTableNAm"/>
              <w:keepNext/>
            </w:pPr>
            <w:r>
              <w:t>6.</w:t>
            </w:r>
          </w:p>
        </w:tc>
        <w:tc>
          <w:tcPr>
            <w:tcW w:w="4394" w:type="dxa"/>
          </w:tcPr>
          <w:p>
            <w:pPr>
              <w:pStyle w:val="yTableNAm"/>
              <w:keepNext/>
            </w:pPr>
            <w:r>
              <w:t>For electricity supply, 3</w:t>
            </w:r>
            <w:r>
              <w:noBreakHyphen/>
              <w:t xml:space="preserve">phase per day — </w:t>
            </w:r>
          </w:p>
        </w:tc>
        <w:tc>
          <w:tcPr>
            <w:tcW w:w="992" w:type="dxa"/>
          </w:tcPr>
          <w:p>
            <w:pPr>
              <w:pStyle w:val="yTableNAm"/>
              <w:keepNext/>
              <w:jc w:val="right"/>
            </w:pPr>
          </w:p>
        </w:tc>
      </w:tr>
      <w:tr>
        <w:trPr>
          <w:cantSplit/>
        </w:trPr>
        <w:tc>
          <w:tcPr>
            <w:tcW w:w="567" w:type="dxa"/>
          </w:tcPr>
          <w:p>
            <w:pPr>
              <w:pStyle w:val="yTableNAm"/>
              <w:keepNext/>
            </w:pPr>
          </w:p>
        </w:tc>
        <w:tc>
          <w:tcPr>
            <w:tcW w:w="4394" w:type="dxa"/>
          </w:tcPr>
          <w:p>
            <w:pPr>
              <w:pStyle w:val="yTableNAm"/>
              <w:keepNext/>
              <w:tabs>
                <w:tab w:val="clear" w:pos="567"/>
                <w:tab w:val="left" w:pos="415"/>
              </w:tabs>
              <w:ind w:left="415" w:hanging="415"/>
            </w:pPr>
            <w:r>
              <w:t>•</w:t>
            </w:r>
            <w:r>
              <w:tab/>
              <w:t>if metering indicates usage of more than $37.35 in a day</w:t>
            </w:r>
          </w:p>
        </w:tc>
        <w:tc>
          <w:tcPr>
            <w:tcW w:w="992" w:type="dxa"/>
          </w:tcPr>
          <w:p>
            <w:pPr>
              <w:pStyle w:val="yTableNAm"/>
              <w:keepNext/>
              <w:jc w:val="right"/>
            </w:pPr>
            <w:r>
              <w:br/>
              <w:t>cost</w:t>
            </w:r>
          </w:p>
        </w:tc>
      </w:tr>
      <w:tr>
        <w:trPr>
          <w:cantSplit/>
        </w:trPr>
        <w:tc>
          <w:tcPr>
            <w:tcW w:w="567" w:type="dxa"/>
            <w:tcBorders>
              <w:bottom w:val="single" w:sz="4" w:space="0" w:color="auto"/>
            </w:tcBorders>
          </w:tcPr>
          <w:p>
            <w:pPr>
              <w:pStyle w:val="yTableNAm"/>
            </w:pPr>
          </w:p>
        </w:tc>
        <w:tc>
          <w:tcPr>
            <w:tcW w:w="4394" w:type="dxa"/>
            <w:tcBorders>
              <w:bottom w:val="single" w:sz="4" w:space="0" w:color="auto"/>
            </w:tcBorders>
          </w:tcPr>
          <w:p>
            <w:pPr>
              <w:pStyle w:val="yTableNAm"/>
              <w:tabs>
                <w:tab w:val="clear" w:pos="567"/>
                <w:tab w:val="left" w:pos="415"/>
              </w:tabs>
              <w:ind w:left="415" w:hanging="415"/>
            </w:pPr>
            <w:r>
              <w:t>•</w:t>
            </w:r>
            <w:r>
              <w:tab/>
              <w:t>otherwise, per day</w:t>
            </w:r>
          </w:p>
        </w:tc>
        <w:tc>
          <w:tcPr>
            <w:tcW w:w="992" w:type="dxa"/>
            <w:tcBorders>
              <w:bottom w:val="single" w:sz="4" w:space="0" w:color="auto"/>
            </w:tcBorders>
          </w:tcPr>
          <w:p>
            <w:pPr>
              <w:pStyle w:val="yTableNAm"/>
              <w:jc w:val="right"/>
            </w:pPr>
            <w:r>
              <w:t>37.35</w:t>
            </w:r>
          </w:p>
        </w:tc>
      </w:tr>
    </w:tbl>
    <w:p>
      <w:pPr>
        <w:pStyle w:val="yFootnotesection"/>
      </w:pPr>
      <w:r>
        <w:tab/>
        <w:t>[Clause 2 inserted in Gazette 28 Jun 2013 p. 2833</w:t>
      </w:r>
      <w:r>
        <w:noBreakHyphen/>
        <w:t>5.]</w:t>
      </w:r>
    </w:p>
    <w:p>
      <w:pPr>
        <w:pStyle w:val="yHeading5"/>
      </w:pPr>
      <w:bookmarkStart w:id="144" w:name="_Toc382380038"/>
      <w:r>
        <w:rPr>
          <w:rStyle w:val="CharSClsNo"/>
        </w:rPr>
        <w:t>3</w:t>
      </w:r>
      <w:r>
        <w:t>.</w:t>
      </w:r>
      <w:r>
        <w:rPr>
          <w:b w:val="0"/>
        </w:rPr>
        <w:tab/>
      </w:r>
      <w:smartTag w:uri="urn:schemas-microsoft-com:office:smarttags" w:element="place">
        <w:smartTag w:uri="urn:schemas-microsoft-com:office:smarttags" w:element="City">
          <w:r>
            <w:t>Augusta</w:t>
          </w:r>
        </w:smartTag>
      </w:smartTag>
      <w:bookmarkEnd w:id="144"/>
    </w:p>
    <w:p>
      <w:pPr>
        <w:pStyle w:val="ySubsection"/>
      </w:pPr>
      <w:r>
        <w:tab/>
        <w:t>(1)</w:t>
      </w:r>
      <w:r>
        <w:tab/>
        <w:t xml:space="preserve">This clause applies to </w:t>
      </w:r>
      <w:smartTag w:uri="urn:schemas-microsoft-com:office:smarttags" w:element="place">
        <w:smartTag w:uri="urn:schemas-microsoft-com:office:smarttags" w:element="City">
          <w:r>
            <w:t>Augusta</w:t>
          </w:r>
        </w:smartTag>
      </w:smartTag>
      <w:r>
        <w:t>.</w:t>
      </w:r>
    </w:p>
    <w:p>
      <w:pPr>
        <w:pStyle w:val="ySubsection"/>
      </w:pPr>
      <w:r>
        <w:tab/>
        <w:t>(2)</w:t>
      </w:r>
      <w:r>
        <w:tab/>
        <w:t>The fees and charges to be paid under regulations 6 and 94A are set out in Table 3.1.</w:t>
      </w:r>
    </w:p>
    <w:p>
      <w:pPr>
        <w:pStyle w:val="yTHeadingNAm"/>
      </w:pPr>
      <w:r>
        <w:t>Table 3.1 (Berthing and pen rental)</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94"/>
        <w:gridCol w:w="992"/>
      </w:tblGrid>
      <w:tr>
        <w:trPr>
          <w:cantSplit/>
          <w:tblHeader/>
        </w:trPr>
        <w:tc>
          <w:tcPr>
            <w:tcW w:w="567" w:type="dxa"/>
            <w:tcBorders>
              <w:top w:val="single" w:sz="4" w:space="0" w:color="auto"/>
              <w:bottom w:val="single" w:sz="4" w:space="0" w:color="auto"/>
            </w:tcBorders>
          </w:tcPr>
          <w:p>
            <w:pPr>
              <w:pStyle w:val="yTableNAm"/>
              <w:rPr>
                <w:b/>
              </w:rPr>
            </w:pPr>
            <w:r>
              <w:rPr>
                <w:b/>
              </w:rPr>
              <w:t>Item</w:t>
            </w:r>
          </w:p>
        </w:tc>
        <w:tc>
          <w:tcPr>
            <w:tcW w:w="4394" w:type="dxa"/>
            <w:tcBorders>
              <w:top w:val="single" w:sz="4" w:space="0" w:color="auto"/>
              <w:bottom w:val="single" w:sz="4" w:space="0" w:color="auto"/>
            </w:tcBorders>
          </w:tcPr>
          <w:p>
            <w:pPr>
              <w:pStyle w:val="yTableNAm"/>
              <w:rPr>
                <w:b/>
              </w:rPr>
            </w:pPr>
            <w:r>
              <w:rPr>
                <w:b/>
              </w:rPr>
              <w:t>Service</w:t>
            </w:r>
          </w:p>
        </w:tc>
        <w:tc>
          <w:tcPr>
            <w:tcW w:w="992" w:type="dxa"/>
            <w:tcBorders>
              <w:top w:val="single" w:sz="4" w:space="0" w:color="auto"/>
              <w:bottom w:val="single" w:sz="4" w:space="0" w:color="auto"/>
            </w:tcBorders>
          </w:tcPr>
          <w:p>
            <w:pPr>
              <w:pStyle w:val="yTableNAm"/>
              <w:jc w:val="center"/>
              <w:rPr>
                <w:b/>
              </w:rPr>
            </w:pPr>
            <w:r>
              <w:rPr>
                <w:b/>
              </w:rPr>
              <w:t>$</w:t>
            </w:r>
          </w:p>
        </w:tc>
      </w:tr>
      <w:tr>
        <w:trPr>
          <w:cantSplit/>
        </w:trPr>
        <w:tc>
          <w:tcPr>
            <w:tcW w:w="567" w:type="dxa"/>
          </w:tcPr>
          <w:p>
            <w:pPr>
              <w:pStyle w:val="yTableNAm"/>
            </w:pPr>
            <w:r>
              <w:t>1.</w:t>
            </w:r>
          </w:p>
        </w:tc>
        <w:tc>
          <w:tcPr>
            <w:tcW w:w="4394" w:type="dxa"/>
          </w:tcPr>
          <w:p>
            <w:pPr>
              <w:pStyle w:val="yTableNAm"/>
            </w:pPr>
            <w:r>
              <w:t xml:space="preserve">For shared use of service jetty by vessel — </w:t>
            </w:r>
          </w:p>
        </w:tc>
        <w:tc>
          <w:tcPr>
            <w:tcW w:w="992" w:type="dxa"/>
          </w:tcPr>
          <w:p>
            <w:pPr>
              <w:pStyle w:val="yTableNAm"/>
              <w:jc w:val="right"/>
            </w:pPr>
          </w:p>
        </w:tc>
      </w:tr>
      <w:tr>
        <w:trPr>
          <w:cantSplit/>
        </w:trPr>
        <w:tc>
          <w:tcPr>
            <w:tcW w:w="567" w:type="dxa"/>
          </w:tcPr>
          <w:p>
            <w:pPr>
              <w:pStyle w:val="yTableNAm"/>
            </w:pPr>
          </w:p>
        </w:tc>
        <w:tc>
          <w:tcPr>
            <w:tcW w:w="4394" w:type="dxa"/>
          </w:tcPr>
          <w:p>
            <w:pPr>
              <w:pStyle w:val="yTableNAm"/>
              <w:tabs>
                <w:tab w:val="clear" w:pos="567"/>
                <w:tab w:val="left" w:pos="415"/>
              </w:tabs>
              <w:ind w:left="415" w:hanging="415"/>
            </w:pPr>
            <w:r>
              <w:t>•</w:t>
            </w:r>
            <w:r>
              <w:tab/>
              <w:t>for 12 months paid in advance</w:t>
            </w:r>
          </w:p>
        </w:tc>
        <w:tc>
          <w:tcPr>
            <w:tcW w:w="992" w:type="dxa"/>
          </w:tcPr>
          <w:p>
            <w:pPr>
              <w:pStyle w:val="yTableNAm"/>
              <w:jc w:val="right"/>
            </w:pPr>
            <w:r>
              <w:t>760.69</w:t>
            </w:r>
          </w:p>
        </w:tc>
      </w:tr>
      <w:tr>
        <w:trPr>
          <w:cantSplit/>
        </w:trPr>
        <w:tc>
          <w:tcPr>
            <w:tcW w:w="567" w:type="dxa"/>
            <w:tcBorders>
              <w:bottom w:val="single" w:sz="4" w:space="0" w:color="auto"/>
            </w:tcBorders>
          </w:tcPr>
          <w:p>
            <w:pPr>
              <w:pStyle w:val="yTableNAm"/>
            </w:pPr>
          </w:p>
        </w:tc>
        <w:tc>
          <w:tcPr>
            <w:tcW w:w="4394" w:type="dxa"/>
            <w:tcBorders>
              <w:bottom w:val="single" w:sz="4" w:space="0" w:color="auto"/>
            </w:tcBorders>
          </w:tcPr>
          <w:p>
            <w:pPr>
              <w:pStyle w:val="yTableNAm"/>
              <w:tabs>
                <w:tab w:val="clear" w:pos="567"/>
                <w:tab w:val="left" w:pos="415"/>
              </w:tabs>
              <w:ind w:left="415" w:hanging="415"/>
            </w:pPr>
            <w:r>
              <w:t>•</w:t>
            </w:r>
            <w:r>
              <w:tab/>
              <w:t>otherwise, per m of the vessel’s length, per day</w:t>
            </w:r>
          </w:p>
        </w:tc>
        <w:tc>
          <w:tcPr>
            <w:tcW w:w="992" w:type="dxa"/>
            <w:tcBorders>
              <w:bottom w:val="single" w:sz="4" w:space="0" w:color="auto"/>
            </w:tcBorders>
          </w:tcPr>
          <w:p>
            <w:pPr>
              <w:pStyle w:val="yTableNAm"/>
              <w:jc w:val="right"/>
            </w:pPr>
            <w:r>
              <w:br/>
              <w:t>4.55</w:t>
            </w:r>
          </w:p>
        </w:tc>
      </w:tr>
    </w:tbl>
    <w:p>
      <w:pPr>
        <w:pStyle w:val="yFootnotesection"/>
      </w:pPr>
      <w:r>
        <w:tab/>
        <w:t>[Clause 3 inserted in Gazette 28 Jun 2013 p. 2835.]</w:t>
      </w:r>
    </w:p>
    <w:p>
      <w:pPr>
        <w:pStyle w:val="yHeading5"/>
      </w:pPr>
      <w:bookmarkStart w:id="145" w:name="_Toc382380039"/>
      <w:r>
        <w:rPr>
          <w:rStyle w:val="CharSClsNo"/>
        </w:rPr>
        <w:t>4</w:t>
      </w:r>
      <w:r>
        <w:t>.</w:t>
      </w:r>
      <w:r>
        <w:rPr>
          <w:b w:val="0"/>
        </w:rPr>
        <w:tab/>
      </w:r>
      <w:smartTag w:uri="urn:schemas-microsoft-com:office:smarttags" w:element="place">
        <w:smartTag w:uri="urn:schemas-microsoft-com:office:smarttags" w:element="PlaceName">
          <w:r>
            <w:t>Bremer</w:t>
          </w:r>
        </w:smartTag>
        <w:r>
          <w:t xml:space="preserve"> </w:t>
        </w:r>
        <w:smartTag w:uri="urn:schemas-microsoft-com:office:smarttags" w:element="PlaceType">
          <w:r>
            <w:t>Bay</w:t>
          </w:r>
        </w:smartTag>
      </w:smartTag>
      <w:bookmarkEnd w:id="145"/>
    </w:p>
    <w:p>
      <w:pPr>
        <w:pStyle w:val="ySubsection"/>
      </w:pPr>
      <w:r>
        <w:tab/>
        <w:t>(1)</w:t>
      </w:r>
      <w:r>
        <w:tab/>
        <w:t xml:space="preserve">This clause applies to </w:t>
      </w:r>
      <w:smartTag w:uri="urn:schemas-microsoft-com:office:smarttags" w:element="place">
        <w:smartTag w:uri="urn:schemas-microsoft-com:office:smarttags" w:element="PlaceName">
          <w:r>
            <w:t>Bremer</w:t>
          </w:r>
        </w:smartTag>
        <w:r>
          <w:t xml:space="preserve"> </w:t>
        </w:r>
        <w:smartTag w:uri="urn:schemas-microsoft-com:office:smarttags" w:element="PlaceType">
          <w:r>
            <w:t>Bay</w:t>
          </w:r>
        </w:smartTag>
      </w:smartTag>
      <w:r>
        <w:t>.</w:t>
      </w:r>
    </w:p>
    <w:p>
      <w:pPr>
        <w:pStyle w:val="ySubsection"/>
      </w:pPr>
      <w:r>
        <w:tab/>
        <w:t>(2)</w:t>
      </w:r>
      <w:r>
        <w:tab/>
        <w:t>The charges and dues to be paid under regulation 10A are set out in Table 4.1.</w:t>
      </w:r>
    </w:p>
    <w:p>
      <w:pPr>
        <w:pStyle w:val="yTHeadingNAm"/>
      </w:pPr>
      <w:r>
        <w:t>Table 4.1 (Wharfage)</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94"/>
        <w:gridCol w:w="992"/>
      </w:tblGrid>
      <w:tr>
        <w:trPr>
          <w:cantSplit/>
          <w:tblHeader/>
        </w:trPr>
        <w:tc>
          <w:tcPr>
            <w:tcW w:w="567" w:type="dxa"/>
            <w:tcBorders>
              <w:top w:val="single" w:sz="4" w:space="0" w:color="auto"/>
              <w:bottom w:val="single" w:sz="4" w:space="0" w:color="auto"/>
            </w:tcBorders>
          </w:tcPr>
          <w:p>
            <w:pPr>
              <w:pStyle w:val="yTableNAm"/>
              <w:rPr>
                <w:b/>
              </w:rPr>
            </w:pPr>
            <w:r>
              <w:rPr>
                <w:b/>
              </w:rPr>
              <w:t>Item</w:t>
            </w:r>
          </w:p>
        </w:tc>
        <w:tc>
          <w:tcPr>
            <w:tcW w:w="4394" w:type="dxa"/>
            <w:tcBorders>
              <w:top w:val="single" w:sz="4" w:space="0" w:color="auto"/>
              <w:bottom w:val="single" w:sz="4" w:space="0" w:color="auto"/>
            </w:tcBorders>
          </w:tcPr>
          <w:p>
            <w:pPr>
              <w:pStyle w:val="yTableNAm"/>
              <w:rPr>
                <w:b/>
              </w:rPr>
            </w:pPr>
            <w:r>
              <w:rPr>
                <w:b/>
              </w:rPr>
              <w:t>Goods</w:t>
            </w:r>
          </w:p>
        </w:tc>
        <w:tc>
          <w:tcPr>
            <w:tcW w:w="992" w:type="dxa"/>
            <w:tcBorders>
              <w:top w:val="single" w:sz="4" w:space="0" w:color="auto"/>
              <w:bottom w:val="single" w:sz="4" w:space="0" w:color="auto"/>
            </w:tcBorders>
          </w:tcPr>
          <w:p>
            <w:pPr>
              <w:pStyle w:val="yTableNAm"/>
              <w:jc w:val="center"/>
              <w:rPr>
                <w:b/>
              </w:rPr>
            </w:pPr>
            <w:r>
              <w:rPr>
                <w:b/>
              </w:rPr>
              <w:t>$ per tonne</w:t>
            </w:r>
          </w:p>
        </w:tc>
      </w:tr>
      <w:tr>
        <w:trPr>
          <w:cantSplit/>
        </w:trPr>
        <w:tc>
          <w:tcPr>
            <w:tcW w:w="567" w:type="dxa"/>
            <w:tcBorders>
              <w:bottom w:val="single" w:sz="4" w:space="0" w:color="auto"/>
            </w:tcBorders>
          </w:tcPr>
          <w:p>
            <w:pPr>
              <w:pStyle w:val="yTableNAm"/>
            </w:pPr>
            <w:r>
              <w:t>1.</w:t>
            </w:r>
          </w:p>
        </w:tc>
        <w:tc>
          <w:tcPr>
            <w:tcW w:w="4394" w:type="dxa"/>
            <w:tcBorders>
              <w:bottom w:val="single" w:sz="4" w:space="0" w:color="auto"/>
            </w:tcBorders>
          </w:tcPr>
          <w:p>
            <w:pPr>
              <w:pStyle w:val="yTableNAm"/>
            </w:pPr>
            <w:r>
              <w:t>General cargo other than fishing products and fishing bait, per t or m</w:t>
            </w:r>
            <w:r>
              <w:rPr>
                <w:vertAlign w:val="superscript"/>
              </w:rPr>
              <w:t>3</w:t>
            </w:r>
          </w:p>
        </w:tc>
        <w:tc>
          <w:tcPr>
            <w:tcW w:w="992" w:type="dxa"/>
            <w:tcBorders>
              <w:bottom w:val="single" w:sz="4" w:space="0" w:color="auto"/>
            </w:tcBorders>
          </w:tcPr>
          <w:p>
            <w:pPr>
              <w:pStyle w:val="yTableNAm"/>
              <w:jc w:val="right"/>
            </w:pPr>
            <w:r>
              <w:br/>
              <w:t>31.52</w:t>
            </w:r>
          </w:p>
        </w:tc>
      </w:tr>
    </w:tbl>
    <w:p>
      <w:pPr>
        <w:pStyle w:val="ySubsection"/>
      </w:pPr>
      <w:r>
        <w:tab/>
        <w:t>(3)</w:t>
      </w:r>
      <w:r>
        <w:tab/>
        <w:t>The fees to be paid under regulation 6 are set out in Table 4.2.</w:t>
      </w:r>
    </w:p>
    <w:p>
      <w:pPr>
        <w:pStyle w:val="yTHeadingNAm"/>
      </w:pPr>
      <w:r>
        <w:t>Table 4.2 (Berthing)</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94"/>
        <w:gridCol w:w="992"/>
      </w:tblGrid>
      <w:tr>
        <w:trPr>
          <w:cantSplit/>
          <w:tblHeader/>
        </w:trPr>
        <w:tc>
          <w:tcPr>
            <w:tcW w:w="567" w:type="dxa"/>
            <w:tcBorders>
              <w:top w:val="single" w:sz="4" w:space="0" w:color="auto"/>
              <w:bottom w:val="single" w:sz="4" w:space="0" w:color="auto"/>
            </w:tcBorders>
          </w:tcPr>
          <w:p>
            <w:pPr>
              <w:pStyle w:val="yTableNAm"/>
              <w:rPr>
                <w:b/>
              </w:rPr>
            </w:pPr>
            <w:r>
              <w:rPr>
                <w:b/>
              </w:rPr>
              <w:t>Item</w:t>
            </w:r>
          </w:p>
        </w:tc>
        <w:tc>
          <w:tcPr>
            <w:tcW w:w="4394" w:type="dxa"/>
            <w:tcBorders>
              <w:top w:val="single" w:sz="4" w:space="0" w:color="auto"/>
              <w:bottom w:val="single" w:sz="4" w:space="0" w:color="auto"/>
            </w:tcBorders>
          </w:tcPr>
          <w:p>
            <w:pPr>
              <w:pStyle w:val="yTableNAm"/>
              <w:rPr>
                <w:b/>
              </w:rPr>
            </w:pPr>
            <w:r>
              <w:rPr>
                <w:b/>
              </w:rPr>
              <w:t>Service</w:t>
            </w:r>
          </w:p>
        </w:tc>
        <w:tc>
          <w:tcPr>
            <w:tcW w:w="992" w:type="dxa"/>
            <w:tcBorders>
              <w:top w:val="single" w:sz="4" w:space="0" w:color="auto"/>
              <w:bottom w:val="single" w:sz="4" w:space="0" w:color="auto"/>
            </w:tcBorders>
          </w:tcPr>
          <w:p>
            <w:pPr>
              <w:pStyle w:val="yTableNAm"/>
              <w:jc w:val="center"/>
              <w:rPr>
                <w:b/>
              </w:rPr>
            </w:pPr>
            <w:r>
              <w:rPr>
                <w:b/>
              </w:rPr>
              <w:t>$</w:t>
            </w:r>
          </w:p>
        </w:tc>
      </w:tr>
      <w:tr>
        <w:trPr>
          <w:cantSplit/>
        </w:trPr>
        <w:tc>
          <w:tcPr>
            <w:tcW w:w="567" w:type="dxa"/>
          </w:tcPr>
          <w:p>
            <w:pPr>
              <w:pStyle w:val="yTableNAm"/>
            </w:pPr>
            <w:r>
              <w:t>1.</w:t>
            </w:r>
          </w:p>
        </w:tc>
        <w:tc>
          <w:tcPr>
            <w:tcW w:w="4394" w:type="dxa"/>
          </w:tcPr>
          <w:p>
            <w:pPr>
              <w:pStyle w:val="yTableNAm"/>
            </w:pPr>
            <w:r>
              <w:t xml:space="preserve">For use of service jetty by vessel for which annual fee under </w:t>
            </w:r>
            <w:r>
              <w:rPr>
                <w:i/>
              </w:rPr>
              <w:t>Shipping and Pilotage (Mooring Control Areas) Regulations 1983</w:t>
            </w:r>
            <w:r>
              <w:t xml:space="preserve"> has not been paid, per m of the vessel’s length, per day</w:t>
            </w:r>
          </w:p>
        </w:tc>
        <w:tc>
          <w:tcPr>
            <w:tcW w:w="992" w:type="dxa"/>
          </w:tcPr>
          <w:p>
            <w:pPr>
              <w:pStyle w:val="yTableNAm"/>
              <w:jc w:val="right"/>
            </w:pPr>
            <w:r>
              <w:br/>
            </w:r>
            <w:r>
              <w:br/>
            </w:r>
            <w:r>
              <w:br/>
            </w:r>
            <w:r>
              <w:br/>
              <w:t>7.87</w:t>
            </w:r>
          </w:p>
        </w:tc>
      </w:tr>
      <w:tr>
        <w:trPr>
          <w:cantSplit/>
        </w:trPr>
        <w:tc>
          <w:tcPr>
            <w:tcW w:w="567" w:type="dxa"/>
            <w:tcBorders>
              <w:bottom w:val="single" w:sz="4" w:space="0" w:color="auto"/>
            </w:tcBorders>
          </w:tcPr>
          <w:p>
            <w:pPr>
              <w:pStyle w:val="yTableNAm"/>
            </w:pPr>
            <w:r>
              <w:t>2.</w:t>
            </w:r>
          </w:p>
        </w:tc>
        <w:tc>
          <w:tcPr>
            <w:tcW w:w="4394" w:type="dxa"/>
            <w:tcBorders>
              <w:bottom w:val="single" w:sz="4" w:space="0" w:color="auto"/>
            </w:tcBorders>
          </w:tcPr>
          <w:p>
            <w:pPr>
              <w:pStyle w:val="yTableNAm"/>
            </w:pPr>
            <w:r>
              <w:t>For water supply at service jetty if metering indicates usage of more than $7.87 in a day</w:t>
            </w:r>
          </w:p>
        </w:tc>
        <w:tc>
          <w:tcPr>
            <w:tcW w:w="992" w:type="dxa"/>
            <w:tcBorders>
              <w:bottom w:val="single" w:sz="4" w:space="0" w:color="auto"/>
            </w:tcBorders>
          </w:tcPr>
          <w:p>
            <w:pPr>
              <w:pStyle w:val="yTableNAm"/>
              <w:jc w:val="right"/>
            </w:pPr>
            <w:r>
              <w:br/>
              <w:t>cost</w:t>
            </w:r>
          </w:p>
        </w:tc>
      </w:tr>
    </w:tbl>
    <w:p>
      <w:pPr>
        <w:pStyle w:val="yFootnotesection"/>
      </w:pPr>
      <w:r>
        <w:tab/>
        <w:t>[Clause 4 inserted in Gazette 28 Jun 2013 p. 2835</w:t>
      </w:r>
      <w:r>
        <w:noBreakHyphen/>
        <w:t>6.]</w:t>
      </w:r>
    </w:p>
    <w:p>
      <w:pPr>
        <w:pStyle w:val="yHeading5"/>
        <w:spacing w:before="240"/>
      </w:pPr>
      <w:bookmarkStart w:id="146" w:name="_Toc382380040"/>
      <w:r>
        <w:rPr>
          <w:rStyle w:val="CharSClsNo"/>
        </w:rPr>
        <w:t>5</w:t>
      </w:r>
      <w:r>
        <w:t>.</w:t>
      </w:r>
      <w:r>
        <w:rPr>
          <w:b w:val="0"/>
        </w:rPr>
        <w:tab/>
      </w:r>
      <w:r>
        <w:t xml:space="preserve">Bunbury, </w:t>
      </w:r>
      <w:smartTag w:uri="urn:schemas-microsoft-com:office:smarttags" w:element="place">
        <w:smartTag w:uri="urn:schemas-microsoft-com:office:smarttags" w:element="PlaceName">
          <w:r>
            <w:t>Casuarina</w:t>
          </w:r>
        </w:smartTag>
        <w:r>
          <w:t xml:space="preserve"> </w:t>
        </w:r>
        <w:smartTag w:uri="urn:schemas-microsoft-com:office:smarttags" w:element="PlaceName">
          <w:r>
            <w:t>Boat</w:t>
          </w:r>
        </w:smartTag>
        <w:r>
          <w:t xml:space="preserve"> </w:t>
        </w:r>
        <w:smartTag w:uri="urn:schemas-microsoft-com:office:smarttags" w:element="PlaceType">
          <w:r>
            <w:t>Harbour</w:t>
          </w:r>
        </w:smartTag>
      </w:smartTag>
      <w:bookmarkEnd w:id="146"/>
    </w:p>
    <w:p>
      <w:pPr>
        <w:pStyle w:val="ySubsection"/>
        <w:spacing w:before="180"/>
      </w:pPr>
      <w:r>
        <w:tab/>
        <w:t>(1)</w:t>
      </w:r>
      <w:r>
        <w:tab/>
        <w:t xml:space="preserve">This clause applies to the </w:t>
      </w:r>
      <w:smartTag w:uri="urn:schemas-microsoft-com:office:smarttags" w:element="place">
        <w:smartTag w:uri="urn:schemas-microsoft-com:office:smarttags" w:element="PlaceName">
          <w:r>
            <w:t>Casuarina</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 xml:space="preserve"> at Bunbury.</w:t>
      </w:r>
    </w:p>
    <w:p>
      <w:pPr>
        <w:pStyle w:val="ySubsection"/>
        <w:spacing w:before="180"/>
      </w:pPr>
      <w:r>
        <w:tab/>
        <w:t>(2)</w:t>
      </w:r>
      <w:r>
        <w:tab/>
        <w:t>The fees and charges to be paid under regulations 6 and 94A are set out in Table 5.1.</w:t>
      </w:r>
    </w:p>
    <w:p>
      <w:pPr>
        <w:pStyle w:val="ySubsection"/>
        <w:spacing w:before="180"/>
      </w:pPr>
      <w:r>
        <w:tab/>
        <w:t>(3)</w:t>
      </w:r>
      <w:r>
        <w:tab/>
        <w:t>In Table 5.1 the chargeable length for a pen is —</w:t>
      </w:r>
    </w:p>
    <w:p>
      <w:pPr>
        <w:pStyle w:val="yIndenta"/>
      </w:pPr>
      <w:r>
        <w:tab/>
        <w:t>(a)</w:t>
      </w:r>
      <w:r>
        <w:tab/>
        <w:t>if the pen is 10 m long, 8 m;</w:t>
      </w:r>
    </w:p>
    <w:p>
      <w:pPr>
        <w:pStyle w:val="yIndenta"/>
      </w:pPr>
      <w:r>
        <w:tab/>
        <w:t>(b)</w:t>
      </w:r>
      <w:r>
        <w:tab/>
        <w:t>if the pen is 12 m long, 9.6 m;</w:t>
      </w:r>
    </w:p>
    <w:p>
      <w:pPr>
        <w:pStyle w:val="yIndenta"/>
      </w:pPr>
      <w:r>
        <w:tab/>
        <w:t>(c)</w:t>
      </w:r>
      <w:r>
        <w:tab/>
        <w:t>if the pen is 15 m long, 12 m;</w:t>
      </w:r>
    </w:p>
    <w:p>
      <w:pPr>
        <w:pStyle w:val="yIndenta"/>
      </w:pPr>
      <w:r>
        <w:tab/>
        <w:t>(d)</w:t>
      </w:r>
      <w:r>
        <w:tab/>
        <w:t>if the pen is 18 m long, 14.4 m.</w:t>
      </w:r>
    </w:p>
    <w:p>
      <w:pPr>
        <w:pStyle w:val="yTHeadingNAm"/>
      </w:pPr>
      <w:r>
        <w:t>Table 5.1 (Berthing and pen rental)</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252"/>
        <w:gridCol w:w="1134"/>
      </w:tblGrid>
      <w:tr>
        <w:trPr>
          <w:cantSplit/>
          <w:tblHeader/>
        </w:trPr>
        <w:tc>
          <w:tcPr>
            <w:tcW w:w="567" w:type="dxa"/>
            <w:tcBorders>
              <w:top w:val="single" w:sz="4" w:space="0" w:color="auto"/>
              <w:bottom w:val="single" w:sz="4" w:space="0" w:color="auto"/>
            </w:tcBorders>
          </w:tcPr>
          <w:p>
            <w:pPr>
              <w:pStyle w:val="yTableNAm"/>
              <w:rPr>
                <w:b/>
              </w:rPr>
            </w:pPr>
            <w:r>
              <w:rPr>
                <w:b/>
              </w:rPr>
              <w:t>Item</w:t>
            </w:r>
          </w:p>
        </w:tc>
        <w:tc>
          <w:tcPr>
            <w:tcW w:w="4252" w:type="dxa"/>
            <w:tcBorders>
              <w:top w:val="single" w:sz="4" w:space="0" w:color="auto"/>
              <w:bottom w:val="single" w:sz="4" w:space="0" w:color="auto"/>
            </w:tcBorders>
          </w:tcPr>
          <w:p>
            <w:pPr>
              <w:pStyle w:val="yTableNAm"/>
              <w:rPr>
                <w:b/>
              </w:rPr>
            </w:pPr>
            <w:r>
              <w:rPr>
                <w:b/>
              </w:rPr>
              <w:t>Service</w:t>
            </w:r>
          </w:p>
        </w:tc>
        <w:tc>
          <w:tcPr>
            <w:tcW w:w="1134" w:type="dxa"/>
            <w:tcBorders>
              <w:top w:val="single" w:sz="4" w:space="0" w:color="auto"/>
              <w:bottom w:val="single" w:sz="4" w:space="0" w:color="auto"/>
            </w:tcBorders>
          </w:tcPr>
          <w:p>
            <w:pPr>
              <w:pStyle w:val="yTableNAm"/>
              <w:jc w:val="center"/>
              <w:rPr>
                <w:b/>
              </w:rPr>
            </w:pPr>
            <w:r>
              <w:rPr>
                <w:b/>
              </w:rPr>
              <w:t>$</w:t>
            </w:r>
          </w:p>
        </w:tc>
      </w:tr>
      <w:tr>
        <w:trPr>
          <w:cantSplit/>
        </w:trPr>
        <w:tc>
          <w:tcPr>
            <w:tcW w:w="567" w:type="dxa"/>
          </w:tcPr>
          <w:p>
            <w:pPr>
              <w:pStyle w:val="yTableNAm"/>
            </w:pPr>
            <w:r>
              <w:t>1.</w:t>
            </w:r>
          </w:p>
        </w:tc>
        <w:tc>
          <w:tcPr>
            <w:tcW w:w="4252" w:type="dxa"/>
          </w:tcPr>
          <w:p>
            <w:pPr>
              <w:pStyle w:val="yTableNAm"/>
            </w:pPr>
            <w:r>
              <w:t xml:space="preserve">For pen, per m of the longer of the vessel’s length and the chargeable length for the pen — </w:t>
            </w:r>
          </w:p>
        </w:tc>
        <w:tc>
          <w:tcPr>
            <w:tcW w:w="1134" w:type="dxa"/>
          </w:tcPr>
          <w:p>
            <w:pPr>
              <w:pStyle w:val="yTableNAm"/>
              <w:jc w:val="right"/>
            </w:pPr>
          </w:p>
        </w:tc>
      </w:tr>
      <w:tr>
        <w:trPr>
          <w:cantSplit/>
        </w:trPr>
        <w:tc>
          <w:tcPr>
            <w:tcW w:w="567" w:type="dxa"/>
          </w:tcPr>
          <w:p>
            <w:pPr>
              <w:pStyle w:val="yTableNAm"/>
            </w:pPr>
          </w:p>
        </w:tc>
        <w:tc>
          <w:tcPr>
            <w:tcW w:w="4252" w:type="dxa"/>
          </w:tcPr>
          <w:p>
            <w:pPr>
              <w:pStyle w:val="yTableNAm"/>
              <w:tabs>
                <w:tab w:val="clear" w:pos="567"/>
                <w:tab w:val="left" w:pos="415"/>
              </w:tabs>
              <w:ind w:left="415" w:hanging="415"/>
            </w:pPr>
            <w:r>
              <w:t>•</w:t>
            </w:r>
            <w:r>
              <w:tab/>
              <w:t>for 12 months paid in advance</w:t>
            </w:r>
          </w:p>
        </w:tc>
        <w:tc>
          <w:tcPr>
            <w:tcW w:w="1134" w:type="dxa"/>
          </w:tcPr>
          <w:p>
            <w:pPr>
              <w:pStyle w:val="yTableNAm"/>
              <w:jc w:val="right"/>
            </w:pPr>
            <w:r>
              <w:t>321.34</w:t>
            </w:r>
          </w:p>
        </w:tc>
      </w:tr>
      <w:tr>
        <w:trPr>
          <w:cantSplit/>
        </w:trPr>
        <w:tc>
          <w:tcPr>
            <w:tcW w:w="567" w:type="dxa"/>
          </w:tcPr>
          <w:p>
            <w:pPr>
              <w:pStyle w:val="yTableNAm"/>
              <w:keepNext/>
              <w:keepLines/>
            </w:pPr>
          </w:p>
        </w:tc>
        <w:tc>
          <w:tcPr>
            <w:tcW w:w="4252" w:type="dxa"/>
          </w:tcPr>
          <w:p>
            <w:pPr>
              <w:pStyle w:val="yTableNAm"/>
              <w:keepNext/>
              <w:keepLines/>
              <w:tabs>
                <w:tab w:val="clear" w:pos="567"/>
                <w:tab w:val="left" w:pos="415"/>
              </w:tabs>
              <w:ind w:left="415" w:hanging="415"/>
              <w:rPr>
                <w:rFonts w:ascii="Arial" w:hAnsi="Arial"/>
                <w:b/>
              </w:rPr>
            </w:pPr>
            <w:r>
              <w:t>•</w:t>
            </w:r>
            <w:r>
              <w:tab/>
              <w:t>for 3 months or more, per month, paid in advance</w:t>
            </w:r>
          </w:p>
        </w:tc>
        <w:tc>
          <w:tcPr>
            <w:tcW w:w="1134" w:type="dxa"/>
          </w:tcPr>
          <w:p>
            <w:pPr>
              <w:pStyle w:val="yTableNAm"/>
              <w:keepNext/>
              <w:keepLines/>
              <w:jc w:val="right"/>
              <w:rPr>
                <w:rFonts w:ascii="Arial" w:hAnsi="Arial"/>
                <w:b/>
              </w:rPr>
            </w:pPr>
            <w:r>
              <w:br/>
              <w:t>32.13</w:t>
            </w:r>
          </w:p>
        </w:tc>
      </w:tr>
      <w:tr>
        <w:trPr>
          <w:cantSplit/>
        </w:trPr>
        <w:tc>
          <w:tcPr>
            <w:tcW w:w="567" w:type="dxa"/>
          </w:tcPr>
          <w:p>
            <w:pPr>
              <w:pStyle w:val="yTableNAm"/>
            </w:pPr>
          </w:p>
        </w:tc>
        <w:tc>
          <w:tcPr>
            <w:tcW w:w="4252" w:type="dxa"/>
          </w:tcPr>
          <w:p>
            <w:pPr>
              <w:pStyle w:val="yTableNAm"/>
              <w:tabs>
                <w:tab w:val="clear" w:pos="567"/>
                <w:tab w:val="left" w:pos="415"/>
              </w:tabs>
              <w:ind w:left="415" w:hanging="415"/>
            </w:pPr>
            <w:r>
              <w:t>•</w:t>
            </w:r>
            <w:r>
              <w:tab/>
              <w:t>for one month or more, per month, paid in advance</w:t>
            </w:r>
          </w:p>
        </w:tc>
        <w:tc>
          <w:tcPr>
            <w:tcW w:w="1134" w:type="dxa"/>
          </w:tcPr>
          <w:p>
            <w:pPr>
              <w:pStyle w:val="yTableNAm"/>
              <w:jc w:val="right"/>
            </w:pPr>
            <w:r>
              <w:br/>
              <w:t>48.20</w:t>
            </w:r>
          </w:p>
        </w:tc>
      </w:tr>
      <w:tr>
        <w:trPr>
          <w:cantSplit/>
        </w:trPr>
        <w:tc>
          <w:tcPr>
            <w:tcW w:w="567" w:type="dxa"/>
          </w:tcPr>
          <w:p>
            <w:pPr>
              <w:pStyle w:val="yTableNAm"/>
            </w:pPr>
          </w:p>
        </w:tc>
        <w:tc>
          <w:tcPr>
            <w:tcW w:w="4252" w:type="dxa"/>
          </w:tcPr>
          <w:p>
            <w:pPr>
              <w:pStyle w:val="yTableNAm"/>
              <w:tabs>
                <w:tab w:val="clear" w:pos="567"/>
                <w:tab w:val="left" w:pos="415"/>
              </w:tabs>
              <w:ind w:left="415" w:hanging="415"/>
            </w:pPr>
            <w:r>
              <w:t>•</w:t>
            </w:r>
            <w:r>
              <w:tab/>
              <w:t>for one week or more, per week, paid in advance</w:t>
            </w:r>
          </w:p>
        </w:tc>
        <w:tc>
          <w:tcPr>
            <w:tcW w:w="1134" w:type="dxa"/>
          </w:tcPr>
          <w:p>
            <w:pPr>
              <w:pStyle w:val="yTableNAm"/>
              <w:jc w:val="right"/>
            </w:pPr>
            <w:r>
              <w:br/>
              <w:t>24.14</w:t>
            </w:r>
          </w:p>
        </w:tc>
      </w:tr>
      <w:tr>
        <w:trPr>
          <w:cantSplit/>
        </w:trPr>
        <w:tc>
          <w:tcPr>
            <w:tcW w:w="567" w:type="dxa"/>
          </w:tcPr>
          <w:p>
            <w:pPr>
              <w:pStyle w:val="yTableNAm"/>
            </w:pPr>
          </w:p>
        </w:tc>
        <w:tc>
          <w:tcPr>
            <w:tcW w:w="4252" w:type="dxa"/>
          </w:tcPr>
          <w:p>
            <w:pPr>
              <w:pStyle w:val="yTableNAm"/>
              <w:tabs>
                <w:tab w:val="clear" w:pos="567"/>
                <w:tab w:val="left" w:pos="415"/>
              </w:tabs>
              <w:ind w:left="415" w:hanging="415"/>
            </w:pPr>
            <w:r>
              <w:t>•</w:t>
            </w:r>
            <w:r>
              <w:tab/>
              <w:t>otherwise, per day</w:t>
            </w:r>
          </w:p>
        </w:tc>
        <w:tc>
          <w:tcPr>
            <w:tcW w:w="1134" w:type="dxa"/>
          </w:tcPr>
          <w:p>
            <w:pPr>
              <w:pStyle w:val="yTableNAm"/>
              <w:jc w:val="right"/>
            </w:pPr>
            <w:r>
              <w:t>4.82</w:t>
            </w:r>
          </w:p>
        </w:tc>
      </w:tr>
      <w:tr>
        <w:trPr>
          <w:cantSplit/>
        </w:trPr>
        <w:tc>
          <w:tcPr>
            <w:tcW w:w="567" w:type="dxa"/>
          </w:tcPr>
          <w:p>
            <w:pPr>
              <w:pStyle w:val="yTableNAm"/>
            </w:pPr>
            <w:r>
              <w:t>2.</w:t>
            </w:r>
          </w:p>
        </w:tc>
        <w:tc>
          <w:tcPr>
            <w:tcW w:w="4252" w:type="dxa"/>
          </w:tcPr>
          <w:p>
            <w:pPr>
              <w:pStyle w:val="yTableNAm"/>
            </w:pPr>
            <w:r>
              <w:t>For berth on jetty, per m of the vessel’s length</w:t>
            </w:r>
          </w:p>
        </w:tc>
        <w:tc>
          <w:tcPr>
            <w:tcW w:w="1134" w:type="dxa"/>
          </w:tcPr>
          <w:p>
            <w:pPr>
              <w:pStyle w:val="yTableNAm"/>
              <w:jc w:val="center"/>
            </w:pPr>
            <w:r>
              <w:t>Item 1 fee</w:t>
            </w:r>
          </w:p>
        </w:tc>
      </w:tr>
      <w:tr>
        <w:trPr>
          <w:cantSplit/>
        </w:trPr>
        <w:tc>
          <w:tcPr>
            <w:tcW w:w="567" w:type="dxa"/>
            <w:tcBorders>
              <w:bottom w:val="single" w:sz="4" w:space="0" w:color="auto"/>
            </w:tcBorders>
          </w:tcPr>
          <w:p>
            <w:pPr>
              <w:pStyle w:val="yTableNAm"/>
            </w:pPr>
            <w:r>
              <w:t>3.</w:t>
            </w:r>
          </w:p>
        </w:tc>
        <w:tc>
          <w:tcPr>
            <w:tcW w:w="4252" w:type="dxa"/>
            <w:tcBorders>
              <w:bottom w:val="single" w:sz="4" w:space="0" w:color="auto"/>
            </w:tcBorders>
          </w:tcPr>
          <w:p>
            <w:pPr>
              <w:pStyle w:val="yTableNAm"/>
            </w:pPr>
            <w:r>
              <w:t>For living on board a vessel, per vessel, per month</w:t>
            </w:r>
          </w:p>
        </w:tc>
        <w:tc>
          <w:tcPr>
            <w:tcW w:w="1134" w:type="dxa"/>
            <w:tcBorders>
              <w:bottom w:val="single" w:sz="4" w:space="0" w:color="auto"/>
            </w:tcBorders>
          </w:tcPr>
          <w:p>
            <w:pPr>
              <w:pStyle w:val="yTableNAm"/>
              <w:jc w:val="right"/>
            </w:pPr>
            <w:r>
              <w:br/>
              <w:t>42.99</w:t>
            </w:r>
          </w:p>
        </w:tc>
      </w:tr>
    </w:tbl>
    <w:p>
      <w:pPr>
        <w:pStyle w:val="ySubsection"/>
        <w:spacing w:before="180"/>
      </w:pPr>
      <w:r>
        <w:tab/>
        <w:t>(4)</w:t>
      </w:r>
      <w:r>
        <w:tab/>
        <w:t>The charges to be paid under regulations 25 and 96 for services at the slip are set out in Table 5.2.</w:t>
      </w:r>
    </w:p>
    <w:p>
      <w:pPr>
        <w:pStyle w:val="ySubsection"/>
        <w:spacing w:before="180"/>
      </w:pPr>
      <w:r>
        <w:tab/>
        <w:t>(5)</w:t>
      </w:r>
      <w:r>
        <w:tab/>
        <w:t>If any use of land immediately adjacent to the slip for maintenance or storage immediately precedes use of land not immediately adjacent, the fee under item 4 in Table 5.2 applies to the whole period of use.</w:t>
      </w:r>
    </w:p>
    <w:p>
      <w:pPr>
        <w:pStyle w:val="yTHeadingNAm"/>
        <w:spacing w:before="120" w:after="40"/>
      </w:pPr>
      <w:r>
        <w:t>Table 5.2 (Slip charges)</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252"/>
        <w:gridCol w:w="1134"/>
      </w:tblGrid>
      <w:tr>
        <w:trPr>
          <w:cantSplit/>
          <w:tblHeader/>
        </w:trPr>
        <w:tc>
          <w:tcPr>
            <w:tcW w:w="567" w:type="dxa"/>
            <w:tcBorders>
              <w:top w:val="single" w:sz="4" w:space="0" w:color="auto"/>
              <w:bottom w:val="single" w:sz="4" w:space="0" w:color="auto"/>
            </w:tcBorders>
          </w:tcPr>
          <w:p>
            <w:pPr>
              <w:pStyle w:val="yTableNAm"/>
              <w:rPr>
                <w:b/>
              </w:rPr>
            </w:pPr>
            <w:r>
              <w:rPr>
                <w:b/>
              </w:rPr>
              <w:t>Item</w:t>
            </w:r>
          </w:p>
        </w:tc>
        <w:tc>
          <w:tcPr>
            <w:tcW w:w="4252" w:type="dxa"/>
            <w:tcBorders>
              <w:top w:val="single" w:sz="4" w:space="0" w:color="auto"/>
              <w:bottom w:val="single" w:sz="4" w:space="0" w:color="auto"/>
            </w:tcBorders>
          </w:tcPr>
          <w:p>
            <w:pPr>
              <w:pStyle w:val="yTableNAm"/>
              <w:rPr>
                <w:b/>
              </w:rPr>
            </w:pPr>
            <w:r>
              <w:rPr>
                <w:b/>
              </w:rPr>
              <w:t>Service</w:t>
            </w:r>
          </w:p>
        </w:tc>
        <w:tc>
          <w:tcPr>
            <w:tcW w:w="1134" w:type="dxa"/>
            <w:tcBorders>
              <w:top w:val="single" w:sz="4" w:space="0" w:color="auto"/>
              <w:bottom w:val="single" w:sz="4" w:space="0" w:color="auto"/>
            </w:tcBorders>
          </w:tcPr>
          <w:p>
            <w:pPr>
              <w:pStyle w:val="yTableNAm"/>
              <w:jc w:val="center"/>
              <w:rPr>
                <w:b/>
              </w:rPr>
            </w:pPr>
            <w:r>
              <w:rPr>
                <w:b/>
              </w:rPr>
              <w:t>$</w:t>
            </w:r>
          </w:p>
        </w:tc>
      </w:tr>
      <w:tr>
        <w:trPr>
          <w:cantSplit/>
        </w:trPr>
        <w:tc>
          <w:tcPr>
            <w:tcW w:w="567" w:type="dxa"/>
          </w:tcPr>
          <w:p>
            <w:pPr>
              <w:pStyle w:val="yTableNAm"/>
            </w:pPr>
            <w:r>
              <w:t>1.</w:t>
            </w:r>
          </w:p>
        </w:tc>
        <w:tc>
          <w:tcPr>
            <w:tcW w:w="4252" w:type="dxa"/>
          </w:tcPr>
          <w:p>
            <w:pPr>
              <w:pStyle w:val="yTableNAm"/>
            </w:pPr>
            <w:r>
              <w:t xml:space="preserve">For use of slip per day, during — </w:t>
            </w:r>
          </w:p>
        </w:tc>
        <w:tc>
          <w:tcPr>
            <w:tcW w:w="1134" w:type="dxa"/>
          </w:tcPr>
          <w:p>
            <w:pPr>
              <w:pStyle w:val="yTableNAm"/>
              <w:jc w:val="right"/>
            </w:pPr>
          </w:p>
        </w:tc>
      </w:tr>
      <w:tr>
        <w:trPr>
          <w:cantSplit/>
        </w:trPr>
        <w:tc>
          <w:tcPr>
            <w:tcW w:w="567" w:type="dxa"/>
          </w:tcPr>
          <w:p>
            <w:pPr>
              <w:pStyle w:val="yTableNAm"/>
            </w:pPr>
          </w:p>
        </w:tc>
        <w:tc>
          <w:tcPr>
            <w:tcW w:w="4252" w:type="dxa"/>
          </w:tcPr>
          <w:p>
            <w:pPr>
              <w:pStyle w:val="yTableNAm"/>
              <w:tabs>
                <w:tab w:val="clear" w:pos="567"/>
                <w:tab w:val="left" w:pos="415"/>
              </w:tabs>
              <w:ind w:left="414" w:hanging="414"/>
              <w:rPr>
                <w:rFonts w:ascii="Arial" w:hAnsi="Arial"/>
                <w:b/>
              </w:rPr>
            </w:pPr>
            <w:r>
              <w:t>•</w:t>
            </w:r>
            <w:r>
              <w:tab/>
              <w:t>1 April to 31 August</w:t>
            </w:r>
          </w:p>
        </w:tc>
        <w:tc>
          <w:tcPr>
            <w:tcW w:w="1134" w:type="dxa"/>
          </w:tcPr>
          <w:p>
            <w:pPr>
              <w:pStyle w:val="yTableNAm"/>
              <w:jc w:val="right"/>
            </w:pPr>
            <w:r>
              <w:t>67.47</w:t>
            </w:r>
          </w:p>
        </w:tc>
      </w:tr>
      <w:tr>
        <w:trPr>
          <w:cantSplit/>
        </w:trPr>
        <w:tc>
          <w:tcPr>
            <w:tcW w:w="567" w:type="dxa"/>
          </w:tcPr>
          <w:p>
            <w:pPr>
              <w:pStyle w:val="yTableNAm"/>
            </w:pPr>
          </w:p>
        </w:tc>
        <w:tc>
          <w:tcPr>
            <w:tcW w:w="4252" w:type="dxa"/>
          </w:tcPr>
          <w:p>
            <w:pPr>
              <w:pStyle w:val="yTableNAm"/>
              <w:tabs>
                <w:tab w:val="clear" w:pos="567"/>
                <w:tab w:val="left" w:pos="415"/>
              </w:tabs>
              <w:ind w:left="415" w:hanging="415"/>
            </w:pPr>
            <w:r>
              <w:t>•</w:t>
            </w:r>
            <w:r>
              <w:tab/>
              <w:t>1 September to 31 March</w:t>
            </w:r>
          </w:p>
        </w:tc>
        <w:tc>
          <w:tcPr>
            <w:tcW w:w="1134" w:type="dxa"/>
          </w:tcPr>
          <w:p>
            <w:pPr>
              <w:pStyle w:val="yTableNAm"/>
              <w:jc w:val="right"/>
            </w:pPr>
            <w:r>
              <w:t>134.98</w:t>
            </w:r>
          </w:p>
        </w:tc>
      </w:tr>
      <w:tr>
        <w:trPr>
          <w:cantSplit/>
        </w:trPr>
        <w:tc>
          <w:tcPr>
            <w:tcW w:w="567" w:type="dxa"/>
          </w:tcPr>
          <w:p>
            <w:pPr>
              <w:pStyle w:val="yTableNAm"/>
            </w:pPr>
            <w:r>
              <w:t>2.</w:t>
            </w:r>
          </w:p>
        </w:tc>
        <w:tc>
          <w:tcPr>
            <w:tcW w:w="4252" w:type="dxa"/>
          </w:tcPr>
          <w:p>
            <w:pPr>
              <w:pStyle w:val="yTableNAm"/>
            </w:pPr>
            <w:r>
              <w:t xml:space="preserve">For haulage up and down — </w:t>
            </w:r>
          </w:p>
        </w:tc>
        <w:tc>
          <w:tcPr>
            <w:tcW w:w="1134" w:type="dxa"/>
          </w:tcPr>
          <w:p>
            <w:pPr>
              <w:pStyle w:val="yTableNAm"/>
              <w:jc w:val="right"/>
            </w:pPr>
          </w:p>
        </w:tc>
      </w:tr>
      <w:tr>
        <w:trPr>
          <w:cantSplit/>
        </w:trPr>
        <w:tc>
          <w:tcPr>
            <w:tcW w:w="567" w:type="dxa"/>
          </w:tcPr>
          <w:p>
            <w:pPr>
              <w:pStyle w:val="yTableNAm"/>
            </w:pPr>
          </w:p>
        </w:tc>
        <w:tc>
          <w:tcPr>
            <w:tcW w:w="4252" w:type="dxa"/>
          </w:tcPr>
          <w:p>
            <w:pPr>
              <w:pStyle w:val="yTableNAm"/>
              <w:tabs>
                <w:tab w:val="clear" w:pos="567"/>
                <w:tab w:val="left" w:pos="415"/>
              </w:tabs>
              <w:ind w:left="415" w:hanging="415"/>
            </w:pPr>
            <w:r>
              <w:t>•</w:t>
            </w:r>
            <w:r>
              <w:tab/>
              <w:t xml:space="preserve">for a vessel for which fees under the </w:t>
            </w:r>
            <w:r>
              <w:rPr>
                <w:i/>
              </w:rPr>
              <w:t>Shipping and Pilotage (Mooring Control Areas) Regulations 1983</w:t>
            </w:r>
            <w:r>
              <w:t>, or the annual fee in item 1 of Table 5.1, have been paid</w:t>
            </w:r>
          </w:p>
        </w:tc>
        <w:tc>
          <w:tcPr>
            <w:tcW w:w="1134" w:type="dxa"/>
            <w:vAlign w:val="bottom"/>
          </w:tcPr>
          <w:p>
            <w:pPr>
              <w:pStyle w:val="yTableNAm"/>
              <w:jc w:val="right"/>
            </w:pPr>
            <w:r>
              <w:t>229.53</w:t>
            </w:r>
          </w:p>
        </w:tc>
      </w:tr>
      <w:tr>
        <w:trPr>
          <w:cantSplit/>
        </w:trPr>
        <w:tc>
          <w:tcPr>
            <w:tcW w:w="567" w:type="dxa"/>
          </w:tcPr>
          <w:p>
            <w:pPr>
              <w:pStyle w:val="yTableNAm"/>
              <w:spacing w:before="80"/>
            </w:pPr>
          </w:p>
        </w:tc>
        <w:tc>
          <w:tcPr>
            <w:tcW w:w="4252" w:type="dxa"/>
          </w:tcPr>
          <w:p>
            <w:pPr>
              <w:pStyle w:val="yTableNAm"/>
              <w:tabs>
                <w:tab w:val="clear" w:pos="567"/>
                <w:tab w:val="left" w:pos="415"/>
              </w:tabs>
              <w:spacing w:before="80"/>
              <w:ind w:left="415" w:hanging="415"/>
            </w:pPr>
            <w:r>
              <w:t>•</w:t>
            </w:r>
            <w:r>
              <w:tab/>
              <w:t>for any other vessel</w:t>
            </w:r>
          </w:p>
        </w:tc>
        <w:tc>
          <w:tcPr>
            <w:tcW w:w="1134" w:type="dxa"/>
          </w:tcPr>
          <w:p>
            <w:pPr>
              <w:pStyle w:val="yTableNAm"/>
              <w:spacing w:before="80"/>
              <w:jc w:val="right"/>
            </w:pPr>
            <w:r>
              <w:t>267.79</w:t>
            </w:r>
          </w:p>
        </w:tc>
      </w:tr>
      <w:tr>
        <w:trPr>
          <w:cantSplit/>
        </w:trPr>
        <w:tc>
          <w:tcPr>
            <w:tcW w:w="567" w:type="dxa"/>
          </w:tcPr>
          <w:p>
            <w:pPr>
              <w:pStyle w:val="yTableNAm"/>
              <w:rPr>
                <w:rFonts w:ascii="Arial" w:hAnsi="Arial"/>
                <w:b/>
              </w:rPr>
            </w:pPr>
            <w:r>
              <w:t>3.</w:t>
            </w:r>
          </w:p>
        </w:tc>
        <w:tc>
          <w:tcPr>
            <w:tcW w:w="4252" w:type="dxa"/>
          </w:tcPr>
          <w:p>
            <w:pPr>
              <w:pStyle w:val="yTableNAm"/>
              <w:rPr>
                <w:rFonts w:ascii="Arial" w:hAnsi="Arial"/>
                <w:b/>
              </w:rPr>
            </w:pPr>
            <w:r>
              <w:t xml:space="preserve">For using the Department’s land immediately adjacent to the slip for maintenance or storage — </w:t>
            </w:r>
          </w:p>
        </w:tc>
        <w:tc>
          <w:tcPr>
            <w:tcW w:w="1134" w:type="dxa"/>
          </w:tcPr>
          <w:p>
            <w:pPr>
              <w:pStyle w:val="yTableNAm"/>
              <w:jc w:val="right"/>
            </w:pPr>
          </w:p>
        </w:tc>
      </w:tr>
      <w:tr>
        <w:trPr>
          <w:cantSplit/>
        </w:trPr>
        <w:tc>
          <w:tcPr>
            <w:tcW w:w="567" w:type="dxa"/>
          </w:tcPr>
          <w:p>
            <w:pPr>
              <w:pStyle w:val="yTableNAm"/>
            </w:pPr>
          </w:p>
        </w:tc>
        <w:tc>
          <w:tcPr>
            <w:tcW w:w="4252" w:type="dxa"/>
          </w:tcPr>
          <w:p>
            <w:pPr>
              <w:pStyle w:val="yTableNAm"/>
              <w:tabs>
                <w:tab w:val="clear" w:pos="567"/>
                <w:tab w:val="left" w:pos="415"/>
              </w:tabs>
              <w:ind w:left="415" w:hanging="415"/>
              <w:rPr>
                <w:rFonts w:ascii="Arial" w:hAnsi="Arial"/>
                <w:b/>
              </w:rPr>
            </w:pPr>
            <w:r>
              <w:t>•</w:t>
            </w:r>
            <w:r>
              <w:tab/>
              <w:t>for the first 30 days, per day</w:t>
            </w:r>
          </w:p>
        </w:tc>
        <w:tc>
          <w:tcPr>
            <w:tcW w:w="1134" w:type="dxa"/>
          </w:tcPr>
          <w:p>
            <w:pPr>
              <w:pStyle w:val="yTableNAm"/>
              <w:jc w:val="right"/>
              <w:rPr>
                <w:rFonts w:ascii="Arial" w:hAnsi="Arial"/>
                <w:b/>
              </w:rPr>
            </w:pPr>
            <w:r>
              <w:t>9.63</w:t>
            </w:r>
          </w:p>
        </w:tc>
      </w:tr>
      <w:tr>
        <w:trPr>
          <w:cantSplit/>
        </w:trPr>
        <w:tc>
          <w:tcPr>
            <w:tcW w:w="567" w:type="dxa"/>
          </w:tcPr>
          <w:p>
            <w:pPr>
              <w:pStyle w:val="yTableNAm"/>
            </w:pPr>
          </w:p>
        </w:tc>
        <w:tc>
          <w:tcPr>
            <w:tcW w:w="4252" w:type="dxa"/>
          </w:tcPr>
          <w:p>
            <w:pPr>
              <w:pStyle w:val="yTableNAm"/>
              <w:tabs>
                <w:tab w:val="clear" w:pos="567"/>
                <w:tab w:val="left" w:pos="415"/>
              </w:tabs>
              <w:ind w:left="415" w:hanging="415"/>
              <w:rPr>
                <w:rFonts w:ascii="Arial" w:hAnsi="Arial"/>
                <w:b/>
              </w:rPr>
            </w:pPr>
            <w:r>
              <w:t>•</w:t>
            </w:r>
            <w:r>
              <w:tab/>
              <w:t>after the first 30 days, per day</w:t>
            </w:r>
          </w:p>
        </w:tc>
        <w:tc>
          <w:tcPr>
            <w:tcW w:w="1134" w:type="dxa"/>
          </w:tcPr>
          <w:p>
            <w:pPr>
              <w:pStyle w:val="yTableNAm"/>
              <w:jc w:val="right"/>
              <w:rPr>
                <w:rFonts w:ascii="Arial" w:hAnsi="Arial"/>
                <w:b/>
              </w:rPr>
            </w:pPr>
            <w:r>
              <w:t>40.16</w:t>
            </w:r>
          </w:p>
        </w:tc>
      </w:tr>
      <w:tr>
        <w:trPr>
          <w:cantSplit/>
        </w:trPr>
        <w:tc>
          <w:tcPr>
            <w:tcW w:w="567" w:type="dxa"/>
          </w:tcPr>
          <w:p>
            <w:pPr>
              <w:pStyle w:val="yTableNAm"/>
              <w:rPr>
                <w:rFonts w:ascii="Arial" w:hAnsi="Arial"/>
                <w:b/>
              </w:rPr>
            </w:pPr>
            <w:r>
              <w:t>4.</w:t>
            </w:r>
          </w:p>
        </w:tc>
        <w:tc>
          <w:tcPr>
            <w:tcW w:w="4252" w:type="dxa"/>
          </w:tcPr>
          <w:p>
            <w:pPr>
              <w:pStyle w:val="yTableNAm"/>
              <w:rPr>
                <w:rFonts w:ascii="Arial" w:hAnsi="Arial"/>
                <w:b/>
              </w:rPr>
            </w:pPr>
            <w:r>
              <w:t xml:space="preserve">For using the Department’s land in the harbour not immediately adjacent to the slip for maintenance or storage — </w:t>
            </w:r>
          </w:p>
        </w:tc>
        <w:tc>
          <w:tcPr>
            <w:tcW w:w="1134" w:type="dxa"/>
          </w:tcPr>
          <w:p>
            <w:pPr>
              <w:pStyle w:val="yTableNAm"/>
              <w:jc w:val="right"/>
            </w:pPr>
          </w:p>
        </w:tc>
      </w:tr>
      <w:tr>
        <w:trPr>
          <w:cantSplit/>
        </w:trPr>
        <w:tc>
          <w:tcPr>
            <w:tcW w:w="567" w:type="dxa"/>
          </w:tcPr>
          <w:p>
            <w:pPr>
              <w:pStyle w:val="yTableNAm"/>
            </w:pPr>
          </w:p>
        </w:tc>
        <w:tc>
          <w:tcPr>
            <w:tcW w:w="4252" w:type="dxa"/>
          </w:tcPr>
          <w:p>
            <w:pPr>
              <w:pStyle w:val="yTableNAm"/>
              <w:tabs>
                <w:tab w:val="clear" w:pos="567"/>
                <w:tab w:val="left" w:pos="415"/>
              </w:tabs>
              <w:ind w:left="415" w:hanging="415"/>
              <w:rPr>
                <w:rFonts w:ascii="Arial" w:hAnsi="Arial"/>
                <w:b/>
              </w:rPr>
            </w:pPr>
            <w:r>
              <w:t>•</w:t>
            </w:r>
            <w:r>
              <w:tab/>
              <w:t>for the first 90 days, per day</w:t>
            </w:r>
          </w:p>
        </w:tc>
        <w:tc>
          <w:tcPr>
            <w:tcW w:w="1134" w:type="dxa"/>
          </w:tcPr>
          <w:p>
            <w:pPr>
              <w:pStyle w:val="yTableNAm"/>
              <w:jc w:val="right"/>
              <w:rPr>
                <w:rFonts w:ascii="Arial" w:hAnsi="Arial"/>
                <w:b/>
              </w:rPr>
            </w:pPr>
            <w:r>
              <w:t>9.63</w:t>
            </w:r>
          </w:p>
        </w:tc>
      </w:tr>
      <w:tr>
        <w:trPr>
          <w:cantSplit/>
        </w:trPr>
        <w:tc>
          <w:tcPr>
            <w:tcW w:w="567" w:type="dxa"/>
          </w:tcPr>
          <w:p>
            <w:pPr>
              <w:pStyle w:val="yTableNAm"/>
            </w:pPr>
          </w:p>
        </w:tc>
        <w:tc>
          <w:tcPr>
            <w:tcW w:w="4252" w:type="dxa"/>
          </w:tcPr>
          <w:p>
            <w:pPr>
              <w:pStyle w:val="yTableNAm"/>
              <w:tabs>
                <w:tab w:val="clear" w:pos="567"/>
                <w:tab w:val="left" w:pos="415"/>
              </w:tabs>
              <w:ind w:left="415" w:hanging="415"/>
              <w:rPr>
                <w:rFonts w:ascii="Arial" w:hAnsi="Arial"/>
                <w:b/>
              </w:rPr>
            </w:pPr>
            <w:r>
              <w:t>•</w:t>
            </w:r>
            <w:r>
              <w:tab/>
              <w:t>after the first 90 days, per day</w:t>
            </w:r>
          </w:p>
        </w:tc>
        <w:tc>
          <w:tcPr>
            <w:tcW w:w="1134" w:type="dxa"/>
          </w:tcPr>
          <w:p>
            <w:pPr>
              <w:pStyle w:val="yTableNAm"/>
              <w:jc w:val="right"/>
              <w:rPr>
                <w:rFonts w:ascii="Arial" w:hAnsi="Arial"/>
                <w:b/>
              </w:rPr>
            </w:pPr>
            <w:r>
              <w:t>40.16</w:t>
            </w:r>
          </w:p>
        </w:tc>
      </w:tr>
      <w:tr>
        <w:trPr>
          <w:cantSplit/>
        </w:trPr>
        <w:tc>
          <w:tcPr>
            <w:tcW w:w="567" w:type="dxa"/>
          </w:tcPr>
          <w:p>
            <w:pPr>
              <w:pStyle w:val="yTableNAm"/>
              <w:rPr>
                <w:rFonts w:ascii="Arial" w:hAnsi="Arial"/>
                <w:b/>
              </w:rPr>
            </w:pPr>
            <w:r>
              <w:t>5.</w:t>
            </w:r>
          </w:p>
        </w:tc>
        <w:tc>
          <w:tcPr>
            <w:tcW w:w="4252" w:type="dxa"/>
          </w:tcPr>
          <w:p>
            <w:pPr>
              <w:pStyle w:val="yTableNAm"/>
              <w:rPr>
                <w:rFonts w:ascii="Arial" w:hAnsi="Arial"/>
                <w:b/>
              </w:rPr>
            </w:pPr>
            <w:r>
              <w:t>For water supply, if metered, per day</w:t>
            </w:r>
          </w:p>
        </w:tc>
        <w:tc>
          <w:tcPr>
            <w:tcW w:w="1134" w:type="dxa"/>
          </w:tcPr>
          <w:p>
            <w:pPr>
              <w:pStyle w:val="yTableNAm"/>
              <w:jc w:val="right"/>
              <w:rPr>
                <w:rFonts w:ascii="Arial" w:hAnsi="Arial"/>
                <w:b/>
              </w:rPr>
            </w:pPr>
            <w:r>
              <w:t>cost</w:t>
            </w:r>
          </w:p>
        </w:tc>
      </w:tr>
      <w:tr>
        <w:trPr>
          <w:cantSplit/>
        </w:trPr>
        <w:tc>
          <w:tcPr>
            <w:tcW w:w="567" w:type="dxa"/>
            <w:tcBorders>
              <w:bottom w:val="single" w:sz="4" w:space="0" w:color="auto"/>
            </w:tcBorders>
          </w:tcPr>
          <w:p>
            <w:pPr>
              <w:pStyle w:val="yTableNAm"/>
              <w:rPr>
                <w:rFonts w:ascii="Arial" w:hAnsi="Arial"/>
                <w:b/>
              </w:rPr>
            </w:pPr>
            <w:r>
              <w:t>6.</w:t>
            </w:r>
          </w:p>
        </w:tc>
        <w:tc>
          <w:tcPr>
            <w:tcW w:w="4252" w:type="dxa"/>
            <w:tcBorders>
              <w:bottom w:val="single" w:sz="4" w:space="0" w:color="auto"/>
            </w:tcBorders>
          </w:tcPr>
          <w:p>
            <w:pPr>
              <w:pStyle w:val="yTableNAm"/>
              <w:rPr>
                <w:rFonts w:ascii="Arial" w:hAnsi="Arial"/>
                <w:b/>
              </w:rPr>
            </w:pPr>
            <w:r>
              <w:t>For electricity supply, if metered, per day</w:t>
            </w:r>
          </w:p>
        </w:tc>
        <w:tc>
          <w:tcPr>
            <w:tcW w:w="1134" w:type="dxa"/>
            <w:tcBorders>
              <w:bottom w:val="single" w:sz="4" w:space="0" w:color="auto"/>
            </w:tcBorders>
          </w:tcPr>
          <w:p>
            <w:pPr>
              <w:pStyle w:val="yTableNAm"/>
              <w:jc w:val="right"/>
              <w:rPr>
                <w:rFonts w:ascii="Arial" w:hAnsi="Arial"/>
                <w:b/>
              </w:rPr>
            </w:pPr>
            <w:r>
              <w:t>cost</w:t>
            </w:r>
          </w:p>
        </w:tc>
      </w:tr>
    </w:tbl>
    <w:p>
      <w:pPr>
        <w:pStyle w:val="yFootnotesection"/>
      </w:pPr>
      <w:r>
        <w:tab/>
        <w:t>[Clause 5 inserted in Gazette 28 Jun 2013 p. 2836</w:t>
      </w:r>
      <w:r>
        <w:noBreakHyphen/>
        <w:t>8.]</w:t>
      </w:r>
    </w:p>
    <w:p>
      <w:pPr>
        <w:pStyle w:val="yHeading5"/>
        <w:spacing w:before="240"/>
      </w:pPr>
      <w:bookmarkStart w:id="147" w:name="_Toc382380041"/>
      <w:r>
        <w:rPr>
          <w:rStyle w:val="CharSClsNo"/>
        </w:rPr>
        <w:t>6</w:t>
      </w:r>
      <w:r>
        <w:t>.</w:t>
      </w:r>
      <w:r>
        <w:rPr>
          <w:b w:val="0"/>
        </w:rPr>
        <w:tab/>
      </w:r>
      <w:smartTag w:uri="urn:schemas-microsoft-com:office:smarttags" w:element="place">
        <w:smartTag w:uri="urn:schemas-microsoft-com:office:smarttags" w:element="PlaceName">
          <w:r>
            <w:t>Carnarvon</w:t>
          </w:r>
        </w:smartTag>
        <w:r>
          <w:t xml:space="preserve"> </w:t>
        </w:r>
        <w:smartTag w:uri="urn:schemas-microsoft-com:office:smarttags" w:element="PlaceName">
          <w:r>
            <w:t>Boat</w:t>
          </w:r>
        </w:smartTag>
        <w:r>
          <w:t xml:space="preserve"> </w:t>
        </w:r>
        <w:smartTag w:uri="urn:schemas-microsoft-com:office:smarttags" w:element="PlaceType">
          <w:r>
            <w:t>Harbour</w:t>
          </w:r>
        </w:smartTag>
      </w:smartTag>
      <w:bookmarkEnd w:id="147"/>
    </w:p>
    <w:p>
      <w:pPr>
        <w:pStyle w:val="ySubsection"/>
        <w:spacing w:before="180"/>
      </w:pPr>
      <w:r>
        <w:tab/>
        <w:t>(1)</w:t>
      </w:r>
      <w:r>
        <w:tab/>
        <w:t xml:space="preserve">This clause applies to the </w:t>
      </w:r>
      <w:smartTag w:uri="urn:schemas-microsoft-com:office:smarttags" w:element="place">
        <w:smartTag w:uri="urn:schemas-microsoft-com:office:smarttags" w:element="PlaceName">
          <w:r>
            <w:t>Carnarvon</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w:t>
      </w:r>
    </w:p>
    <w:p>
      <w:pPr>
        <w:pStyle w:val="ySubsection"/>
        <w:spacing w:before="180"/>
      </w:pPr>
      <w:r>
        <w:tab/>
        <w:t>(2)</w:t>
      </w:r>
      <w:r>
        <w:tab/>
        <w:t>The fees and charges to be paid under regulations 6, 94A and 94B are set out in Table 6.1.</w:t>
      </w:r>
    </w:p>
    <w:p>
      <w:pPr>
        <w:pStyle w:val="ySubsection"/>
        <w:spacing w:before="180"/>
      </w:pPr>
      <w:r>
        <w:tab/>
        <w:t>(3)</w:t>
      </w:r>
      <w:r>
        <w:tab/>
        <w:t>In Table 6.1 the chargeable length for a pen is —</w:t>
      </w:r>
    </w:p>
    <w:p>
      <w:pPr>
        <w:pStyle w:val="yIndenta"/>
        <w:spacing w:before="120"/>
      </w:pPr>
      <w:r>
        <w:tab/>
        <w:t>(a)</w:t>
      </w:r>
      <w:r>
        <w:tab/>
        <w:t>if the pen is 12 m long, 9.6 m;</w:t>
      </w:r>
    </w:p>
    <w:p>
      <w:pPr>
        <w:pStyle w:val="yIndenta"/>
        <w:spacing w:before="120"/>
      </w:pPr>
      <w:r>
        <w:tab/>
        <w:t>(b)</w:t>
      </w:r>
      <w:r>
        <w:tab/>
        <w:t>if the pen is 15 m long, 12 m;</w:t>
      </w:r>
    </w:p>
    <w:p>
      <w:pPr>
        <w:pStyle w:val="yIndenta"/>
        <w:spacing w:before="120"/>
      </w:pPr>
      <w:r>
        <w:tab/>
        <w:t>(c)</w:t>
      </w:r>
      <w:r>
        <w:tab/>
        <w:t>if the pen is 20 m long, 16 m.</w:t>
      </w:r>
    </w:p>
    <w:p>
      <w:pPr>
        <w:pStyle w:val="yTHeadingNAm"/>
        <w:keepLines/>
      </w:pPr>
      <w:r>
        <w:t>Table 6.1 (Berthing, pen rental and mooring)</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91"/>
        <w:gridCol w:w="995"/>
      </w:tblGrid>
      <w:tr>
        <w:trPr>
          <w:cantSplit/>
          <w:tblHeader/>
        </w:trPr>
        <w:tc>
          <w:tcPr>
            <w:tcW w:w="567" w:type="dxa"/>
            <w:tcBorders>
              <w:top w:val="single" w:sz="4" w:space="0" w:color="auto"/>
              <w:bottom w:val="single" w:sz="4" w:space="0" w:color="auto"/>
            </w:tcBorders>
          </w:tcPr>
          <w:p>
            <w:pPr>
              <w:pStyle w:val="yTableNAm"/>
              <w:keepNext/>
              <w:keepLines/>
              <w:rPr>
                <w:b/>
              </w:rPr>
            </w:pPr>
            <w:r>
              <w:rPr>
                <w:b/>
              </w:rPr>
              <w:t>Item</w:t>
            </w:r>
          </w:p>
        </w:tc>
        <w:tc>
          <w:tcPr>
            <w:tcW w:w="4391" w:type="dxa"/>
            <w:tcBorders>
              <w:top w:val="single" w:sz="4" w:space="0" w:color="auto"/>
              <w:bottom w:val="single" w:sz="4" w:space="0" w:color="auto"/>
            </w:tcBorders>
          </w:tcPr>
          <w:p>
            <w:pPr>
              <w:pStyle w:val="yTableNAm"/>
              <w:keepNext/>
              <w:keepLines/>
              <w:rPr>
                <w:b/>
              </w:rPr>
            </w:pPr>
            <w:r>
              <w:rPr>
                <w:b/>
              </w:rPr>
              <w:t>Service</w:t>
            </w:r>
          </w:p>
        </w:tc>
        <w:tc>
          <w:tcPr>
            <w:tcW w:w="995" w:type="dxa"/>
            <w:tcBorders>
              <w:top w:val="single" w:sz="4" w:space="0" w:color="auto"/>
              <w:bottom w:val="single" w:sz="4" w:space="0" w:color="auto"/>
            </w:tcBorders>
          </w:tcPr>
          <w:p>
            <w:pPr>
              <w:pStyle w:val="yTableNAm"/>
              <w:keepNext/>
              <w:keepLines/>
              <w:jc w:val="center"/>
              <w:rPr>
                <w:b/>
              </w:rPr>
            </w:pPr>
            <w:r>
              <w:rPr>
                <w:b/>
              </w:rPr>
              <w:t>$</w:t>
            </w:r>
          </w:p>
        </w:tc>
      </w:tr>
      <w:tr>
        <w:trPr>
          <w:cantSplit/>
        </w:trPr>
        <w:tc>
          <w:tcPr>
            <w:tcW w:w="567" w:type="dxa"/>
          </w:tcPr>
          <w:p>
            <w:pPr>
              <w:pStyle w:val="yTableNAm"/>
            </w:pPr>
            <w:r>
              <w:t>1.</w:t>
            </w:r>
          </w:p>
        </w:tc>
        <w:tc>
          <w:tcPr>
            <w:tcW w:w="4391" w:type="dxa"/>
          </w:tcPr>
          <w:p>
            <w:pPr>
              <w:pStyle w:val="yTableNAm"/>
            </w:pPr>
            <w:r>
              <w:t>For use by vessel of T</w:t>
            </w:r>
            <w:r>
              <w:noBreakHyphen/>
              <w:t>jetty, T</w:t>
            </w:r>
            <w:r>
              <w:noBreakHyphen/>
              <w:t>jetty pen and land</w:t>
            </w:r>
            <w:r>
              <w:noBreakHyphen/>
              <w:t xml:space="preserve">backed wharf, per m of the longer of the vessel’s length and the chargeable length for the pen — </w:t>
            </w:r>
          </w:p>
        </w:tc>
        <w:tc>
          <w:tcPr>
            <w:tcW w:w="995" w:type="dxa"/>
            <w:vAlign w:val="bottom"/>
          </w:tcPr>
          <w:p>
            <w:pPr>
              <w:pStyle w:val="yTableNAm"/>
              <w:jc w:val="right"/>
            </w:pPr>
          </w:p>
        </w:tc>
      </w:tr>
      <w:tr>
        <w:trPr>
          <w:cantSplit/>
        </w:trPr>
        <w:tc>
          <w:tcPr>
            <w:tcW w:w="567" w:type="dxa"/>
          </w:tcPr>
          <w:p>
            <w:pPr>
              <w:pStyle w:val="yTableNAm"/>
            </w:pPr>
          </w:p>
        </w:tc>
        <w:tc>
          <w:tcPr>
            <w:tcW w:w="4391" w:type="dxa"/>
          </w:tcPr>
          <w:p>
            <w:pPr>
              <w:pStyle w:val="yTableNAm"/>
              <w:tabs>
                <w:tab w:val="clear" w:pos="567"/>
                <w:tab w:val="left" w:pos="415"/>
              </w:tabs>
              <w:ind w:left="415" w:hanging="415"/>
            </w:pPr>
            <w:r>
              <w:t>•</w:t>
            </w:r>
            <w:r>
              <w:tab/>
              <w:t>for 12 months paid in advance</w:t>
            </w:r>
          </w:p>
        </w:tc>
        <w:tc>
          <w:tcPr>
            <w:tcW w:w="995" w:type="dxa"/>
            <w:vAlign w:val="bottom"/>
          </w:tcPr>
          <w:p>
            <w:pPr>
              <w:pStyle w:val="yTableNAm"/>
              <w:jc w:val="right"/>
            </w:pPr>
            <w:r>
              <w:t>280.25</w:t>
            </w:r>
          </w:p>
        </w:tc>
      </w:tr>
      <w:tr>
        <w:trPr>
          <w:cantSplit/>
        </w:trPr>
        <w:tc>
          <w:tcPr>
            <w:tcW w:w="567" w:type="dxa"/>
          </w:tcPr>
          <w:p>
            <w:pPr>
              <w:pStyle w:val="yTableNAm"/>
            </w:pPr>
          </w:p>
        </w:tc>
        <w:tc>
          <w:tcPr>
            <w:tcW w:w="4391" w:type="dxa"/>
          </w:tcPr>
          <w:p>
            <w:pPr>
              <w:pStyle w:val="yTableNAm"/>
              <w:tabs>
                <w:tab w:val="clear" w:pos="567"/>
                <w:tab w:val="left" w:pos="415"/>
              </w:tabs>
              <w:ind w:left="415" w:hanging="415"/>
            </w:pPr>
            <w:r>
              <w:t>•</w:t>
            </w:r>
            <w:r>
              <w:tab/>
              <w:t>for 3 months or more, per month, paid in advance</w:t>
            </w:r>
          </w:p>
        </w:tc>
        <w:tc>
          <w:tcPr>
            <w:tcW w:w="995" w:type="dxa"/>
            <w:vAlign w:val="bottom"/>
          </w:tcPr>
          <w:p>
            <w:pPr>
              <w:pStyle w:val="yTableNAm"/>
              <w:jc w:val="right"/>
            </w:pPr>
            <w:r>
              <w:t>28.03</w:t>
            </w:r>
          </w:p>
        </w:tc>
      </w:tr>
      <w:tr>
        <w:trPr>
          <w:cantSplit/>
        </w:trPr>
        <w:tc>
          <w:tcPr>
            <w:tcW w:w="567" w:type="dxa"/>
          </w:tcPr>
          <w:p>
            <w:pPr>
              <w:pStyle w:val="yTableNAm"/>
            </w:pPr>
          </w:p>
        </w:tc>
        <w:tc>
          <w:tcPr>
            <w:tcW w:w="4391" w:type="dxa"/>
          </w:tcPr>
          <w:p>
            <w:pPr>
              <w:pStyle w:val="yTableNAm"/>
              <w:tabs>
                <w:tab w:val="clear" w:pos="567"/>
                <w:tab w:val="left" w:pos="415"/>
              </w:tabs>
              <w:ind w:left="415" w:hanging="415"/>
            </w:pPr>
            <w:r>
              <w:t>•</w:t>
            </w:r>
            <w:r>
              <w:tab/>
              <w:t>for one month or more, per month, paid in advance</w:t>
            </w:r>
          </w:p>
        </w:tc>
        <w:tc>
          <w:tcPr>
            <w:tcW w:w="995" w:type="dxa"/>
            <w:vAlign w:val="bottom"/>
          </w:tcPr>
          <w:p>
            <w:pPr>
              <w:pStyle w:val="yTableNAm"/>
              <w:jc w:val="right"/>
            </w:pPr>
            <w:r>
              <w:t>42.03</w:t>
            </w:r>
          </w:p>
        </w:tc>
      </w:tr>
      <w:tr>
        <w:trPr>
          <w:cantSplit/>
        </w:trPr>
        <w:tc>
          <w:tcPr>
            <w:tcW w:w="567" w:type="dxa"/>
          </w:tcPr>
          <w:p>
            <w:pPr>
              <w:pStyle w:val="yTableNAm"/>
            </w:pPr>
          </w:p>
        </w:tc>
        <w:tc>
          <w:tcPr>
            <w:tcW w:w="4391" w:type="dxa"/>
          </w:tcPr>
          <w:p>
            <w:pPr>
              <w:pStyle w:val="yTableNAm"/>
              <w:tabs>
                <w:tab w:val="clear" w:pos="567"/>
                <w:tab w:val="left" w:pos="415"/>
              </w:tabs>
              <w:ind w:left="415" w:hanging="415"/>
            </w:pPr>
            <w:r>
              <w:t>•</w:t>
            </w:r>
            <w:r>
              <w:tab/>
              <w:t>for one week or more, per week, paid in advance</w:t>
            </w:r>
          </w:p>
        </w:tc>
        <w:tc>
          <w:tcPr>
            <w:tcW w:w="995" w:type="dxa"/>
            <w:vAlign w:val="bottom"/>
          </w:tcPr>
          <w:p>
            <w:pPr>
              <w:pStyle w:val="yTableNAm"/>
              <w:jc w:val="right"/>
            </w:pPr>
            <w:r>
              <w:t>42.02</w:t>
            </w:r>
          </w:p>
        </w:tc>
      </w:tr>
      <w:tr>
        <w:trPr>
          <w:cantSplit/>
        </w:trPr>
        <w:tc>
          <w:tcPr>
            <w:tcW w:w="567" w:type="dxa"/>
          </w:tcPr>
          <w:p>
            <w:pPr>
              <w:pStyle w:val="yTableNAm"/>
            </w:pPr>
          </w:p>
        </w:tc>
        <w:tc>
          <w:tcPr>
            <w:tcW w:w="4391" w:type="dxa"/>
          </w:tcPr>
          <w:p>
            <w:pPr>
              <w:pStyle w:val="yTableNAm"/>
              <w:tabs>
                <w:tab w:val="clear" w:pos="567"/>
                <w:tab w:val="left" w:pos="415"/>
              </w:tabs>
              <w:ind w:left="415" w:hanging="415"/>
            </w:pPr>
            <w:r>
              <w:t>•</w:t>
            </w:r>
            <w:r>
              <w:tab/>
              <w:t>otherwise, per day</w:t>
            </w:r>
          </w:p>
        </w:tc>
        <w:tc>
          <w:tcPr>
            <w:tcW w:w="995" w:type="dxa"/>
            <w:vAlign w:val="bottom"/>
          </w:tcPr>
          <w:p>
            <w:pPr>
              <w:pStyle w:val="yTableNAm"/>
              <w:jc w:val="right"/>
            </w:pPr>
            <w:r>
              <w:t>8.39</w:t>
            </w:r>
          </w:p>
        </w:tc>
      </w:tr>
      <w:tr>
        <w:trPr>
          <w:cantSplit/>
        </w:trPr>
        <w:tc>
          <w:tcPr>
            <w:tcW w:w="567" w:type="dxa"/>
          </w:tcPr>
          <w:p>
            <w:pPr>
              <w:pStyle w:val="yTableNAm"/>
            </w:pPr>
            <w:r>
              <w:t>2.</w:t>
            </w:r>
          </w:p>
        </w:tc>
        <w:tc>
          <w:tcPr>
            <w:tcW w:w="4391" w:type="dxa"/>
          </w:tcPr>
          <w:p>
            <w:pPr>
              <w:pStyle w:val="yTableNAm"/>
            </w:pPr>
            <w:r>
              <w:t xml:space="preserve">For shared use by vessel of snapper jetty, attached partly serviced pen and low level landing, per m of the longer of the vessel’s length and the chargeable length for the pen — </w:t>
            </w:r>
          </w:p>
        </w:tc>
        <w:tc>
          <w:tcPr>
            <w:tcW w:w="995" w:type="dxa"/>
            <w:vAlign w:val="bottom"/>
          </w:tcPr>
          <w:p>
            <w:pPr>
              <w:pStyle w:val="yTableNAm"/>
              <w:jc w:val="right"/>
            </w:pPr>
          </w:p>
        </w:tc>
      </w:tr>
      <w:tr>
        <w:trPr>
          <w:cantSplit/>
        </w:trPr>
        <w:tc>
          <w:tcPr>
            <w:tcW w:w="567" w:type="dxa"/>
          </w:tcPr>
          <w:p>
            <w:pPr>
              <w:pStyle w:val="yTableNAm"/>
            </w:pPr>
          </w:p>
        </w:tc>
        <w:tc>
          <w:tcPr>
            <w:tcW w:w="4391" w:type="dxa"/>
          </w:tcPr>
          <w:p>
            <w:pPr>
              <w:pStyle w:val="yTableNAm"/>
              <w:tabs>
                <w:tab w:val="clear" w:pos="567"/>
                <w:tab w:val="left" w:pos="415"/>
              </w:tabs>
              <w:ind w:left="415" w:hanging="415"/>
            </w:pPr>
            <w:r>
              <w:t>•</w:t>
            </w:r>
            <w:r>
              <w:tab/>
              <w:t>for 12 months paid in advance</w:t>
            </w:r>
          </w:p>
        </w:tc>
        <w:tc>
          <w:tcPr>
            <w:tcW w:w="995" w:type="dxa"/>
            <w:vAlign w:val="bottom"/>
          </w:tcPr>
          <w:p>
            <w:pPr>
              <w:pStyle w:val="yTableNAm"/>
              <w:jc w:val="right"/>
            </w:pPr>
            <w:r>
              <w:t>217.21</w:t>
            </w:r>
          </w:p>
        </w:tc>
      </w:tr>
      <w:tr>
        <w:trPr>
          <w:cantSplit/>
        </w:trPr>
        <w:tc>
          <w:tcPr>
            <w:tcW w:w="567" w:type="dxa"/>
          </w:tcPr>
          <w:p>
            <w:pPr>
              <w:pStyle w:val="yTableNAm"/>
            </w:pPr>
          </w:p>
        </w:tc>
        <w:tc>
          <w:tcPr>
            <w:tcW w:w="4391" w:type="dxa"/>
          </w:tcPr>
          <w:p>
            <w:pPr>
              <w:pStyle w:val="yTableNAm"/>
              <w:tabs>
                <w:tab w:val="clear" w:pos="567"/>
                <w:tab w:val="left" w:pos="415"/>
              </w:tabs>
              <w:ind w:left="415" w:hanging="415"/>
            </w:pPr>
            <w:r>
              <w:t>•</w:t>
            </w:r>
            <w:r>
              <w:tab/>
              <w:t>for 3 months or more, per month, paid in advance</w:t>
            </w:r>
          </w:p>
        </w:tc>
        <w:tc>
          <w:tcPr>
            <w:tcW w:w="995" w:type="dxa"/>
            <w:vAlign w:val="bottom"/>
          </w:tcPr>
          <w:p>
            <w:pPr>
              <w:pStyle w:val="yTableNAm"/>
              <w:jc w:val="right"/>
            </w:pPr>
            <w:r>
              <w:t>21.70</w:t>
            </w:r>
          </w:p>
        </w:tc>
      </w:tr>
      <w:tr>
        <w:trPr>
          <w:cantSplit/>
        </w:trPr>
        <w:tc>
          <w:tcPr>
            <w:tcW w:w="567" w:type="dxa"/>
          </w:tcPr>
          <w:p>
            <w:pPr>
              <w:pStyle w:val="yTableNAm"/>
            </w:pPr>
          </w:p>
        </w:tc>
        <w:tc>
          <w:tcPr>
            <w:tcW w:w="4391" w:type="dxa"/>
          </w:tcPr>
          <w:p>
            <w:pPr>
              <w:pStyle w:val="yTableNAm"/>
              <w:tabs>
                <w:tab w:val="clear" w:pos="567"/>
                <w:tab w:val="left" w:pos="415"/>
              </w:tabs>
              <w:ind w:left="415" w:hanging="415"/>
            </w:pPr>
            <w:r>
              <w:t>•</w:t>
            </w:r>
            <w:r>
              <w:tab/>
              <w:t>for one month or more, per month, paid in advance</w:t>
            </w:r>
          </w:p>
        </w:tc>
        <w:tc>
          <w:tcPr>
            <w:tcW w:w="995" w:type="dxa"/>
            <w:vAlign w:val="bottom"/>
          </w:tcPr>
          <w:p>
            <w:pPr>
              <w:pStyle w:val="yTableNAm"/>
              <w:jc w:val="right"/>
            </w:pPr>
            <w:r>
              <w:t>32.58</w:t>
            </w:r>
          </w:p>
        </w:tc>
      </w:tr>
      <w:tr>
        <w:trPr>
          <w:cantSplit/>
        </w:trPr>
        <w:tc>
          <w:tcPr>
            <w:tcW w:w="567" w:type="dxa"/>
          </w:tcPr>
          <w:p>
            <w:pPr>
              <w:pStyle w:val="yTableNAm"/>
            </w:pPr>
          </w:p>
        </w:tc>
        <w:tc>
          <w:tcPr>
            <w:tcW w:w="4391" w:type="dxa"/>
          </w:tcPr>
          <w:p>
            <w:pPr>
              <w:pStyle w:val="yTableNAm"/>
              <w:tabs>
                <w:tab w:val="clear" w:pos="567"/>
                <w:tab w:val="left" w:pos="415"/>
              </w:tabs>
              <w:ind w:left="415" w:hanging="415"/>
            </w:pPr>
            <w:r>
              <w:t>•</w:t>
            </w:r>
            <w:r>
              <w:tab/>
              <w:t>for one week or more, per week, paid in advance</w:t>
            </w:r>
          </w:p>
        </w:tc>
        <w:tc>
          <w:tcPr>
            <w:tcW w:w="995" w:type="dxa"/>
            <w:vAlign w:val="bottom"/>
          </w:tcPr>
          <w:p>
            <w:pPr>
              <w:pStyle w:val="yTableNAm"/>
              <w:jc w:val="right"/>
            </w:pPr>
            <w:r>
              <w:t>22.30</w:t>
            </w:r>
          </w:p>
        </w:tc>
      </w:tr>
      <w:tr>
        <w:trPr>
          <w:cantSplit/>
        </w:trPr>
        <w:tc>
          <w:tcPr>
            <w:tcW w:w="567" w:type="dxa"/>
          </w:tcPr>
          <w:p>
            <w:pPr>
              <w:pStyle w:val="yTableNAm"/>
            </w:pPr>
          </w:p>
        </w:tc>
        <w:tc>
          <w:tcPr>
            <w:tcW w:w="4391" w:type="dxa"/>
          </w:tcPr>
          <w:p>
            <w:pPr>
              <w:pStyle w:val="yTableNAm"/>
              <w:tabs>
                <w:tab w:val="clear" w:pos="567"/>
                <w:tab w:val="left" w:pos="415"/>
              </w:tabs>
              <w:ind w:left="415" w:hanging="415"/>
            </w:pPr>
            <w:r>
              <w:t>•</w:t>
            </w:r>
            <w:r>
              <w:tab/>
              <w:t>otherwise, per day</w:t>
            </w:r>
          </w:p>
        </w:tc>
        <w:tc>
          <w:tcPr>
            <w:tcW w:w="995" w:type="dxa"/>
            <w:vAlign w:val="bottom"/>
          </w:tcPr>
          <w:p>
            <w:pPr>
              <w:pStyle w:val="yTableNAm"/>
              <w:jc w:val="right"/>
            </w:pPr>
            <w:r>
              <w:t>4.46</w:t>
            </w:r>
          </w:p>
        </w:tc>
      </w:tr>
      <w:tr>
        <w:trPr>
          <w:cantSplit/>
        </w:trPr>
        <w:tc>
          <w:tcPr>
            <w:tcW w:w="567" w:type="dxa"/>
          </w:tcPr>
          <w:p>
            <w:pPr>
              <w:pStyle w:val="yTableNAm"/>
              <w:keepNext/>
              <w:keepLines/>
              <w:rPr>
                <w:rFonts w:ascii="Arial" w:hAnsi="Arial"/>
                <w:b/>
              </w:rPr>
            </w:pPr>
            <w:r>
              <w:t>3.</w:t>
            </w:r>
          </w:p>
        </w:tc>
        <w:tc>
          <w:tcPr>
            <w:tcW w:w="4391" w:type="dxa"/>
          </w:tcPr>
          <w:p>
            <w:pPr>
              <w:pStyle w:val="yTableNAm"/>
              <w:keepNext/>
              <w:keepLines/>
              <w:rPr>
                <w:rFonts w:ascii="Arial" w:hAnsi="Arial"/>
                <w:b/>
              </w:rPr>
            </w:pPr>
            <w:r>
              <w:t>For use of pen not described in item 1 or 2 and of fuel berth for fuelling, per m of the longer of the vessel’s length and the chargeable length for the pen —</w:t>
            </w:r>
          </w:p>
        </w:tc>
        <w:tc>
          <w:tcPr>
            <w:tcW w:w="995" w:type="dxa"/>
            <w:vAlign w:val="bottom"/>
          </w:tcPr>
          <w:p>
            <w:pPr>
              <w:pStyle w:val="yTableNAm"/>
              <w:keepNext/>
              <w:keepLines/>
              <w:jc w:val="right"/>
            </w:pPr>
          </w:p>
        </w:tc>
      </w:tr>
      <w:tr>
        <w:trPr>
          <w:cantSplit/>
        </w:trPr>
        <w:tc>
          <w:tcPr>
            <w:tcW w:w="567" w:type="dxa"/>
          </w:tcPr>
          <w:p>
            <w:pPr>
              <w:pStyle w:val="yTableNAm"/>
            </w:pPr>
          </w:p>
        </w:tc>
        <w:tc>
          <w:tcPr>
            <w:tcW w:w="4391" w:type="dxa"/>
          </w:tcPr>
          <w:p>
            <w:pPr>
              <w:pStyle w:val="yTableNAm"/>
              <w:tabs>
                <w:tab w:val="clear" w:pos="567"/>
                <w:tab w:val="left" w:pos="415"/>
              </w:tabs>
              <w:ind w:left="415" w:hanging="415"/>
            </w:pPr>
            <w:r>
              <w:t>•</w:t>
            </w:r>
            <w:r>
              <w:tab/>
              <w:t>for 12 months paid in advance</w:t>
            </w:r>
          </w:p>
        </w:tc>
        <w:tc>
          <w:tcPr>
            <w:tcW w:w="995" w:type="dxa"/>
            <w:vAlign w:val="bottom"/>
          </w:tcPr>
          <w:p>
            <w:pPr>
              <w:pStyle w:val="yTableNAm"/>
              <w:jc w:val="right"/>
            </w:pPr>
            <w:r>
              <w:t>238.13</w:t>
            </w:r>
          </w:p>
        </w:tc>
      </w:tr>
      <w:tr>
        <w:trPr>
          <w:cantSplit/>
        </w:trPr>
        <w:tc>
          <w:tcPr>
            <w:tcW w:w="567" w:type="dxa"/>
          </w:tcPr>
          <w:p>
            <w:pPr>
              <w:pStyle w:val="yTableNAm"/>
            </w:pPr>
          </w:p>
        </w:tc>
        <w:tc>
          <w:tcPr>
            <w:tcW w:w="4391" w:type="dxa"/>
          </w:tcPr>
          <w:p>
            <w:pPr>
              <w:pStyle w:val="yTableNAm"/>
              <w:tabs>
                <w:tab w:val="clear" w:pos="567"/>
                <w:tab w:val="left" w:pos="415"/>
              </w:tabs>
              <w:ind w:left="415" w:hanging="415"/>
            </w:pPr>
            <w:r>
              <w:t>•</w:t>
            </w:r>
            <w:r>
              <w:tab/>
              <w:t>for 3 months or more, per month, paid in advance</w:t>
            </w:r>
          </w:p>
        </w:tc>
        <w:tc>
          <w:tcPr>
            <w:tcW w:w="995" w:type="dxa"/>
            <w:vAlign w:val="bottom"/>
          </w:tcPr>
          <w:p>
            <w:pPr>
              <w:pStyle w:val="yTableNAm"/>
              <w:jc w:val="right"/>
            </w:pPr>
            <w:r>
              <w:t>23.82</w:t>
            </w:r>
          </w:p>
        </w:tc>
      </w:tr>
      <w:tr>
        <w:trPr>
          <w:cantSplit/>
        </w:trPr>
        <w:tc>
          <w:tcPr>
            <w:tcW w:w="567" w:type="dxa"/>
          </w:tcPr>
          <w:p>
            <w:pPr>
              <w:pStyle w:val="yTableNAm"/>
              <w:keepNext/>
              <w:keepLines/>
            </w:pPr>
          </w:p>
        </w:tc>
        <w:tc>
          <w:tcPr>
            <w:tcW w:w="4391" w:type="dxa"/>
          </w:tcPr>
          <w:p>
            <w:pPr>
              <w:pStyle w:val="yTableNAm"/>
              <w:keepNext/>
              <w:keepLines/>
              <w:tabs>
                <w:tab w:val="clear" w:pos="567"/>
                <w:tab w:val="left" w:pos="415"/>
              </w:tabs>
              <w:ind w:left="415" w:hanging="415"/>
              <w:rPr>
                <w:rFonts w:ascii="Arial" w:hAnsi="Arial"/>
                <w:b/>
              </w:rPr>
            </w:pPr>
            <w:r>
              <w:t>•</w:t>
            </w:r>
            <w:r>
              <w:tab/>
              <w:t>for one month or more, per month, paid in advance</w:t>
            </w:r>
          </w:p>
        </w:tc>
        <w:tc>
          <w:tcPr>
            <w:tcW w:w="995" w:type="dxa"/>
            <w:vAlign w:val="bottom"/>
          </w:tcPr>
          <w:p>
            <w:pPr>
              <w:pStyle w:val="yTableNAm"/>
              <w:keepNext/>
              <w:keepLines/>
              <w:jc w:val="right"/>
              <w:rPr>
                <w:rFonts w:ascii="Arial" w:hAnsi="Arial"/>
                <w:b/>
              </w:rPr>
            </w:pPr>
            <w:r>
              <w:t>35.72</w:t>
            </w:r>
          </w:p>
        </w:tc>
      </w:tr>
      <w:tr>
        <w:trPr>
          <w:cantSplit/>
        </w:trPr>
        <w:tc>
          <w:tcPr>
            <w:tcW w:w="567" w:type="dxa"/>
          </w:tcPr>
          <w:p>
            <w:pPr>
              <w:pStyle w:val="yTableNAm"/>
            </w:pPr>
          </w:p>
        </w:tc>
        <w:tc>
          <w:tcPr>
            <w:tcW w:w="4391" w:type="dxa"/>
          </w:tcPr>
          <w:p>
            <w:pPr>
              <w:pStyle w:val="yTableNAm"/>
              <w:tabs>
                <w:tab w:val="clear" w:pos="567"/>
                <w:tab w:val="left" w:pos="415"/>
              </w:tabs>
              <w:ind w:left="415" w:hanging="415"/>
            </w:pPr>
            <w:r>
              <w:t>•</w:t>
            </w:r>
            <w:r>
              <w:tab/>
              <w:t>for one week or more, per week, paid in advance</w:t>
            </w:r>
          </w:p>
        </w:tc>
        <w:tc>
          <w:tcPr>
            <w:tcW w:w="995" w:type="dxa"/>
            <w:vAlign w:val="bottom"/>
          </w:tcPr>
          <w:p>
            <w:pPr>
              <w:pStyle w:val="yTableNAm"/>
              <w:jc w:val="right"/>
            </w:pPr>
            <w:r>
              <w:t>22.30</w:t>
            </w:r>
          </w:p>
        </w:tc>
      </w:tr>
      <w:tr>
        <w:trPr>
          <w:cantSplit/>
        </w:trPr>
        <w:tc>
          <w:tcPr>
            <w:tcW w:w="567" w:type="dxa"/>
          </w:tcPr>
          <w:p>
            <w:pPr>
              <w:pStyle w:val="yTableNAm"/>
            </w:pPr>
          </w:p>
        </w:tc>
        <w:tc>
          <w:tcPr>
            <w:tcW w:w="4391" w:type="dxa"/>
          </w:tcPr>
          <w:p>
            <w:pPr>
              <w:pStyle w:val="yTableNAm"/>
              <w:tabs>
                <w:tab w:val="clear" w:pos="567"/>
                <w:tab w:val="left" w:pos="415"/>
              </w:tabs>
              <w:ind w:left="415" w:hanging="415"/>
            </w:pPr>
            <w:r>
              <w:t>•</w:t>
            </w:r>
            <w:r>
              <w:tab/>
              <w:t>otherwise, per day</w:t>
            </w:r>
          </w:p>
        </w:tc>
        <w:tc>
          <w:tcPr>
            <w:tcW w:w="995" w:type="dxa"/>
            <w:vAlign w:val="bottom"/>
          </w:tcPr>
          <w:p>
            <w:pPr>
              <w:pStyle w:val="yTableNAm"/>
              <w:jc w:val="right"/>
            </w:pPr>
            <w:r>
              <w:t>4.46</w:t>
            </w:r>
          </w:p>
        </w:tc>
      </w:tr>
      <w:tr>
        <w:trPr>
          <w:cantSplit/>
        </w:trPr>
        <w:tc>
          <w:tcPr>
            <w:tcW w:w="567" w:type="dxa"/>
          </w:tcPr>
          <w:p>
            <w:pPr>
              <w:pStyle w:val="yTableNAm"/>
            </w:pPr>
            <w:r>
              <w:t>4.</w:t>
            </w:r>
          </w:p>
        </w:tc>
        <w:tc>
          <w:tcPr>
            <w:tcW w:w="4391" w:type="dxa"/>
          </w:tcPr>
          <w:p>
            <w:pPr>
              <w:pStyle w:val="yTableNAm"/>
            </w:pPr>
            <w:r>
              <w:t xml:space="preserve">For pile mooring, per m of the vessel’s length — </w:t>
            </w:r>
          </w:p>
        </w:tc>
        <w:tc>
          <w:tcPr>
            <w:tcW w:w="995" w:type="dxa"/>
            <w:vAlign w:val="bottom"/>
          </w:tcPr>
          <w:p>
            <w:pPr>
              <w:pStyle w:val="yTableNAm"/>
              <w:jc w:val="right"/>
            </w:pPr>
          </w:p>
        </w:tc>
      </w:tr>
      <w:tr>
        <w:trPr>
          <w:cantSplit/>
        </w:trPr>
        <w:tc>
          <w:tcPr>
            <w:tcW w:w="567" w:type="dxa"/>
          </w:tcPr>
          <w:p>
            <w:pPr>
              <w:pStyle w:val="yTableNAm"/>
            </w:pPr>
          </w:p>
        </w:tc>
        <w:tc>
          <w:tcPr>
            <w:tcW w:w="4391" w:type="dxa"/>
          </w:tcPr>
          <w:p>
            <w:pPr>
              <w:pStyle w:val="yTableNAm"/>
              <w:tabs>
                <w:tab w:val="clear" w:pos="567"/>
                <w:tab w:val="left" w:pos="415"/>
              </w:tabs>
              <w:ind w:left="415" w:hanging="415"/>
            </w:pPr>
            <w:r>
              <w:t>•</w:t>
            </w:r>
            <w:r>
              <w:tab/>
              <w:t>for 12 months paid in advance</w:t>
            </w:r>
          </w:p>
        </w:tc>
        <w:tc>
          <w:tcPr>
            <w:tcW w:w="995" w:type="dxa"/>
            <w:vAlign w:val="bottom"/>
          </w:tcPr>
          <w:p>
            <w:pPr>
              <w:pStyle w:val="yTableNAm"/>
              <w:jc w:val="right"/>
            </w:pPr>
            <w:r>
              <w:t>132.77</w:t>
            </w:r>
          </w:p>
        </w:tc>
      </w:tr>
      <w:tr>
        <w:trPr>
          <w:cantSplit/>
        </w:trPr>
        <w:tc>
          <w:tcPr>
            <w:tcW w:w="567" w:type="dxa"/>
          </w:tcPr>
          <w:p>
            <w:pPr>
              <w:pStyle w:val="yTableNAm"/>
            </w:pPr>
          </w:p>
        </w:tc>
        <w:tc>
          <w:tcPr>
            <w:tcW w:w="4391" w:type="dxa"/>
          </w:tcPr>
          <w:p>
            <w:pPr>
              <w:pStyle w:val="yTableNAm"/>
              <w:tabs>
                <w:tab w:val="clear" w:pos="567"/>
                <w:tab w:val="left" w:pos="415"/>
              </w:tabs>
              <w:ind w:left="415" w:hanging="415"/>
            </w:pPr>
            <w:r>
              <w:t>•</w:t>
            </w:r>
            <w:r>
              <w:tab/>
              <w:t>for 3 months or more, per month, paid in advance</w:t>
            </w:r>
          </w:p>
        </w:tc>
        <w:tc>
          <w:tcPr>
            <w:tcW w:w="995" w:type="dxa"/>
            <w:vAlign w:val="bottom"/>
          </w:tcPr>
          <w:p>
            <w:pPr>
              <w:pStyle w:val="yTableNAm"/>
              <w:jc w:val="right"/>
            </w:pPr>
            <w:r>
              <w:t>13.29</w:t>
            </w:r>
          </w:p>
        </w:tc>
      </w:tr>
      <w:tr>
        <w:trPr>
          <w:cantSplit/>
        </w:trPr>
        <w:tc>
          <w:tcPr>
            <w:tcW w:w="567" w:type="dxa"/>
          </w:tcPr>
          <w:p>
            <w:pPr>
              <w:pStyle w:val="yTableNAm"/>
            </w:pPr>
          </w:p>
        </w:tc>
        <w:tc>
          <w:tcPr>
            <w:tcW w:w="4391" w:type="dxa"/>
          </w:tcPr>
          <w:p>
            <w:pPr>
              <w:pStyle w:val="yTableNAm"/>
              <w:tabs>
                <w:tab w:val="clear" w:pos="567"/>
                <w:tab w:val="left" w:pos="415"/>
              </w:tabs>
              <w:ind w:left="415" w:hanging="415"/>
            </w:pPr>
            <w:r>
              <w:t>•</w:t>
            </w:r>
            <w:r>
              <w:tab/>
              <w:t>for one month or more, per month, paid in advance</w:t>
            </w:r>
          </w:p>
        </w:tc>
        <w:tc>
          <w:tcPr>
            <w:tcW w:w="995" w:type="dxa"/>
            <w:vAlign w:val="bottom"/>
          </w:tcPr>
          <w:p>
            <w:pPr>
              <w:pStyle w:val="yTableNAm"/>
              <w:jc w:val="right"/>
            </w:pPr>
            <w:r>
              <w:t>19.92</w:t>
            </w:r>
          </w:p>
        </w:tc>
      </w:tr>
      <w:tr>
        <w:trPr>
          <w:cantSplit/>
        </w:trPr>
        <w:tc>
          <w:tcPr>
            <w:tcW w:w="567" w:type="dxa"/>
          </w:tcPr>
          <w:p>
            <w:pPr>
              <w:pStyle w:val="yTableNAm"/>
            </w:pPr>
          </w:p>
        </w:tc>
        <w:tc>
          <w:tcPr>
            <w:tcW w:w="4391" w:type="dxa"/>
          </w:tcPr>
          <w:p>
            <w:pPr>
              <w:pStyle w:val="yTableNAm"/>
              <w:tabs>
                <w:tab w:val="clear" w:pos="567"/>
                <w:tab w:val="left" w:pos="415"/>
              </w:tabs>
              <w:ind w:left="415" w:hanging="415"/>
            </w:pPr>
            <w:r>
              <w:t>•</w:t>
            </w:r>
            <w:r>
              <w:tab/>
              <w:t>for one week or more, per week, paid in advance</w:t>
            </w:r>
          </w:p>
        </w:tc>
        <w:tc>
          <w:tcPr>
            <w:tcW w:w="995" w:type="dxa"/>
            <w:vAlign w:val="bottom"/>
          </w:tcPr>
          <w:p>
            <w:pPr>
              <w:pStyle w:val="yTableNAm"/>
              <w:jc w:val="right"/>
            </w:pPr>
            <w:r>
              <w:t>11.25</w:t>
            </w:r>
          </w:p>
        </w:tc>
      </w:tr>
      <w:tr>
        <w:trPr>
          <w:cantSplit/>
        </w:trPr>
        <w:tc>
          <w:tcPr>
            <w:tcW w:w="567" w:type="dxa"/>
          </w:tcPr>
          <w:p>
            <w:pPr>
              <w:pStyle w:val="yTableNAm"/>
            </w:pPr>
          </w:p>
        </w:tc>
        <w:tc>
          <w:tcPr>
            <w:tcW w:w="4391" w:type="dxa"/>
          </w:tcPr>
          <w:p>
            <w:pPr>
              <w:pStyle w:val="yTableNAm"/>
              <w:tabs>
                <w:tab w:val="clear" w:pos="567"/>
                <w:tab w:val="left" w:pos="415"/>
              </w:tabs>
              <w:ind w:left="415" w:hanging="415"/>
            </w:pPr>
            <w:r>
              <w:t>•</w:t>
            </w:r>
            <w:r>
              <w:tab/>
              <w:t>otherwise, per day</w:t>
            </w:r>
          </w:p>
        </w:tc>
        <w:tc>
          <w:tcPr>
            <w:tcW w:w="995" w:type="dxa"/>
            <w:vAlign w:val="bottom"/>
          </w:tcPr>
          <w:p>
            <w:pPr>
              <w:pStyle w:val="yTableNAm"/>
              <w:jc w:val="right"/>
            </w:pPr>
            <w:r>
              <w:t>2.26</w:t>
            </w:r>
          </w:p>
        </w:tc>
      </w:tr>
      <w:tr>
        <w:trPr>
          <w:cantSplit/>
        </w:trPr>
        <w:tc>
          <w:tcPr>
            <w:tcW w:w="567" w:type="dxa"/>
          </w:tcPr>
          <w:p>
            <w:pPr>
              <w:pStyle w:val="yTableNAm"/>
            </w:pPr>
            <w:r>
              <w:t>5.</w:t>
            </w:r>
          </w:p>
        </w:tc>
        <w:tc>
          <w:tcPr>
            <w:tcW w:w="4391" w:type="dxa"/>
          </w:tcPr>
          <w:p>
            <w:pPr>
              <w:pStyle w:val="yTableNAm"/>
            </w:pPr>
            <w:r>
              <w:t>For living on board a vessel, per vessel, per month</w:t>
            </w:r>
          </w:p>
        </w:tc>
        <w:tc>
          <w:tcPr>
            <w:tcW w:w="995" w:type="dxa"/>
            <w:vAlign w:val="bottom"/>
          </w:tcPr>
          <w:p>
            <w:pPr>
              <w:pStyle w:val="yTableNAm"/>
              <w:jc w:val="right"/>
            </w:pPr>
            <w:r>
              <w:t>42.99</w:t>
            </w:r>
          </w:p>
        </w:tc>
      </w:tr>
      <w:tr>
        <w:trPr>
          <w:cantSplit/>
        </w:trPr>
        <w:tc>
          <w:tcPr>
            <w:tcW w:w="567" w:type="dxa"/>
          </w:tcPr>
          <w:p>
            <w:pPr>
              <w:pStyle w:val="yTableNAm"/>
            </w:pPr>
            <w:r>
              <w:t>6.</w:t>
            </w:r>
          </w:p>
        </w:tc>
        <w:tc>
          <w:tcPr>
            <w:tcW w:w="4391" w:type="dxa"/>
          </w:tcPr>
          <w:p>
            <w:pPr>
              <w:pStyle w:val="yTableNAm"/>
            </w:pPr>
            <w:r>
              <w:t>For electricity supply, 3</w:t>
            </w:r>
            <w:r>
              <w:noBreakHyphen/>
              <w:t xml:space="preserve">phase per day — </w:t>
            </w:r>
          </w:p>
        </w:tc>
        <w:tc>
          <w:tcPr>
            <w:tcW w:w="995" w:type="dxa"/>
            <w:vAlign w:val="bottom"/>
          </w:tcPr>
          <w:p>
            <w:pPr>
              <w:pStyle w:val="yTableNAm"/>
              <w:jc w:val="right"/>
            </w:pPr>
          </w:p>
        </w:tc>
      </w:tr>
      <w:tr>
        <w:trPr>
          <w:cantSplit/>
        </w:trPr>
        <w:tc>
          <w:tcPr>
            <w:tcW w:w="567" w:type="dxa"/>
          </w:tcPr>
          <w:p>
            <w:pPr>
              <w:pStyle w:val="yTableNAm"/>
            </w:pPr>
          </w:p>
        </w:tc>
        <w:tc>
          <w:tcPr>
            <w:tcW w:w="4391" w:type="dxa"/>
          </w:tcPr>
          <w:p>
            <w:pPr>
              <w:pStyle w:val="yTableNAm"/>
              <w:tabs>
                <w:tab w:val="clear" w:pos="567"/>
                <w:tab w:val="left" w:pos="415"/>
              </w:tabs>
              <w:ind w:left="415" w:hanging="415"/>
            </w:pPr>
            <w:r>
              <w:t>•</w:t>
            </w:r>
            <w:r>
              <w:tab/>
              <w:t>if metering indicates usage of more than $29.59 in a day</w:t>
            </w:r>
          </w:p>
        </w:tc>
        <w:tc>
          <w:tcPr>
            <w:tcW w:w="995" w:type="dxa"/>
            <w:vAlign w:val="bottom"/>
          </w:tcPr>
          <w:p>
            <w:pPr>
              <w:pStyle w:val="yTableNAm"/>
              <w:jc w:val="right"/>
            </w:pPr>
            <w:r>
              <w:t>cost</w:t>
            </w:r>
          </w:p>
        </w:tc>
      </w:tr>
      <w:tr>
        <w:trPr>
          <w:cantSplit/>
        </w:trPr>
        <w:tc>
          <w:tcPr>
            <w:tcW w:w="567" w:type="dxa"/>
          </w:tcPr>
          <w:p>
            <w:pPr>
              <w:pStyle w:val="yTableNAm"/>
            </w:pPr>
          </w:p>
        </w:tc>
        <w:tc>
          <w:tcPr>
            <w:tcW w:w="4391" w:type="dxa"/>
          </w:tcPr>
          <w:p>
            <w:pPr>
              <w:pStyle w:val="yTableNAm"/>
              <w:tabs>
                <w:tab w:val="clear" w:pos="567"/>
                <w:tab w:val="left" w:pos="415"/>
              </w:tabs>
              <w:ind w:left="415" w:hanging="415"/>
            </w:pPr>
            <w:r>
              <w:t>•</w:t>
            </w:r>
            <w:r>
              <w:tab/>
              <w:t>otherwise, per day</w:t>
            </w:r>
          </w:p>
        </w:tc>
        <w:tc>
          <w:tcPr>
            <w:tcW w:w="995" w:type="dxa"/>
            <w:vAlign w:val="bottom"/>
          </w:tcPr>
          <w:p>
            <w:pPr>
              <w:pStyle w:val="yTableNAm"/>
              <w:jc w:val="right"/>
            </w:pPr>
            <w:r>
              <w:t>29.59</w:t>
            </w:r>
          </w:p>
        </w:tc>
      </w:tr>
      <w:tr>
        <w:trPr>
          <w:cantSplit/>
        </w:trPr>
        <w:tc>
          <w:tcPr>
            <w:tcW w:w="567" w:type="dxa"/>
          </w:tcPr>
          <w:p>
            <w:pPr>
              <w:pStyle w:val="yTableNAm"/>
            </w:pPr>
            <w:r>
              <w:t>7.</w:t>
            </w:r>
          </w:p>
        </w:tc>
        <w:tc>
          <w:tcPr>
            <w:tcW w:w="4391" w:type="dxa"/>
          </w:tcPr>
          <w:p>
            <w:pPr>
              <w:pStyle w:val="yTableNAm"/>
            </w:pPr>
            <w:r>
              <w:t xml:space="preserve">For rubbish removal — </w:t>
            </w:r>
          </w:p>
        </w:tc>
        <w:tc>
          <w:tcPr>
            <w:tcW w:w="995" w:type="dxa"/>
            <w:vAlign w:val="bottom"/>
          </w:tcPr>
          <w:p>
            <w:pPr>
              <w:pStyle w:val="yTableNAm"/>
              <w:jc w:val="right"/>
            </w:pPr>
          </w:p>
        </w:tc>
      </w:tr>
      <w:tr>
        <w:trPr>
          <w:cantSplit/>
        </w:trPr>
        <w:tc>
          <w:tcPr>
            <w:tcW w:w="567" w:type="dxa"/>
          </w:tcPr>
          <w:p>
            <w:pPr>
              <w:pStyle w:val="yTableNAm"/>
            </w:pPr>
          </w:p>
        </w:tc>
        <w:tc>
          <w:tcPr>
            <w:tcW w:w="4391" w:type="dxa"/>
          </w:tcPr>
          <w:p>
            <w:pPr>
              <w:pStyle w:val="yTableNAm"/>
              <w:tabs>
                <w:tab w:val="clear" w:pos="567"/>
                <w:tab w:val="left" w:pos="415"/>
              </w:tabs>
              <w:ind w:left="415" w:hanging="415"/>
            </w:pPr>
            <w:r>
              <w:t>•</w:t>
            </w:r>
            <w:r>
              <w:tab/>
              <w:t>excess quantity or from vessel not using harbour, minimum per half skip supplied and emptied</w:t>
            </w:r>
          </w:p>
        </w:tc>
        <w:tc>
          <w:tcPr>
            <w:tcW w:w="995" w:type="dxa"/>
            <w:vAlign w:val="bottom"/>
          </w:tcPr>
          <w:p>
            <w:pPr>
              <w:pStyle w:val="yTableNAm"/>
              <w:jc w:val="right"/>
            </w:pPr>
            <w:r>
              <w:br/>
              <w:t>cost</w:t>
            </w:r>
          </w:p>
        </w:tc>
      </w:tr>
      <w:tr>
        <w:trPr>
          <w:cantSplit/>
        </w:trPr>
        <w:tc>
          <w:tcPr>
            <w:tcW w:w="567" w:type="dxa"/>
          </w:tcPr>
          <w:p>
            <w:pPr>
              <w:pStyle w:val="yTableNAm"/>
            </w:pPr>
          </w:p>
        </w:tc>
        <w:tc>
          <w:tcPr>
            <w:tcW w:w="4391" w:type="dxa"/>
          </w:tcPr>
          <w:p>
            <w:pPr>
              <w:pStyle w:val="yTableNAm"/>
              <w:tabs>
                <w:tab w:val="clear" w:pos="567"/>
                <w:tab w:val="left" w:pos="415"/>
              </w:tabs>
              <w:ind w:left="415" w:hanging="415"/>
            </w:pPr>
            <w:r>
              <w:t>•</w:t>
            </w:r>
            <w:r>
              <w:tab/>
              <w:t>waste oil from vessels in excess of 150 L</w:t>
            </w:r>
          </w:p>
        </w:tc>
        <w:tc>
          <w:tcPr>
            <w:tcW w:w="995" w:type="dxa"/>
            <w:vAlign w:val="bottom"/>
          </w:tcPr>
          <w:p>
            <w:pPr>
              <w:pStyle w:val="yTableNAm"/>
              <w:jc w:val="right"/>
            </w:pPr>
            <w:r>
              <w:t>cost</w:t>
            </w:r>
          </w:p>
        </w:tc>
      </w:tr>
      <w:tr>
        <w:trPr>
          <w:cantSplit/>
        </w:trPr>
        <w:tc>
          <w:tcPr>
            <w:tcW w:w="567" w:type="dxa"/>
          </w:tcPr>
          <w:p>
            <w:pPr>
              <w:pStyle w:val="yTableNAm"/>
            </w:pPr>
          </w:p>
        </w:tc>
        <w:tc>
          <w:tcPr>
            <w:tcW w:w="4391" w:type="dxa"/>
          </w:tcPr>
          <w:p>
            <w:pPr>
              <w:pStyle w:val="yTableNAm"/>
              <w:tabs>
                <w:tab w:val="clear" w:pos="567"/>
                <w:tab w:val="left" w:pos="415"/>
              </w:tabs>
              <w:ind w:left="415" w:hanging="415"/>
            </w:pPr>
            <w:r>
              <w:t>•</w:t>
            </w:r>
            <w:r>
              <w:tab/>
              <w:t>waste oil drum not removed by owner, per 20 L drum</w:t>
            </w:r>
          </w:p>
        </w:tc>
        <w:tc>
          <w:tcPr>
            <w:tcW w:w="995" w:type="dxa"/>
            <w:vAlign w:val="bottom"/>
          </w:tcPr>
          <w:p>
            <w:pPr>
              <w:pStyle w:val="yTableNAm"/>
              <w:jc w:val="right"/>
            </w:pPr>
            <w:r>
              <w:br/>
              <w:t>cost</w:t>
            </w:r>
          </w:p>
        </w:tc>
      </w:tr>
      <w:tr>
        <w:trPr>
          <w:cantSplit/>
        </w:trPr>
        <w:tc>
          <w:tcPr>
            <w:tcW w:w="567" w:type="dxa"/>
            <w:tcBorders>
              <w:bottom w:val="single" w:sz="4" w:space="0" w:color="auto"/>
            </w:tcBorders>
          </w:tcPr>
          <w:p>
            <w:pPr>
              <w:pStyle w:val="yTableNAm"/>
            </w:pPr>
          </w:p>
        </w:tc>
        <w:tc>
          <w:tcPr>
            <w:tcW w:w="4391" w:type="dxa"/>
            <w:tcBorders>
              <w:bottom w:val="single" w:sz="4" w:space="0" w:color="auto"/>
            </w:tcBorders>
          </w:tcPr>
          <w:p>
            <w:pPr>
              <w:pStyle w:val="yTableNAm"/>
              <w:tabs>
                <w:tab w:val="clear" w:pos="567"/>
                <w:tab w:val="left" w:pos="415"/>
              </w:tabs>
              <w:ind w:left="415" w:hanging="415"/>
            </w:pPr>
            <w:r>
              <w:t>•</w:t>
            </w:r>
            <w:r>
              <w:tab/>
              <w:t>rubbish not put in supplied bins</w:t>
            </w:r>
          </w:p>
        </w:tc>
        <w:tc>
          <w:tcPr>
            <w:tcW w:w="995" w:type="dxa"/>
            <w:tcBorders>
              <w:bottom w:val="single" w:sz="4" w:space="0" w:color="auto"/>
            </w:tcBorders>
            <w:vAlign w:val="bottom"/>
          </w:tcPr>
          <w:p>
            <w:pPr>
              <w:pStyle w:val="yTableNAm"/>
              <w:jc w:val="right"/>
            </w:pPr>
            <w:r>
              <w:t>cost</w:t>
            </w:r>
          </w:p>
        </w:tc>
      </w:tr>
    </w:tbl>
    <w:p>
      <w:pPr>
        <w:pStyle w:val="yFootnotesection"/>
      </w:pPr>
      <w:r>
        <w:tab/>
        <w:t>[Clause 6 inserted in Gazette 28 Jun 2013 p. 2838</w:t>
      </w:r>
      <w:r>
        <w:noBreakHyphen/>
        <w:t>41.]</w:t>
      </w:r>
    </w:p>
    <w:p>
      <w:pPr>
        <w:pStyle w:val="yHeading5"/>
      </w:pPr>
      <w:bookmarkStart w:id="148" w:name="_Toc382380042"/>
      <w:r>
        <w:rPr>
          <w:rStyle w:val="CharSClsNo"/>
        </w:rPr>
        <w:t>7</w:t>
      </w:r>
      <w:r>
        <w:t>.</w:t>
      </w:r>
      <w:r>
        <w:rPr>
          <w:b w:val="0"/>
        </w:rPr>
        <w:tab/>
      </w:r>
      <w:r>
        <w:t>Cervantes</w:t>
      </w:r>
      <w:bookmarkEnd w:id="148"/>
    </w:p>
    <w:p>
      <w:pPr>
        <w:pStyle w:val="ySubsection"/>
      </w:pPr>
      <w:r>
        <w:tab/>
        <w:t>(1)</w:t>
      </w:r>
      <w:r>
        <w:tab/>
        <w:t>This clause applies to Cervantes.</w:t>
      </w:r>
    </w:p>
    <w:p>
      <w:pPr>
        <w:pStyle w:val="ySubsection"/>
      </w:pPr>
      <w:r>
        <w:tab/>
        <w:t>(2)</w:t>
      </w:r>
      <w:r>
        <w:tab/>
        <w:t>The fees and charges to be paid under regulations 6 and 42A are set out in Table 7.1.</w:t>
      </w:r>
    </w:p>
    <w:p>
      <w:pPr>
        <w:pStyle w:val="yTHeadingNAm"/>
      </w:pPr>
      <w:r>
        <w:t>Table 7.1 (Berthing and jetty use)</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94"/>
        <w:gridCol w:w="992"/>
      </w:tblGrid>
      <w:tr>
        <w:trPr>
          <w:cantSplit/>
          <w:tblHeader/>
        </w:trPr>
        <w:tc>
          <w:tcPr>
            <w:tcW w:w="567" w:type="dxa"/>
            <w:tcBorders>
              <w:top w:val="single" w:sz="4" w:space="0" w:color="auto"/>
              <w:bottom w:val="single" w:sz="4" w:space="0" w:color="auto"/>
            </w:tcBorders>
          </w:tcPr>
          <w:p>
            <w:pPr>
              <w:pStyle w:val="yTableNAm"/>
              <w:rPr>
                <w:b/>
              </w:rPr>
            </w:pPr>
            <w:r>
              <w:rPr>
                <w:b/>
              </w:rPr>
              <w:t>Item</w:t>
            </w:r>
          </w:p>
        </w:tc>
        <w:tc>
          <w:tcPr>
            <w:tcW w:w="4394" w:type="dxa"/>
            <w:tcBorders>
              <w:top w:val="single" w:sz="4" w:space="0" w:color="auto"/>
              <w:bottom w:val="single" w:sz="4" w:space="0" w:color="auto"/>
            </w:tcBorders>
          </w:tcPr>
          <w:p>
            <w:pPr>
              <w:pStyle w:val="yTableNAm"/>
              <w:rPr>
                <w:b/>
              </w:rPr>
            </w:pPr>
            <w:r>
              <w:rPr>
                <w:b/>
              </w:rPr>
              <w:t>Service</w:t>
            </w:r>
          </w:p>
        </w:tc>
        <w:tc>
          <w:tcPr>
            <w:tcW w:w="992" w:type="dxa"/>
            <w:tcBorders>
              <w:top w:val="single" w:sz="4" w:space="0" w:color="auto"/>
              <w:bottom w:val="single" w:sz="4" w:space="0" w:color="auto"/>
            </w:tcBorders>
          </w:tcPr>
          <w:p>
            <w:pPr>
              <w:pStyle w:val="yTableNAm"/>
              <w:jc w:val="center"/>
              <w:rPr>
                <w:b/>
              </w:rPr>
            </w:pPr>
            <w:r>
              <w:rPr>
                <w:b/>
              </w:rPr>
              <w:t>$</w:t>
            </w:r>
          </w:p>
        </w:tc>
      </w:tr>
      <w:tr>
        <w:trPr>
          <w:cantSplit/>
        </w:trPr>
        <w:tc>
          <w:tcPr>
            <w:tcW w:w="567" w:type="dxa"/>
          </w:tcPr>
          <w:p>
            <w:pPr>
              <w:pStyle w:val="yTableNAm"/>
            </w:pPr>
            <w:r>
              <w:t>1.</w:t>
            </w:r>
          </w:p>
        </w:tc>
        <w:tc>
          <w:tcPr>
            <w:tcW w:w="4394" w:type="dxa"/>
          </w:tcPr>
          <w:p>
            <w:pPr>
              <w:pStyle w:val="yTableNAm"/>
            </w:pPr>
            <w:r>
              <w:t>For use of service jetty for short time just to load or unload vessel, per vessel —</w:t>
            </w:r>
          </w:p>
        </w:tc>
        <w:tc>
          <w:tcPr>
            <w:tcW w:w="992" w:type="dxa"/>
            <w:vAlign w:val="bottom"/>
          </w:tcPr>
          <w:p>
            <w:pPr>
              <w:pStyle w:val="yTableNAm"/>
              <w:jc w:val="right"/>
            </w:pPr>
          </w:p>
        </w:tc>
      </w:tr>
      <w:tr>
        <w:trPr>
          <w:cantSplit/>
        </w:trPr>
        <w:tc>
          <w:tcPr>
            <w:tcW w:w="567" w:type="dxa"/>
          </w:tcPr>
          <w:p>
            <w:pPr>
              <w:pStyle w:val="yTableNAm"/>
            </w:pPr>
          </w:p>
        </w:tc>
        <w:tc>
          <w:tcPr>
            <w:tcW w:w="4394" w:type="dxa"/>
          </w:tcPr>
          <w:p>
            <w:pPr>
              <w:pStyle w:val="yTableNAm"/>
              <w:tabs>
                <w:tab w:val="clear" w:pos="567"/>
                <w:tab w:val="left" w:pos="415"/>
              </w:tabs>
              <w:ind w:left="415" w:hanging="415"/>
            </w:pPr>
            <w:r>
              <w:t>•</w:t>
            </w:r>
            <w:r>
              <w:tab/>
              <w:t>for 12 months paid in advance</w:t>
            </w:r>
          </w:p>
        </w:tc>
        <w:tc>
          <w:tcPr>
            <w:tcW w:w="992" w:type="dxa"/>
            <w:vAlign w:val="bottom"/>
          </w:tcPr>
          <w:p>
            <w:pPr>
              <w:pStyle w:val="yTableNAm"/>
              <w:jc w:val="right"/>
            </w:pPr>
            <w:r>
              <w:t>3 124.96</w:t>
            </w:r>
          </w:p>
        </w:tc>
      </w:tr>
      <w:tr>
        <w:trPr>
          <w:cantSplit/>
        </w:trPr>
        <w:tc>
          <w:tcPr>
            <w:tcW w:w="567" w:type="dxa"/>
          </w:tcPr>
          <w:p>
            <w:pPr>
              <w:pStyle w:val="yTableNAm"/>
            </w:pPr>
          </w:p>
        </w:tc>
        <w:tc>
          <w:tcPr>
            <w:tcW w:w="4394" w:type="dxa"/>
          </w:tcPr>
          <w:p>
            <w:pPr>
              <w:pStyle w:val="yTableNAm"/>
              <w:tabs>
                <w:tab w:val="clear" w:pos="567"/>
                <w:tab w:val="left" w:pos="415"/>
              </w:tabs>
              <w:ind w:left="415" w:hanging="415"/>
            </w:pPr>
            <w:r>
              <w:t>•</w:t>
            </w:r>
            <w:r>
              <w:tab/>
              <w:t>for one month paid in advance</w:t>
            </w:r>
          </w:p>
        </w:tc>
        <w:tc>
          <w:tcPr>
            <w:tcW w:w="992" w:type="dxa"/>
            <w:vAlign w:val="bottom"/>
          </w:tcPr>
          <w:p>
            <w:pPr>
              <w:pStyle w:val="yTableNAm"/>
              <w:jc w:val="right"/>
            </w:pPr>
            <w:r>
              <w:t>749.99</w:t>
            </w:r>
          </w:p>
        </w:tc>
      </w:tr>
      <w:tr>
        <w:trPr>
          <w:cantSplit/>
        </w:trPr>
        <w:tc>
          <w:tcPr>
            <w:tcW w:w="567" w:type="dxa"/>
          </w:tcPr>
          <w:p>
            <w:pPr>
              <w:pStyle w:val="yTableNAm"/>
            </w:pPr>
            <w:r>
              <w:t>2.</w:t>
            </w:r>
          </w:p>
        </w:tc>
        <w:tc>
          <w:tcPr>
            <w:tcW w:w="4394" w:type="dxa"/>
          </w:tcPr>
          <w:p>
            <w:pPr>
              <w:pStyle w:val="yTableNAm"/>
            </w:pPr>
            <w:r>
              <w:t>For use of service jetty by vessel, per vessel per day</w:t>
            </w:r>
          </w:p>
        </w:tc>
        <w:tc>
          <w:tcPr>
            <w:tcW w:w="992" w:type="dxa"/>
            <w:vAlign w:val="bottom"/>
          </w:tcPr>
          <w:p>
            <w:pPr>
              <w:pStyle w:val="yTableNAm"/>
              <w:jc w:val="right"/>
            </w:pPr>
            <w:r>
              <w:t>112.50</w:t>
            </w:r>
          </w:p>
        </w:tc>
      </w:tr>
      <w:tr>
        <w:trPr>
          <w:cantSplit/>
        </w:trPr>
        <w:tc>
          <w:tcPr>
            <w:tcW w:w="567" w:type="dxa"/>
            <w:tcBorders>
              <w:bottom w:val="single" w:sz="4" w:space="0" w:color="auto"/>
            </w:tcBorders>
          </w:tcPr>
          <w:p>
            <w:pPr>
              <w:pStyle w:val="yTableNAm"/>
            </w:pPr>
            <w:r>
              <w:t>3.</w:t>
            </w:r>
          </w:p>
        </w:tc>
        <w:tc>
          <w:tcPr>
            <w:tcW w:w="4394" w:type="dxa"/>
            <w:tcBorders>
              <w:bottom w:val="single" w:sz="4" w:space="0" w:color="auto"/>
            </w:tcBorders>
          </w:tcPr>
          <w:p>
            <w:pPr>
              <w:pStyle w:val="yTableNAm"/>
            </w:pPr>
            <w:r>
              <w:t>For vehicular use of service jetty and land adjacent to it by a business (company or registered business name) to load or unload vessels, for 12 months paid in advance, per business</w:t>
            </w:r>
          </w:p>
        </w:tc>
        <w:tc>
          <w:tcPr>
            <w:tcW w:w="992" w:type="dxa"/>
            <w:tcBorders>
              <w:bottom w:val="single" w:sz="4" w:space="0" w:color="auto"/>
            </w:tcBorders>
            <w:vAlign w:val="bottom"/>
          </w:tcPr>
          <w:p>
            <w:pPr>
              <w:pStyle w:val="yTableNAm"/>
              <w:jc w:val="right"/>
            </w:pPr>
            <w:r>
              <w:t>4 374.95</w:t>
            </w:r>
          </w:p>
        </w:tc>
      </w:tr>
    </w:tbl>
    <w:p>
      <w:pPr>
        <w:pStyle w:val="yFootnotesection"/>
      </w:pPr>
      <w:r>
        <w:tab/>
        <w:t>[Clause 7 inserted in Gazette 28 Jun 2013 p. 2841</w:t>
      </w:r>
      <w:r>
        <w:noBreakHyphen/>
        <w:t>2.]</w:t>
      </w:r>
    </w:p>
    <w:p>
      <w:pPr>
        <w:pStyle w:val="yHeading5"/>
      </w:pPr>
      <w:bookmarkStart w:id="149" w:name="_Toc382380043"/>
      <w:r>
        <w:rPr>
          <w:rStyle w:val="CharSClsNo"/>
        </w:rPr>
        <w:t>8</w:t>
      </w:r>
      <w:r>
        <w:t>.</w:t>
      </w:r>
      <w:r>
        <w:tab/>
        <w:t>Coral Bay Maritime Facility</w:t>
      </w:r>
      <w:bookmarkEnd w:id="149"/>
    </w:p>
    <w:p>
      <w:pPr>
        <w:pStyle w:val="ySubsection"/>
      </w:pPr>
      <w:r>
        <w:tab/>
        <w:t>(1)</w:t>
      </w:r>
      <w:r>
        <w:tab/>
        <w:t>This clause applies to the Coral Bay Maritime Facility.</w:t>
      </w:r>
    </w:p>
    <w:p>
      <w:pPr>
        <w:pStyle w:val="ySubsection"/>
      </w:pPr>
      <w:r>
        <w:tab/>
        <w:t>(2)</w:t>
      </w:r>
      <w:r>
        <w:tab/>
        <w:t xml:space="preserve">In this clause a reference to an </w:t>
      </w:r>
      <w:r>
        <w:rPr>
          <w:rStyle w:val="CharDefText"/>
        </w:rPr>
        <w:t>E Class operator</w:t>
      </w:r>
      <w:r>
        <w:t xml:space="preserve"> or a </w:t>
      </w:r>
      <w:r>
        <w:rPr>
          <w:rStyle w:val="CharDefText"/>
        </w:rPr>
        <w:t>T Class operator</w:t>
      </w:r>
      <w:r>
        <w:t xml:space="preserve"> is a reference to an operator who is the holder of either an E Class licence or a T Class licence issued for the </w:t>
      </w:r>
      <w:smartTag w:uri="urn:schemas-microsoft-com:office:smarttags" w:element="place">
        <w:smartTag w:uri="urn:schemas-microsoft-com:office:smarttags" w:element="PlaceName">
          <w:r>
            <w:t>Ningaloo</w:t>
          </w:r>
        </w:smartTag>
        <w:r>
          <w:t xml:space="preserve"> </w:t>
        </w:r>
        <w:smartTag w:uri="urn:schemas-microsoft-com:office:smarttags" w:element="PlaceName">
          <w:r>
            <w:t>Marine</w:t>
          </w:r>
        </w:smartTag>
        <w:r>
          <w:t xml:space="preserve"> </w:t>
        </w:r>
        <w:smartTag w:uri="urn:schemas-microsoft-com:office:smarttags" w:element="PlaceType">
          <w:r>
            <w:t>Park</w:t>
          </w:r>
        </w:smartTag>
      </w:smartTag>
      <w:r>
        <w:t>.</w:t>
      </w:r>
    </w:p>
    <w:p>
      <w:pPr>
        <w:pStyle w:val="ySubsection"/>
        <w:keepNext/>
        <w:keepLines/>
      </w:pPr>
      <w:r>
        <w:tab/>
        <w:t>(3)</w:t>
      </w:r>
      <w:r>
        <w:tab/>
        <w:t>The fees and charges to be paid under regulations 94A and 94C are set out in Table 8.1.</w:t>
      </w:r>
    </w:p>
    <w:p>
      <w:pPr>
        <w:pStyle w:val="yTHeadingNAm"/>
        <w:keepLines/>
      </w:pPr>
      <w:r>
        <w:t>Table 8.1 (Berthing and jetty use)</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87"/>
        <w:gridCol w:w="6"/>
        <w:gridCol w:w="993"/>
      </w:tblGrid>
      <w:tr>
        <w:trPr>
          <w:cantSplit/>
          <w:tblHeader/>
        </w:trPr>
        <w:tc>
          <w:tcPr>
            <w:tcW w:w="567" w:type="dxa"/>
            <w:tcBorders>
              <w:top w:val="single" w:sz="4" w:space="0" w:color="auto"/>
              <w:bottom w:val="single" w:sz="4" w:space="0" w:color="auto"/>
            </w:tcBorders>
          </w:tcPr>
          <w:p>
            <w:pPr>
              <w:pStyle w:val="yTableNAm"/>
              <w:keepNext/>
              <w:keepLines/>
              <w:rPr>
                <w:b/>
              </w:rPr>
            </w:pPr>
            <w:r>
              <w:rPr>
                <w:b/>
              </w:rPr>
              <w:t>Item</w:t>
            </w:r>
          </w:p>
        </w:tc>
        <w:tc>
          <w:tcPr>
            <w:tcW w:w="4393" w:type="dxa"/>
            <w:gridSpan w:val="2"/>
            <w:tcBorders>
              <w:top w:val="single" w:sz="4" w:space="0" w:color="auto"/>
              <w:bottom w:val="single" w:sz="4" w:space="0" w:color="auto"/>
            </w:tcBorders>
          </w:tcPr>
          <w:p>
            <w:pPr>
              <w:pStyle w:val="yTableNAm"/>
              <w:keepNext/>
              <w:keepLines/>
              <w:rPr>
                <w:b/>
              </w:rPr>
            </w:pPr>
            <w:r>
              <w:rPr>
                <w:b/>
              </w:rPr>
              <w:t>Service</w:t>
            </w:r>
          </w:p>
        </w:tc>
        <w:tc>
          <w:tcPr>
            <w:tcW w:w="993" w:type="dxa"/>
            <w:tcBorders>
              <w:top w:val="single" w:sz="4" w:space="0" w:color="auto"/>
              <w:bottom w:val="single" w:sz="4" w:space="0" w:color="auto"/>
            </w:tcBorders>
          </w:tcPr>
          <w:p>
            <w:pPr>
              <w:pStyle w:val="yTableNAm"/>
              <w:keepNext/>
              <w:keepLines/>
              <w:jc w:val="center"/>
              <w:rPr>
                <w:b/>
              </w:rPr>
            </w:pPr>
            <w:r>
              <w:rPr>
                <w:b/>
              </w:rPr>
              <w:t>$</w:t>
            </w:r>
          </w:p>
        </w:tc>
      </w:tr>
      <w:tr>
        <w:trPr>
          <w:cantSplit/>
        </w:trPr>
        <w:tc>
          <w:tcPr>
            <w:tcW w:w="567" w:type="dxa"/>
          </w:tcPr>
          <w:p>
            <w:pPr>
              <w:pStyle w:val="yTableNAm"/>
              <w:keepNext/>
            </w:pPr>
            <w:r>
              <w:t>1.</w:t>
            </w:r>
          </w:p>
        </w:tc>
        <w:tc>
          <w:tcPr>
            <w:tcW w:w="4387" w:type="dxa"/>
          </w:tcPr>
          <w:p>
            <w:pPr>
              <w:pStyle w:val="yTableNAm"/>
              <w:keepNext/>
              <w:rPr>
                <w:rStyle w:val="DraftersNotes"/>
              </w:rPr>
            </w:pPr>
            <w:r>
              <w:t>E Class operators — for use of service jetty, low level landing, transfer moorings and tender pontoon for short time to load or unload passengers and equipment from vessel, per vessel —</w:t>
            </w:r>
          </w:p>
        </w:tc>
        <w:tc>
          <w:tcPr>
            <w:tcW w:w="999" w:type="dxa"/>
            <w:gridSpan w:val="2"/>
          </w:tcPr>
          <w:p>
            <w:pPr>
              <w:pStyle w:val="yTableNAm"/>
              <w:keepNext/>
              <w:jc w:val="right"/>
            </w:pPr>
          </w:p>
        </w:tc>
      </w:tr>
      <w:tr>
        <w:trPr>
          <w:cantSplit/>
        </w:trPr>
        <w:tc>
          <w:tcPr>
            <w:tcW w:w="567" w:type="dxa"/>
          </w:tcPr>
          <w:p>
            <w:pPr>
              <w:pStyle w:val="yTableNAm"/>
            </w:pPr>
          </w:p>
        </w:tc>
        <w:tc>
          <w:tcPr>
            <w:tcW w:w="4387" w:type="dxa"/>
          </w:tcPr>
          <w:p>
            <w:pPr>
              <w:pStyle w:val="yTableNAm"/>
              <w:tabs>
                <w:tab w:val="clear" w:pos="567"/>
                <w:tab w:val="left" w:pos="415"/>
              </w:tabs>
              <w:ind w:left="415" w:hanging="415"/>
            </w:pPr>
            <w:r>
              <w:t>•</w:t>
            </w:r>
            <w:r>
              <w:tab/>
              <w:t>for 12 months paid in advance</w:t>
            </w:r>
          </w:p>
        </w:tc>
        <w:tc>
          <w:tcPr>
            <w:tcW w:w="999" w:type="dxa"/>
            <w:gridSpan w:val="2"/>
          </w:tcPr>
          <w:p>
            <w:pPr>
              <w:pStyle w:val="yTableNAm"/>
              <w:jc w:val="right"/>
            </w:pPr>
            <w:r>
              <w:t>2 343.72</w:t>
            </w:r>
          </w:p>
        </w:tc>
      </w:tr>
      <w:tr>
        <w:trPr>
          <w:cantSplit/>
        </w:trPr>
        <w:tc>
          <w:tcPr>
            <w:tcW w:w="567" w:type="dxa"/>
          </w:tcPr>
          <w:p>
            <w:pPr>
              <w:pStyle w:val="yTableNAm"/>
            </w:pPr>
          </w:p>
        </w:tc>
        <w:tc>
          <w:tcPr>
            <w:tcW w:w="4387" w:type="dxa"/>
          </w:tcPr>
          <w:p>
            <w:pPr>
              <w:pStyle w:val="yTableNAm"/>
              <w:tabs>
                <w:tab w:val="clear" w:pos="567"/>
                <w:tab w:val="left" w:pos="415"/>
              </w:tabs>
              <w:ind w:left="415" w:hanging="415"/>
            </w:pPr>
            <w:r>
              <w:t>•</w:t>
            </w:r>
            <w:r>
              <w:tab/>
              <w:t>for one month paid in advance</w:t>
            </w:r>
          </w:p>
        </w:tc>
        <w:tc>
          <w:tcPr>
            <w:tcW w:w="999" w:type="dxa"/>
            <w:gridSpan w:val="2"/>
          </w:tcPr>
          <w:p>
            <w:pPr>
              <w:pStyle w:val="yTableNAm"/>
              <w:jc w:val="right"/>
            </w:pPr>
            <w:r>
              <w:t>562.49</w:t>
            </w:r>
          </w:p>
        </w:tc>
      </w:tr>
      <w:tr>
        <w:trPr>
          <w:cantSplit/>
        </w:trPr>
        <w:tc>
          <w:tcPr>
            <w:tcW w:w="567" w:type="dxa"/>
          </w:tcPr>
          <w:p>
            <w:pPr>
              <w:pStyle w:val="yTableNAm"/>
            </w:pPr>
          </w:p>
        </w:tc>
        <w:tc>
          <w:tcPr>
            <w:tcW w:w="4387" w:type="dxa"/>
          </w:tcPr>
          <w:p>
            <w:pPr>
              <w:pStyle w:val="yTableNAm"/>
              <w:tabs>
                <w:tab w:val="clear" w:pos="567"/>
                <w:tab w:val="left" w:pos="415"/>
              </w:tabs>
              <w:ind w:left="415" w:hanging="415"/>
            </w:pPr>
            <w:r>
              <w:t>•</w:t>
            </w:r>
            <w:r>
              <w:tab/>
              <w:t>otherwise, per day</w:t>
            </w:r>
          </w:p>
        </w:tc>
        <w:tc>
          <w:tcPr>
            <w:tcW w:w="999" w:type="dxa"/>
            <w:gridSpan w:val="2"/>
          </w:tcPr>
          <w:p>
            <w:pPr>
              <w:pStyle w:val="yTableNAm"/>
              <w:jc w:val="right"/>
            </w:pPr>
            <w:r>
              <w:t>84.38</w:t>
            </w:r>
          </w:p>
        </w:tc>
      </w:tr>
      <w:tr>
        <w:trPr>
          <w:cantSplit/>
        </w:trPr>
        <w:tc>
          <w:tcPr>
            <w:tcW w:w="567" w:type="dxa"/>
          </w:tcPr>
          <w:p>
            <w:pPr>
              <w:pStyle w:val="yTableNAm"/>
            </w:pPr>
            <w:r>
              <w:t>2.</w:t>
            </w:r>
          </w:p>
        </w:tc>
        <w:tc>
          <w:tcPr>
            <w:tcW w:w="4387" w:type="dxa"/>
          </w:tcPr>
          <w:p>
            <w:pPr>
              <w:pStyle w:val="yTableNAm"/>
            </w:pPr>
            <w:r>
              <w:t>T Class operators — for use of boat ramp, low level landing and transfer moorings for short time (all subject to availability) to load or unload passengers and equipment from vessel, per vessel —</w:t>
            </w:r>
          </w:p>
        </w:tc>
        <w:tc>
          <w:tcPr>
            <w:tcW w:w="999" w:type="dxa"/>
            <w:gridSpan w:val="2"/>
          </w:tcPr>
          <w:p>
            <w:pPr>
              <w:pStyle w:val="yTableNAm"/>
              <w:jc w:val="right"/>
            </w:pPr>
          </w:p>
        </w:tc>
      </w:tr>
      <w:tr>
        <w:trPr>
          <w:cantSplit/>
        </w:trPr>
        <w:tc>
          <w:tcPr>
            <w:tcW w:w="567" w:type="dxa"/>
          </w:tcPr>
          <w:p>
            <w:pPr>
              <w:pStyle w:val="yTableNAm"/>
            </w:pPr>
          </w:p>
        </w:tc>
        <w:tc>
          <w:tcPr>
            <w:tcW w:w="4387" w:type="dxa"/>
          </w:tcPr>
          <w:p>
            <w:pPr>
              <w:pStyle w:val="yTableNAm"/>
              <w:tabs>
                <w:tab w:val="clear" w:pos="567"/>
                <w:tab w:val="left" w:pos="415"/>
              </w:tabs>
              <w:ind w:left="415" w:hanging="415"/>
            </w:pPr>
            <w:r>
              <w:t>•</w:t>
            </w:r>
            <w:r>
              <w:tab/>
              <w:t>for 12 months paid in advance</w:t>
            </w:r>
          </w:p>
        </w:tc>
        <w:tc>
          <w:tcPr>
            <w:tcW w:w="999" w:type="dxa"/>
            <w:gridSpan w:val="2"/>
          </w:tcPr>
          <w:p>
            <w:pPr>
              <w:pStyle w:val="yTableNAm"/>
              <w:jc w:val="right"/>
            </w:pPr>
            <w:r>
              <w:t>2 343.72</w:t>
            </w:r>
          </w:p>
        </w:tc>
      </w:tr>
      <w:tr>
        <w:trPr>
          <w:cantSplit/>
        </w:trPr>
        <w:tc>
          <w:tcPr>
            <w:tcW w:w="567" w:type="dxa"/>
          </w:tcPr>
          <w:p>
            <w:pPr>
              <w:pStyle w:val="yTableNAm"/>
            </w:pPr>
          </w:p>
        </w:tc>
        <w:tc>
          <w:tcPr>
            <w:tcW w:w="4387" w:type="dxa"/>
          </w:tcPr>
          <w:p>
            <w:pPr>
              <w:pStyle w:val="yTableNAm"/>
              <w:tabs>
                <w:tab w:val="clear" w:pos="567"/>
                <w:tab w:val="left" w:pos="415"/>
              </w:tabs>
              <w:ind w:left="415" w:hanging="415"/>
            </w:pPr>
            <w:r>
              <w:t>•</w:t>
            </w:r>
            <w:r>
              <w:tab/>
              <w:t>for one month paid in advance</w:t>
            </w:r>
          </w:p>
        </w:tc>
        <w:tc>
          <w:tcPr>
            <w:tcW w:w="999" w:type="dxa"/>
            <w:gridSpan w:val="2"/>
          </w:tcPr>
          <w:p>
            <w:pPr>
              <w:pStyle w:val="yTableNAm"/>
              <w:jc w:val="right"/>
            </w:pPr>
            <w:r>
              <w:t>562.49</w:t>
            </w:r>
          </w:p>
        </w:tc>
      </w:tr>
      <w:tr>
        <w:trPr>
          <w:cantSplit/>
        </w:trPr>
        <w:tc>
          <w:tcPr>
            <w:tcW w:w="567" w:type="dxa"/>
          </w:tcPr>
          <w:p>
            <w:pPr>
              <w:pStyle w:val="yTableNAm"/>
            </w:pPr>
          </w:p>
        </w:tc>
        <w:tc>
          <w:tcPr>
            <w:tcW w:w="4387" w:type="dxa"/>
          </w:tcPr>
          <w:p>
            <w:pPr>
              <w:pStyle w:val="yTableNAm"/>
              <w:tabs>
                <w:tab w:val="clear" w:pos="567"/>
                <w:tab w:val="left" w:pos="415"/>
              </w:tabs>
              <w:ind w:left="415" w:hanging="415"/>
            </w:pPr>
            <w:r>
              <w:t>•</w:t>
            </w:r>
            <w:r>
              <w:tab/>
              <w:t>otherwise, per day</w:t>
            </w:r>
          </w:p>
        </w:tc>
        <w:tc>
          <w:tcPr>
            <w:tcW w:w="999" w:type="dxa"/>
            <w:gridSpan w:val="2"/>
          </w:tcPr>
          <w:p>
            <w:pPr>
              <w:pStyle w:val="yTableNAm"/>
              <w:jc w:val="right"/>
            </w:pPr>
            <w:r>
              <w:t>84.38</w:t>
            </w:r>
          </w:p>
        </w:tc>
      </w:tr>
      <w:tr>
        <w:trPr>
          <w:cantSplit/>
        </w:trPr>
        <w:tc>
          <w:tcPr>
            <w:tcW w:w="567" w:type="dxa"/>
          </w:tcPr>
          <w:p>
            <w:pPr>
              <w:pStyle w:val="yTableNAm"/>
            </w:pPr>
            <w:r>
              <w:t>3.</w:t>
            </w:r>
          </w:p>
        </w:tc>
        <w:tc>
          <w:tcPr>
            <w:tcW w:w="4387" w:type="dxa"/>
          </w:tcPr>
          <w:p>
            <w:pPr>
              <w:pStyle w:val="yTableNAm"/>
            </w:pPr>
            <w:r>
              <w:t>Fishing vessels and other vessels — for use of service jetty, transfer moorings and tender moorings for short time (all subject to availability) to load or unload, per vessel —</w:t>
            </w:r>
          </w:p>
        </w:tc>
        <w:tc>
          <w:tcPr>
            <w:tcW w:w="999" w:type="dxa"/>
            <w:gridSpan w:val="2"/>
          </w:tcPr>
          <w:p>
            <w:pPr>
              <w:pStyle w:val="yTableNAm"/>
              <w:jc w:val="right"/>
            </w:pPr>
          </w:p>
        </w:tc>
      </w:tr>
      <w:tr>
        <w:trPr>
          <w:cantSplit/>
        </w:trPr>
        <w:tc>
          <w:tcPr>
            <w:tcW w:w="567" w:type="dxa"/>
          </w:tcPr>
          <w:p>
            <w:pPr>
              <w:pStyle w:val="yTableNAm"/>
            </w:pPr>
          </w:p>
        </w:tc>
        <w:tc>
          <w:tcPr>
            <w:tcW w:w="4387" w:type="dxa"/>
          </w:tcPr>
          <w:p>
            <w:pPr>
              <w:pStyle w:val="yTableNAm"/>
              <w:tabs>
                <w:tab w:val="clear" w:pos="567"/>
                <w:tab w:val="left" w:pos="415"/>
              </w:tabs>
              <w:ind w:left="415" w:hanging="415"/>
            </w:pPr>
            <w:r>
              <w:t>•</w:t>
            </w:r>
            <w:r>
              <w:tab/>
              <w:t>for 12 months paid in advance</w:t>
            </w:r>
          </w:p>
        </w:tc>
        <w:tc>
          <w:tcPr>
            <w:tcW w:w="999" w:type="dxa"/>
            <w:gridSpan w:val="2"/>
          </w:tcPr>
          <w:p>
            <w:pPr>
              <w:pStyle w:val="yTableNAm"/>
              <w:jc w:val="right"/>
            </w:pPr>
            <w:r>
              <w:t>2 343.72</w:t>
            </w:r>
          </w:p>
        </w:tc>
      </w:tr>
      <w:tr>
        <w:trPr>
          <w:cantSplit/>
        </w:trPr>
        <w:tc>
          <w:tcPr>
            <w:tcW w:w="567" w:type="dxa"/>
          </w:tcPr>
          <w:p>
            <w:pPr>
              <w:pStyle w:val="yTableNAm"/>
            </w:pPr>
          </w:p>
        </w:tc>
        <w:tc>
          <w:tcPr>
            <w:tcW w:w="4387" w:type="dxa"/>
          </w:tcPr>
          <w:p>
            <w:pPr>
              <w:pStyle w:val="yTableNAm"/>
              <w:tabs>
                <w:tab w:val="clear" w:pos="567"/>
                <w:tab w:val="left" w:pos="415"/>
              </w:tabs>
              <w:ind w:left="415" w:hanging="415"/>
            </w:pPr>
            <w:r>
              <w:t>•</w:t>
            </w:r>
            <w:r>
              <w:tab/>
              <w:t>for one month paid in advance</w:t>
            </w:r>
          </w:p>
        </w:tc>
        <w:tc>
          <w:tcPr>
            <w:tcW w:w="999" w:type="dxa"/>
            <w:gridSpan w:val="2"/>
          </w:tcPr>
          <w:p>
            <w:pPr>
              <w:pStyle w:val="yTableNAm"/>
              <w:jc w:val="right"/>
            </w:pPr>
            <w:r>
              <w:t>562.49</w:t>
            </w:r>
          </w:p>
        </w:tc>
      </w:tr>
      <w:tr>
        <w:trPr>
          <w:cantSplit/>
        </w:trPr>
        <w:tc>
          <w:tcPr>
            <w:tcW w:w="567" w:type="dxa"/>
          </w:tcPr>
          <w:p>
            <w:pPr>
              <w:pStyle w:val="yTableNAm"/>
            </w:pPr>
          </w:p>
        </w:tc>
        <w:tc>
          <w:tcPr>
            <w:tcW w:w="4387" w:type="dxa"/>
          </w:tcPr>
          <w:p>
            <w:pPr>
              <w:pStyle w:val="yTableNAm"/>
              <w:tabs>
                <w:tab w:val="clear" w:pos="567"/>
                <w:tab w:val="left" w:pos="415"/>
              </w:tabs>
              <w:ind w:left="415" w:hanging="415"/>
            </w:pPr>
            <w:r>
              <w:t>•</w:t>
            </w:r>
            <w:r>
              <w:tab/>
              <w:t>otherwise, per day</w:t>
            </w:r>
          </w:p>
        </w:tc>
        <w:tc>
          <w:tcPr>
            <w:tcW w:w="999" w:type="dxa"/>
            <w:gridSpan w:val="2"/>
          </w:tcPr>
          <w:p>
            <w:pPr>
              <w:pStyle w:val="yTableNAm"/>
              <w:jc w:val="right"/>
            </w:pPr>
            <w:r>
              <w:t>84.38</w:t>
            </w:r>
          </w:p>
        </w:tc>
      </w:tr>
      <w:tr>
        <w:trPr>
          <w:cantSplit/>
        </w:trPr>
        <w:tc>
          <w:tcPr>
            <w:tcW w:w="567" w:type="dxa"/>
          </w:tcPr>
          <w:p>
            <w:pPr>
              <w:pStyle w:val="yTableNAm"/>
            </w:pPr>
            <w:r>
              <w:t>4.</w:t>
            </w:r>
          </w:p>
        </w:tc>
        <w:tc>
          <w:tcPr>
            <w:tcW w:w="4387" w:type="dxa"/>
          </w:tcPr>
          <w:p>
            <w:pPr>
              <w:pStyle w:val="yTableNAm"/>
            </w:pPr>
            <w:r>
              <w:t xml:space="preserve">For use of floating pen, per vessel — </w:t>
            </w:r>
          </w:p>
          <w:p>
            <w:pPr>
              <w:pStyle w:val="NotesPerm"/>
              <w:tabs>
                <w:tab w:val="clear" w:pos="879"/>
                <w:tab w:val="left" w:pos="653"/>
              </w:tabs>
              <w:ind w:left="653" w:hanging="653"/>
            </w:pPr>
            <w:r>
              <w:t>Note:</w:t>
            </w:r>
            <w:r>
              <w:tab/>
              <w:t>includes, if vessel is a tender vessel for E Class operator, use of service jetty, low level landing, transfer moorings and tender pontoon for short time to load or unload passengers and equipment from E Class operator’s vessel</w:t>
            </w:r>
          </w:p>
        </w:tc>
        <w:tc>
          <w:tcPr>
            <w:tcW w:w="999" w:type="dxa"/>
            <w:gridSpan w:val="2"/>
            <w:vAlign w:val="bottom"/>
          </w:tcPr>
          <w:p>
            <w:pPr>
              <w:pStyle w:val="yTableNAm"/>
              <w:jc w:val="right"/>
            </w:pPr>
            <w:r>
              <w:br/>
            </w:r>
          </w:p>
        </w:tc>
      </w:tr>
      <w:tr>
        <w:trPr>
          <w:cantSplit/>
        </w:trPr>
        <w:tc>
          <w:tcPr>
            <w:tcW w:w="567" w:type="dxa"/>
          </w:tcPr>
          <w:p>
            <w:pPr>
              <w:pStyle w:val="yTableNAm"/>
            </w:pPr>
          </w:p>
        </w:tc>
        <w:tc>
          <w:tcPr>
            <w:tcW w:w="4387" w:type="dxa"/>
          </w:tcPr>
          <w:p>
            <w:pPr>
              <w:pStyle w:val="yTableNAm"/>
              <w:tabs>
                <w:tab w:val="clear" w:pos="567"/>
                <w:tab w:val="left" w:pos="415"/>
              </w:tabs>
              <w:ind w:left="415" w:hanging="415"/>
            </w:pPr>
            <w:r>
              <w:t>•</w:t>
            </w:r>
            <w:r>
              <w:tab/>
              <w:t>for 12 months paid in advance</w:t>
            </w:r>
          </w:p>
        </w:tc>
        <w:tc>
          <w:tcPr>
            <w:tcW w:w="999" w:type="dxa"/>
            <w:gridSpan w:val="2"/>
          </w:tcPr>
          <w:p>
            <w:pPr>
              <w:pStyle w:val="yTableNAm"/>
              <w:jc w:val="right"/>
            </w:pPr>
            <w:r>
              <w:t>2 500.00</w:t>
            </w:r>
          </w:p>
        </w:tc>
      </w:tr>
      <w:tr>
        <w:trPr>
          <w:cantSplit/>
        </w:trPr>
        <w:tc>
          <w:tcPr>
            <w:tcW w:w="567" w:type="dxa"/>
            <w:tcBorders>
              <w:bottom w:val="single" w:sz="4" w:space="0" w:color="auto"/>
            </w:tcBorders>
          </w:tcPr>
          <w:p>
            <w:pPr>
              <w:pStyle w:val="yTableNAm"/>
            </w:pPr>
          </w:p>
        </w:tc>
        <w:tc>
          <w:tcPr>
            <w:tcW w:w="4387" w:type="dxa"/>
            <w:tcBorders>
              <w:bottom w:val="single" w:sz="4" w:space="0" w:color="auto"/>
            </w:tcBorders>
          </w:tcPr>
          <w:p>
            <w:pPr>
              <w:pStyle w:val="yTableNAm"/>
              <w:tabs>
                <w:tab w:val="clear" w:pos="567"/>
                <w:tab w:val="left" w:pos="415"/>
              </w:tabs>
              <w:ind w:left="415" w:hanging="415"/>
            </w:pPr>
            <w:r>
              <w:t>•</w:t>
            </w:r>
            <w:r>
              <w:tab/>
              <w:t>otherwise, per day</w:t>
            </w:r>
          </w:p>
        </w:tc>
        <w:tc>
          <w:tcPr>
            <w:tcW w:w="999" w:type="dxa"/>
            <w:gridSpan w:val="2"/>
            <w:tcBorders>
              <w:bottom w:val="single" w:sz="4" w:space="0" w:color="auto"/>
            </w:tcBorders>
          </w:tcPr>
          <w:p>
            <w:pPr>
              <w:pStyle w:val="yTableNAm"/>
              <w:jc w:val="right"/>
            </w:pPr>
            <w:r>
              <w:t>50.00</w:t>
            </w:r>
          </w:p>
        </w:tc>
      </w:tr>
    </w:tbl>
    <w:p>
      <w:pPr>
        <w:pStyle w:val="yFootnotesection"/>
      </w:pPr>
      <w:r>
        <w:tab/>
        <w:t>[Clause 8 inserted in Gazette 28 Jun 2013 p. 2842</w:t>
      </w:r>
      <w:r>
        <w:noBreakHyphen/>
        <w:t>3.]</w:t>
      </w:r>
    </w:p>
    <w:p>
      <w:pPr>
        <w:pStyle w:val="yHeading5"/>
      </w:pPr>
      <w:bookmarkStart w:id="150" w:name="_Toc382380044"/>
      <w:r>
        <w:rPr>
          <w:rStyle w:val="CharSClsNo"/>
        </w:rPr>
        <w:t>9</w:t>
      </w:r>
      <w:r>
        <w:t>.</w:t>
      </w:r>
      <w:r>
        <w:rPr>
          <w:b w:val="0"/>
        </w:rPr>
        <w:tab/>
      </w:r>
      <w:r>
        <w:t xml:space="preserve">Esperance, </w:t>
      </w:r>
      <w:smartTag w:uri="urn:schemas-microsoft-com:office:smarttags" w:element="place">
        <w:smartTag w:uri="urn:schemas-microsoft-com:office:smarttags" w:element="PlaceName">
          <w:r>
            <w:t>Bandy</w:t>
          </w:r>
        </w:smartTag>
        <w:r>
          <w:t xml:space="preserve"> </w:t>
        </w:r>
        <w:smartTag w:uri="urn:schemas-microsoft-com:office:smarttags" w:element="PlaceType">
          <w:r>
            <w:t>Creek</w:t>
          </w:r>
        </w:smartTag>
        <w:r>
          <w:t xml:space="preserve"> </w:t>
        </w:r>
        <w:smartTag w:uri="urn:schemas-microsoft-com:office:smarttags" w:element="PlaceName">
          <w:r>
            <w:t>Boat</w:t>
          </w:r>
        </w:smartTag>
        <w:r>
          <w:t xml:space="preserve"> Harbour</w:t>
        </w:r>
      </w:smartTag>
      <w:bookmarkEnd w:id="150"/>
    </w:p>
    <w:p>
      <w:pPr>
        <w:pStyle w:val="ySubsection"/>
      </w:pPr>
      <w:r>
        <w:tab/>
        <w:t>(1)</w:t>
      </w:r>
      <w:r>
        <w:tab/>
        <w:t xml:space="preserve">This clause applies to the </w:t>
      </w:r>
      <w:smartTag w:uri="urn:schemas-microsoft-com:office:smarttags" w:element="place">
        <w:smartTag w:uri="urn:schemas-microsoft-com:office:smarttags" w:element="PlaceName">
          <w:r>
            <w:t>Bandy</w:t>
          </w:r>
        </w:smartTag>
        <w:r>
          <w:t xml:space="preserve"> </w:t>
        </w:r>
        <w:smartTag w:uri="urn:schemas-microsoft-com:office:smarttags" w:element="PlaceType">
          <w:r>
            <w:t>Creek</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 xml:space="preserve"> at Esperance.</w:t>
      </w:r>
    </w:p>
    <w:p>
      <w:pPr>
        <w:pStyle w:val="ySubsection"/>
      </w:pPr>
      <w:r>
        <w:tab/>
        <w:t>(2)</w:t>
      </w:r>
      <w:r>
        <w:tab/>
        <w:t>The fees and charges to be paid under regulations 6 and 94A are set out in Table 9.1.</w:t>
      </w:r>
    </w:p>
    <w:p>
      <w:pPr>
        <w:pStyle w:val="yTHeadingNAm"/>
      </w:pPr>
      <w:r>
        <w:t>Table 9.1 (Berthing and pen rental)</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91"/>
        <w:gridCol w:w="995"/>
      </w:tblGrid>
      <w:tr>
        <w:trPr>
          <w:cantSplit/>
          <w:tblHeader/>
        </w:trPr>
        <w:tc>
          <w:tcPr>
            <w:tcW w:w="567" w:type="dxa"/>
            <w:tcBorders>
              <w:top w:val="single" w:sz="4" w:space="0" w:color="auto"/>
              <w:bottom w:val="single" w:sz="4" w:space="0" w:color="auto"/>
            </w:tcBorders>
          </w:tcPr>
          <w:p>
            <w:pPr>
              <w:pStyle w:val="yTableNAm"/>
              <w:rPr>
                <w:b/>
              </w:rPr>
            </w:pPr>
            <w:r>
              <w:rPr>
                <w:b/>
              </w:rPr>
              <w:t>Item</w:t>
            </w:r>
          </w:p>
        </w:tc>
        <w:tc>
          <w:tcPr>
            <w:tcW w:w="4391" w:type="dxa"/>
            <w:tcBorders>
              <w:top w:val="single" w:sz="4" w:space="0" w:color="auto"/>
              <w:bottom w:val="single" w:sz="4" w:space="0" w:color="auto"/>
            </w:tcBorders>
          </w:tcPr>
          <w:p>
            <w:pPr>
              <w:pStyle w:val="yTableNAm"/>
              <w:rPr>
                <w:b/>
              </w:rPr>
            </w:pPr>
            <w:r>
              <w:rPr>
                <w:b/>
              </w:rPr>
              <w:t>Service</w:t>
            </w:r>
          </w:p>
        </w:tc>
        <w:tc>
          <w:tcPr>
            <w:tcW w:w="995" w:type="dxa"/>
            <w:tcBorders>
              <w:top w:val="single" w:sz="4" w:space="0" w:color="auto"/>
              <w:bottom w:val="single" w:sz="4" w:space="0" w:color="auto"/>
            </w:tcBorders>
          </w:tcPr>
          <w:p>
            <w:pPr>
              <w:pStyle w:val="yTableNAm"/>
              <w:jc w:val="center"/>
              <w:rPr>
                <w:b/>
              </w:rPr>
            </w:pPr>
            <w:r>
              <w:rPr>
                <w:b/>
              </w:rPr>
              <w:t>$</w:t>
            </w:r>
          </w:p>
        </w:tc>
      </w:tr>
      <w:tr>
        <w:trPr>
          <w:cantSplit/>
        </w:trPr>
        <w:tc>
          <w:tcPr>
            <w:tcW w:w="567" w:type="dxa"/>
          </w:tcPr>
          <w:p>
            <w:pPr>
              <w:pStyle w:val="yTableNAm"/>
            </w:pPr>
            <w:r>
              <w:t>1.</w:t>
            </w:r>
          </w:p>
        </w:tc>
        <w:tc>
          <w:tcPr>
            <w:tcW w:w="4391" w:type="dxa"/>
          </w:tcPr>
          <w:p>
            <w:pPr>
              <w:pStyle w:val="yTableNAm"/>
            </w:pPr>
            <w:r>
              <w:t xml:space="preserve">For pen on east side of harbour, per m of the vessel’s length — </w:t>
            </w:r>
          </w:p>
        </w:tc>
        <w:tc>
          <w:tcPr>
            <w:tcW w:w="995" w:type="dxa"/>
            <w:vAlign w:val="bottom"/>
          </w:tcPr>
          <w:p>
            <w:pPr>
              <w:pStyle w:val="yTableNAm"/>
              <w:jc w:val="right"/>
            </w:pPr>
          </w:p>
        </w:tc>
      </w:tr>
      <w:tr>
        <w:trPr>
          <w:cantSplit/>
        </w:trPr>
        <w:tc>
          <w:tcPr>
            <w:tcW w:w="567" w:type="dxa"/>
          </w:tcPr>
          <w:p>
            <w:pPr>
              <w:pStyle w:val="yTableNAm"/>
            </w:pPr>
          </w:p>
        </w:tc>
        <w:tc>
          <w:tcPr>
            <w:tcW w:w="4391" w:type="dxa"/>
          </w:tcPr>
          <w:p>
            <w:pPr>
              <w:pStyle w:val="yTableNAm"/>
              <w:tabs>
                <w:tab w:val="clear" w:pos="567"/>
                <w:tab w:val="left" w:pos="415"/>
              </w:tabs>
              <w:ind w:left="415" w:hanging="415"/>
            </w:pPr>
            <w:r>
              <w:t>•</w:t>
            </w:r>
            <w:r>
              <w:tab/>
              <w:t>for 12 months paid in advance</w:t>
            </w:r>
          </w:p>
        </w:tc>
        <w:tc>
          <w:tcPr>
            <w:tcW w:w="995" w:type="dxa"/>
            <w:vAlign w:val="bottom"/>
          </w:tcPr>
          <w:p>
            <w:pPr>
              <w:pStyle w:val="yTableNAm"/>
              <w:jc w:val="right"/>
            </w:pPr>
            <w:r>
              <w:t>285.73</w:t>
            </w:r>
          </w:p>
        </w:tc>
      </w:tr>
      <w:tr>
        <w:trPr>
          <w:cantSplit/>
        </w:trPr>
        <w:tc>
          <w:tcPr>
            <w:tcW w:w="567" w:type="dxa"/>
          </w:tcPr>
          <w:p>
            <w:pPr>
              <w:pStyle w:val="yTableNAm"/>
            </w:pPr>
          </w:p>
        </w:tc>
        <w:tc>
          <w:tcPr>
            <w:tcW w:w="4391" w:type="dxa"/>
          </w:tcPr>
          <w:p>
            <w:pPr>
              <w:pStyle w:val="yTableNAm"/>
              <w:tabs>
                <w:tab w:val="clear" w:pos="567"/>
                <w:tab w:val="left" w:pos="415"/>
              </w:tabs>
              <w:ind w:left="415" w:hanging="415"/>
            </w:pPr>
            <w:r>
              <w:t>•</w:t>
            </w:r>
            <w:r>
              <w:tab/>
              <w:t>for 3 months or more, per month, paid in advance</w:t>
            </w:r>
          </w:p>
        </w:tc>
        <w:tc>
          <w:tcPr>
            <w:tcW w:w="995" w:type="dxa"/>
            <w:vAlign w:val="bottom"/>
          </w:tcPr>
          <w:p>
            <w:pPr>
              <w:pStyle w:val="yTableNAm"/>
              <w:jc w:val="right"/>
            </w:pPr>
            <w:r>
              <w:t>28.56</w:t>
            </w:r>
          </w:p>
        </w:tc>
      </w:tr>
      <w:tr>
        <w:trPr>
          <w:cantSplit/>
        </w:trPr>
        <w:tc>
          <w:tcPr>
            <w:tcW w:w="567" w:type="dxa"/>
          </w:tcPr>
          <w:p>
            <w:pPr>
              <w:pStyle w:val="yTableNAm"/>
            </w:pPr>
          </w:p>
        </w:tc>
        <w:tc>
          <w:tcPr>
            <w:tcW w:w="4391" w:type="dxa"/>
          </w:tcPr>
          <w:p>
            <w:pPr>
              <w:pStyle w:val="yTableNAm"/>
              <w:tabs>
                <w:tab w:val="clear" w:pos="567"/>
                <w:tab w:val="left" w:pos="415"/>
              </w:tabs>
              <w:ind w:left="415" w:hanging="415"/>
            </w:pPr>
            <w:r>
              <w:t>•</w:t>
            </w:r>
            <w:r>
              <w:tab/>
              <w:t>for one month or more, per month, paid in advance</w:t>
            </w:r>
          </w:p>
        </w:tc>
        <w:tc>
          <w:tcPr>
            <w:tcW w:w="995" w:type="dxa"/>
            <w:vAlign w:val="bottom"/>
          </w:tcPr>
          <w:p>
            <w:pPr>
              <w:pStyle w:val="yTableNAm"/>
              <w:jc w:val="right"/>
            </w:pPr>
            <w:r>
              <w:t>42.86</w:t>
            </w:r>
          </w:p>
        </w:tc>
      </w:tr>
      <w:tr>
        <w:trPr>
          <w:cantSplit/>
        </w:trPr>
        <w:tc>
          <w:tcPr>
            <w:tcW w:w="567" w:type="dxa"/>
          </w:tcPr>
          <w:p>
            <w:pPr>
              <w:pStyle w:val="yTableNAm"/>
            </w:pPr>
          </w:p>
        </w:tc>
        <w:tc>
          <w:tcPr>
            <w:tcW w:w="4391" w:type="dxa"/>
          </w:tcPr>
          <w:p>
            <w:pPr>
              <w:pStyle w:val="yTableNAm"/>
              <w:tabs>
                <w:tab w:val="clear" w:pos="567"/>
                <w:tab w:val="left" w:pos="415"/>
              </w:tabs>
              <w:ind w:left="415" w:hanging="415"/>
            </w:pPr>
            <w:r>
              <w:t>•</w:t>
            </w:r>
            <w:r>
              <w:tab/>
              <w:t>otherwise, per day</w:t>
            </w:r>
          </w:p>
        </w:tc>
        <w:tc>
          <w:tcPr>
            <w:tcW w:w="995" w:type="dxa"/>
            <w:vAlign w:val="bottom"/>
          </w:tcPr>
          <w:p>
            <w:pPr>
              <w:pStyle w:val="yTableNAm"/>
              <w:jc w:val="right"/>
            </w:pPr>
            <w:r>
              <w:t>8.12</w:t>
            </w:r>
          </w:p>
        </w:tc>
      </w:tr>
      <w:tr>
        <w:trPr>
          <w:cantSplit/>
        </w:trPr>
        <w:tc>
          <w:tcPr>
            <w:tcW w:w="567" w:type="dxa"/>
          </w:tcPr>
          <w:p>
            <w:pPr>
              <w:pStyle w:val="yTableNAm"/>
            </w:pPr>
            <w:r>
              <w:t>2.</w:t>
            </w:r>
          </w:p>
        </w:tc>
        <w:tc>
          <w:tcPr>
            <w:tcW w:w="4391" w:type="dxa"/>
          </w:tcPr>
          <w:p>
            <w:pPr>
              <w:pStyle w:val="yTableNAm"/>
            </w:pPr>
            <w:r>
              <w:t xml:space="preserve">For pen on west side of harbour for commercial vessel, per m of the vessel’s length — </w:t>
            </w:r>
          </w:p>
        </w:tc>
        <w:tc>
          <w:tcPr>
            <w:tcW w:w="995" w:type="dxa"/>
            <w:vAlign w:val="bottom"/>
          </w:tcPr>
          <w:p>
            <w:pPr>
              <w:pStyle w:val="yTableNAm"/>
              <w:jc w:val="right"/>
            </w:pPr>
          </w:p>
        </w:tc>
      </w:tr>
      <w:tr>
        <w:trPr>
          <w:cantSplit/>
        </w:trPr>
        <w:tc>
          <w:tcPr>
            <w:tcW w:w="567" w:type="dxa"/>
          </w:tcPr>
          <w:p>
            <w:pPr>
              <w:pStyle w:val="yTableNAm"/>
            </w:pPr>
          </w:p>
        </w:tc>
        <w:tc>
          <w:tcPr>
            <w:tcW w:w="4391" w:type="dxa"/>
          </w:tcPr>
          <w:p>
            <w:pPr>
              <w:pStyle w:val="yTableNAm"/>
              <w:tabs>
                <w:tab w:val="clear" w:pos="567"/>
                <w:tab w:val="left" w:pos="415"/>
              </w:tabs>
              <w:ind w:left="415" w:hanging="415"/>
            </w:pPr>
            <w:r>
              <w:t>•</w:t>
            </w:r>
            <w:r>
              <w:tab/>
              <w:t>for 12 months paid in advance</w:t>
            </w:r>
          </w:p>
        </w:tc>
        <w:tc>
          <w:tcPr>
            <w:tcW w:w="995" w:type="dxa"/>
            <w:vAlign w:val="bottom"/>
          </w:tcPr>
          <w:p>
            <w:pPr>
              <w:pStyle w:val="yTableNAm"/>
              <w:jc w:val="right"/>
            </w:pPr>
            <w:r>
              <w:t>228.91</w:t>
            </w:r>
          </w:p>
        </w:tc>
      </w:tr>
      <w:tr>
        <w:trPr>
          <w:cantSplit/>
        </w:trPr>
        <w:tc>
          <w:tcPr>
            <w:tcW w:w="567" w:type="dxa"/>
          </w:tcPr>
          <w:p>
            <w:pPr>
              <w:pStyle w:val="yTableNAm"/>
            </w:pPr>
          </w:p>
        </w:tc>
        <w:tc>
          <w:tcPr>
            <w:tcW w:w="4391" w:type="dxa"/>
          </w:tcPr>
          <w:p>
            <w:pPr>
              <w:pStyle w:val="yTableNAm"/>
              <w:tabs>
                <w:tab w:val="clear" w:pos="567"/>
                <w:tab w:val="left" w:pos="415"/>
              </w:tabs>
              <w:ind w:left="415" w:hanging="415"/>
            </w:pPr>
            <w:r>
              <w:t>•</w:t>
            </w:r>
            <w:r>
              <w:tab/>
              <w:t>for 3 months or more, per month, paid in advance</w:t>
            </w:r>
          </w:p>
        </w:tc>
        <w:tc>
          <w:tcPr>
            <w:tcW w:w="995" w:type="dxa"/>
            <w:vAlign w:val="bottom"/>
          </w:tcPr>
          <w:p>
            <w:pPr>
              <w:pStyle w:val="yTableNAm"/>
              <w:jc w:val="right"/>
            </w:pPr>
            <w:r>
              <w:t>22.89</w:t>
            </w:r>
          </w:p>
        </w:tc>
      </w:tr>
      <w:tr>
        <w:trPr>
          <w:cantSplit/>
        </w:trPr>
        <w:tc>
          <w:tcPr>
            <w:tcW w:w="567" w:type="dxa"/>
          </w:tcPr>
          <w:p>
            <w:pPr>
              <w:pStyle w:val="yTableNAm"/>
            </w:pPr>
          </w:p>
        </w:tc>
        <w:tc>
          <w:tcPr>
            <w:tcW w:w="4391" w:type="dxa"/>
          </w:tcPr>
          <w:p>
            <w:pPr>
              <w:pStyle w:val="yTableNAm"/>
              <w:tabs>
                <w:tab w:val="clear" w:pos="567"/>
                <w:tab w:val="left" w:pos="415"/>
              </w:tabs>
              <w:ind w:left="415" w:hanging="415"/>
            </w:pPr>
            <w:r>
              <w:t>•</w:t>
            </w:r>
            <w:r>
              <w:tab/>
              <w:t>for one month or more, per month, paid in advance</w:t>
            </w:r>
          </w:p>
        </w:tc>
        <w:tc>
          <w:tcPr>
            <w:tcW w:w="995" w:type="dxa"/>
            <w:vAlign w:val="bottom"/>
          </w:tcPr>
          <w:p>
            <w:pPr>
              <w:pStyle w:val="yTableNAm"/>
              <w:jc w:val="right"/>
            </w:pPr>
            <w:r>
              <w:t>34.33</w:t>
            </w:r>
          </w:p>
        </w:tc>
      </w:tr>
      <w:tr>
        <w:trPr>
          <w:cantSplit/>
        </w:trPr>
        <w:tc>
          <w:tcPr>
            <w:tcW w:w="567" w:type="dxa"/>
          </w:tcPr>
          <w:p>
            <w:pPr>
              <w:pStyle w:val="yTableNAm"/>
            </w:pPr>
          </w:p>
        </w:tc>
        <w:tc>
          <w:tcPr>
            <w:tcW w:w="4391" w:type="dxa"/>
          </w:tcPr>
          <w:p>
            <w:pPr>
              <w:pStyle w:val="yTableNAm"/>
              <w:tabs>
                <w:tab w:val="clear" w:pos="567"/>
                <w:tab w:val="left" w:pos="415"/>
              </w:tabs>
              <w:ind w:left="415" w:hanging="415"/>
            </w:pPr>
            <w:r>
              <w:t>•</w:t>
            </w:r>
            <w:r>
              <w:tab/>
              <w:t>for one week or more, per week, paid in advance</w:t>
            </w:r>
          </w:p>
        </w:tc>
        <w:tc>
          <w:tcPr>
            <w:tcW w:w="995" w:type="dxa"/>
            <w:vAlign w:val="bottom"/>
          </w:tcPr>
          <w:p>
            <w:pPr>
              <w:pStyle w:val="yTableNAm"/>
              <w:jc w:val="right"/>
            </w:pPr>
            <w:r>
              <w:t>40.57</w:t>
            </w:r>
          </w:p>
        </w:tc>
      </w:tr>
      <w:tr>
        <w:trPr>
          <w:cantSplit/>
        </w:trPr>
        <w:tc>
          <w:tcPr>
            <w:tcW w:w="567" w:type="dxa"/>
          </w:tcPr>
          <w:p>
            <w:pPr>
              <w:pStyle w:val="yTableNAm"/>
            </w:pPr>
          </w:p>
        </w:tc>
        <w:tc>
          <w:tcPr>
            <w:tcW w:w="4391" w:type="dxa"/>
          </w:tcPr>
          <w:p>
            <w:pPr>
              <w:pStyle w:val="yTableNAm"/>
              <w:tabs>
                <w:tab w:val="clear" w:pos="567"/>
                <w:tab w:val="left" w:pos="415"/>
              </w:tabs>
              <w:ind w:left="415" w:hanging="415"/>
            </w:pPr>
            <w:r>
              <w:t>•</w:t>
            </w:r>
            <w:r>
              <w:tab/>
              <w:t>otherwise, per day</w:t>
            </w:r>
          </w:p>
        </w:tc>
        <w:tc>
          <w:tcPr>
            <w:tcW w:w="995" w:type="dxa"/>
            <w:vAlign w:val="bottom"/>
          </w:tcPr>
          <w:p>
            <w:pPr>
              <w:pStyle w:val="yTableNAm"/>
              <w:jc w:val="right"/>
            </w:pPr>
            <w:r>
              <w:t>8.12</w:t>
            </w:r>
          </w:p>
        </w:tc>
      </w:tr>
      <w:tr>
        <w:trPr>
          <w:cantSplit/>
        </w:trPr>
        <w:tc>
          <w:tcPr>
            <w:tcW w:w="567" w:type="dxa"/>
          </w:tcPr>
          <w:p>
            <w:pPr>
              <w:pStyle w:val="yTableNAm"/>
            </w:pPr>
            <w:r>
              <w:t>3.</w:t>
            </w:r>
          </w:p>
        </w:tc>
        <w:tc>
          <w:tcPr>
            <w:tcW w:w="4391" w:type="dxa"/>
          </w:tcPr>
          <w:p>
            <w:pPr>
              <w:pStyle w:val="yTableNAm"/>
            </w:pPr>
            <w:r>
              <w:t xml:space="preserve">For pen on west side of harbour for recreational vessel, per m of the vessel’s length — </w:t>
            </w:r>
          </w:p>
        </w:tc>
        <w:tc>
          <w:tcPr>
            <w:tcW w:w="995" w:type="dxa"/>
            <w:vAlign w:val="bottom"/>
          </w:tcPr>
          <w:p>
            <w:pPr>
              <w:pStyle w:val="yTableNAm"/>
              <w:jc w:val="right"/>
            </w:pPr>
          </w:p>
        </w:tc>
      </w:tr>
      <w:tr>
        <w:trPr>
          <w:cantSplit/>
        </w:trPr>
        <w:tc>
          <w:tcPr>
            <w:tcW w:w="567" w:type="dxa"/>
          </w:tcPr>
          <w:p>
            <w:pPr>
              <w:pStyle w:val="yTableNAm"/>
            </w:pPr>
          </w:p>
        </w:tc>
        <w:tc>
          <w:tcPr>
            <w:tcW w:w="4391" w:type="dxa"/>
          </w:tcPr>
          <w:p>
            <w:pPr>
              <w:pStyle w:val="yTableNAm"/>
              <w:tabs>
                <w:tab w:val="clear" w:pos="567"/>
                <w:tab w:val="left" w:pos="415"/>
              </w:tabs>
              <w:ind w:left="415" w:hanging="415"/>
            </w:pPr>
            <w:r>
              <w:t>•</w:t>
            </w:r>
            <w:r>
              <w:tab/>
              <w:t>for 12 months paid in advance</w:t>
            </w:r>
          </w:p>
        </w:tc>
        <w:tc>
          <w:tcPr>
            <w:tcW w:w="995" w:type="dxa"/>
            <w:vAlign w:val="bottom"/>
          </w:tcPr>
          <w:p>
            <w:pPr>
              <w:pStyle w:val="yTableNAm"/>
              <w:jc w:val="right"/>
            </w:pPr>
            <w:r>
              <w:t>199.68</w:t>
            </w:r>
          </w:p>
        </w:tc>
      </w:tr>
      <w:tr>
        <w:trPr>
          <w:cantSplit/>
        </w:trPr>
        <w:tc>
          <w:tcPr>
            <w:tcW w:w="567" w:type="dxa"/>
          </w:tcPr>
          <w:p>
            <w:pPr>
              <w:pStyle w:val="yTableNAm"/>
            </w:pPr>
          </w:p>
        </w:tc>
        <w:tc>
          <w:tcPr>
            <w:tcW w:w="4391" w:type="dxa"/>
          </w:tcPr>
          <w:p>
            <w:pPr>
              <w:pStyle w:val="yTableNAm"/>
              <w:tabs>
                <w:tab w:val="clear" w:pos="567"/>
                <w:tab w:val="left" w:pos="415"/>
              </w:tabs>
              <w:ind w:left="415" w:hanging="415"/>
            </w:pPr>
            <w:r>
              <w:t>•</w:t>
            </w:r>
            <w:r>
              <w:tab/>
              <w:t>for 3 months or more, per month, paid in advance</w:t>
            </w:r>
          </w:p>
        </w:tc>
        <w:tc>
          <w:tcPr>
            <w:tcW w:w="995" w:type="dxa"/>
            <w:vAlign w:val="bottom"/>
          </w:tcPr>
          <w:p>
            <w:pPr>
              <w:pStyle w:val="yTableNAm"/>
              <w:jc w:val="right"/>
            </w:pPr>
            <w:r>
              <w:t>19.96</w:t>
            </w:r>
          </w:p>
        </w:tc>
      </w:tr>
      <w:tr>
        <w:trPr>
          <w:cantSplit/>
        </w:trPr>
        <w:tc>
          <w:tcPr>
            <w:tcW w:w="567" w:type="dxa"/>
          </w:tcPr>
          <w:p>
            <w:pPr>
              <w:pStyle w:val="yTableNAm"/>
            </w:pPr>
          </w:p>
        </w:tc>
        <w:tc>
          <w:tcPr>
            <w:tcW w:w="4391" w:type="dxa"/>
          </w:tcPr>
          <w:p>
            <w:pPr>
              <w:pStyle w:val="yTableNAm"/>
              <w:tabs>
                <w:tab w:val="clear" w:pos="567"/>
                <w:tab w:val="left" w:pos="415"/>
              </w:tabs>
              <w:ind w:left="415" w:hanging="415"/>
            </w:pPr>
            <w:r>
              <w:t>•</w:t>
            </w:r>
            <w:r>
              <w:tab/>
              <w:t>for one month or more, per month, paid in advance</w:t>
            </w:r>
          </w:p>
        </w:tc>
        <w:tc>
          <w:tcPr>
            <w:tcW w:w="995" w:type="dxa"/>
            <w:vAlign w:val="bottom"/>
          </w:tcPr>
          <w:p>
            <w:pPr>
              <w:pStyle w:val="yTableNAm"/>
              <w:jc w:val="right"/>
            </w:pPr>
            <w:r>
              <w:t>29.95</w:t>
            </w:r>
          </w:p>
        </w:tc>
      </w:tr>
      <w:tr>
        <w:trPr>
          <w:cantSplit/>
        </w:trPr>
        <w:tc>
          <w:tcPr>
            <w:tcW w:w="567" w:type="dxa"/>
          </w:tcPr>
          <w:p>
            <w:pPr>
              <w:pStyle w:val="yTableNAm"/>
            </w:pPr>
          </w:p>
        </w:tc>
        <w:tc>
          <w:tcPr>
            <w:tcW w:w="4391" w:type="dxa"/>
          </w:tcPr>
          <w:p>
            <w:pPr>
              <w:pStyle w:val="yTableNAm"/>
              <w:tabs>
                <w:tab w:val="clear" w:pos="567"/>
                <w:tab w:val="left" w:pos="415"/>
              </w:tabs>
              <w:ind w:left="415" w:hanging="415"/>
            </w:pPr>
            <w:r>
              <w:t>•</w:t>
            </w:r>
            <w:r>
              <w:tab/>
              <w:t>for one week or more, per week, paid in advance</w:t>
            </w:r>
          </w:p>
        </w:tc>
        <w:tc>
          <w:tcPr>
            <w:tcW w:w="995" w:type="dxa"/>
            <w:vAlign w:val="bottom"/>
          </w:tcPr>
          <w:p>
            <w:pPr>
              <w:pStyle w:val="yTableNAm"/>
              <w:jc w:val="right"/>
            </w:pPr>
            <w:r>
              <w:t>24.34</w:t>
            </w:r>
          </w:p>
        </w:tc>
      </w:tr>
      <w:tr>
        <w:trPr>
          <w:cantSplit/>
        </w:trPr>
        <w:tc>
          <w:tcPr>
            <w:tcW w:w="567" w:type="dxa"/>
          </w:tcPr>
          <w:p>
            <w:pPr>
              <w:pStyle w:val="yTableNAm"/>
            </w:pPr>
          </w:p>
        </w:tc>
        <w:tc>
          <w:tcPr>
            <w:tcW w:w="4391" w:type="dxa"/>
          </w:tcPr>
          <w:p>
            <w:pPr>
              <w:pStyle w:val="yTableNAm"/>
              <w:tabs>
                <w:tab w:val="clear" w:pos="567"/>
                <w:tab w:val="left" w:pos="415"/>
              </w:tabs>
              <w:ind w:left="415" w:hanging="415"/>
            </w:pPr>
            <w:r>
              <w:t>•</w:t>
            </w:r>
            <w:r>
              <w:tab/>
              <w:t>otherwise, per day</w:t>
            </w:r>
          </w:p>
        </w:tc>
        <w:tc>
          <w:tcPr>
            <w:tcW w:w="995" w:type="dxa"/>
            <w:vAlign w:val="bottom"/>
          </w:tcPr>
          <w:p>
            <w:pPr>
              <w:pStyle w:val="yTableNAm"/>
              <w:jc w:val="right"/>
            </w:pPr>
            <w:r>
              <w:t>4.87</w:t>
            </w:r>
          </w:p>
        </w:tc>
      </w:tr>
      <w:tr>
        <w:trPr>
          <w:cantSplit/>
        </w:trPr>
        <w:tc>
          <w:tcPr>
            <w:tcW w:w="567" w:type="dxa"/>
          </w:tcPr>
          <w:p>
            <w:pPr>
              <w:pStyle w:val="yTableNAm"/>
            </w:pPr>
            <w:r>
              <w:t>4.</w:t>
            </w:r>
          </w:p>
        </w:tc>
        <w:tc>
          <w:tcPr>
            <w:tcW w:w="4391" w:type="dxa"/>
          </w:tcPr>
          <w:p>
            <w:pPr>
              <w:pStyle w:val="yTableNAm"/>
            </w:pPr>
            <w:r>
              <w:t>For living on board a vessel, per vessel, per month</w:t>
            </w:r>
          </w:p>
        </w:tc>
        <w:tc>
          <w:tcPr>
            <w:tcW w:w="995" w:type="dxa"/>
            <w:vAlign w:val="bottom"/>
          </w:tcPr>
          <w:p>
            <w:pPr>
              <w:pStyle w:val="yTableNAm"/>
              <w:jc w:val="right"/>
            </w:pPr>
            <w:r>
              <w:t>42.99</w:t>
            </w:r>
          </w:p>
        </w:tc>
      </w:tr>
      <w:tr>
        <w:trPr>
          <w:cantSplit/>
        </w:trPr>
        <w:tc>
          <w:tcPr>
            <w:tcW w:w="567" w:type="dxa"/>
          </w:tcPr>
          <w:p>
            <w:pPr>
              <w:pStyle w:val="yTableNAm"/>
            </w:pPr>
            <w:r>
              <w:t>5.</w:t>
            </w:r>
          </w:p>
        </w:tc>
        <w:tc>
          <w:tcPr>
            <w:tcW w:w="4391" w:type="dxa"/>
          </w:tcPr>
          <w:p>
            <w:pPr>
              <w:pStyle w:val="yTableNAm"/>
            </w:pPr>
            <w:r>
              <w:t>For use of service jetty or wharf for less than 3 hours by vessel, per m of the vessel’s length</w:t>
            </w:r>
          </w:p>
        </w:tc>
        <w:tc>
          <w:tcPr>
            <w:tcW w:w="995" w:type="dxa"/>
            <w:vAlign w:val="bottom"/>
          </w:tcPr>
          <w:p>
            <w:pPr>
              <w:pStyle w:val="yTableNAm"/>
              <w:jc w:val="right"/>
            </w:pPr>
            <w:r>
              <w:t>4.07</w:t>
            </w:r>
          </w:p>
        </w:tc>
      </w:tr>
      <w:tr>
        <w:trPr>
          <w:cantSplit/>
        </w:trPr>
        <w:tc>
          <w:tcPr>
            <w:tcW w:w="567" w:type="dxa"/>
          </w:tcPr>
          <w:p>
            <w:pPr>
              <w:pStyle w:val="yTableNAm"/>
            </w:pPr>
            <w:r>
              <w:t>6.</w:t>
            </w:r>
          </w:p>
        </w:tc>
        <w:tc>
          <w:tcPr>
            <w:tcW w:w="4391" w:type="dxa"/>
          </w:tcPr>
          <w:p>
            <w:pPr>
              <w:pStyle w:val="yTableNAm"/>
            </w:pPr>
            <w:r>
              <w:t>For use of boat launching ramp by commercial vessel, per vessel —</w:t>
            </w:r>
          </w:p>
        </w:tc>
        <w:tc>
          <w:tcPr>
            <w:tcW w:w="995" w:type="dxa"/>
            <w:vAlign w:val="bottom"/>
          </w:tcPr>
          <w:p>
            <w:pPr>
              <w:pStyle w:val="yTableNAm"/>
              <w:jc w:val="right"/>
            </w:pPr>
          </w:p>
        </w:tc>
      </w:tr>
      <w:tr>
        <w:trPr>
          <w:cantSplit/>
        </w:trPr>
        <w:tc>
          <w:tcPr>
            <w:tcW w:w="567" w:type="dxa"/>
          </w:tcPr>
          <w:p>
            <w:pPr>
              <w:pStyle w:val="yTableNAm"/>
            </w:pPr>
          </w:p>
        </w:tc>
        <w:tc>
          <w:tcPr>
            <w:tcW w:w="4391" w:type="dxa"/>
          </w:tcPr>
          <w:p>
            <w:pPr>
              <w:pStyle w:val="yTableNAm"/>
              <w:tabs>
                <w:tab w:val="clear" w:pos="567"/>
                <w:tab w:val="left" w:pos="415"/>
              </w:tabs>
              <w:ind w:left="415" w:hanging="415"/>
            </w:pPr>
            <w:r>
              <w:t>•</w:t>
            </w:r>
            <w:r>
              <w:tab/>
              <w:t>for 12 months paid in advance</w:t>
            </w:r>
          </w:p>
        </w:tc>
        <w:tc>
          <w:tcPr>
            <w:tcW w:w="995" w:type="dxa"/>
            <w:vAlign w:val="bottom"/>
          </w:tcPr>
          <w:p>
            <w:pPr>
              <w:pStyle w:val="yTableNAm"/>
              <w:jc w:val="right"/>
            </w:pPr>
            <w:r>
              <w:t>811.72</w:t>
            </w:r>
          </w:p>
        </w:tc>
      </w:tr>
      <w:tr>
        <w:trPr>
          <w:cantSplit/>
        </w:trPr>
        <w:tc>
          <w:tcPr>
            <w:tcW w:w="567" w:type="dxa"/>
          </w:tcPr>
          <w:p>
            <w:pPr>
              <w:pStyle w:val="yTableNAm"/>
            </w:pPr>
          </w:p>
        </w:tc>
        <w:tc>
          <w:tcPr>
            <w:tcW w:w="4391" w:type="dxa"/>
          </w:tcPr>
          <w:p>
            <w:pPr>
              <w:pStyle w:val="yTableNAm"/>
              <w:tabs>
                <w:tab w:val="clear" w:pos="567"/>
                <w:tab w:val="left" w:pos="415"/>
              </w:tabs>
              <w:ind w:left="415" w:hanging="415"/>
              <w:rPr>
                <w:b/>
                <w:i/>
              </w:rPr>
            </w:pPr>
            <w:r>
              <w:t>•</w:t>
            </w:r>
            <w:r>
              <w:tab/>
              <w:t>for one month paid in advance</w:t>
            </w:r>
          </w:p>
        </w:tc>
        <w:tc>
          <w:tcPr>
            <w:tcW w:w="995" w:type="dxa"/>
            <w:vAlign w:val="bottom"/>
          </w:tcPr>
          <w:p>
            <w:pPr>
              <w:pStyle w:val="yTableNAm"/>
              <w:jc w:val="right"/>
            </w:pPr>
            <w:r>
              <w:t>162.36</w:t>
            </w:r>
          </w:p>
        </w:tc>
      </w:tr>
      <w:tr>
        <w:trPr>
          <w:cantSplit/>
        </w:trPr>
        <w:tc>
          <w:tcPr>
            <w:tcW w:w="567" w:type="dxa"/>
          </w:tcPr>
          <w:p>
            <w:pPr>
              <w:pStyle w:val="yTableNAm"/>
              <w:keepNext/>
              <w:keepLines/>
            </w:pPr>
            <w:r>
              <w:t>7.</w:t>
            </w:r>
          </w:p>
        </w:tc>
        <w:tc>
          <w:tcPr>
            <w:tcW w:w="4391" w:type="dxa"/>
          </w:tcPr>
          <w:p>
            <w:pPr>
              <w:pStyle w:val="yTableNAm"/>
              <w:keepNext/>
              <w:keepLines/>
            </w:pPr>
            <w:r>
              <w:t>For use of jetty or hardstand controlled by Department to lift vessel to or from harbour, per lift</w:t>
            </w:r>
          </w:p>
        </w:tc>
        <w:tc>
          <w:tcPr>
            <w:tcW w:w="995" w:type="dxa"/>
            <w:vAlign w:val="bottom"/>
          </w:tcPr>
          <w:p>
            <w:pPr>
              <w:pStyle w:val="yTableNAm"/>
              <w:keepNext/>
              <w:keepLines/>
              <w:jc w:val="right"/>
            </w:pPr>
            <w:r>
              <w:t>243.54</w:t>
            </w:r>
          </w:p>
        </w:tc>
      </w:tr>
      <w:tr>
        <w:trPr>
          <w:cantSplit/>
        </w:trPr>
        <w:tc>
          <w:tcPr>
            <w:tcW w:w="567" w:type="dxa"/>
          </w:tcPr>
          <w:p>
            <w:pPr>
              <w:pStyle w:val="yTableNAm"/>
            </w:pPr>
            <w:r>
              <w:t>8.</w:t>
            </w:r>
          </w:p>
        </w:tc>
        <w:tc>
          <w:tcPr>
            <w:tcW w:w="4391" w:type="dxa"/>
          </w:tcPr>
          <w:p>
            <w:pPr>
              <w:pStyle w:val="yTableNAm"/>
            </w:pPr>
            <w:r>
              <w:t>For electricity supply —</w:t>
            </w:r>
          </w:p>
        </w:tc>
        <w:tc>
          <w:tcPr>
            <w:tcW w:w="995" w:type="dxa"/>
            <w:vAlign w:val="bottom"/>
          </w:tcPr>
          <w:p>
            <w:pPr>
              <w:pStyle w:val="yTableNAm"/>
              <w:jc w:val="right"/>
            </w:pPr>
          </w:p>
        </w:tc>
      </w:tr>
      <w:tr>
        <w:trPr>
          <w:cantSplit/>
        </w:trPr>
        <w:tc>
          <w:tcPr>
            <w:tcW w:w="567" w:type="dxa"/>
          </w:tcPr>
          <w:p>
            <w:pPr>
              <w:pStyle w:val="yTableNAm"/>
            </w:pPr>
          </w:p>
        </w:tc>
        <w:tc>
          <w:tcPr>
            <w:tcW w:w="4391" w:type="dxa"/>
          </w:tcPr>
          <w:p>
            <w:pPr>
              <w:pStyle w:val="yTableNAm"/>
              <w:tabs>
                <w:tab w:val="clear" w:pos="567"/>
                <w:tab w:val="left" w:pos="415"/>
              </w:tabs>
              <w:ind w:left="415" w:hanging="415"/>
            </w:pPr>
            <w:r>
              <w:t>•</w:t>
            </w:r>
            <w:r>
              <w:tab/>
              <w:t>single phase, if metered</w:t>
            </w:r>
          </w:p>
        </w:tc>
        <w:tc>
          <w:tcPr>
            <w:tcW w:w="995" w:type="dxa"/>
            <w:vAlign w:val="bottom"/>
          </w:tcPr>
          <w:p>
            <w:pPr>
              <w:pStyle w:val="yTableNAm"/>
              <w:jc w:val="right"/>
            </w:pPr>
            <w:r>
              <w:t>cost</w:t>
            </w:r>
          </w:p>
        </w:tc>
      </w:tr>
      <w:tr>
        <w:trPr>
          <w:cantSplit/>
        </w:trPr>
        <w:tc>
          <w:tcPr>
            <w:tcW w:w="567" w:type="dxa"/>
          </w:tcPr>
          <w:p>
            <w:pPr>
              <w:pStyle w:val="yTableNAm"/>
            </w:pPr>
          </w:p>
        </w:tc>
        <w:tc>
          <w:tcPr>
            <w:tcW w:w="4391" w:type="dxa"/>
          </w:tcPr>
          <w:p>
            <w:pPr>
              <w:pStyle w:val="yTableNAm"/>
              <w:tabs>
                <w:tab w:val="clear" w:pos="567"/>
                <w:tab w:val="left" w:pos="415"/>
              </w:tabs>
              <w:ind w:left="415" w:hanging="415"/>
            </w:pPr>
            <w:r>
              <w:t>•</w:t>
            </w:r>
            <w:r>
              <w:tab/>
              <w:t>3</w:t>
            </w:r>
            <w:r>
              <w:noBreakHyphen/>
              <w:t>phase, if metering indicates usage of more than $32.48 in a day</w:t>
            </w:r>
          </w:p>
        </w:tc>
        <w:tc>
          <w:tcPr>
            <w:tcW w:w="995" w:type="dxa"/>
            <w:vAlign w:val="bottom"/>
          </w:tcPr>
          <w:p>
            <w:pPr>
              <w:pStyle w:val="yTableNAm"/>
              <w:jc w:val="right"/>
            </w:pPr>
            <w:r>
              <w:t>cost</w:t>
            </w:r>
          </w:p>
        </w:tc>
      </w:tr>
      <w:tr>
        <w:trPr>
          <w:cantSplit/>
        </w:trPr>
        <w:tc>
          <w:tcPr>
            <w:tcW w:w="567" w:type="dxa"/>
            <w:tcBorders>
              <w:bottom w:val="single" w:sz="4" w:space="0" w:color="auto"/>
            </w:tcBorders>
          </w:tcPr>
          <w:p>
            <w:pPr>
              <w:pStyle w:val="yTableNAm"/>
            </w:pPr>
          </w:p>
        </w:tc>
        <w:tc>
          <w:tcPr>
            <w:tcW w:w="4391" w:type="dxa"/>
            <w:tcBorders>
              <w:bottom w:val="single" w:sz="4" w:space="0" w:color="auto"/>
            </w:tcBorders>
          </w:tcPr>
          <w:p>
            <w:pPr>
              <w:pStyle w:val="yTableNAm"/>
              <w:tabs>
                <w:tab w:val="clear" w:pos="567"/>
                <w:tab w:val="left" w:pos="415"/>
              </w:tabs>
              <w:ind w:left="415" w:hanging="415"/>
            </w:pPr>
            <w:r>
              <w:t>•</w:t>
            </w:r>
            <w:r>
              <w:tab/>
              <w:t>3</w:t>
            </w:r>
            <w:r>
              <w:noBreakHyphen/>
              <w:t>phase, otherwise, per day</w:t>
            </w:r>
          </w:p>
        </w:tc>
        <w:tc>
          <w:tcPr>
            <w:tcW w:w="995" w:type="dxa"/>
            <w:tcBorders>
              <w:bottom w:val="single" w:sz="4" w:space="0" w:color="auto"/>
            </w:tcBorders>
            <w:vAlign w:val="bottom"/>
          </w:tcPr>
          <w:p>
            <w:pPr>
              <w:pStyle w:val="yTableNAm"/>
              <w:jc w:val="right"/>
            </w:pPr>
            <w:r>
              <w:t>32.48</w:t>
            </w:r>
          </w:p>
        </w:tc>
      </w:tr>
    </w:tbl>
    <w:p>
      <w:pPr>
        <w:pStyle w:val="yFootnotesection"/>
      </w:pPr>
      <w:r>
        <w:tab/>
        <w:t>[Clause 9 inserted in Gazette 28 Jun 2013 p. 2843</w:t>
      </w:r>
      <w:r>
        <w:noBreakHyphen/>
        <w:t>5.]</w:t>
      </w:r>
    </w:p>
    <w:p>
      <w:pPr>
        <w:pStyle w:val="yHeading5"/>
      </w:pPr>
      <w:bookmarkStart w:id="151" w:name="_Toc382380045"/>
      <w:r>
        <w:rPr>
          <w:rStyle w:val="CharSClsNo"/>
        </w:rPr>
        <w:t>10</w:t>
      </w:r>
      <w:r>
        <w:t>.</w:t>
      </w:r>
      <w:r>
        <w:rPr>
          <w:b w:val="0"/>
        </w:rPr>
        <w:tab/>
      </w:r>
      <w:r>
        <w:t>Exmouth</w:t>
      </w:r>
      <w:bookmarkEnd w:id="151"/>
    </w:p>
    <w:p>
      <w:pPr>
        <w:pStyle w:val="ySubsection"/>
      </w:pPr>
      <w:r>
        <w:tab/>
        <w:t>(1)</w:t>
      </w:r>
      <w:r>
        <w:tab/>
        <w:t>This clause applies to Exmouth.</w:t>
      </w:r>
    </w:p>
    <w:p>
      <w:pPr>
        <w:pStyle w:val="ySubsection"/>
      </w:pPr>
      <w:r>
        <w:tab/>
        <w:t>(2)</w:t>
      </w:r>
      <w:r>
        <w:tab/>
        <w:t xml:space="preserve">In this clause a reference to a </w:t>
      </w:r>
      <w:r>
        <w:rPr>
          <w:rStyle w:val="CharDefText"/>
        </w:rPr>
        <w:t>service vessel</w:t>
      </w:r>
      <w:r>
        <w:t xml:space="preserve"> is a reference to any vessel other than a recreational vessel, tourism vessel or fishing vessel.</w:t>
      </w:r>
    </w:p>
    <w:p>
      <w:pPr>
        <w:pStyle w:val="ySubsection"/>
      </w:pPr>
      <w:r>
        <w:tab/>
        <w:t>(3)</w:t>
      </w:r>
      <w:r>
        <w:tab/>
        <w:t>The charges and dues to be paid under regulation 10A are set out in Table 10.1.</w:t>
      </w:r>
    </w:p>
    <w:p>
      <w:pPr>
        <w:pStyle w:val="yTHeadingNAm"/>
      </w:pPr>
      <w:r>
        <w:t>Table 10.1 (Wharfage)</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94"/>
        <w:gridCol w:w="992"/>
      </w:tblGrid>
      <w:tr>
        <w:trPr>
          <w:cantSplit/>
          <w:tblHeader/>
        </w:trPr>
        <w:tc>
          <w:tcPr>
            <w:tcW w:w="567" w:type="dxa"/>
            <w:tcBorders>
              <w:top w:val="single" w:sz="4" w:space="0" w:color="auto"/>
              <w:bottom w:val="single" w:sz="4" w:space="0" w:color="auto"/>
            </w:tcBorders>
          </w:tcPr>
          <w:p>
            <w:pPr>
              <w:pStyle w:val="yTableNAm"/>
              <w:rPr>
                <w:b/>
              </w:rPr>
            </w:pPr>
            <w:r>
              <w:rPr>
                <w:b/>
              </w:rPr>
              <w:t>Item</w:t>
            </w:r>
          </w:p>
        </w:tc>
        <w:tc>
          <w:tcPr>
            <w:tcW w:w="4394" w:type="dxa"/>
            <w:tcBorders>
              <w:top w:val="single" w:sz="4" w:space="0" w:color="auto"/>
              <w:bottom w:val="single" w:sz="4" w:space="0" w:color="auto"/>
            </w:tcBorders>
          </w:tcPr>
          <w:p>
            <w:pPr>
              <w:pStyle w:val="yTableNAm"/>
              <w:rPr>
                <w:b/>
              </w:rPr>
            </w:pPr>
            <w:r>
              <w:rPr>
                <w:b/>
              </w:rPr>
              <w:t>Goods</w:t>
            </w:r>
          </w:p>
        </w:tc>
        <w:tc>
          <w:tcPr>
            <w:tcW w:w="992" w:type="dxa"/>
            <w:tcBorders>
              <w:top w:val="single" w:sz="4" w:space="0" w:color="auto"/>
              <w:bottom w:val="single" w:sz="4" w:space="0" w:color="auto"/>
            </w:tcBorders>
          </w:tcPr>
          <w:p>
            <w:pPr>
              <w:pStyle w:val="yTableNAm"/>
              <w:jc w:val="center"/>
              <w:rPr>
                <w:b/>
              </w:rPr>
            </w:pPr>
            <w:r>
              <w:rPr>
                <w:b/>
              </w:rPr>
              <w:t>$</w:t>
            </w:r>
          </w:p>
        </w:tc>
      </w:tr>
      <w:tr>
        <w:trPr>
          <w:cantSplit/>
        </w:trPr>
        <w:tc>
          <w:tcPr>
            <w:tcW w:w="567" w:type="dxa"/>
          </w:tcPr>
          <w:p>
            <w:pPr>
              <w:pStyle w:val="yTableNAm"/>
            </w:pPr>
            <w:r>
              <w:t>1.</w:t>
            </w:r>
          </w:p>
        </w:tc>
        <w:tc>
          <w:tcPr>
            <w:tcW w:w="4394" w:type="dxa"/>
          </w:tcPr>
          <w:p>
            <w:pPr>
              <w:pStyle w:val="yTableNAm"/>
            </w:pPr>
            <w:r>
              <w:t>General cargo at the service wharf or an appurtenant area —</w:t>
            </w:r>
          </w:p>
        </w:tc>
        <w:tc>
          <w:tcPr>
            <w:tcW w:w="992" w:type="dxa"/>
          </w:tcPr>
          <w:p>
            <w:pPr>
              <w:pStyle w:val="yTableNAm"/>
              <w:jc w:val="right"/>
            </w:pPr>
          </w:p>
        </w:tc>
      </w:tr>
      <w:tr>
        <w:trPr>
          <w:cantSplit/>
        </w:trPr>
        <w:tc>
          <w:tcPr>
            <w:tcW w:w="567" w:type="dxa"/>
          </w:tcPr>
          <w:p>
            <w:pPr>
              <w:pStyle w:val="yTableNAm"/>
            </w:pPr>
          </w:p>
        </w:tc>
        <w:tc>
          <w:tcPr>
            <w:tcW w:w="4394" w:type="dxa"/>
          </w:tcPr>
          <w:p>
            <w:pPr>
              <w:pStyle w:val="yTableNAm"/>
              <w:tabs>
                <w:tab w:val="clear" w:pos="567"/>
                <w:tab w:val="left" w:pos="415"/>
              </w:tabs>
              <w:ind w:left="415" w:hanging="415"/>
            </w:pPr>
            <w:r>
              <w:t>•</w:t>
            </w:r>
            <w:r>
              <w:tab/>
              <w:t>if loaded from or into vessel, per t or m</w:t>
            </w:r>
            <w:r>
              <w:rPr>
                <w:vertAlign w:val="superscript"/>
              </w:rPr>
              <w:t>3</w:t>
            </w:r>
          </w:p>
        </w:tc>
        <w:tc>
          <w:tcPr>
            <w:tcW w:w="992" w:type="dxa"/>
          </w:tcPr>
          <w:p>
            <w:pPr>
              <w:pStyle w:val="yTableNAm"/>
              <w:jc w:val="right"/>
            </w:pPr>
            <w:r>
              <w:t>6.24</w:t>
            </w:r>
          </w:p>
        </w:tc>
      </w:tr>
      <w:tr>
        <w:trPr>
          <w:cantSplit/>
        </w:trPr>
        <w:tc>
          <w:tcPr>
            <w:tcW w:w="567" w:type="dxa"/>
            <w:tcBorders>
              <w:bottom w:val="single" w:sz="4" w:space="0" w:color="auto"/>
            </w:tcBorders>
          </w:tcPr>
          <w:p>
            <w:pPr>
              <w:pStyle w:val="yTableNAm"/>
            </w:pPr>
          </w:p>
        </w:tc>
        <w:tc>
          <w:tcPr>
            <w:tcW w:w="4394" w:type="dxa"/>
            <w:tcBorders>
              <w:bottom w:val="single" w:sz="4" w:space="0" w:color="auto"/>
            </w:tcBorders>
          </w:tcPr>
          <w:p>
            <w:pPr>
              <w:pStyle w:val="yTableNAm"/>
              <w:tabs>
                <w:tab w:val="clear" w:pos="567"/>
                <w:tab w:val="left" w:pos="415"/>
              </w:tabs>
              <w:ind w:left="415" w:hanging="415"/>
            </w:pPr>
            <w:r>
              <w:t>•</w:t>
            </w:r>
            <w:r>
              <w:tab/>
              <w:t>if vessel is lifted, per m of vessel’s length</w:t>
            </w:r>
          </w:p>
        </w:tc>
        <w:tc>
          <w:tcPr>
            <w:tcW w:w="992" w:type="dxa"/>
            <w:tcBorders>
              <w:bottom w:val="single" w:sz="4" w:space="0" w:color="auto"/>
            </w:tcBorders>
          </w:tcPr>
          <w:p>
            <w:pPr>
              <w:pStyle w:val="yTableNAm"/>
              <w:jc w:val="right"/>
            </w:pPr>
            <w:r>
              <w:t>14.07</w:t>
            </w:r>
          </w:p>
        </w:tc>
      </w:tr>
    </w:tbl>
    <w:p>
      <w:pPr>
        <w:pStyle w:val="ySubsection"/>
      </w:pPr>
      <w:r>
        <w:tab/>
        <w:t>(4)</w:t>
      </w:r>
      <w:r>
        <w:tab/>
        <w:t>The fees and charges to be paid under regulations 6, 94A and 94B are set out in Table 10.2.</w:t>
      </w:r>
    </w:p>
    <w:p>
      <w:pPr>
        <w:pStyle w:val="yTHeadingNAm"/>
        <w:keepLines/>
        <w:widowControl w:val="0"/>
      </w:pPr>
      <w:r>
        <w:t>Table 10.2 (Berthing, pen rental and mooring)</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90"/>
        <w:gridCol w:w="996"/>
      </w:tblGrid>
      <w:tr>
        <w:trPr>
          <w:cantSplit/>
          <w:tblHeader/>
        </w:trPr>
        <w:tc>
          <w:tcPr>
            <w:tcW w:w="567" w:type="dxa"/>
            <w:tcBorders>
              <w:top w:val="single" w:sz="4" w:space="0" w:color="auto"/>
              <w:bottom w:val="single" w:sz="4" w:space="0" w:color="auto"/>
            </w:tcBorders>
          </w:tcPr>
          <w:p>
            <w:pPr>
              <w:pStyle w:val="yTableNAm"/>
              <w:keepNext/>
              <w:keepLines/>
              <w:rPr>
                <w:b/>
              </w:rPr>
            </w:pPr>
            <w:r>
              <w:rPr>
                <w:b/>
              </w:rPr>
              <w:t>Item</w:t>
            </w:r>
          </w:p>
        </w:tc>
        <w:tc>
          <w:tcPr>
            <w:tcW w:w="4390" w:type="dxa"/>
            <w:tcBorders>
              <w:top w:val="single" w:sz="4" w:space="0" w:color="auto"/>
              <w:bottom w:val="single" w:sz="4" w:space="0" w:color="auto"/>
            </w:tcBorders>
          </w:tcPr>
          <w:p>
            <w:pPr>
              <w:pStyle w:val="yTableNAm"/>
              <w:keepNext/>
              <w:keepLines/>
              <w:rPr>
                <w:b/>
              </w:rPr>
            </w:pPr>
            <w:r>
              <w:rPr>
                <w:b/>
              </w:rPr>
              <w:t>Service</w:t>
            </w:r>
          </w:p>
        </w:tc>
        <w:tc>
          <w:tcPr>
            <w:tcW w:w="996" w:type="dxa"/>
            <w:tcBorders>
              <w:top w:val="single" w:sz="4" w:space="0" w:color="auto"/>
              <w:bottom w:val="single" w:sz="4" w:space="0" w:color="auto"/>
            </w:tcBorders>
          </w:tcPr>
          <w:p>
            <w:pPr>
              <w:pStyle w:val="yTableNAm"/>
              <w:keepNext/>
              <w:keepLines/>
              <w:jc w:val="center"/>
              <w:rPr>
                <w:b/>
              </w:rPr>
            </w:pPr>
            <w:r>
              <w:rPr>
                <w:b/>
              </w:rPr>
              <w:t>$</w:t>
            </w:r>
          </w:p>
        </w:tc>
      </w:tr>
      <w:tr>
        <w:trPr>
          <w:cantSplit/>
        </w:trPr>
        <w:tc>
          <w:tcPr>
            <w:tcW w:w="567" w:type="dxa"/>
          </w:tcPr>
          <w:p>
            <w:pPr>
              <w:pStyle w:val="yTableNAm"/>
              <w:keepNext/>
              <w:keepLines/>
            </w:pPr>
            <w:r>
              <w:t>1.</w:t>
            </w:r>
          </w:p>
        </w:tc>
        <w:tc>
          <w:tcPr>
            <w:tcW w:w="4390" w:type="dxa"/>
          </w:tcPr>
          <w:p>
            <w:pPr>
              <w:pStyle w:val="yTableNAm"/>
              <w:keepNext/>
              <w:keepLines/>
            </w:pPr>
            <w:r>
              <w:t>For use, except in Pen System B, of either a non</w:t>
            </w:r>
            <w:r>
              <w:noBreakHyphen/>
              <w:t xml:space="preserve">floating pen with walkway or a floating pen by a recreational vessel, per m of the vessel’s length — </w:t>
            </w:r>
          </w:p>
        </w:tc>
        <w:tc>
          <w:tcPr>
            <w:tcW w:w="996" w:type="dxa"/>
            <w:vAlign w:val="bottom"/>
          </w:tcPr>
          <w:p>
            <w:pPr>
              <w:pStyle w:val="yTableNAm"/>
              <w:keepNext/>
              <w:keepLines/>
              <w:jc w:val="right"/>
            </w:pPr>
            <w:r>
              <w:br/>
            </w:r>
          </w:p>
        </w:tc>
      </w:tr>
      <w:tr>
        <w:trPr>
          <w:cantSplit/>
        </w:trPr>
        <w:tc>
          <w:tcPr>
            <w:tcW w:w="567" w:type="dxa"/>
          </w:tcPr>
          <w:p>
            <w:pPr>
              <w:pStyle w:val="yTableNAm"/>
            </w:pPr>
          </w:p>
        </w:tc>
        <w:tc>
          <w:tcPr>
            <w:tcW w:w="4390" w:type="dxa"/>
          </w:tcPr>
          <w:p>
            <w:pPr>
              <w:pStyle w:val="NotesPerm"/>
              <w:tabs>
                <w:tab w:val="clear" w:pos="879"/>
                <w:tab w:val="left" w:pos="653"/>
              </w:tabs>
              <w:ind w:left="653" w:hanging="653"/>
            </w:pPr>
            <w:r>
              <w:t>Note:</w:t>
            </w:r>
            <w:r>
              <w:tab/>
              <w:t>includes short</w:t>
            </w:r>
            <w:r>
              <w:noBreakHyphen/>
              <w:t>term loading/unloading of goods and passengers on service wharf limited to 2 hours per day, otherwise item 17 fees will apply after 2 hours</w:t>
            </w:r>
          </w:p>
        </w:tc>
        <w:tc>
          <w:tcPr>
            <w:tcW w:w="996" w:type="dxa"/>
            <w:vAlign w:val="bottom"/>
          </w:tcPr>
          <w:p>
            <w:pPr>
              <w:pStyle w:val="yTableNAm"/>
              <w:jc w:val="right"/>
            </w:pP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12 months, paid in advance</w:t>
            </w:r>
          </w:p>
        </w:tc>
        <w:tc>
          <w:tcPr>
            <w:tcW w:w="996" w:type="dxa"/>
            <w:vAlign w:val="bottom"/>
          </w:tcPr>
          <w:p>
            <w:pPr>
              <w:pStyle w:val="yTableNAm"/>
              <w:jc w:val="right"/>
            </w:pPr>
            <w:r>
              <w:t>413.96</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3 months or more, per month, paid in advance</w:t>
            </w:r>
          </w:p>
        </w:tc>
        <w:tc>
          <w:tcPr>
            <w:tcW w:w="996" w:type="dxa"/>
            <w:vAlign w:val="bottom"/>
          </w:tcPr>
          <w:p>
            <w:pPr>
              <w:pStyle w:val="yTableNAm"/>
              <w:jc w:val="right"/>
            </w:pPr>
            <w:r>
              <w:t>41.40</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one month or more, per month, paid in advance</w:t>
            </w:r>
          </w:p>
        </w:tc>
        <w:tc>
          <w:tcPr>
            <w:tcW w:w="996" w:type="dxa"/>
            <w:vAlign w:val="bottom"/>
          </w:tcPr>
          <w:p>
            <w:pPr>
              <w:pStyle w:val="yTableNAm"/>
              <w:jc w:val="right"/>
            </w:pPr>
            <w:r>
              <w:t>62.09</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shared use for 12 months, paid in advance</w:t>
            </w:r>
          </w:p>
        </w:tc>
        <w:tc>
          <w:tcPr>
            <w:tcW w:w="996" w:type="dxa"/>
            <w:vAlign w:val="bottom"/>
          </w:tcPr>
          <w:p>
            <w:pPr>
              <w:pStyle w:val="yTableNAm"/>
              <w:jc w:val="right"/>
            </w:pPr>
            <w:r>
              <w:t>413.96</w:t>
            </w:r>
          </w:p>
        </w:tc>
      </w:tr>
      <w:tr>
        <w:trPr>
          <w:cantSplit/>
        </w:trPr>
        <w:tc>
          <w:tcPr>
            <w:tcW w:w="567" w:type="dxa"/>
          </w:tcPr>
          <w:p>
            <w:pPr>
              <w:pStyle w:val="yTableNAm"/>
            </w:pPr>
            <w:r>
              <w:t>2.</w:t>
            </w:r>
          </w:p>
        </w:tc>
        <w:tc>
          <w:tcPr>
            <w:tcW w:w="4390" w:type="dxa"/>
          </w:tcPr>
          <w:p>
            <w:pPr>
              <w:pStyle w:val="yTableNAm"/>
            </w:pPr>
            <w:r>
              <w:t>For use, except in Pen System B, of either a non</w:t>
            </w:r>
            <w:r>
              <w:noBreakHyphen/>
              <w:t xml:space="preserve">floating pen with walkway or a floating pen by a tourism vessel or fishing vessel, per m of the vessel’s length — </w:t>
            </w:r>
          </w:p>
          <w:p>
            <w:pPr>
              <w:pStyle w:val="NotesPerm"/>
              <w:tabs>
                <w:tab w:val="clear" w:pos="879"/>
                <w:tab w:val="left" w:pos="653"/>
              </w:tabs>
              <w:ind w:left="653" w:hanging="653"/>
            </w:pPr>
            <w:r>
              <w:t>Note:</w:t>
            </w:r>
            <w:r>
              <w:tab/>
              <w:t>includes short</w:t>
            </w:r>
            <w:r>
              <w:noBreakHyphen/>
              <w:t>term loading/unloading of goods and passengers on service wharf limited to 2 hours per day, otherwise item 17 fees will apply after 2 hours</w:t>
            </w:r>
          </w:p>
        </w:tc>
        <w:tc>
          <w:tcPr>
            <w:tcW w:w="996" w:type="dxa"/>
            <w:vAlign w:val="bottom"/>
          </w:tcPr>
          <w:p>
            <w:pPr>
              <w:pStyle w:val="yTableNAm"/>
              <w:jc w:val="right"/>
            </w:pPr>
            <w:r>
              <w:br/>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12 months, paid in advance</w:t>
            </w:r>
          </w:p>
        </w:tc>
        <w:tc>
          <w:tcPr>
            <w:tcW w:w="996" w:type="dxa"/>
            <w:vAlign w:val="bottom"/>
          </w:tcPr>
          <w:p>
            <w:pPr>
              <w:pStyle w:val="yTableNAm"/>
              <w:jc w:val="right"/>
            </w:pPr>
            <w:r>
              <w:t>477.30</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3 months or more, per month, paid in advance</w:t>
            </w:r>
          </w:p>
        </w:tc>
        <w:tc>
          <w:tcPr>
            <w:tcW w:w="996" w:type="dxa"/>
            <w:vAlign w:val="bottom"/>
          </w:tcPr>
          <w:p>
            <w:pPr>
              <w:pStyle w:val="yTableNAm"/>
              <w:jc w:val="right"/>
            </w:pPr>
            <w:r>
              <w:t>47.73</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one month or more, per month, paid in advance</w:t>
            </w:r>
          </w:p>
        </w:tc>
        <w:tc>
          <w:tcPr>
            <w:tcW w:w="996" w:type="dxa"/>
            <w:vAlign w:val="bottom"/>
          </w:tcPr>
          <w:p>
            <w:pPr>
              <w:pStyle w:val="yTableNAm"/>
              <w:jc w:val="right"/>
            </w:pPr>
            <w:r>
              <w:t>71.59</w:t>
            </w:r>
          </w:p>
        </w:tc>
      </w:tr>
      <w:tr>
        <w:trPr>
          <w:cantSplit/>
        </w:trPr>
        <w:tc>
          <w:tcPr>
            <w:tcW w:w="567" w:type="dxa"/>
          </w:tcPr>
          <w:p>
            <w:pPr>
              <w:pStyle w:val="yTableNAm"/>
              <w:keepNext/>
            </w:pPr>
          </w:p>
        </w:tc>
        <w:tc>
          <w:tcPr>
            <w:tcW w:w="4390" w:type="dxa"/>
          </w:tcPr>
          <w:p>
            <w:pPr>
              <w:pStyle w:val="yTableNAm"/>
              <w:keepNext/>
              <w:tabs>
                <w:tab w:val="clear" w:pos="567"/>
                <w:tab w:val="left" w:pos="415"/>
              </w:tabs>
              <w:ind w:left="415" w:hanging="415"/>
            </w:pPr>
            <w:r>
              <w:t>•</w:t>
            </w:r>
            <w:r>
              <w:tab/>
              <w:t>for shared use for 12 months, paid in advance</w:t>
            </w:r>
          </w:p>
        </w:tc>
        <w:tc>
          <w:tcPr>
            <w:tcW w:w="996" w:type="dxa"/>
            <w:vAlign w:val="bottom"/>
          </w:tcPr>
          <w:p>
            <w:pPr>
              <w:pStyle w:val="yTableNAm"/>
              <w:keepNext/>
              <w:jc w:val="right"/>
            </w:pPr>
            <w:r>
              <w:t>477.30</w:t>
            </w:r>
          </w:p>
        </w:tc>
      </w:tr>
      <w:tr>
        <w:trPr>
          <w:cantSplit/>
        </w:trPr>
        <w:tc>
          <w:tcPr>
            <w:tcW w:w="567" w:type="dxa"/>
          </w:tcPr>
          <w:p>
            <w:pPr>
              <w:pStyle w:val="yTableNAm"/>
              <w:keepNext/>
            </w:pPr>
            <w:r>
              <w:t>3.</w:t>
            </w:r>
          </w:p>
        </w:tc>
        <w:tc>
          <w:tcPr>
            <w:tcW w:w="4390" w:type="dxa"/>
          </w:tcPr>
          <w:p>
            <w:pPr>
              <w:pStyle w:val="yTableNAm"/>
              <w:keepNext/>
            </w:pPr>
            <w:r>
              <w:t>For use, except in Pen System B, of either a non</w:t>
            </w:r>
            <w:r>
              <w:noBreakHyphen/>
              <w:t>floating pen with walkway or a floating pen by a service vessel, per m of the vessel’s length —</w:t>
            </w:r>
          </w:p>
        </w:tc>
        <w:tc>
          <w:tcPr>
            <w:tcW w:w="996" w:type="dxa"/>
            <w:vAlign w:val="bottom"/>
          </w:tcPr>
          <w:p>
            <w:pPr>
              <w:pStyle w:val="yTableNAm"/>
              <w:keepNext/>
              <w:jc w:val="right"/>
            </w:pPr>
            <w:r>
              <w:br/>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12 months, paid in advance</w:t>
            </w:r>
          </w:p>
        </w:tc>
        <w:tc>
          <w:tcPr>
            <w:tcW w:w="996" w:type="dxa"/>
            <w:vAlign w:val="bottom"/>
          </w:tcPr>
          <w:p>
            <w:pPr>
              <w:pStyle w:val="yTableNAm"/>
              <w:jc w:val="right"/>
            </w:pPr>
            <w:r>
              <w:t>523.20</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3 months or more, per month, paid in advance</w:t>
            </w:r>
          </w:p>
        </w:tc>
        <w:tc>
          <w:tcPr>
            <w:tcW w:w="996" w:type="dxa"/>
            <w:vAlign w:val="bottom"/>
          </w:tcPr>
          <w:p>
            <w:pPr>
              <w:pStyle w:val="yTableNAm"/>
              <w:jc w:val="right"/>
            </w:pPr>
            <w:r>
              <w:t>52.31</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one month or more, per month, paid in advance</w:t>
            </w:r>
          </w:p>
        </w:tc>
        <w:tc>
          <w:tcPr>
            <w:tcW w:w="996" w:type="dxa"/>
            <w:vAlign w:val="bottom"/>
          </w:tcPr>
          <w:p>
            <w:pPr>
              <w:pStyle w:val="yTableNAm"/>
              <w:jc w:val="right"/>
            </w:pPr>
            <w:r>
              <w:t>78.49</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shared use for 12 months, paid in advance</w:t>
            </w:r>
          </w:p>
        </w:tc>
        <w:tc>
          <w:tcPr>
            <w:tcW w:w="996" w:type="dxa"/>
            <w:vAlign w:val="bottom"/>
          </w:tcPr>
          <w:p>
            <w:pPr>
              <w:pStyle w:val="yTableNAm"/>
              <w:jc w:val="right"/>
            </w:pPr>
            <w:r>
              <w:t>523.20</w:t>
            </w:r>
          </w:p>
        </w:tc>
      </w:tr>
      <w:tr>
        <w:trPr>
          <w:cantSplit/>
        </w:trPr>
        <w:tc>
          <w:tcPr>
            <w:tcW w:w="567" w:type="dxa"/>
          </w:tcPr>
          <w:p>
            <w:pPr>
              <w:pStyle w:val="yTableNAm"/>
            </w:pPr>
            <w:r>
              <w:t>4.</w:t>
            </w:r>
          </w:p>
        </w:tc>
        <w:tc>
          <w:tcPr>
            <w:tcW w:w="4390" w:type="dxa"/>
          </w:tcPr>
          <w:p>
            <w:pPr>
              <w:pStyle w:val="yTableNAm"/>
            </w:pPr>
            <w:r>
              <w:t xml:space="preserve">For use of a pen with pile moorings by a recreational vessel, tourism vessel or fishing vessel, per m of the vessel’s length — </w:t>
            </w:r>
          </w:p>
          <w:p>
            <w:pPr>
              <w:pStyle w:val="NotesPerm"/>
              <w:tabs>
                <w:tab w:val="clear" w:pos="879"/>
                <w:tab w:val="left" w:pos="653"/>
              </w:tabs>
              <w:ind w:left="653" w:hanging="653"/>
            </w:pPr>
            <w:r>
              <w:t>Note:</w:t>
            </w:r>
            <w:r>
              <w:tab/>
              <w:t>includes short</w:t>
            </w:r>
            <w:r>
              <w:noBreakHyphen/>
              <w:t>term loading/unloading of goods and passengers on service wharf limited to 2 hours per day, otherwise item 17 fees will apply after 2 hours</w:t>
            </w:r>
          </w:p>
        </w:tc>
        <w:tc>
          <w:tcPr>
            <w:tcW w:w="996" w:type="dxa"/>
            <w:vAlign w:val="bottom"/>
          </w:tcPr>
          <w:p>
            <w:pPr>
              <w:pStyle w:val="yTableNAm"/>
              <w:jc w:val="right"/>
            </w:pP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12 months, paid in advance</w:t>
            </w:r>
          </w:p>
        </w:tc>
        <w:tc>
          <w:tcPr>
            <w:tcW w:w="996" w:type="dxa"/>
            <w:vAlign w:val="bottom"/>
          </w:tcPr>
          <w:p>
            <w:pPr>
              <w:pStyle w:val="yTableNAm"/>
              <w:jc w:val="right"/>
            </w:pPr>
            <w:r>
              <w:t>332.79</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3 months or more, per month, paid in advance</w:t>
            </w:r>
          </w:p>
        </w:tc>
        <w:tc>
          <w:tcPr>
            <w:tcW w:w="996" w:type="dxa"/>
            <w:vAlign w:val="bottom"/>
          </w:tcPr>
          <w:p>
            <w:pPr>
              <w:pStyle w:val="yTableNAm"/>
              <w:jc w:val="right"/>
            </w:pPr>
            <w:r>
              <w:t>33.28</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one month or more, per month, paid in advance</w:t>
            </w:r>
          </w:p>
        </w:tc>
        <w:tc>
          <w:tcPr>
            <w:tcW w:w="996" w:type="dxa"/>
            <w:vAlign w:val="bottom"/>
          </w:tcPr>
          <w:p>
            <w:pPr>
              <w:pStyle w:val="yTableNAm"/>
              <w:jc w:val="right"/>
            </w:pPr>
            <w:r>
              <w:t>49.92</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one week or more, per week, paid in advance</w:t>
            </w:r>
          </w:p>
        </w:tc>
        <w:tc>
          <w:tcPr>
            <w:tcW w:w="996" w:type="dxa"/>
            <w:vAlign w:val="bottom"/>
          </w:tcPr>
          <w:p>
            <w:pPr>
              <w:pStyle w:val="yTableNAm"/>
              <w:jc w:val="right"/>
            </w:pPr>
            <w:r>
              <w:t>39.36</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otherwise, per day</w:t>
            </w:r>
          </w:p>
        </w:tc>
        <w:tc>
          <w:tcPr>
            <w:tcW w:w="996" w:type="dxa"/>
            <w:vAlign w:val="bottom"/>
          </w:tcPr>
          <w:p>
            <w:pPr>
              <w:pStyle w:val="yTableNAm"/>
              <w:jc w:val="right"/>
            </w:pPr>
            <w:r>
              <w:t>7.87</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shared use for 12 months, paid in advance</w:t>
            </w:r>
          </w:p>
        </w:tc>
        <w:tc>
          <w:tcPr>
            <w:tcW w:w="996" w:type="dxa"/>
            <w:vAlign w:val="bottom"/>
          </w:tcPr>
          <w:p>
            <w:pPr>
              <w:pStyle w:val="yTableNAm"/>
              <w:jc w:val="right"/>
            </w:pPr>
            <w:r>
              <w:t>332.79</w:t>
            </w:r>
          </w:p>
        </w:tc>
      </w:tr>
      <w:tr>
        <w:trPr>
          <w:cantSplit/>
        </w:trPr>
        <w:tc>
          <w:tcPr>
            <w:tcW w:w="567" w:type="dxa"/>
          </w:tcPr>
          <w:p>
            <w:pPr>
              <w:pStyle w:val="yTableNAm"/>
            </w:pPr>
            <w:r>
              <w:t>5.</w:t>
            </w:r>
          </w:p>
        </w:tc>
        <w:tc>
          <w:tcPr>
            <w:tcW w:w="4390" w:type="dxa"/>
          </w:tcPr>
          <w:p>
            <w:pPr>
              <w:pStyle w:val="yTableNAm"/>
            </w:pPr>
            <w:r>
              <w:t>For use of a pen with pile moorings by a service vessel, per m of the vessel’s length —</w:t>
            </w:r>
          </w:p>
        </w:tc>
        <w:tc>
          <w:tcPr>
            <w:tcW w:w="996" w:type="dxa"/>
            <w:vAlign w:val="bottom"/>
          </w:tcPr>
          <w:p>
            <w:pPr>
              <w:pStyle w:val="yTableNAm"/>
              <w:jc w:val="right"/>
            </w:pP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12 months, paid in advance</w:t>
            </w:r>
          </w:p>
        </w:tc>
        <w:tc>
          <w:tcPr>
            <w:tcW w:w="996" w:type="dxa"/>
            <w:vAlign w:val="bottom"/>
          </w:tcPr>
          <w:p>
            <w:pPr>
              <w:pStyle w:val="yTableNAm"/>
              <w:jc w:val="right"/>
            </w:pPr>
            <w:r>
              <w:t>364.79</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3 months or more, per month, paid in advance</w:t>
            </w:r>
          </w:p>
        </w:tc>
        <w:tc>
          <w:tcPr>
            <w:tcW w:w="996" w:type="dxa"/>
            <w:vAlign w:val="bottom"/>
          </w:tcPr>
          <w:p>
            <w:pPr>
              <w:pStyle w:val="yTableNAm"/>
              <w:jc w:val="right"/>
            </w:pPr>
            <w:r>
              <w:t>36.48</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one month or more, per month, paid in advance</w:t>
            </w:r>
          </w:p>
        </w:tc>
        <w:tc>
          <w:tcPr>
            <w:tcW w:w="996" w:type="dxa"/>
            <w:vAlign w:val="bottom"/>
          </w:tcPr>
          <w:p>
            <w:pPr>
              <w:pStyle w:val="yTableNAm"/>
              <w:jc w:val="right"/>
            </w:pPr>
            <w:r>
              <w:t>54.72</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one week or more, per week, paid in advance</w:t>
            </w:r>
          </w:p>
        </w:tc>
        <w:tc>
          <w:tcPr>
            <w:tcW w:w="996" w:type="dxa"/>
            <w:vAlign w:val="bottom"/>
          </w:tcPr>
          <w:p>
            <w:pPr>
              <w:pStyle w:val="yTableNAm"/>
              <w:jc w:val="right"/>
            </w:pPr>
            <w:r>
              <w:t>43.16</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otherwise, per day</w:t>
            </w:r>
          </w:p>
        </w:tc>
        <w:tc>
          <w:tcPr>
            <w:tcW w:w="996" w:type="dxa"/>
            <w:vAlign w:val="bottom"/>
          </w:tcPr>
          <w:p>
            <w:pPr>
              <w:pStyle w:val="yTableNAm"/>
              <w:jc w:val="right"/>
            </w:pPr>
            <w:r>
              <w:t>8.63</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shared use for 12 months, paid in advance</w:t>
            </w:r>
          </w:p>
        </w:tc>
        <w:tc>
          <w:tcPr>
            <w:tcW w:w="996" w:type="dxa"/>
            <w:vAlign w:val="bottom"/>
          </w:tcPr>
          <w:p>
            <w:pPr>
              <w:pStyle w:val="yTableNAm"/>
              <w:jc w:val="right"/>
            </w:pPr>
            <w:r>
              <w:t>364.79</w:t>
            </w:r>
          </w:p>
        </w:tc>
      </w:tr>
      <w:tr>
        <w:trPr>
          <w:cantSplit/>
        </w:trPr>
        <w:tc>
          <w:tcPr>
            <w:tcW w:w="567" w:type="dxa"/>
          </w:tcPr>
          <w:p>
            <w:pPr>
              <w:pStyle w:val="yTableNAm"/>
            </w:pPr>
            <w:r>
              <w:t>6.</w:t>
            </w:r>
          </w:p>
        </w:tc>
        <w:tc>
          <w:tcPr>
            <w:tcW w:w="4390" w:type="dxa"/>
          </w:tcPr>
          <w:p>
            <w:pPr>
              <w:pStyle w:val="yTableNAm"/>
            </w:pPr>
            <w:r>
              <w:t xml:space="preserve">For use, in Pen System B, of a floating pen by a recreational vessel 20 m long or under, per m of the pen’s length — </w:t>
            </w:r>
          </w:p>
          <w:p>
            <w:pPr>
              <w:pStyle w:val="NotesPerm"/>
              <w:tabs>
                <w:tab w:val="clear" w:pos="879"/>
                <w:tab w:val="left" w:pos="653"/>
              </w:tabs>
              <w:ind w:left="653" w:hanging="653"/>
            </w:pPr>
            <w:r>
              <w:t>Note:</w:t>
            </w:r>
            <w:r>
              <w:tab/>
              <w:t>includes short</w:t>
            </w:r>
            <w:r>
              <w:noBreakHyphen/>
              <w:t>term loading/unloading of goods and passengers on service wharf limited to 2 hours per day, otherwise item 17 fees will apply after 2 hours</w:t>
            </w:r>
          </w:p>
        </w:tc>
        <w:tc>
          <w:tcPr>
            <w:tcW w:w="996" w:type="dxa"/>
            <w:vAlign w:val="bottom"/>
          </w:tcPr>
          <w:p>
            <w:pPr>
              <w:pStyle w:val="yTableNAm"/>
              <w:jc w:val="right"/>
            </w:pPr>
            <w:r>
              <w:br/>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12 months, paid in advance</w:t>
            </w:r>
          </w:p>
        </w:tc>
        <w:tc>
          <w:tcPr>
            <w:tcW w:w="996" w:type="dxa"/>
            <w:vAlign w:val="bottom"/>
          </w:tcPr>
          <w:p>
            <w:pPr>
              <w:pStyle w:val="yTableNAm"/>
              <w:jc w:val="right"/>
            </w:pPr>
            <w:r>
              <w:t>500.00</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3 months or more, per month, paid in advance</w:t>
            </w:r>
          </w:p>
        </w:tc>
        <w:tc>
          <w:tcPr>
            <w:tcW w:w="996" w:type="dxa"/>
            <w:vAlign w:val="bottom"/>
          </w:tcPr>
          <w:p>
            <w:pPr>
              <w:pStyle w:val="yTableNAm"/>
              <w:jc w:val="right"/>
            </w:pPr>
            <w:r>
              <w:t>50.00</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one month or more, per month, paid in advance</w:t>
            </w:r>
          </w:p>
        </w:tc>
        <w:tc>
          <w:tcPr>
            <w:tcW w:w="996" w:type="dxa"/>
            <w:vAlign w:val="bottom"/>
          </w:tcPr>
          <w:p>
            <w:pPr>
              <w:pStyle w:val="yTableNAm"/>
              <w:jc w:val="right"/>
            </w:pPr>
            <w:r>
              <w:t>75.00</w:t>
            </w:r>
          </w:p>
        </w:tc>
      </w:tr>
      <w:tr>
        <w:trPr>
          <w:cantSplit/>
        </w:trPr>
        <w:tc>
          <w:tcPr>
            <w:tcW w:w="567" w:type="dxa"/>
          </w:tcPr>
          <w:p>
            <w:pPr>
              <w:pStyle w:val="yTableNAm"/>
              <w:keepNext/>
              <w:keepLines/>
            </w:pPr>
            <w:r>
              <w:t>7.</w:t>
            </w:r>
          </w:p>
        </w:tc>
        <w:tc>
          <w:tcPr>
            <w:tcW w:w="4390" w:type="dxa"/>
          </w:tcPr>
          <w:p>
            <w:pPr>
              <w:pStyle w:val="yTableNAm"/>
              <w:keepNext/>
              <w:keepLines/>
            </w:pPr>
            <w:r>
              <w:t xml:space="preserve">For use, in Pen System B, of a floating pen by a tourism vessel or fishing vessel, 20 m long or under, per m of the pen’s length — </w:t>
            </w:r>
          </w:p>
          <w:p>
            <w:pPr>
              <w:pStyle w:val="NotesPerm"/>
              <w:keepNext/>
              <w:keepLines/>
              <w:tabs>
                <w:tab w:val="clear" w:pos="879"/>
                <w:tab w:val="left" w:pos="653"/>
              </w:tabs>
              <w:ind w:left="653" w:hanging="653"/>
            </w:pPr>
            <w:r>
              <w:t>Note:</w:t>
            </w:r>
            <w:r>
              <w:tab/>
              <w:t>includes short</w:t>
            </w:r>
            <w:r>
              <w:noBreakHyphen/>
              <w:t>term loading/unloading of goods and passengers on service wharf limited to 2 hours per day, otherwise item 17 fees will apply after 2 hours</w:t>
            </w:r>
          </w:p>
        </w:tc>
        <w:tc>
          <w:tcPr>
            <w:tcW w:w="996" w:type="dxa"/>
            <w:vAlign w:val="bottom"/>
          </w:tcPr>
          <w:p>
            <w:pPr>
              <w:pStyle w:val="yTableNAm"/>
              <w:keepNext/>
              <w:keepLines/>
              <w:jc w:val="right"/>
            </w:pPr>
            <w:r>
              <w:br/>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12 months, paid in advance</w:t>
            </w:r>
          </w:p>
        </w:tc>
        <w:tc>
          <w:tcPr>
            <w:tcW w:w="996" w:type="dxa"/>
            <w:vAlign w:val="bottom"/>
          </w:tcPr>
          <w:p>
            <w:pPr>
              <w:pStyle w:val="yTableNAm"/>
              <w:jc w:val="right"/>
            </w:pPr>
            <w:r>
              <w:t>650.00</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3 months or more, per month, paid in advance</w:t>
            </w:r>
          </w:p>
        </w:tc>
        <w:tc>
          <w:tcPr>
            <w:tcW w:w="996" w:type="dxa"/>
            <w:vAlign w:val="bottom"/>
          </w:tcPr>
          <w:p>
            <w:pPr>
              <w:pStyle w:val="yTableNAm"/>
              <w:jc w:val="right"/>
            </w:pPr>
            <w:r>
              <w:t>65.00</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one month or more, per month, paid in advance</w:t>
            </w:r>
          </w:p>
        </w:tc>
        <w:tc>
          <w:tcPr>
            <w:tcW w:w="996" w:type="dxa"/>
            <w:vAlign w:val="bottom"/>
          </w:tcPr>
          <w:p>
            <w:pPr>
              <w:pStyle w:val="yTableNAm"/>
              <w:jc w:val="right"/>
            </w:pPr>
            <w:r>
              <w:t>97.49</w:t>
            </w:r>
          </w:p>
        </w:tc>
      </w:tr>
      <w:tr>
        <w:trPr>
          <w:cantSplit/>
        </w:trPr>
        <w:tc>
          <w:tcPr>
            <w:tcW w:w="567" w:type="dxa"/>
          </w:tcPr>
          <w:p>
            <w:pPr>
              <w:pStyle w:val="yTableNAm"/>
            </w:pPr>
            <w:r>
              <w:t>8.</w:t>
            </w:r>
          </w:p>
        </w:tc>
        <w:tc>
          <w:tcPr>
            <w:tcW w:w="4390" w:type="dxa"/>
          </w:tcPr>
          <w:p>
            <w:pPr>
              <w:pStyle w:val="yTableNAm"/>
            </w:pPr>
            <w:r>
              <w:t xml:space="preserve">For use, in Pen System B, of a floating pen by a service vessel, 20 m long or under, per m of the pen’s length — </w:t>
            </w:r>
          </w:p>
        </w:tc>
        <w:tc>
          <w:tcPr>
            <w:tcW w:w="996" w:type="dxa"/>
            <w:vAlign w:val="bottom"/>
          </w:tcPr>
          <w:p>
            <w:pPr>
              <w:pStyle w:val="yTableNAm"/>
              <w:jc w:val="right"/>
            </w:pPr>
            <w:r>
              <w:br/>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12 months, paid in advance</w:t>
            </w:r>
          </w:p>
        </w:tc>
        <w:tc>
          <w:tcPr>
            <w:tcW w:w="996" w:type="dxa"/>
            <w:vAlign w:val="bottom"/>
          </w:tcPr>
          <w:p>
            <w:pPr>
              <w:pStyle w:val="yTableNAm"/>
              <w:jc w:val="right"/>
            </w:pPr>
            <w:r>
              <w:t>800.00</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3 months or more, per month, paid in advance</w:t>
            </w:r>
          </w:p>
        </w:tc>
        <w:tc>
          <w:tcPr>
            <w:tcW w:w="996" w:type="dxa"/>
            <w:vAlign w:val="bottom"/>
          </w:tcPr>
          <w:p>
            <w:pPr>
              <w:pStyle w:val="yTableNAm"/>
              <w:jc w:val="right"/>
            </w:pPr>
            <w:r>
              <w:t>80.00</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one month or more, per month, paid in advance</w:t>
            </w:r>
          </w:p>
        </w:tc>
        <w:tc>
          <w:tcPr>
            <w:tcW w:w="996" w:type="dxa"/>
            <w:vAlign w:val="bottom"/>
          </w:tcPr>
          <w:p>
            <w:pPr>
              <w:pStyle w:val="yTableNAm"/>
              <w:jc w:val="right"/>
            </w:pPr>
            <w:r>
              <w:t>120.00</w:t>
            </w:r>
          </w:p>
        </w:tc>
      </w:tr>
      <w:tr>
        <w:trPr>
          <w:cantSplit/>
        </w:trPr>
        <w:tc>
          <w:tcPr>
            <w:tcW w:w="567" w:type="dxa"/>
          </w:tcPr>
          <w:p>
            <w:pPr>
              <w:pStyle w:val="yTableNAm"/>
            </w:pPr>
            <w:r>
              <w:t>9.</w:t>
            </w:r>
          </w:p>
        </w:tc>
        <w:tc>
          <w:tcPr>
            <w:tcW w:w="4390" w:type="dxa"/>
          </w:tcPr>
          <w:p>
            <w:pPr>
              <w:pStyle w:val="yTableNAm"/>
            </w:pPr>
            <w:r>
              <w:t xml:space="preserve">For use, in Pen System B, of a floating pen by a recreational vessel, tourism vessel, fishing vessel or service vessel, over 20 m long, per m of the pen’s length — </w:t>
            </w:r>
          </w:p>
          <w:p>
            <w:pPr>
              <w:pStyle w:val="NotesPerm"/>
              <w:tabs>
                <w:tab w:val="clear" w:pos="879"/>
                <w:tab w:val="left" w:pos="653"/>
              </w:tabs>
              <w:ind w:left="653" w:hanging="653"/>
            </w:pPr>
            <w:r>
              <w:t>Note:</w:t>
            </w:r>
            <w:r>
              <w:tab/>
              <w:t>includes (except for a vessel to which item 16 applies) short</w:t>
            </w:r>
            <w:r>
              <w:noBreakHyphen/>
              <w:t>term loading/unloading of goods and passengers on service wharf limited to 2 hours per day, otherwise item 17 fees will apply after 2 hours</w:t>
            </w:r>
          </w:p>
        </w:tc>
        <w:tc>
          <w:tcPr>
            <w:tcW w:w="996" w:type="dxa"/>
            <w:vAlign w:val="bottom"/>
          </w:tcPr>
          <w:p>
            <w:pPr>
              <w:pStyle w:val="yTableNAm"/>
              <w:jc w:val="right"/>
            </w:pPr>
            <w:r>
              <w:br/>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12 months, paid in advance</w:t>
            </w:r>
          </w:p>
        </w:tc>
        <w:tc>
          <w:tcPr>
            <w:tcW w:w="996" w:type="dxa"/>
            <w:vAlign w:val="bottom"/>
          </w:tcPr>
          <w:p>
            <w:pPr>
              <w:pStyle w:val="yTableNAm"/>
              <w:jc w:val="right"/>
            </w:pPr>
            <w:r>
              <w:t>1 000.00</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3 months or more, per month, paid in advance</w:t>
            </w:r>
          </w:p>
        </w:tc>
        <w:tc>
          <w:tcPr>
            <w:tcW w:w="996" w:type="dxa"/>
            <w:vAlign w:val="bottom"/>
          </w:tcPr>
          <w:p>
            <w:pPr>
              <w:pStyle w:val="yTableNAm"/>
              <w:jc w:val="right"/>
            </w:pPr>
            <w:r>
              <w:t>100.00</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one month or more, per month, paid in advance</w:t>
            </w:r>
          </w:p>
        </w:tc>
        <w:tc>
          <w:tcPr>
            <w:tcW w:w="996" w:type="dxa"/>
            <w:vAlign w:val="bottom"/>
          </w:tcPr>
          <w:p>
            <w:pPr>
              <w:pStyle w:val="yTableNAm"/>
              <w:jc w:val="right"/>
            </w:pPr>
            <w:r>
              <w:t>150.00</w:t>
            </w:r>
          </w:p>
        </w:tc>
      </w:tr>
      <w:tr>
        <w:trPr>
          <w:cantSplit/>
        </w:trPr>
        <w:tc>
          <w:tcPr>
            <w:tcW w:w="567" w:type="dxa"/>
          </w:tcPr>
          <w:p>
            <w:pPr>
              <w:pStyle w:val="yTableNAm"/>
            </w:pPr>
            <w:r>
              <w:t>10.</w:t>
            </w:r>
          </w:p>
        </w:tc>
        <w:tc>
          <w:tcPr>
            <w:tcW w:w="4390" w:type="dxa"/>
          </w:tcPr>
          <w:p>
            <w:pPr>
              <w:pStyle w:val="yTableNAm"/>
            </w:pPr>
            <w:r>
              <w:t>For use, in Pen System B, of an extra</w:t>
            </w:r>
            <w:r>
              <w:noBreakHyphen/>
              <w:t>wide floating pen by a vessel referred to in item 6, 7, 8 or 9: the relevant amount payable in that item plus 50% of that amount</w:t>
            </w:r>
          </w:p>
          <w:p>
            <w:pPr>
              <w:pStyle w:val="NotesPerm"/>
              <w:tabs>
                <w:tab w:val="clear" w:pos="879"/>
                <w:tab w:val="left" w:pos="653"/>
              </w:tabs>
              <w:ind w:left="653" w:hanging="653"/>
            </w:pPr>
            <w:r>
              <w:t>Note:</w:t>
            </w:r>
            <w:r>
              <w:tab/>
              <w:t>includes, if appropriate to the relevant item, short</w:t>
            </w:r>
            <w:r>
              <w:noBreakHyphen/>
              <w:t>term loading/unloading of goods and passengers on service wharf limited to 2 hours per day, otherwise item 17 fees will apply after 2 hours</w:t>
            </w:r>
          </w:p>
        </w:tc>
        <w:tc>
          <w:tcPr>
            <w:tcW w:w="996" w:type="dxa"/>
            <w:vAlign w:val="bottom"/>
          </w:tcPr>
          <w:p>
            <w:pPr>
              <w:pStyle w:val="yTableNAm"/>
              <w:jc w:val="right"/>
            </w:pPr>
            <w:r>
              <w:br/>
            </w:r>
          </w:p>
        </w:tc>
      </w:tr>
      <w:tr>
        <w:trPr>
          <w:cantSplit/>
        </w:trPr>
        <w:tc>
          <w:tcPr>
            <w:tcW w:w="567" w:type="dxa"/>
          </w:tcPr>
          <w:p>
            <w:pPr>
              <w:pStyle w:val="yTableNAm"/>
            </w:pPr>
            <w:r>
              <w:t>11.</w:t>
            </w:r>
          </w:p>
        </w:tc>
        <w:tc>
          <w:tcPr>
            <w:tcW w:w="4390" w:type="dxa"/>
          </w:tcPr>
          <w:p>
            <w:pPr>
              <w:pStyle w:val="yTableNAm"/>
            </w:pPr>
            <w:r>
              <w:t>For use of either a non</w:t>
            </w:r>
            <w:r>
              <w:noBreakHyphen/>
              <w:t xml:space="preserve">floating pen with walkway or a floating pen by a recreational vessel, per m of the vessel’s length — </w:t>
            </w:r>
          </w:p>
          <w:p>
            <w:pPr>
              <w:pStyle w:val="NotesPerm"/>
              <w:tabs>
                <w:tab w:val="clear" w:pos="879"/>
                <w:tab w:val="left" w:pos="653"/>
              </w:tabs>
              <w:ind w:left="653" w:hanging="653"/>
            </w:pPr>
            <w:r>
              <w:t>Note:</w:t>
            </w:r>
            <w:r>
              <w:tab/>
              <w:t>includes short</w:t>
            </w:r>
            <w:r>
              <w:noBreakHyphen/>
              <w:t>term loading/unloading of goods and passengers on service wharf limited to 2 hours per day, otherwise item 17 fees will apply after 2 hours</w:t>
            </w:r>
          </w:p>
        </w:tc>
        <w:tc>
          <w:tcPr>
            <w:tcW w:w="996" w:type="dxa"/>
            <w:vAlign w:val="bottom"/>
          </w:tcPr>
          <w:p>
            <w:pPr>
              <w:pStyle w:val="yTableNAm"/>
              <w:jc w:val="right"/>
            </w:pPr>
            <w:r>
              <w:br/>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one week or more, per week, paid in advance</w:t>
            </w:r>
          </w:p>
        </w:tc>
        <w:tc>
          <w:tcPr>
            <w:tcW w:w="996" w:type="dxa"/>
            <w:vAlign w:val="bottom"/>
          </w:tcPr>
          <w:p>
            <w:pPr>
              <w:pStyle w:val="yTableNAm"/>
              <w:jc w:val="right"/>
            </w:pPr>
            <w:r>
              <w:t>23.65</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otherwise, per day</w:t>
            </w:r>
          </w:p>
        </w:tc>
        <w:tc>
          <w:tcPr>
            <w:tcW w:w="996" w:type="dxa"/>
            <w:vAlign w:val="bottom"/>
          </w:tcPr>
          <w:p>
            <w:pPr>
              <w:pStyle w:val="yTableNAm"/>
              <w:jc w:val="right"/>
            </w:pPr>
            <w:r>
              <w:t>4.73</w:t>
            </w:r>
          </w:p>
        </w:tc>
      </w:tr>
      <w:tr>
        <w:trPr>
          <w:cantSplit/>
        </w:trPr>
        <w:tc>
          <w:tcPr>
            <w:tcW w:w="567" w:type="dxa"/>
          </w:tcPr>
          <w:p>
            <w:pPr>
              <w:pStyle w:val="yTableNAm"/>
            </w:pPr>
            <w:r>
              <w:t>12.</w:t>
            </w:r>
          </w:p>
        </w:tc>
        <w:tc>
          <w:tcPr>
            <w:tcW w:w="4390" w:type="dxa"/>
          </w:tcPr>
          <w:p>
            <w:pPr>
              <w:pStyle w:val="yTableNAm"/>
            </w:pPr>
            <w:r>
              <w:t>For use of either a non</w:t>
            </w:r>
            <w:r>
              <w:noBreakHyphen/>
              <w:t xml:space="preserve">floating pen with walkway or a floating pen by a tourism vessel or fishing vessel, per m of the vessel’s length — </w:t>
            </w:r>
          </w:p>
          <w:p>
            <w:pPr>
              <w:pStyle w:val="NotesPerm"/>
              <w:tabs>
                <w:tab w:val="clear" w:pos="879"/>
                <w:tab w:val="left" w:pos="653"/>
              </w:tabs>
              <w:ind w:left="653" w:hanging="653"/>
            </w:pPr>
            <w:r>
              <w:t>Note:</w:t>
            </w:r>
            <w:r>
              <w:tab/>
              <w:t>includes short</w:t>
            </w:r>
            <w:r>
              <w:noBreakHyphen/>
              <w:t>term loading/unloading of goods and passengers on service wharf limited to 2 hours per day, otherwise item 17 fees will apply after 2 hours</w:t>
            </w:r>
          </w:p>
        </w:tc>
        <w:tc>
          <w:tcPr>
            <w:tcW w:w="996" w:type="dxa"/>
            <w:vAlign w:val="bottom"/>
          </w:tcPr>
          <w:p>
            <w:pPr>
              <w:pStyle w:val="yTableNAm"/>
              <w:jc w:val="right"/>
            </w:pPr>
            <w:r>
              <w:br/>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one week or more, per week, paid in advance</w:t>
            </w:r>
          </w:p>
        </w:tc>
        <w:tc>
          <w:tcPr>
            <w:tcW w:w="996" w:type="dxa"/>
            <w:vAlign w:val="bottom"/>
          </w:tcPr>
          <w:p>
            <w:pPr>
              <w:pStyle w:val="yTableNAm"/>
              <w:jc w:val="right"/>
            </w:pPr>
            <w:r>
              <w:t>47.27</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otherwise, per day</w:t>
            </w:r>
          </w:p>
        </w:tc>
        <w:tc>
          <w:tcPr>
            <w:tcW w:w="996" w:type="dxa"/>
            <w:vAlign w:val="bottom"/>
          </w:tcPr>
          <w:p>
            <w:pPr>
              <w:pStyle w:val="yTableNAm"/>
              <w:jc w:val="right"/>
            </w:pPr>
            <w:r>
              <w:t>9.45</w:t>
            </w:r>
          </w:p>
        </w:tc>
      </w:tr>
      <w:tr>
        <w:trPr>
          <w:cantSplit/>
        </w:trPr>
        <w:tc>
          <w:tcPr>
            <w:tcW w:w="567" w:type="dxa"/>
          </w:tcPr>
          <w:p>
            <w:pPr>
              <w:pStyle w:val="yTableNAm"/>
              <w:keepNext/>
              <w:keepLines/>
              <w:rPr>
                <w:rFonts w:ascii="Arial" w:hAnsi="Arial"/>
                <w:b/>
              </w:rPr>
            </w:pPr>
            <w:r>
              <w:t>13.</w:t>
            </w:r>
          </w:p>
        </w:tc>
        <w:tc>
          <w:tcPr>
            <w:tcW w:w="4390" w:type="dxa"/>
          </w:tcPr>
          <w:p>
            <w:pPr>
              <w:pStyle w:val="yTableNAm"/>
              <w:keepNext/>
              <w:keepLines/>
              <w:rPr>
                <w:rFonts w:ascii="Arial" w:hAnsi="Arial"/>
                <w:b/>
              </w:rPr>
            </w:pPr>
            <w:r>
              <w:t>For use of either a non</w:t>
            </w:r>
            <w:r>
              <w:noBreakHyphen/>
              <w:t xml:space="preserve">floating pen with walkway or a floating pen by a service vessel, per m of the vessel’s length — </w:t>
            </w:r>
          </w:p>
        </w:tc>
        <w:tc>
          <w:tcPr>
            <w:tcW w:w="996" w:type="dxa"/>
            <w:vAlign w:val="bottom"/>
          </w:tcPr>
          <w:p>
            <w:pPr>
              <w:pStyle w:val="yTableNAm"/>
              <w:keepNext/>
              <w:keepLines/>
              <w:jc w:val="right"/>
              <w:rPr>
                <w:rFonts w:ascii="Arial" w:hAnsi="Arial"/>
                <w:b/>
              </w:rPr>
            </w:pPr>
            <w:r>
              <w:br/>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one week or more, per week, paid in advance</w:t>
            </w:r>
          </w:p>
        </w:tc>
        <w:tc>
          <w:tcPr>
            <w:tcW w:w="996" w:type="dxa"/>
            <w:vAlign w:val="bottom"/>
          </w:tcPr>
          <w:p>
            <w:pPr>
              <w:pStyle w:val="yTableNAm"/>
              <w:jc w:val="right"/>
            </w:pPr>
            <w:r>
              <w:t>51.81</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otherwise, per day</w:t>
            </w:r>
          </w:p>
        </w:tc>
        <w:tc>
          <w:tcPr>
            <w:tcW w:w="996" w:type="dxa"/>
            <w:vAlign w:val="bottom"/>
          </w:tcPr>
          <w:p>
            <w:pPr>
              <w:pStyle w:val="yTableNAm"/>
              <w:jc w:val="right"/>
            </w:pPr>
            <w:r>
              <w:t>10.36</w:t>
            </w:r>
          </w:p>
        </w:tc>
      </w:tr>
      <w:tr>
        <w:trPr>
          <w:cantSplit/>
        </w:trPr>
        <w:tc>
          <w:tcPr>
            <w:tcW w:w="567" w:type="dxa"/>
          </w:tcPr>
          <w:p>
            <w:pPr>
              <w:pStyle w:val="yTableNAm"/>
            </w:pPr>
            <w:r>
              <w:t>14.</w:t>
            </w:r>
          </w:p>
        </w:tc>
        <w:tc>
          <w:tcPr>
            <w:tcW w:w="4390" w:type="dxa"/>
          </w:tcPr>
          <w:p>
            <w:pPr>
              <w:pStyle w:val="yTableNAm"/>
            </w:pPr>
            <w:r>
              <w:t>For living on board a vessel, per vessel, per month</w:t>
            </w:r>
          </w:p>
        </w:tc>
        <w:tc>
          <w:tcPr>
            <w:tcW w:w="996" w:type="dxa"/>
            <w:vAlign w:val="bottom"/>
          </w:tcPr>
          <w:p>
            <w:pPr>
              <w:pStyle w:val="yTableNAm"/>
              <w:jc w:val="right"/>
            </w:pPr>
            <w:r>
              <w:t>42.99</w:t>
            </w:r>
          </w:p>
        </w:tc>
      </w:tr>
      <w:tr>
        <w:trPr>
          <w:cantSplit/>
        </w:trPr>
        <w:tc>
          <w:tcPr>
            <w:tcW w:w="567" w:type="dxa"/>
          </w:tcPr>
          <w:p>
            <w:pPr>
              <w:pStyle w:val="yTableNAm"/>
            </w:pPr>
            <w:r>
              <w:t>15.</w:t>
            </w:r>
          </w:p>
        </w:tc>
        <w:tc>
          <w:tcPr>
            <w:tcW w:w="4390" w:type="dxa"/>
          </w:tcPr>
          <w:p>
            <w:pPr>
              <w:pStyle w:val="yTableNAm"/>
            </w:pPr>
            <w:r>
              <w:t>For use of pen, berth or service jetty by cruise liner transfer vessel to load or unload passengers —</w:t>
            </w:r>
          </w:p>
        </w:tc>
        <w:tc>
          <w:tcPr>
            <w:tcW w:w="996" w:type="dxa"/>
            <w:vAlign w:val="bottom"/>
          </w:tcPr>
          <w:p>
            <w:pPr>
              <w:pStyle w:val="yTableNAm"/>
              <w:jc w:val="right"/>
            </w:pP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per m of the vessel’s length, per day</w:t>
            </w:r>
          </w:p>
        </w:tc>
        <w:tc>
          <w:tcPr>
            <w:tcW w:w="996" w:type="dxa"/>
            <w:vAlign w:val="bottom"/>
          </w:tcPr>
          <w:p>
            <w:pPr>
              <w:pStyle w:val="yTableNAm"/>
              <w:jc w:val="right"/>
            </w:pPr>
            <w:r>
              <w:t>9.45</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plus, per passenger</w:t>
            </w:r>
          </w:p>
        </w:tc>
        <w:tc>
          <w:tcPr>
            <w:tcW w:w="996" w:type="dxa"/>
            <w:vAlign w:val="bottom"/>
          </w:tcPr>
          <w:p>
            <w:pPr>
              <w:pStyle w:val="yTableNAm"/>
              <w:jc w:val="right"/>
            </w:pPr>
            <w:r>
              <w:t>4.04</w:t>
            </w:r>
          </w:p>
        </w:tc>
      </w:tr>
      <w:tr>
        <w:trPr>
          <w:cantSplit/>
        </w:trPr>
        <w:tc>
          <w:tcPr>
            <w:tcW w:w="567" w:type="dxa"/>
          </w:tcPr>
          <w:p>
            <w:pPr>
              <w:pStyle w:val="yTableNAm"/>
            </w:pPr>
            <w:r>
              <w:t>16.</w:t>
            </w:r>
          </w:p>
        </w:tc>
        <w:tc>
          <w:tcPr>
            <w:tcW w:w="4390" w:type="dxa"/>
          </w:tcPr>
          <w:p>
            <w:pPr>
              <w:pStyle w:val="yTableNAm"/>
            </w:pPr>
            <w:r>
              <w:t>For short</w:t>
            </w:r>
            <w:r>
              <w:noBreakHyphen/>
              <w:t>term use of service wharf, other than while refuelling, by a service vessel, for up to 12 hours in a 24 hour period —</w:t>
            </w:r>
          </w:p>
        </w:tc>
        <w:tc>
          <w:tcPr>
            <w:tcW w:w="996" w:type="dxa"/>
            <w:vAlign w:val="bottom"/>
          </w:tcPr>
          <w:p>
            <w:pPr>
              <w:pStyle w:val="yTableNAm"/>
              <w:jc w:val="right"/>
            </w:pPr>
          </w:p>
        </w:tc>
      </w:tr>
      <w:tr>
        <w:trPr>
          <w:cantSplit/>
        </w:trPr>
        <w:tc>
          <w:tcPr>
            <w:tcW w:w="567" w:type="dxa"/>
          </w:tcPr>
          <w:p>
            <w:pPr>
              <w:pStyle w:val="yTableNAm"/>
            </w:pPr>
          </w:p>
        </w:tc>
        <w:tc>
          <w:tcPr>
            <w:tcW w:w="4390" w:type="dxa"/>
          </w:tcPr>
          <w:p>
            <w:pPr>
              <w:pStyle w:val="yTableNAm"/>
              <w:tabs>
                <w:tab w:val="clear" w:pos="567"/>
                <w:tab w:val="left" w:pos="415"/>
              </w:tabs>
              <w:ind w:left="415" w:hanging="415"/>
              <w:rPr>
                <w:b/>
                <w:i/>
              </w:rPr>
            </w:pPr>
            <w:r>
              <w:t>•</w:t>
            </w:r>
            <w:r>
              <w:tab/>
              <w:t>per m of the vessel’s length</w:t>
            </w:r>
          </w:p>
        </w:tc>
        <w:tc>
          <w:tcPr>
            <w:tcW w:w="996" w:type="dxa"/>
            <w:vAlign w:val="bottom"/>
          </w:tcPr>
          <w:p>
            <w:pPr>
              <w:pStyle w:val="yTableNAm"/>
              <w:jc w:val="right"/>
            </w:pPr>
            <w:r>
              <w:t>16.00</w:t>
            </w:r>
          </w:p>
        </w:tc>
      </w:tr>
      <w:tr>
        <w:trPr>
          <w:cantSplit/>
        </w:trPr>
        <w:tc>
          <w:tcPr>
            <w:tcW w:w="567" w:type="dxa"/>
          </w:tcPr>
          <w:p>
            <w:pPr>
              <w:pStyle w:val="yTableNAm"/>
            </w:pPr>
            <w:r>
              <w:t>17.</w:t>
            </w:r>
          </w:p>
        </w:tc>
        <w:tc>
          <w:tcPr>
            <w:tcW w:w="4390" w:type="dxa"/>
          </w:tcPr>
          <w:p>
            <w:pPr>
              <w:pStyle w:val="yTableNAm"/>
            </w:pPr>
            <w:r>
              <w:t>For short</w:t>
            </w:r>
            <w:r>
              <w:noBreakHyphen/>
              <w:t>term use of service wharf by vessel, except as described in item 15 or by a vessel mentioned in item 16, per m of the vessel’s length, per day</w:t>
            </w:r>
          </w:p>
        </w:tc>
        <w:tc>
          <w:tcPr>
            <w:tcW w:w="996" w:type="dxa"/>
            <w:vAlign w:val="bottom"/>
          </w:tcPr>
          <w:p>
            <w:pPr>
              <w:pStyle w:val="yTableNAm"/>
              <w:jc w:val="right"/>
            </w:pPr>
            <w:r>
              <w:t>9.45</w:t>
            </w:r>
          </w:p>
        </w:tc>
      </w:tr>
      <w:tr>
        <w:trPr>
          <w:cantSplit/>
        </w:trPr>
        <w:tc>
          <w:tcPr>
            <w:tcW w:w="567" w:type="dxa"/>
          </w:tcPr>
          <w:p>
            <w:pPr>
              <w:pStyle w:val="yTableNAm"/>
            </w:pPr>
            <w:r>
              <w:t>18.</w:t>
            </w:r>
          </w:p>
        </w:tc>
        <w:tc>
          <w:tcPr>
            <w:tcW w:w="4390" w:type="dxa"/>
          </w:tcPr>
          <w:p>
            <w:pPr>
              <w:pStyle w:val="yTableNAm"/>
            </w:pPr>
            <w:r>
              <w:t>For use of service wharf hardstand or an appurtenant area for storage or maintenance (for short</w:t>
            </w:r>
            <w:r>
              <w:noBreakHyphen/>
              <w:t>term use only), per day —</w:t>
            </w:r>
          </w:p>
        </w:tc>
        <w:tc>
          <w:tcPr>
            <w:tcW w:w="996" w:type="dxa"/>
            <w:vAlign w:val="bottom"/>
          </w:tcPr>
          <w:p>
            <w:pPr>
              <w:pStyle w:val="yTableNAm"/>
              <w:jc w:val="right"/>
            </w:pP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per m</w:t>
            </w:r>
            <w:r>
              <w:rPr>
                <w:vertAlign w:val="superscript"/>
              </w:rPr>
              <w:t>2</w:t>
            </w:r>
          </w:p>
        </w:tc>
        <w:tc>
          <w:tcPr>
            <w:tcW w:w="996" w:type="dxa"/>
            <w:vAlign w:val="bottom"/>
          </w:tcPr>
          <w:p>
            <w:pPr>
              <w:pStyle w:val="yTableNAm"/>
              <w:jc w:val="right"/>
            </w:pPr>
            <w:r>
              <w:t>1.57</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minimum fee</w:t>
            </w:r>
          </w:p>
        </w:tc>
        <w:tc>
          <w:tcPr>
            <w:tcW w:w="996" w:type="dxa"/>
            <w:vAlign w:val="bottom"/>
          </w:tcPr>
          <w:p>
            <w:pPr>
              <w:pStyle w:val="yTableNAm"/>
              <w:jc w:val="right"/>
            </w:pPr>
            <w:r>
              <w:t>28.73</w:t>
            </w:r>
          </w:p>
        </w:tc>
      </w:tr>
      <w:tr>
        <w:trPr>
          <w:cantSplit/>
        </w:trPr>
        <w:tc>
          <w:tcPr>
            <w:tcW w:w="567" w:type="dxa"/>
          </w:tcPr>
          <w:p>
            <w:pPr>
              <w:pStyle w:val="yTableNAm"/>
              <w:keepNext/>
            </w:pPr>
            <w:r>
              <w:t>19.</w:t>
            </w:r>
          </w:p>
        </w:tc>
        <w:tc>
          <w:tcPr>
            <w:tcW w:w="4390" w:type="dxa"/>
          </w:tcPr>
          <w:p>
            <w:pPr>
              <w:pStyle w:val="yTableNAm"/>
              <w:keepNext/>
            </w:pPr>
            <w:r>
              <w:t xml:space="preserve">For use of boat ramp by commercial vessel — </w:t>
            </w:r>
          </w:p>
        </w:tc>
        <w:tc>
          <w:tcPr>
            <w:tcW w:w="996" w:type="dxa"/>
            <w:vAlign w:val="bottom"/>
          </w:tcPr>
          <w:p>
            <w:pPr>
              <w:pStyle w:val="yTableNAm"/>
              <w:keepNext/>
              <w:jc w:val="right"/>
            </w:pPr>
          </w:p>
        </w:tc>
      </w:tr>
      <w:tr>
        <w:trPr>
          <w:cantSplit/>
        </w:trPr>
        <w:tc>
          <w:tcPr>
            <w:tcW w:w="567" w:type="dxa"/>
          </w:tcPr>
          <w:p>
            <w:pPr>
              <w:pStyle w:val="yTableNAm"/>
              <w:keepNext/>
            </w:pPr>
          </w:p>
        </w:tc>
        <w:tc>
          <w:tcPr>
            <w:tcW w:w="4390" w:type="dxa"/>
          </w:tcPr>
          <w:p>
            <w:pPr>
              <w:pStyle w:val="yTableNAm"/>
              <w:keepNext/>
              <w:tabs>
                <w:tab w:val="clear" w:pos="567"/>
                <w:tab w:val="left" w:pos="415"/>
              </w:tabs>
              <w:ind w:left="415" w:hanging="415"/>
            </w:pPr>
            <w:r>
              <w:t>•</w:t>
            </w:r>
            <w:r>
              <w:tab/>
              <w:t>for 12 months paid in advance</w:t>
            </w:r>
          </w:p>
        </w:tc>
        <w:tc>
          <w:tcPr>
            <w:tcW w:w="996" w:type="dxa"/>
            <w:vAlign w:val="bottom"/>
          </w:tcPr>
          <w:p>
            <w:pPr>
              <w:pStyle w:val="yTableNAm"/>
              <w:keepNext/>
              <w:jc w:val="right"/>
            </w:pPr>
            <w:r>
              <w:t>780.50</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one month</w:t>
            </w:r>
          </w:p>
        </w:tc>
        <w:tc>
          <w:tcPr>
            <w:tcW w:w="996" w:type="dxa"/>
            <w:vAlign w:val="bottom"/>
          </w:tcPr>
          <w:p>
            <w:pPr>
              <w:pStyle w:val="yTableNAm"/>
              <w:jc w:val="right"/>
            </w:pPr>
            <w:r>
              <w:t>156.12</w:t>
            </w:r>
          </w:p>
        </w:tc>
      </w:tr>
      <w:tr>
        <w:trPr>
          <w:cantSplit/>
        </w:trPr>
        <w:tc>
          <w:tcPr>
            <w:tcW w:w="567" w:type="dxa"/>
          </w:tcPr>
          <w:p>
            <w:pPr>
              <w:pStyle w:val="yTableNAm"/>
            </w:pPr>
            <w:r>
              <w:t>20.</w:t>
            </w:r>
          </w:p>
        </w:tc>
        <w:tc>
          <w:tcPr>
            <w:tcW w:w="4390" w:type="dxa"/>
          </w:tcPr>
          <w:p>
            <w:pPr>
              <w:pStyle w:val="yTableNAm"/>
            </w:pPr>
            <w:r>
              <w:t>For electricity supply, 3</w:t>
            </w:r>
            <w:r>
              <w:noBreakHyphen/>
              <w:t>phase or single —</w:t>
            </w:r>
          </w:p>
        </w:tc>
        <w:tc>
          <w:tcPr>
            <w:tcW w:w="996" w:type="dxa"/>
            <w:vAlign w:val="bottom"/>
          </w:tcPr>
          <w:p>
            <w:pPr>
              <w:pStyle w:val="yTableNAm"/>
              <w:jc w:val="right"/>
            </w:pP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if metered, for units consumed, per unit with a minimum amount as for the consumption of 50 units</w:t>
            </w:r>
          </w:p>
        </w:tc>
        <w:tc>
          <w:tcPr>
            <w:tcW w:w="996" w:type="dxa"/>
            <w:vAlign w:val="bottom"/>
          </w:tcPr>
          <w:p>
            <w:pPr>
              <w:pStyle w:val="yTableNAm"/>
              <w:jc w:val="right"/>
            </w:pPr>
            <w:r>
              <w:t>cost</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if metered, for meter reading</w:t>
            </w:r>
          </w:p>
        </w:tc>
        <w:tc>
          <w:tcPr>
            <w:tcW w:w="996" w:type="dxa"/>
            <w:vAlign w:val="bottom"/>
          </w:tcPr>
          <w:p>
            <w:pPr>
              <w:pStyle w:val="yTableNAm"/>
              <w:jc w:val="right"/>
            </w:pPr>
            <w:r>
              <w:t>cost</w:t>
            </w:r>
          </w:p>
        </w:tc>
      </w:tr>
      <w:tr>
        <w:trPr>
          <w:cantSplit/>
        </w:trPr>
        <w:tc>
          <w:tcPr>
            <w:tcW w:w="567" w:type="dxa"/>
          </w:tcPr>
          <w:p>
            <w:pPr>
              <w:pStyle w:val="yTableNAm"/>
            </w:pPr>
          </w:p>
        </w:tc>
        <w:tc>
          <w:tcPr>
            <w:tcW w:w="4390" w:type="dxa"/>
          </w:tcPr>
          <w:p>
            <w:pPr>
              <w:pStyle w:val="yTableNAm"/>
              <w:tabs>
                <w:tab w:val="clear" w:pos="567"/>
                <w:tab w:val="left" w:pos="415"/>
              </w:tabs>
              <w:ind w:left="415" w:hanging="415"/>
              <w:rPr>
                <w:b/>
                <w:i/>
              </w:rPr>
            </w:pPr>
            <w:r>
              <w:t>•</w:t>
            </w:r>
            <w:r>
              <w:tab/>
              <w:t>if not metered, per period of 12 hours or part of that period</w:t>
            </w:r>
          </w:p>
        </w:tc>
        <w:tc>
          <w:tcPr>
            <w:tcW w:w="996" w:type="dxa"/>
            <w:vAlign w:val="bottom"/>
          </w:tcPr>
          <w:p>
            <w:pPr>
              <w:pStyle w:val="yTableNAm"/>
              <w:jc w:val="right"/>
            </w:pPr>
            <w:r>
              <w:t>cost</w:t>
            </w:r>
          </w:p>
        </w:tc>
      </w:tr>
      <w:tr>
        <w:trPr>
          <w:cantSplit/>
        </w:trPr>
        <w:tc>
          <w:tcPr>
            <w:tcW w:w="567" w:type="dxa"/>
          </w:tcPr>
          <w:p>
            <w:pPr>
              <w:pStyle w:val="yTableNAm"/>
            </w:pPr>
            <w:r>
              <w:t>21.</w:t>
            </w:r>
          </w:p>
        </w:tc>
        <w:tc>
          <w:tcPr>
            <w:tcW w:w="4390" w:type="dxa"/>
          </w:tcPr>
          <w:p>
            <w:pPr>
              <w:pStyle w:val="yTableNAm"/>
            </w:pPr>
            <w:r>
              <w:t xml:space="preserve">For water supply — </w:t>
            </w:r>
          </w:p>
        </w:tc>
        <w:tc>
          <w:tcPr>
            <w:tcW w:w="996" w:type="dxa"/>
            <w:vAlign w:val="bottom"/>
          </w:tcPr>
          <w:p>
            <w:pPr>
              <w:pStyle w:val="yTableNAm"/>
              <w:jc w:val="right"/>
            </w:pP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to non</w:t>
            </w:r>
            <w:r>
              <w:noBreakHyphen/>
              <w:t>floating pen with walkway, metered</w:t>
            </w:r>
          </w:p>
        </w:tc>
        <w:tc>
          <w:tcPr>
            <w:tcW w:w="996" w:type="dxa"/>
            <w:vAlign w:val="bottom"/>
          </w:tcPr>
          <w:p>
            <w:pPr>
              <w:pStyle w:val="yTableNAm"/>
              <w:jc w:val="right"/>
            </w:pPr>
            <w:r>
              <w:t>cost</w:t>
            </w:r>
          </w:p>
        </w:tc>
      </w:tr>
      <w:tr>
        <w:trPr>
          <w:cantSplit/>
        </w:trPr>
        <w:tc>
          <w:tcPr>
            <w:tcW w:w="567" w:type="dxa"/>
          </w:tcPr>
          <w:p>
            <w:pPr>
              <w:pStyle w:val="yTableNAm"/>
            </w:pPr>
          </w:p>
        </w:tc>
        <w:tc>
          <w:tcPr>
            <w:tcW w:w="4390" w:type="dxa"/>
          </w:tcPr>
          <w:p>
            <w:pPr>
              <w:pStyle w:val="yTableNAm"/>
              <w:tabs>
                <w:tab w:val="clear" w:pos="567"/>
                <w:tab w:val="left" w:pos="415"/>
              </w:tabs>
              <w:ind w:left="415" w:hanging="415"/>
              <w:rPr>
                <w:b/>
                <w:i/>
              </w:rPr>
            </w:pPr>
            <w:r>
              <w:t>•</w:t>
            </w:r>
            <w:r>
              <w:tab/>
              <w:t>to service wharf or hardstand or elsewhere in large quantity, metered</w:t>
            </w:r>
          </w:p>
        </w:tc>
        <w:tc>
          <w:tcPr>
            <w:tcW w:w="996" w:type="dxa"/>
            <w:vAlign w:val="bottom"/>
          </w:tcPr>
          <w:p>
            <w:pPr>
              <w:pStyle w:val="yTableNAm"/>
              <w:jc w:val="right"/>
            </w:pPr>
            <w:r>
              <w:t>cost</w:t>
            </w:r>
          </w:p>
        </w:tc>
      </w:tr>
      <w:tr>
        <w:trPr>
          <w:cantSplit/>
        </w:trPr>
        <w:tc>
          <w:tcPr>
            <w:tcW w:w="567" w:type="dxa"/>
          </w:tcPr>
          <w:p>
            <w:pPr>
              <w:pStyle w:val="yTableNAm"/>
            </w:pPr>
            <w:r>
              <w:t>22.</w:t>
            </w:r>
          </w:p>
        </w:tc>
        <w:tc>
          <w:tcPr>
            <w:tcW w:w="4390" w:type="dxa"/>
          </w:tcPr>
          <w:p>
            <w:pPr>
              <w:pStyle w:val="yTableNAm"/>
            </w:pPr>
            <w:r>
              <w:t xml:space="preserve">For rubbish removal — </w:t>
            </w:r>
          </w:p>
        </w:tc>
        <w:tc>
          <w:tcPr>
            <w:tcW w:w="996" w:type="dxa"/>
            <w:vAlign w:val="bottom"/>
          </w:tcPr>
          <w:p>
            <w:pPr>
              <w:pStyle w:val="yTableNAm"/>
              <w:jc w:val="right"/>
            </w:pPr>
            <w:r>
              <w:t>cost</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excess quantity or from vessel not using harbour, minimum per half skip supplied and emptied</w:t>
            </w:r>
          </w:p>
        </w:tc>
        <w:tc>
          <w:tcPr>
            <w:tcW w:w="996" w:type="dxa"/>
            <w:vAlign w:val="bottom"/>
          </w:tcPr>
          <w:p>
            <w:pPr>
              <w:pStyle w:val="yTableNAm"/>
              <w:jc w:val="right"/>
            </w:pPr>
            <w:r>
              <w:t>cost</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waste oil drum not removed by owner, per 20 L drum</w:t>
            </w:r>
          </w:p>
        </w:tc>
        <w:tc>
          <w:tcPr>
            <w:tcW w:w="996" w:type="dxa"/>
            <w:vAlign w:val="bottom"/>
          </w:tcPr>
          <w:p>
            <w:pPr>
              <w:pStyle w:val="yTableNAm"/>
              <w:jc w:val="right"/>
            </w:pPr>
            <w:r>
              <w:t>cost</w:t>
            </w:r>
          </w:p>
        </w:tc>
      </w:tr>
      <w:tr>
        <w:trPr>
          <w:cantSplit/>
        </w:trPr>
        <w:tc>
          <w:tcPr>
            <w:tcW w:w="567" w:type="dxa"/>
            <w:tcBorders>
              <w:bottom w:val="single" w:sz="4" w:space="0" w:color="auto"/>
            </w:tcBorders>
          </w:tcPr>
          <w:p>
            <w:pPr>
              <w:pStyle w:val="yTableNAm"/>
            </w:pPr>
          </w:p>
        </w:tc>
        <w:tc>
          <w:tcPr>
            <w:tcW w:w="4390" w:type="dxa"/>
            <w:tcBorders>
              <w:bottom w:val="single" w:sz="4" w:space="0" w:color="auto"/>
            </w:tcBorders>
          </w:tcPr>
          <w:p>
            <w:pPr>
              <w:pStyle w:val="yTableNAm"/>
              <w:tabs>
                <w:tab w:val="clear" w:pos="567"/>
                <w:tab w:val="left" w:pos="415"/>
              </w:tabs>
              <w:ind w:left="415" w:hanging="415"/>
            </w:pPr>
            <w:r>
              <w:t>•</w:t>
            </w:r>
            <w:r>
              <w:tab/>
              <w:t>rubbish not put in supplied bins</w:t>
            </w:r>
          </w:p>
        </w:tc>
        <w:tc>
          <w:tcPr>
            <w:tcW w:w="996" w:type="dxa"/>
            <w:tcBorders>
              <w:bottom w:val="single" w:sz="4" w:space="0" w:color="auto"/>
            </w:tcBorders>
            <w:vAlign w:val="bottom"/>
          </w:tcPr>
          <w:p>
            <w:pPr>
              <w:pStyle w:val="yTableNAm"/>
              <w:jc w:val="right"/>
            </w:pPr>
            <w:r>
              <w:t>cost</w:t>
            </w:r>
          </w:p>
        </w:tc>
      </w:tr>
    </w:tbl>
    <w:p>
      <w:pPr>
        <w:pStyle w:val="yFootnotesection"/>
      </w:pPr>
      <w:r>
        <w:tab/>
        <w:t>[Clause 10 inserted in Gazette 28 Jun 2013 p. 2845</w:t>
      </w:r>
      <w:r>
        <w:noBreakHyphen/>
        <w:t>53.]</w:t>
      </w:r>
    </w:p>
    <w:p>
      <w:pPr>
        <w:pStyle w:val="yHeading5"/>
      </w:pPr>
      <w:bookmarkStart w:id="152" w:name="_Toc382380046"/>
      <w:r>
        <w:rPr>
          <w:rStyle w:val="CharSClsNo"/>
        </w:rPr>
        <w:t>11</w:t>
      </w:r>
      <w:r>
        <w:t>.</w:t>
      </w:r>
      <w:r>
        <w:rPr>
          <w:b w:val="0"/>
        </w:rPr>
        <w:tab/>
      </w:r>
      <w:smartTag w:uri="urn:schemas-microsoft-com:office:smarttags" w:element="place">
        <w:smartTag w:uri="urn:schemas-microsoft-com:office:smarttags" w:element="PlaceName">
          <w:r>
            <w:t>Fremantle</w:t>
          </w:r>
        </w:smartTag>
        <w:r>
          <w:t xml:space="preserve"> </w:t>
        </w:r>
        <w:smartTag w:uri="urn:schemas-microsoft-com:office:smarttags" w:element="PlaceName">
          <w:r>
            <w:t>Fishing</w:t>
          </w:r>
        </w:smartTag>
        <w:r>
          <w:t xml:space="preserve"> </w:t>
        </w:r>
        <w:smartTag w:uri="urn:schemas-microsoft-com:office:smarttags" w:element="PlaceName">
          <w:r>
            <w:t>Boat</w:t>
          </w:r>
        </w:smartTag>
        <w:r>
          <w:t xml:space="preserve"> </w:t>
        </w:r>
        <w:smartTag w:uri="urn:schemas-microsoft-com:office:smarttags" w:element="PlaceType">
          <w:r>
            <w:t>Harbour</w:t>
          </w:r>
        </w:smartTag>
      </w:smartTag>
      <w:bookmarkEnd w:id="152"/>
    </w:p>
    <w:p>
      <w:pPr>
        <w:pStyle w:val="ySubsection"/>
      </w:pPr>
      <w:r>
        <w:tab/>
        <w:t>(1)</w:t>
      </w:r>
      <w:r>
        <w:tab/>
        <w:t xml:space="preserve">This clause applies to the </w:t>
      </w:r>
      <w:smartTag w:uri="urn:schemas-microsoft-com:office:smarttags" w:element="place">
        <w:smartTag w:uri="urn:schemas-microsoft-com:office:smarttags" w:element="PlaceName">
          <w:r>
            <w:t>Fremantle</w:t>
          </w:r>
        </w:smartTag>
        <w:r>
          <w:t xml:space="preserve"> </w:t>
        </w:r>
        <w:smartTag w:uri="urn:schemas-microsoft-com:office:smarttags" w:element="PlaceName">
          <w:r>
            <w:t>Fishing</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w:t>
      </w:r>
    </w:p>
    <w:p>
      <w:pPr>
        <w:pStyle w:val="ySubsection"/>
      </w:pPr>
      <w:r>
        <w:tab/>
        <w:t>(2)</w:t>
      </w:r>
      <w:r>
        <w:tab/>
        <w:t>The fees and charges to be paid under regulation 94A are set out in Table 11.1.</w:t>
      </w:r>
    </w:p>
    <w:p>
      <w:pPr>
        <w:pStyle w:val="yTHeadingNAm"/>
      </w:pPr>
      <w:r>
        <w:t>Table 11.1 (Pen or berth rental)</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90"/>
        <w:gridCol w:w="996"/>
      </w:tblGrid>
      <w:tr>
        <w:trPr>
          <w:cantSplit/>
          <w:tblHeader/>
        </w:trPr>
        <w:tc>
          <w:tcPr>
            <w:tcW w:w="567" w:type="dxa"/>
            <w:tcBorders>
              <w:top w:val="single" w:sz="4" w:space="0" w:color="auto"/>
              <w:bottom w:val="single" w:sz="4" w:space="0" w:color="auto"/>
            </w:tcBorders>
          </w:tcPr>
          <w:p>
            <w:pPr>
              <w:pStyle w:val="yTableNAm"/>
              <w:rPr>
                <w:b/>
              </w:rPr>
            </w:pPr>
            <w:r>
              <w:rPr>
                <w:b/>
              </w:rPr>
              <w:t>Item</w:t>
            </w:r>
          </w:p>
        </w:tc>
        <w:tc>
          <w:tcPr>
            <w:tcW w:w="4390" w:type="dxa"/>
            <w:tcBorders>
              <w:top w:val="single" w:sz="4" w:space="0" w:color="auto"/>
              <w:bottom w:val="single" w:sz="4" w:space="0" w:color="auto"/>
            </w:tcBorders>
          </w:tcPr>
          <w:p>
            <w:pPr>
              <w:pStyle w:val="yTableNAm"/>
              <w:rPr>
                <w:b/>
              </w:rPr>
            </w:pPr>
            <w:r>
              <w:rPr>
                <w:b/>
              </w:rPr>
              <w:t>Service</w:t>
            </w:r>
          </w:p>
        </w:tc>
        <w:tc>
          <w:tcPr>
            <w:tcW w:w="996" w:type="dxa"/>
            <w:tcBorders>
              <w:top w:val="single" w:sz="4" w:space="0" w:color="auto"/>
              <w:bottom w:val="single" w:sz="4" w:space="0" w:color="auto"/>
            </w:tcBorders>
          </w:tcPr>
          <w:p>
            <w:pPr>
              <w:pStyle w:val="yTableNAm"/>
              <w:jc w:val="center"/>
              <w:rPr>
                <w:b/>
              </w:rPr>
            </w:pPr>
            <w:r>
              <w:rPr>
                <w:b/>
              </w:rPr>
              <w:t>$</w:t>
            </w:r>
          </w:p>
        </w:tc>
      </w:tr>
      <w:tr>
        <w:trPr>
          <w:cantSplit/>
        </w:trPr>
        <w:tc>
          <w:tcPr>
            <w:tcW w:w="567" w:type="dxa"/>
          </w:tcPr>
          <w:p>
            <w:pPr>
              <w:pStyle w:val="yTableNAm"/>
            </w:pPr>
            <w:r>
              <w:t>1.</w:t>
            </w:r>
          </w:p>
        </w:tc>
        <w:tc>
          <w:tcPr>
            <w:tcW w:w="4390" w:type="dxa"/>
          </w:tcPr>
          <w:p>
            <w:pPr>
              <w:pStyle w:val="yTableNAm"/>
            </w:pPr>
            <w:r>
              <w:t xml:space="preserve">For pen or berth for commercial vessel under 20 m long, per m of the vessel’s length — </w:t>
            </w:r>
          </w:p>
        </w:tc>
        <w:tc>
          <w:tcPr>
            <w:tcW w:w="996" w:type="dxa"/>
          </w:tcPr>
          <w:p>
            <w:pPr>
              <w:pStyle w:val="yTableNAm"/>
              <w:jc w:val="right"/>
            </w:pP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12 months paid in advance</w:t>
            </w:r>
          </w:p>
        </w:tc>
        <w:tc>
          <w:tcPr>
            <w:tcW w:w="996" w:type="dxa"/>
          </w:tcPr>
          <w:p>
            <w:pPr>
              <w:pStyle w:val="yTableNAm"/>
              <w:jc w:val="right"/>
            </w:pPr>
            <w:r>
              <w:t>309.76</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3 months or more, per month, paid in advance</w:t>
            </w:r>
          </w:p>
        </w:tc>
        <w:tc>
          <w:tcPr>
            <w:tcW w:w="996" w:type="dxa"/>
          </w:tcPr>
          <w:p>
            <w:pPr>
              <w:pStyle w:val="yTableNAm"/>
              <w:jc w:val="right"/>
            </w:pPr>
            <w:r>
              <w:br/>
              <w:t>30.98</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one month or more, per month, paid in advance</w:t>
            </w:r>
          </w:p>
        </w:tc>
        <w:tc>
          <w:tcPr>
            <w:tcW w:w="996" w:type="dxa"/>
          </w:tcPr>
          <w:p>
            <w:pPr>
              <w:pStyle w:val="yTableNAm"/>
              <w:jc w:val="right"/>
            </w:pPr>
            <w:r>
              <w:br/>
              <w:t>46.46</w:t>
            </w:r>
          </w:p>
        </w:tc>
      </w:tr>
      <w:tr>
        <w:trPr>
          <w:cantSplit/>
        </w:trPr>
        <w:tc>
          <w:tcPr>
            <w:tcW w:w="567" w:type="dxa"/>
          </w:tcPr>
          <w:p>
            <w:pPr>
              <w:pStyle w:val="yTableNAm"/>
            </w:pPr>
            <w:r>
              <w:t>2.</w:t>
            </w:r>
          </w:p>
        </w:tc>
        <w:tc>
          <w:tcPr>
            <w:tcW w:w="4390" w:type="dxa"/>
          </w:tcPr>
          <w:p>
            <w:pPr>
              <w:pStyle w:val="yTableNAm"/>
            </w:pPr>
            <w:r>
              <w:t xml:space="preserve">For pen or berth for commercial vessel 20 m long or over, per m of the vessel’s length — </w:t>
            </w:r>
          </w:p>
        </w:tc>
        <w:tc>
          <w:tcPr>
            <w:tcW w:w="996" w:type="dxa"/>
          </w:tcPr>
          <w:p>
            <w:pPr>
              <w:pStyle w:val="yTableNAm"/>
              <w:jc w:val="right"/>
            </w:pP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12 months paid in advance</w:t>
            </w:r>
          </w:p>
        </w:tc>
        <w:tc>
          <w:tcPr>
            <w:tcW w:w="996" w:type="dxa"/>
          </w:tcPr>
          <w:p>
            <w:pPr>
              <w:pStyle w:val="yTableNAm"/>
              <w:jc w:val="right"/>
            </w:pPr>
            <w:r>
              <w:t>404.62</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3 months or more, per month, paid in advance</w:t>
            </w:r>
          </w:p>
        </w:tc>
        <w:tc>
          <w:tcPr>
            <w:tcW w:w="996" w:type="dxa"/>
          </w:tcPr>
          <w:p>
            <w:pPr>
              <w:pStyle w:val="yTableNAm"/>
              <w:jc w:val="right"/>
            </w:pPr>
            <w:r>
              <w:br/>
              <w:t>40.47</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one month or more, per month, paid in advance</w:t>
            </w:r>
          </w:p>
        </w:tc>
        <w:tc>
          <w:tcPr>
            <w:tcW w:w="996" w:type="dxa"/>
          </w:tcPr>
          <w:p>
            <w:pPr>
              <w:pStyle w:val="yTableNAm"/>
              <w:jc w:val="right"/>
            </w:pPr>
            <w:r>
              <w:br/>
              <w:t>60.70</w:t>
            </w:r>
          </w:p>
        </w:tc>
      </w:tr>
      <w:tr>
        <w:trPr>
          <w:cantSplit/>
        </w:trPr>
        <w:tc>
          <w:tcPr>
            <w:tcW w:w="567" w:type="dxa"/>
          </w:tcPr>
          <w:p>
            <w:pPr>
              <w:pStyle w:val="yTableNAm"/>
            </w:pPr>
            <w:r>
              <w:t>3.</w:t>
            </w:r>
          </w:p>
        </w:tc>
        <w:tc>
          <w:tcPr>
            <w:tcW w:w="4390" w:type="dxa"/>
          </w:tcPr>
          <w:p>
            <w:pPr>
              <w:pStyle w:val="yTableNAm"/>
            </w:pPr>
            <w:r>
              <w:t xml:space="preserve">For berth at end of floating jetty (Jetty 1) for commercial vessel, per m of the vessel’s length — </w:t>
            </w:r>
          </w:p>
        </w:tc>
        <w:tc>
          <w:tcPr>
            <w:tcW w:w="996" w:type="dxa"/>
          </w:tcPr>
          <w:p>
            <w:pPr>
              <w:pStyle w:val="yTableNAm"/>
              <w:jc w:val="right"/>
            </w:pP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one month or more, per month, paid in advance</w:t>
            </w:r>
          </w:p>
        </w:tc>
        <w:tc>
          <w:tcPr>
            <w:tcW w:w="996" w:type="dxa"/>
          </w:tcPr>
          <w:p>
            <w:pPr>
              <w:pStyle w:val="yTableNAm"/>
              <w:jc w:val="right"/>
            </w:pPr>
            <w:r>
              <w:br/>
              <w:t>88.37</w:t>
            </w:r>
          </w:p>
        </w:tc>
      </w:tr>
      <w:tr>
        <w:trPr>
          <w:cantSplit/>
        </w:trPr>
        <w:tc>
          <w:tcPr>
            <w:tcW w:w="567" w:type="dxa"/>
          </w:tcPr>
          <w:p>
            <w:pPr>
              <w:pStyle w:val="yTableNAm"/>
            </w:pPr>
            <w:r>
              <w:t>4.</w:t>
            </w:r>
          </w:p>
        </w:tc>
        <w:tc>
          <w:tcPr>
            <w:tcW w:w="4390" w:type="dxa"/>
          </w:tcPr>
          <w:p>
            <w:pPr>
              <w:pStyle w:val="yTableNAm"/>
            </w:pPr>
            <w:r>
              <w:t xml:space="preserve">For berth at end of floating jetty (Jetty 1) for recreational vessel, per m of the vessel’s length — </w:t>
            </w:r>
          </w:p>
        </w:tc>
        <w:tc>
          <w:tcPr>
            <w:tcW w:w="996" w:type="dxa"/>
          </w:tcPr>
          <w:p>
            <w:pPr>
              <w:pStyle w:val="yTableNAm"/>
              <w:jc w:val="right"/>
            </w:pP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one month or more, per month, paid in advance</w:t>
            </w:r>
          </w:p>
        </w:tc>
        <w:tc>
          <w:tcPr>
            <w:tcW w:w="996" w:type="dxa"/>
          </w:tcPr>
          <w:p>
            <w:pPr>
              <w:pStyle w:val="yTableNAm"/>
              <w:jc w:val="right"/>
            </w:pPr>
            <w:r>
              <w:br/>
              <w:t>81.77</w:t>
            </w:r>
          </w:p>
        </w:tc>
      </w:tr>
      <w:tr>
        <w:trPr>
          <w:cantSplit/>
        </w:trPr>
        <w:tc>
          <w:tcPr>
            <w:tcW w:w="567" w:type="dxa"/>
          </w:tcPr>
          <w:p>
            <w:pPr>
              <w:pStyle w:val="yTableNAm"/>
            </w:pPr>
            <w:r>
              <w:t>5.</w:t>
            </w:r>
          </w:p>
        </w:tc>
        <w:tc>
          <w:tcPr>
            <w:tcW w:w="4390" w:type="dxa"/>
          </w:tcPr>
          <w:p>
            <w:pPr>
              <w:pStyle w:val="yTableNAm"/>
            </w:pPr>
            <w:r>
              <w:t xml:space="preserve">For pen or berth for recreational vessel, per m of the vessel’s length — </w:t>
            </w:r>
          </w:p>
        </w:tc>
        <w:tc>
          <w:tcPr>
            <w:tcW w:w="996" w:type="dxa"/>
          </w:tcPr>
          <w:p>
            <w:pPr>
              <w:pStyle w:val="yTableNAm"/>
              <w:jc w:val="right"/>
            </w:pP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12 months paid in advance</w:t>
            </w:r>
          </w:p>
        </w:tc>
        <w:tc>
          <w:tcPr>
            <w:tcW w:w="996" w:type="dxa"/>
          </w:tcPr>
          <w:p>
            <w:pPr>
              <w:pStyle w:val="yTableNAm"/>
              <w:jc w:val="right"/>
            </w:pPr>
            <w:r>
              <w:t>441.71</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3 months or more, per month, paid in advance</w:t>
            </w:r>
          </w:p>
        </w:tc>
        <w:tc>
          <w:tcPr>
            <w:tcW w:w="996" w:type="dxa"/>
          </w:tcPr>
          <w:p>
            <w:pPr>
              <w:pStyle w:val="yTableNAm"/>
              <w:jc w:val="right"/>
            </w:pPr>
            <w:r>
              <w:br/>
              <w:t>44.18</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one month or more, per month, paid in advance</w:t>
            </w:r>
          </w:p>
        </w:tc>
        <w:tc>
          <w:tcPr>
            <w:tcW w:w="996" w:type="dxa"/>
          </w:tcPr>
          <w:p>
            <w:pPr>
              <w:pStyle w:val="yTableNAm"/>
              <w:jc w:val="right"/>
            </w:pPr>
            <w:r>
              <w:br/>
              <w:t>66.26</w:t>
            </w:r>
          </w:p>
        </w:tc>
      </w:tr>
      <w:tr>
        <w:trPr>
          <w:cantSplit/>
        </w:trPr>
        <w:tc>
          <w:tcPr>
            <w:tcW w:w="567" w:type="dxa"/>
          </w:tcPr>
          <w:p>
            <w:pPr>
              <w:pStyle w:val="yTableNAm"/>
            </w:pPr>
            <w:r>
              <w:t>6.</w:t>
            </w:r>
          </w:p>
        </w:tc>
        <w:tc>
          <w:tcPr>
            <w:tcW w:w="4390" w:type="dxa"/>
          </w:tcPr>
          <w:p>
            <w:pPr>
              <w:pStyle w:val="yTableNAm"/>
            </w:pPr>
            <w:r>
              <w:t>For pen or berth for vessel, per m of the vessel’s length —</w:t>
            </w:r>
          </w:p>
        </w:tc>
        <w:tc>
          <w:tcPr>
            <w:tcW w:w="996" w:type="dxa"/>
          </w:tcPr>
          <w:p>
            <w:pPr>
              <w:pStyle w:val="yTableNAm"/>
              <w:jc w:val="right"/>
            </w:pP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one week or more, per week, paid in advance</w:t>
            </w:r>
          </w:p>
        </w:tc>
        <w:tc>
          <w:tcPr>
            <w:tcW w:w="996" w:type="dxa"/>
          </w:tcPr>
          <w:p>
            <w:pPr>
              <w:pStyle w:val="yTableNAm"/>
              <w:jc w:val="right"/>
            </w:pPr>
            <w:r>
              <w:br/>
              <w:t>45.05</w:t>
            </w:r>
          </w:p>
        </w:tc>
      </w:tr>
      <w:tr>
        <w:trPr>
          <w:cantSplit/>
        </w:trPr>
        <w:tc>
          <w:tcPr>
            <w:tcW w:w="567" w:type="dxa"/>
            <w:tcBorders>
              <w:bottom w:val="single" w:sz="4" w:space="0" w:color="auto"/>
            </w:tcBorders>
          </w:tcPr>
          <w:p>
            <w:pPr>
              <w:pStyle w:val="yTableNAm"/>
            </w:pPr>
          </w:p>
        </w:tc>
        <w:tc>
          <w:tcPr>
            <w:tcW w:w="4390" w:type="dxa"/>
            <w:tcBorders>
              <w:bottom w:val="single" w:sz="4" w:space="0" w:color="auto"/>
            </w:tcBorders>
          </w:tcPr>
          <w:p>
            <w:pPr>
              <w:pStyle w:val="yTableNAm"/>
              <w:tabs>
                <w:tab w:val="clear" w:pos="567"/>
                <w:tab w:val="left" w:pos="415"/>
              </w:tabs>
              <w:ind w:left="415" w:hanging="415"/>
            </w:pPr>
            <w:r>
              <w:t>•</w:t>
            </w:r>
            <w:r>
              <w:tab/>
              <w:t>otherwise, per day</w:t>
            </w:r>
          </w:p>
        </w:tc>
        <w:tc>
          <w:tcPr>
            <w:tcW w:w="996" w:type="dxa"/>
            <w:tcBorders>
              <w:bottom w:val="single" w:sz="4" w:space="0" w:color="auto"/>
            </w:tcBorders>
          </w:tcPr>
          <w:p>
            <w:pPr>
              <w:pStyle w:val="yTableNAm"/>
              <w:jc w:val="right"/>
            </w:pPr>
            <w:r>
              <w:t>9.01</w:t>
            </w:r>
          </w:p>
        </w:tc>
      </w:tr>
    </w:tbl>
    <w:p>
      <w:pPr>
        <w:pStyle w:val="yFootnotesection"/>
      </w:pPr>
      <w:r>
        <w:tab/>
        <w:t>[Clause 11 inserted in Gazette 28 Jun 2013 p. 2853</w:t>
      </w:r>
      <w:r>
        <w:noBreakHyphen/>
        <w:t>5.]</w:t>
      </w:r>
    </w:p>
    <w:p>
      <w:pPr>
        <w:pStyle w:val="yHeading5"/>
      </w:pPr>
      <w:bookmarkStart w:id="153" w:name="_Toc382380047"/>
      <w:r>
        <w:rPr>
          <w:rStyle w:val="CharSClsNo"/>
        </w:rPr>
        <w:t>12</w:t>
      </w:r>
      <w:r>
        <w:t>.</w:t>
      </w:r>
      <w:r>
        <w:rPr>
          <w:b w:val="0"/>
        </w:rPr>
        <w:tab/>
      </w:r>
      <w:r>
        <w:t xml:space="preserve">Geraldton, </w:t>
      </w:r>
      <w:smartTag w:uri="urn:schemas-microsoft-com:office:smarttags" w:element="place">
        <w:smartTag w:uri="urn:schemas-microsoft-com:office:smarttags" w:element="PlaceName">
          <w:r>
            <w:t>Batavia</w:t>
          </w:r>
        </w:smartTag>
        <w:r>
          <w:t xml:space="preserve"> </w:t>
        </w:r>
        <w:smartTag w:uri="urn:schemas-microsoft-com:office:smarttags" w:element="PlaceType">
          <w:r>
            <w:t>Coast</w:t>
          </w:r>
        </w:smartTag>
        <w:r>
          <w:t xml:space="preserve"> </w:t>
        </w:r>
        <w:smartTag w:uri="urn:schemas-microsoft-com:office:smarttags" w:element="PlaceName">
          <w:r>
            <w:t>Boat</w:t>
          </w:r>
        </w:smartTag>
        <w:r>
          <w:t xml:space="preserve"> </w:t>
        </w:r>
        <w:smartTag w:uri="urn:schemas-microsoft-com:office:smarttags" w:element="PlaceType">
          <w:r>
            <w:t>Harbour</w:t>
          </w:r>
        </w:smartTag>
      </w:smartTag>
      <w:bookmarkEnd w:id="153"/>
    </w:p>
    <w:p>
      <w:pPr>
        <w:pStyle w:val="ySubsection"/>
      </w:pPr>
      <w:r>
        <w:tab/>
        <w:t>(1)</w:t>
      </w:r>
      <w:r>
        <w:tab/>
        <w:t xml:space="preserve">This clause applies to the </w:t>
      </w:r>
      <w:smartTag w:uri="urn:schemas-microsoft-com:office:smarttags" w:element="place">
        <w:smartTag w:uri="urn:schemas-microsoft-com:office:smarttags" w:element="PlaceName">
          <w:r>
            <w:t>Batavia</w:t>
          </w:r>
        </w:smartTag>
        <w:r>
          <w:t xml:space="preserve"> </w:t>
        </w:r>
        <w:smartTag w:uri="urn:schemas-microsoft-com:office:smarttags" w:element="PlaceType">
          <w:r>
            <w:t>Coast</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 xml:space="preserve"> at Geraldton.</w:t>
      </w:r>
    </w:p>
    <w:p>
      <w:pPr>
        <w:pStyle w:val="ySubsection"/>
      </w:pPr>
      <w:r>
        <w:tab/>
        <w:t>(2)</w:t>
      </w:r>
      <w:r>
        <w:tab/>
        <w:t>The fees and charges to be paid under regulations 6 and 94A are set out in Table 12.1.</w:t>
      </w:r>
    </w:p>
    <w:p>
      <w:pPr>
        <w:pStyle w:val="ySubsection"/>
      </w:pPr>
      <w:r>
        <w:tab/>
        <w:t>(3)</w:t>
      </w:r>
      <w:r>
        <w:tab/>
        <w:t>In Table 12.1 the chargeable length for a pen is —</w:t>
      </w:r>
    </w:p>
    <w:p>
      <w:pPr>
        <w:pStyle w:val="yIndenta"/>
      </w:pPr>
      <w:r>
        <w:tab/>
        <w:t>(a)</w:t>
      </w:r>
      <w:r>
        <w:tab/>
        <w:t>if the pen is 10 m long, 8 m;</w:t>
      </w:r>
    </w:p>
    <w:p>
      <w:pPr>
        <w:pStyle w:val="yIndenta"/>
      </w:pPr>
      <w:r>
        <w:tab/>
        <w:t>(b)</w:t>
      </w:r>
      <w:r>
        <w:tab/>
        <w:t>if the pen is 12 m long, 9.6 m;</w:t>
      </w:r>
    </w:p>
    <w:p>
      <w:pPr>
        <w:pStyle w:val="yIndenta"/>
      </w:pPr>
      <w:r>
        <w:tab/>
        <w:t>(c)</w:t>
      </w:r>
      <w:r>
        <w:tab/>
        <w:t>if the pen is 15 m long, 12 m;</w:t>
      </w:r>
    </w:p>
    <w:p>
      <w:pPr>
        <w:pStyle w:val="yIndenta"/>
      </w:pPr>
      <w:r>
        <w:tab/>
        <w:t>(d)</w:t>
      </w:r>
      <w:r>
        <w:tab/>
        <w:t>if the pen is 18 m long, 14.4 m;</w:t>
      </w:r>
    </w:p>
    <w:p>
      <w:pPr>
        <w:pStyle w:val="yIndenta"/>
      </w:pPr>
      <w:r>
        <w:tab/>
        <w:t>(e)</w:t>
      </w:r>
      <w:r>
        <w:tab/>
        <w:t>if the pen is 20 m long, 16 m.</w:t>
      </w:r>
    </w:p>
    <w:p>
      <w:pPr>
        <w:pStyle w:val="yTHeadingNAm"/>
      </w:pPr>
      <w:r>
        <w:tab/>
        <w:t>Table 12.1 (Berthing and pen rental)</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252"/>
        <w:gridCol w:w="1134"/>
      </w:tblGrid>
      <w:tr>
        <w:trPr>
          <w:cantSplit/>
          <w:tblHeader/>
        </w:trPr>
        <w:tc>
          <w:tcPr>
            <w:tcW w:w="567" w:type="dxa"/>
            <w:tcBorders>
              <w:top w:val="single" w:sz="4" w:space="0" w:color="auto"/>
              <w:bottom w:val="single" w:sz="4" w:space="0" w:color="auto"/>
            </w:tcBorders>
          </w:tcPr>
          <w:p>
            <w:pPr>
              <w:pStyle w:val="yTableNAm"/>
              <w:rPr>
                <w:b/>
              </w:rPr>
            </w:pPr>
            <w:r>
              <w:rPr>
                <w:b/>
              </w:rPr>
              <w:t>Item</w:t>
            </w:r>
          </w:p>
        </w:tc>
        <w:tc>
          <w:tcPr>
            <w:tcW w:w="4252" w:type="dxa"/>
            <w:tcBorders>
              <w:top w:val="single" w:sz="4" w:space="0" w:color="auto"/>
              <w:bottom w:val="single" w:sz="4" w:space="0" w:color="auto"/>
            </w:tcBorders>
          </w:tcPr>
          <w:p>
            <w:pPr>
              <w:pStyle w:val="yTableNAm"/>
              <w:rPr>
                <w:b/>
              </w:rPr>
            </w:pPr>
            <w:r>
              <w:rPr>
                <w:b/>
              </w:rPr>
              <w:t>Service</w:t>
            </w:r>
          </w:p>
        </w:tc>
        <w:tc>
          <w:tcPr>
            <w:tcW w:w="1134" w:type="dxa"/>
            <w:tcBorders>
              <w:top w:val="single" w:sz="4" w:space="0" w:color="auto"/>
              <w:bottom w:val="single" w:sz="4" w:space="0" w:color="auto"/>
            </w:tcBorders>
          </w:tcPr>
          <w:p>
            <w:pPr>
              <w:pStyle w:val="yTableNAm"/>
              <w:jc w:val="center"/>
              <w:rPr>
                <w:b/>
              </w:rPr>
            </w:pPr>
            <w:r>
              <w:rPr>
                <w:b/>
              </w:rPr>
              <w:t>$</w:t>
            </w:r>
          </w:p>
        </w:tc>
      </w:tr>
      <w:tr>
        <w:trPr>
          <w:cantSplit/>
        </w:trPr>
        <w:tc>
          <w:tcPr>
            <w:tcW w:w="567" w:type="dxa"/>
          </w:tcPr>
          <w:p>
            <w:pPr>
              <w:pStyle w:val="yTableNAm"/>
            </w:pPr>
            <w:r>
              <w:t>1.</w:t>
            </w:r>
          </w:p>
        </w:tc>
        <w:tc>
          <w:tcPr>
            <w:tcW w:w="4252" w:type="dxa"/>
          </w:tcPr>
          <w:p>
            <w:pPr>
              <w:pStyle w:val="yTableNAm"/>
            </w:pPr>
            <w:r>
              <w:t xml:space="preserve">For pen for commercial vessel, per m of the longer of the vessel’s length and the chargeable length for the pen — </w:t>
            </w:r>
          </w:p>
        </w:tc>
        <w:tc>
          <w:tcPr>
            <w:tcW w:w="1134" w:type="dxa"/>
          </w:tcPr>
          <w:p>
            <w:pPr>
              <w:pStyle w:val="yTableNAm"/>
              <w:jc w:val="right"/>
            </w:pPr>
          </w:p>
        </w:tc>
      </w:tr>
      <w:tr>
        <w:trPr>
          <w:cantSplit/>
        </w:trPr>
        <w:tc>
          <w:tcPr>
            <w:tcW w:w="567" w:type="dxa"/>
          </w:tcPr>
          <w:p>
            <w:pPr>
              <w:pStyle w:val="yTableNAm"/>
            </w:pPr>
          </w:p>
        </w:tc>
        <w:tc>
          <w:tcPr>
            <w:tcW w:w="4252" w:type="dxa"/>
          </w:tcPr>
          <w:p>
            <w:pPr>
              <w:pStyle w:val="yTableNAm"/>
              <w:tabs>
                <w:tab w:val="clear" w:pos="567"/>
                <w:tab w:val="left" w:pos="415"/>
              </w:tabs>
              <w:ind w:left="415" w:hanging="415"/>
            </w:pPr>
            <w:r>
              <w:t>•</w:t>
            </w:r>
            <w:r>
              <w:tab/>
              <w:t>for 12 months paid in advance</w:t>
            </w:r>
          </w:p>
        </w:tc>
        <w:tc>
          <w:tcPr>
            <w:tcW w:w="1134" w:type="dxa"/>
          </w:tcPr>
          <w:p>
            <w:pPr>
              <w:pStyle w:val="yTableNAm"/>
              <w:jc w:val="right"/>
            </w:pPr>
            <w:r>
              <w:t>394.00</w:t>
            </w:r>
          </w:p>
        </w:tc>
      </w:tr>
      <w:tr>
        <w:trPr>
          <w:cantSplit/>
        </w:trPr>
        <w:tc>
          <w:tcPr>
            <w:tcW w:w="567" w:type="dxa"/>
          </w:tcPr>
          <w:p>
            <w:pPr>
              <w:pStyle w:val="yTableNAm"/>
            </w:pPr>
          </w:p>
        </w:tc>
        <w:tc>
          <w:tcPr>
            <w:tcW w:w="4252" w:type="dxa"/>
          </w:tcPr>
          <w:p>
            <w:pPr>
              <w:pStyle w:val="yTableNAm"/>
              <w:tabs>
                <w:tab w:val="clear" w:pos="567"/>
                <w:tab w:val="left" w:pos="415"/>
              </w:tabs>
              <w:ind w:left="415" w:hanging="415"/>
            </w:pPr>
            <w:r>
              <w:t>•</w:t>
            </w:r>
            <w:r>
              <w:tab/>
              <w:t>for 3 months or more, per month, paid in advance</w:t>
            </w:r>
          </w:p>
        </w:tc>
        <w:tc>
          <w:tcPr>
            <w:tcW w:w="1134" w:type="dxa"/>
          </w:tcPr>
          <w:p>
            <w:pPr>
              <w:pStyle w:val="yTableNAm"/>
              <w:jc w:val="right"/>
            </w:pPr>
            <w:r>
              <w:br/>
              <w:t>39.41</w:t>
            </w:r>
          </w:p>
        </w:tc>
      </w:tr>
      <w:tr>
        <w:trPr>
          <w:cantSplit/>
        </w:trPr>
        <w:tc>
          <w:tcPr>
            <w:tcW w:w="567" w:type="dxa"/>
          </w:tcPr>
          <w:p>
            <w:pPr>
              <w:pStyle w:val="yTableNAm"/>
            </w:pPr>
          </w:p>
        </w:tc>
        <w:tc>
          <w:tcPr>
            <w:tcW w:w="4252" w:type="dxa"/>
          </w:tcPr>
          <w:p>
            <w:pPr>
              <w:pStyle w:val="yTableNAm"/>
              <w:tabs>
                <w:tab w:val="clear" w:pos="567"/>
                <w:tab w:val="left" w:pos="415"/>
              </w:tabs>
              <w:ind w:left="415" w:hanging="415"/>
            </w:pPr>
            <w:r>
              <w:t>•</w:t>
            </w:r>
            <w:r>
              <w:tab/>
              <w:t>for one month or more, per month, paid in advance</w:t>
            </w:r>
          </w:p>
        </w:tc>
        <w:tc>
          <w:tcPr>
            <w:tcW w:w="1134" w:type="dxa"/>
          </w:tcPr>
          <w:p>
            <w:pPr>
              <w:pStyle w:val="yTableNAm"/>
              <w:jc w:val="right"/>
            </w:pPr>
            <w:r>
              <w:br/>
              <w:t>59.10</w:t>
            </w:r>
          </w:p>
        </w:tc>
      </w:tr>
      <w:tr>
        <w:trPr>
          <w:cantSplit/>
        </w:trPr>
        <w:tc>
          <w:tcPr>
            <w:tcW w:w="567" w:type="dxa"/>
          </w:tcPr>
          <w:p>
            <w:pPr>
              <w:pStyle w:val="yTableNAm"/>
            </w:pPr>
          </w:p>
        </w:tc>
        <w:tc>
          <w:tcPr>
            <w:tcW w:w="4252" w:type="dxa"/>
          </w:tcPr>
          <w:p>
            <w:pPr>
              <w:pStyle w:val="yTableNAm"/>
              <w:tabs>
                <w:tab w:val="clear" w:pos="567"/>
                <w:tab w:val="left" w:pos="415"/>
              </w:tabs>
              <w:ind w:left="415" w:hanging="415"/>
            </w:pPr>
            <w:r>
              <w:t>•</w:t>
            </w:r>
            <w:r>
              <w:tab/>
              <w:t>for one week or more, per week, paid in advance</w:t>
            </w:r>
          </w:p>
        </w:tc>
        <w:tc>
          <w:tcPr>
            <w:tcW w:w="1134" w:type="dxa"/>
          </w:tcPr>
          <w:p>
            <w:pPr>
              <w:pStyle w:val="yTableNAm"/>
              <w:jc w:val="right"/>
            </w:pPr>
            <w:r>
              <w:br/>
              <w:t>37.53</w:t>
            </w:r>
          </w:p>
        </w:tc>
      </w:tr>
      <w:tr>
        <w:trPr>
          <w:cantSplit/>
        </w:trPr>
        <w:tc>
          <w:tcPr>
            <w:tcW w:w="567" w:type="dxa"/>
          </w:tcPr>
          <w:p>
            <w:pPr>
              <w:pStyle w:val="yTableNAm"/>
            </w:pPr>
          </w:p>
        </w:tc>
        <w:tc>
          <w:tcPr>
            <w:tcW w:w="4252" w:type="dxa"/>
          </w:tcPr>
          <w:p>
            <w:pPr>
              <w:pStyle w:val="yTableNAm"/>
              <w:tabs>
                <w:tab w:val="clear" w:pos="567"/>
                <w:tab w:val="left" w:pos="415"/>
              </w:tabs>
              <w:ind w:left="415" w:hanging="415"/>
            </w:pPr>
            <w:r>
              <w:t>•</w:t>
            </w:r>
            <w:r>
              <w:tab/>
              <w:t>for 3 days paid in advance</w:t>
            </w:r>
          </w:p>
        </w:tc>
        <w:tc>
          <w:tcPr>
            <w:tcW w:w="1134" w:type="dxa"/>
          </w:tcPr>
          <w:p>
            <w:pPr>
              <w:pStyle w:val="yTableNAm"/>
              <w:jc w:val="right"/>
            </w:pPr>
            <w:r>
              <w:t>15.01</w:t>
            </w:r>
          </w:p>
        </w:tc>
      </w:tr>
      <w:tr>
        <w:trPr>
          <w:cantSplit/>
        </w:trPr>
        <w:tc>
          <w:tcPr>
            <w:tcW w:w="567" w:type="dxa"/>
          </w:tcPr>
          <w:p>
            <w:pPr>
              <w:pStyle w:val="yTableNAm"/>
            </w:pPr>
          </w:p>
        </w:tc>
        <w:tc>
          <w:tcPr>
            <w:tcW w:w="4252" w:type="dxa"/>
          </w:tcPr>
          <w:p>
            <w:pPr>
              <w:pStyle w:val="yTableNAm"/>
              <w:tabs>
                <w:tab w:val="clear" w:pos="567"/>
                <w:tab w:val="left" w:pos="415"/>
              </w:tabs>
              <w:ind w:left="415" w:hanging="415"/>
            </w:pPr>
            <w:r>
              <w:t>•</w:t>
            </w:r>
            <w:r>
              <w:tab/>
              <w:t>otherwise, per day</w:t>
            </w:r>
          </w:p>
        </w:tc>
        <w:tc>
          <w:tcPr>
            <w:tcW w:w="1134" w:type="dxa"/>
          </w:tcPr>
          <w:p>
            <w:pPr>
              <w:pStyle w:val="yTableNAm"/>
              <w:jc w:val="right"/>
            </w:pPr>
            <w:r>
              <w:t>7.50</w:t>
            </w:r>
          </w:p>
        </w:tc>
      </w:tr>
      <w:tr>
        <w:trPr>
          <w:cantSplit/>
        </w:trPr>
        <w:tc>
          <w:tcPr>
            <w:tcW w:w="567" w:type="dxa"/>
          </w:tcPr>
          <w:p>
            <w:pPr>
              <w:pStyle w:val="yTableNAm"/>
            </w:pPr>
            <w:r>
              <w:t>2.</w:t>
            </w:r>
          </w:p>
        </w:tc>
        <w:tc>
          <w:tcPr>
            <w:tcW w:w="4252" w:type="dxa"/>
          </w:tcPr>
          <w:p>
            <w:pPr>
              <w:pStyle w:val="yTableNAm"/>
            </w:pPr>
            <w:r>
              <w:t xml:space="preserve">For pen for recreational vessel, per m of the longer of the vessel’s length and the chargeable length for the pen — </w:t>
            </w:r>
          </w:p>
        </w:tc>
        <w:tc>
          <w:tcPr>
            <w:tcW w:w="1134" w:type="dxa"/>
          </w:tcPr>
          <w:p>
            <w:pPr>
              <w:pStyle w:val="yTableNAm"/>
              <w:jc w:val="right"/>
            </w:pPr>
          </w:p>
        </w:tc>
      </w:tr>
      <w:tr>
        <w:trPr>
          <w:cantSplit/>
        </w:trPr>
        <w:tc>
          <w:tcPr>
            <w:tcW w:w="567" w:type="dxa"/>
          </w:tcPr>
          <w:p>
            <w:pPr>
              <w:pStyle w:val="yTableNAm"/>
            </w:pPr>
          </w:p>
        </w:tc>
        <w:tc>
          <w:tcPr>
            <w:tcW w:w="4252" w:type="dxa"/>
          </w:tcPr>
          <w:p>
            <w:pPr>
              <w:pStyle w:val="yTableNAm"/>
              <w:tabs>
                <w:tab w:val="clear" w:pos="567"/>
                <w:tab w:val="left" w:pos="415"/>
              </w:tabs>
              <w:ind w:left="415" w:hanging="415"/>
            </w:pPr>
            <w:r>
              <w:t>•</w:t>
            </w:r>
            <w:r>
              <w:tab/>
              <w:t>for 12 months paid in advance</w:t>
            </w:r>
          </w:p>
        </w:tc>
        <w:tc>
          <w:tcPr>
            <w:tcW w:w="1134" w:type="dxa"/>
          </w:tcPr>
          <w:p>
            <w:pPr>
              <w:pStyle w:val="yTableNAm"/>
              <w:jc w:val="right"/>
            </w:pPr>
            <w:r>
              <w:t>394.00</w:t>
            </w:r>
          </w:p>
        </w:tc>
      </w:tr>
      <w:tr>
        <w:trPr>
          <w:cantSplit/>
        </w:trPr>
        <w:tc>
          <w:tcPr>
            <w:tcW w:w="567" w:type="dxa"/>
          </w:tcPr>
          <w:p>
            <w:pPr>
              <w:pStyle w:val="yTableNAm"/>
            </w:pPr>
          </w:p>
        </w:tc>
        <w:tc>
          <w:tcPr>
            <w:tcW w:w="4252" w:type="dxa"/>
          </w:tcPr>
          <w:p>
            <w:pPr>
              <w:pStyle w:val="yTableNAm"/>
              <w:tabs>
                <w:tab w:val="clear" w:pos="567"/>
                <w:tab w:val="left" w:pos="415"/>
              </w:tabs>
              <w:ind w:left="415" w:hanging="415"/>
            </w:pPr>
            <w:r>
              <w:t>•</w:t>
            </w:r>
            <w:r>
              <w:tab/>
              <w:t>for 3 months or more, per month, paid in advance</w:t>
            </w:r>
          </w:p>
        </w:tc>
        <w:tc>
          <w:tcPr>
            <w:tcW w:w="1134" w:type="dxa"/>
          </w:tcPr>
          <w:p>
            <w:pPr>
              <w:pStyle w:val="yTableNAm"/>
              <w:jc w:val="right"/>
            </w:pPr>
            <w:r>
              <w:br/>
              <w:t>39.41</w:t>
            </w:r>
          </w:p>
        </w:tc>
      </w:tr>
      <w:tr>
        <w:trPr>
          <w:cantSplit/>
        </w:trPr>
        <w:tc>
          <w:tcPr>
            <w:tcW w:w="567" w:type="dxa"/>
          </w:tcPr>
          <w:p>
            <w:pPr>
              <w:pStyle w:val="yTableNAm"/>
            </w:pPr>
          </w:p>
        </w:tc>
        <w:tc>
          <w:tcPr>
            <w:tcW w:w="4252" w:type="dxa"/>
          </w:tcPr>
          <w:p>
            <w:pPr>
              <w:pStyle w:val="yTableNAm"/>
              <w:tabs>
                <w:tab w:val="clear" w:pos="567"/>
                <w:tab w:val="left" w:pos="415"/>
              </w:tabs>
              <w:ind w:left="415" w:hanging="415"/>
            </w:pPr>
            <w:r>
              <w:t>•</w:t>
            </w:r>
            <w:r>
              <w:tab/>
              <w:t>for one month or more, per month, paid in advance</w:t>
            </w:r>
          </w:p>
        </w:tc>
        <w:tc>
          <w:tcPr>
            <w:tcW w:w="1134" w:type="dxa"/>
          </w:tcPr>
          <w:p>
            <w:pPr>
              <w:pStyle w:val="yTableNAm"/>
              <w:jc w:val="right"/>
            </w:pPr>
            <w:r>
              <w:br/>
              <w:t>59.10</w:t>
            </w:r>
          </w:p>
        </w:tc>
      </w:tr>
      <w:tr>
        <w:trPr>
          <w:cantSplit/>
        </w:trPr>
        <w:tc>
          <w:tcPr>
            <w:tcW w:w="567" w:type="dxa"/>
          </w:tcPr>
          <w:p>
            <w:pPr>
              <w:pStyle w:val="yTableNAm"/>
            </w:pPr>
          </w:p>
        </w:tc>
        <w:tc>
          <w:tcPr>
            <w:tcW w:w="4252" w:type="dxa"/>
          </w:tcPr>
          <w:p>
            <w:pPr>
              <w:pStyle w:val="yTableNAm"/>
              <w:tabs>
                <w:tab w:val="clear" w:pos="567"/>
                <w:tab w:val="left" w:pos="415"/>
              </w:tabs>
              <w:ind w:left="415" w:hanging="415"/>
            </w:pPr>
            <w:r>
              <w:t>•</w:t>
            </w:r>
            <w:r>
              <w:tab/>
              <w:t>for one week or more, per week, paid in advance</w:t>
            </w:r>
          </w:p>
        </w:tc>
        <w:tc>
          <w:tcPr>
            <w:tcW w:w="1134" w:type="dxa"/>
          </w:tcPr>
          <w:p>
            <w:pPr>
              <w:pStyle w:val="yTableNAm"/>
              <w:jc w:val="right"/>
            </w:pPr>
            <w:r>
              <w:br/>
              <w:t>26.27</w:t>
            </w:r>
          </w:p>
        </w:tc>
      </w:tr>
      <w:tr>
        <w:trPr>
          <w:cantSplit/>
        </w:trPr>
        <w:tc>
          <w:tcPr>
            <w:tcW w:w="567" w:type="dxa"/>
          </w:tcPr>
          <w:p>
            <w:pPr>
              <w:pStyle w:val="yTableNAm"/>
            </w:pPr>
          </w:p>
        </w:tc>
        <w:tc>
          <w:tcPr>
            <w:tcW w:w="4252" w:type="dxa"/>
          </w:tcPr>
          <w:p>
            <w:pPr>
              <w:pStyle w:val="yTableNAm"/>
              <w:tabs>
                <w:tab w:val="clear" w:pos="567"/>
                <w:tab w:val="left" w:pos="415"/>
              </w:tabs>
              <w:ind w:left="415" w:hanging="415"/>
            </w:pPr>
            <w:r>
              <w:t>•</w:t>
            </w:r>
            <w:r>
              <w:tab/>
              <w:t>for 3 days paid in advance</w:t>
            </w:r>
          </w:p>
        </w:tc>
        <w:tc>
          <w:tcPr>
            <w:tcW w:w="1134" w:type="dxa"/>
          </w:tcPr>
          <w:p>
            <w:pPr>
              <w:pStyle w:val="yTableNAm"/>
              <w:jc w:val="right"/>
            </w:pPr>
            <w:r>
              <w:t>10.51</w:t>
            </w:r>
          </w:p>
        </w:tc>
      </w:tr>
      <w:tr>
        <w:trPr>
          <w:cantSplit/>
        </w:trPr>
        <w:tc>
          <w:tcPr>
            <w:tcW w:w="567" w:type="dxa"/>
          </w:tcPr>
          <w:p>
            <w:pPr>
              <w:pStyle w:val="yTableNAm"/>
            </w:pPr>
          </w:p>
        </w:tc>
        <w:tc>
          <w:tcPr>
            <w:tcW w:w="4252" w:type="dxa"/>
          </w:tcPr>
          <w:p>
            <w:pPr>
              <w:pStyle w:val="yTableNAm"/>
              <w:tabs>
                <w:tab w:val="clear" w:pos="567"/>
                <w:tab w:val="left" w:pos="415"/>
              </w:tabs>
              <w:ind w:left="415" w:hanging="415"/>
            </w:pPr>
            <w:r>
              <w:t>•</w:t>
            </w:r>
            <w:r>
              <w:tab/>
              <w:t>otherwise, per day</w:t>
            </w:r>
          </w:p>
        </w:tc>
        <w:tc>
          <w:tcPr>
            <w:tcW w:w="1134" w:type="dxa"/>
          </w:tcPr>
          <w:p>
            <w:pPr>
              <w:pStyle w:val="yTableNAm"/>
              <w:jc w:val="right"/>
            </w:pPr>
            <w:r>
              <w:t>5.27</w:t>
            </w:r>
          </w:p>
        </w:tc>
      </w:tr>
      <w:tr>
        <w:trPr>
          <w:cantSplit/>
        </w:trPr>
        <w:tc>
          <w:tcPr>
            <w:tcW w:w="567" w:type="dxa"/>
          </w:tcPr>
          <w:p>
            <w:pPr>
              <w:pStyle w:val="yTableNAm"/>
            </w:pPr>
            <w:r>
              <w:t>3.</w:t>
            </w:r>
          </w:p>
        </w:tc>
        <w:tc>
          <w:tcPr>
            <w:tcW w:w="4252" w:type="dxa"/>
          </w:tcPr>
          <w:p>
            <w:pPr>
              <w:pStyle w:val="yTableNAm"/>
            </w:pPr>
            <w:r>
              <w:t>For living on board a vessel, per vessel, per month</w:t>
            </w:r>
          </w:p>
        </w:tc>
        <w:tc>
          <w:tcPr>
            <w:tcW w:w="1134" w:type="dxa"/>
          </w:tcPr>
          <w:p>
            <w:pPr>
              <w:pStyle w:val="yTableNAm"/>
              <w:jc w:val="right"/>
            </w:pPr>
            <w:r>
              <w:br/>
              <w:t>130.69</w:t>
            </w:r>
          </w:p>
        </w:tc>
      </w:tr>
      <w:tr>
        <w:trPr>
          <w:cantSplit/>
        </w:trPr>
        <w:tc>
          <w:tcPr>
            <w:tcW w:w="567" w:type="dxa"/>
          </w:tcPr>
          <w:p>
            <w:pPr>
              <w:pStyle w:val="yTableNAm"/>
            </w:pPr>
            <w:r>
              <w:t>4.</w:t>
            </w:r>
          </w:p>
        </w:tc>
        <w:tc>
          <w:tcPr>
            <w:tcW w:w="4252" w:type="dxa"/>
          </w:tcPr>
          <w:p>
            <w:pPr>
              <w:pStyle w:val="yTableNAm"/>
            </w:pPr>
            <w:r>
              <w:t>For use of service jetty for short time just to load or unload vessel, unless the item 1 or 2 fee has been paid for the vessel —</w:t>
            </w:r>
          </w:p>
        </w:tc>
        <w:tc>
          <w:tcPr>
            <w:tcW w:w="1134" w:type="dxa"/>
          </w:tcPr>
          <w:p>
            <w:pPr>
              <w:pStyle w:val="yTableNAm"/>
              <w:jc w:val="right"/>
            </w:pPr>
          </w:p>
        </w:tc>
      </w:tr>
      <w:tr>
        <w:trPr>
          <w:cantSplit/>
        </w:trPr>
        <w:tc>
          <w:tcPr>
            <w:tcW w:w="567" w:type="dxa"/>
          </w:tcPr>
          <w:p>
            <w:pPr>
              <w:pStyle w:val="yTableNAm"/>
            </w:pPr>
          </w:p>
        </w:tc>
        <w:tc>
          <w:tcPr>
            <w:tcW w:w="4252" w:type="dxa"/>
          </w:tcPr>
          <w:p>
            <w:pPr>
              <w:pStyle w:val="yTableNAm"/>
              <w:tabs>
                <w:tab w:val="clear" w:pos="567"/>
                <w:tab w:val="left" w:pos="415"/>
              </w:tabs>
              <w:ind w:left="415" w:hanging="415"/>
            </w:pPr>
            <w:r>
              <w:t>•</w:t>
            </w:r>
            <w:r>
              <w:tab/>
              <w:t>for 12 months, per vessel paid in advance</w:t>
            </w:r>
          </w:p>
        </w:tc>
        <w:tc>
          <w:tcPr>
            <w:tcW w:w="1134" w:type="dxa"/>
          </w:tcPr>
          <w:p>
            <w:pPr>
              <w:pStyle w:val="yTableNAm"/>
              <w:jc w:val="right"/>
            </w:pPr>
            <w:r>
              <w:t>1 126.12</w:t>
            </w:r>
          </w:p>
        </w:tc>
      </w:tr>
      <w:tr>
        <w:trPr>
          <w:cantSplit/>
        </w:trPr>
        <w:tc>
          <w:tcPr>
            <w:tcW w:w="567" w:type="dxa"/>
          </w:tcPr>
          <w:p>
            <w:pPr>
              <w:pStyle w:val="yTableNAm"/>
            </w:pPr>
          </w:p>
        </w:tc>
        <w:tc>
          <w:tcPr>
            <w:tcW w:w="4252" w:type="dxa"/>
          </w:tcPr>
          <w:p>
            <w:pPr>
              <w:pStyle w:val="yTableNAm"/>
              <w:tabs>
                <w:tab w:val="clear" w:pos="567"/>
                <w:tab w:val="left" w:pos="415"/>
              </w:tabs>
              <w:ind w:left="415" w:hanging="415"/>
            </w:pPr>
            <w:r>
              <w:t>•</w:t>
            </w:r>
            <w:r>
              <w:tab/>
              <w:t>per m of the vessel’s length, per day</w:t>
            </w:r>
          </w:p>
        </w:tc>
        <w:tc>
          <w:tcPr>
            <w:tcW w:w="1134" w:type="dxa"/>
          </w:tcPr>
          <w:p>
            <w:pPr>
              <w:pStyle w:val="yTableNAm"/>
              <w:jc w:val="right"/>
            </w:pPr>
            <w:r>
              <w:t>3.75</w:t>
            </w:r>
          </w:p>
        </w:tc>
      </w:tr>
      <w:tr>
        <w:trPr>
          <w:cantSplit/>
        </w:trPr>
        <w:tc>
          <w:tcPr>
            <w:tcW w:w="567" w:type="dxa"/>
          </w:tcPr>
          <w:p>
            <w:pPr>
              <w:pStyle w:val="yTableNAm"/>
            </w:pPr>
            <w:r>
              <w:t>5.</w:t>
            </w:r>
          </w:p>
        </w:tc>
        <w:tc>
          <w:tcPr>
            <w:tcW w:w="4252" w:type="dxa"/>
          </w:tcPr>
          <w:p>
            <w:pPr>
              <w:pStyle w:val="yTableNAm"/>
            </w:pPr>
            <w:r>
              <w:t>For use of pen, berth or service jetty by cruise liner transfer vessel to load or unload passengers —</w:t>
            </w:r>
          </w:p>
        </w:tc>
        <w:tc>
          <w:tcPr>
            <w:tcW w:w="1134" w:type="dxa"/>
          </w:tcPr>
          <w:p>
            <w:pPr>
              <w:pStyle w:val="yTableNAm"/>
              <w:jc w:val="right"/>
            </w:pPr>
          </w:p>
        </w:tc>
      </w:tr>
      <w:tr>
        <w:trPr>
          <w:cantSplit/>
        </w:trPr>
        <w:tc>
          <w:tcPr>
            <w:tcW w:w="567" w:type="dxa"/>
          </w:tcPr>
          <w:p>
            <w:pPr>
              <w:pStyle w:val="yTableNAm"/>
            </w:pPr>
          </w:p>
        </w:tc>
        <w:tc>
          <w:tcPr>
            <w:tcW w:w="4252" w:type="dxa"/>
          </w:tcPr>
          <w:p>
            <w:pPr>
              <w:pStyle w:val="yTableNAm"/>
              <w:tabs>
                <w:tab w:val="clear" w:pos="567"/>
                <w:tab w:val="left" w:pos="415"/>
              </w:tabs>
              <w:ind w:left="415" w:hanging="415"/>
            </w:pPr>
            <w:r>
              <w:t>•</w:t>
            </w:r>
            <w:r>
              <w:tab/>
              <w:t>per m of the vessel’s length, per day</w:t>
            </w:r>
          </w:p>
        </w:tc>
        <w:tc>
          <w:tcPr>
            <w:tcW w:w="1134" w:type="dxa"/>
          </w:tcPr>
          <w:p>
            <w:pPr>
              <w:pStyle w:val="yTableNAm"/>
              <w:jc w:val="right"/>
            </w:pPr>
            <w:r>
              <w:t>9.45</w:t>
            </w:r>
          </w:p>
        </w:tc>
      </w:tr>
      <w:tr>
        <w:trPr>
          <w:cantSplit/>
        </w:trPr>
        <w:tc>
          <w:tcPr>
            <w:tcW w:w="567" w:type="dxa"/>
          </w:tcPr>
          <w:p>
            <w:pPr>
              <w:pStyle w:val="yTableNAm"/>
            </w:pPr>
          </w:p>
        </w:tc>
        <w:tc>
          <w:tcPr>
            <w:tcW w:w="4252" w:type="dxa"/>
          </w:tcPr>
          <w:p>
            <w:pPr>
              <w:pStyle w:val="yTableNAm"/>
              <w:tabs>
                <w:tab w:val="clear" w:pos="567"/>
                <w:tab w:val="left" w:pos="415"/>
              </w:tabs>
              <w:ind w:left="415" w:hanging="415"/>
            </w:pPr>
            <w:r>
              <w:t>•</w:t>
            </w:r>
            <w:r>
              <w:tab/>
              <w:t>plus, per passenger</w:t>
            </w:r>
          </w:p>
        </w:tc>
        <w:tc>
          <w:tcPr>
            <w:tcW w:w="1134" w:type="dxa"/>
          </w:tcPr>
          <w:p>
            <w:pPr>
              <w:pStyle w:val="yTableNAm"/>
              <w:jc w:val="right"/>
            </w:pPr>
            <w:r>
              <w:t>4.04</w:t>
            </w:r>
          </w:p>
        </w:tc>
      </w:tr>
      <w:tr>
        <w:trPr>
          <w:cantSplit/>
        </w:trPr>
        <w:tc>
          <w:tcPr>
            <w:tcW w:w="567" w:type="dxa"/>
          </w:tcPr>
          <w:p>
            <w:pPr>
              <w:pStyle w:val="yTableNAm"/>
            </w:pPr>
            <w:r>
              <w:t>6.</w:t>
            </w:r>
          </w:p>
        </w:tc>
        <w:tc>
          <w:tcPr>
            <w:tcW w:w="4252" w:type="dxa"/>
          </w:tcPr>
          <w:p>
            <w:pPr>
              <w:pStyle w:val="yTableNAm"/>
            </w:pPr>
            <w:r>
              <w:t>For use of pen at Jetty B for commercial or recreational vessel for 12 months, per vessel paid in advance</w:t>
            </w:r>
          </w:p>
        </w:tc>
        <w:tc>
          <w:tcPr>
            <w:tcW w:w="1134" w:type="dxa"/>
          </w:tcPr>
          <w:p>
            <w:pPr>
              <w:pStyle w:val="yTableNAm"/>
              <w:jc w:val="right"/>
            </w:pPr>
          </w:p>
        </w:tc>
      </w:tr>
      <w:tr>
        <w:trPr>
          <w:cantSplit/>
        </w:trPr>
        <w:tc>
          <w:tcPr>
            <w:tcW w:w="567" w:type="dxa"/>
          </w:tcPr>
          <w:p>
            <w:pPr>
              <w:pStyle w:val="yTableNAm"/>
            </w:pPr>
          </w:p>
        </w:tc>
        <w:tc>
          <w:tcPr>
            <w:tcW w:w="4252" w:type="dxa"/>
          </w:tcPr>
          <w:p>
            <w:pPr>
              <w:pStyle w:val="yTableNAm"/>
              <w:tabs>
                <w:tab w:val="clear" w:pos="567"/>
                <w:tab w:val="left" w:pos="415"/>
              </w:tabs>
              <w:ind w:left="415" w:hanging="415"/>
            </w:pPr>
            <w:r>
              <w:t>•</w:t>
            </w:r>
            <w:r>
              <w:tab/>
              <w:t>for 12 m pen</w:t>
            </w:r>
          </w:p>
        </w:tc>
        <w:tc>
          <w:tcPr>
            <w:tcW w:w="1134" w:type="dxa"/>
          </w:tcPr>
          <w:p>
            <w:pPr>
              <w:pStyle w:val="yTableNAm"/>
              <w:jc w:val="right"/>
            </w:pPr>
            <w:r>
              <w:t>6 171.66</w:t>
            </w:r>
          </w:p>
        </w:tc>
      </w:tr>
      <w:tr>
        <w:trPr>
          <w:cantSplit/>
        </w:trPr>
        <w:tc>
          <w:tcPr>
            <w:tcW w:w="567" w:type="dxa"/>
          </w:tcPr>
          <w:p>
            <w:pPr>
              <w:pStyle w:val="yTableNAm"/>
            </w:pPr>
          </w:p>
        </w:tc>
        <w:tc>
          <w:tcPr>
            <w:tcW w:w="4252" w:type="dxa"/>
          </w:tcPr>
          <w:p>
            <w:pPr>
              <w:pStyle w:val="yTableNAm"/>
              <w:tabs>
                <w:tab w:val="clear" w:pos="567"/>
                <w:tab w:val="left" w:pos="415"/>
              </w:tabs>
              <w:ind w:left="415" w:hanging="415"/>
            </w:pPr>
            <w:r>
              <w:t>•</w:t>
            </w:r>
            <w:r>
              <w:tab/>
              <w:t>for 15 m pen</w:t>
            </w:r>
          </w:p>
        </w:tc>
        <w:tc>
          <w:tcPr>
            <w:tcW w:w="1134" w:type="dxa"/>
          </w:tcPr>
          <w:p>
            <w:pPr>
              <w:pStyle w:val="yTableNAm"/>
              <w:jc w:val="right"/>
            </w:pPr>
            <w:r>
              <w:t>7 714.58</w:t>
            </w:r>
          </w:p>
        </w:tc>
      </w:tr>
      <w:tr>
        <w:trPr>
          <w:cantSplit/>
        </w:trPr>
        <w:tc>
          <w:tcPr>
            <w:tcW w:w="567" w:type="dxa"/>
          </w:tcPr>
          <w:p>
            <w:pPr>
              <w:pStyle w:val="yTableNAm"/>
            </w:pPr>
          </w:p>
        </w:tc>
        <w:tc>
          <w:tcPr>
            <w:tcW w:w="4252" w:type="dxa"/>
          </w:tcPr>
          <w:p>
            <w:pPr>
              <w:pStyle w:val="yTableNAm"/>
              <w:tabs>
                <w:tab w:val="clear" w:pos="567"/>
                <w:tab w:val="left" w:pos="415"/>
              </w:tabs>
              <w:ind w:left="415" w:hanging="415"/>
            </w:pPr>
            <w:r>
              <w:t>•</w:t>
            </w:r>
            <w:r>
              <w:tab/>
              <w:t>for 18 m pen</w:t>
            </w:r>
          </w:p>
        </w:tc>
        <w:tc>
          <w:tcPr>
            <w:tcW w:w="1134" w:type="dxa"/>
          </w:tcPr>
          <w:p>
            <w:pPr>
              <w:pStyle w:val="yTableNAm"/>
              <w:jc w:val="right"/>
            </w:pPr>
            <w:r>
              <w:t>9 257.49</w:t>
            </w:r>
          </w:p>
        </w:tc>
      </w:tr>
      <w:tr>
        <w:trPr>
          <w:cantSplit/>
        </w:trPr>
        <w:tc>
          <w:tcPr>
            <w:tcW w:w="567" w:type="dxa"/>
          </w:tcPr>
          <w:p>
            <w:pPr>
              <w:pStyle w:val="yTableNAm"/>
            </w:pPr>
          </w:p>
        </w:tc>
        <w:tc>
          <w:tcPr>
            <w:tcW w:w="4252" w:type="dxa"/>
          </w:tcPr>
          <w:p>
            <w:pPr>
              <w:pStyle w:val="yTableNAm"/>
              <w:tabs>
                <w:tab w:val="clear" w:pos="567"/>
                <w:tab w:val="left" w:pos="415"/>
              </w:tabs>
              <w:ind w:left="415" w:hanging="415"/>
            </w:pPr>
            <w:r>
              <w:t>•</w:t>
            </w:r>
            <w:r>
              <w:tab/>
              <w:t>for 20 m pen</w:t>
            </w:r>
          </w:p>
        </w:tc>
        <w:tc>
          <w:tcPr>
            <w:tcW w:w="1134" w:type="dxa"/>
          </w:tcPr>
          <w:p>
            <w:pPr>
              <w:pStyle w:val="yTableNAm"/>
              <w:jc w:val="right"/>
            </w:pPr>
            <w:r>
              <w:t>10 286.10</w:t>
            </w:r>
          </w:p>
        </w:tc>
      </w:tr>
      <w:tr>
        <w:trPr>
          <w:cantSplit/>
        </w:trPr>
        <w:tc>
          <w:tcPr>
            <w:tcW w:w="567" w:type="dxa"/>
          </w:tcPr>
          <w:p>
            <w:pPr>
              <w:pStyle w:val="yTableNAm"/>
            </w:pPr>
          </w:p>
        </w:tc>
        <w:tc>
          <w:tcPr>
            <w:tcW w:w="4252" w:type="dxa"/>
          </w:tcPr>
          <w:p>
            <w:pPr>
              <w:pStyle w:val="yTableNAm"/>
              <w:tabs>
                <w:tab w:val="clear" w:pos="567"/>
                <w:tab w:val="left" w:pos="415"/>
              </w:tabs>
              <w:ind w:left="415" w:hanging="415"/>
            </w:pPr>
            <w:r>
              <w:t>•</w:t>
            </w:r>
            <w:r>
              <w:tab/>
              <w:t>for 22 m pen</w:t>
            </w:r>
          </w:p>
        </w:tc>
        <w:tc>
          <w:tcPr>
            <w:tcW w:w="1134" w:type="dxa"/>
          </w:tcPr>
          <w:p>
            <w:pPr>
              <w:pStyle w:val="yTableNAm"/>
              <w:jc w:val="right"/>
            </w:pPr>
            <w:r>
              <w:t>11 314.71</w:t>
            </w:r>
          </w:p>
        </w:tc>
      </w:tr>
      <w:tr>
        <w:trPr>
          <w:cantSplit/>
        </w:trPr>
        <w:tc>
          <w:tcPr>
            <w:tcW w:w="567" w:type="dxa"/>
          </w:tcPr>
          <w:p>
            <w:pPr>
              <w:pStyle w:val="yTableNAm"/>
            </w:pPr>
            <w:r>
              <w:t>7.</w:t>
            </w:r>
          </w:p>
        </w:tc>
        <w:tc>
          <w:tcPr>
            <w:tcW w:w="4252" w:type="dxa"/>
          </w:tcPr>
          <w:p>
            <w:pPr>
              <w:pStyle w:val="yTableNAm"/>
            </w:pPr>
            <w:r>
              <w:t>For use of pen at Jetty B for commercial or recreational vessel for 3 months or more, per vessel, per month, paid in advance</w:t>
            </w:r>
          </w:p>
        </w:tc>
        <w:tc>
          <w:tcPr>
            <w:tcW w:w="1134" w:type="dxa"/>
          </w:tcPr>
          <w:p>
            <w:pPr>
              <w:pStyle w:val="yTableNAm"/>
              <w:jc w:val="right"/>
            </w:pPr>
          </w:p>
        </w:tc>
      </w:tr>
      <w:tr>
        <w:trPr>
          <w:cantSplit/>
        </w:trPr>
        <w:tc>
          <w:tcPr>
            <w:tcW w:w="567" w:type="dxa"/>
          </w:tcPr>
          <w:p>
            <w:pPr>
              <w:pStyle w:val="yTableNAm"/>
            </w:pPr>
          </w:p>
        </w:tc>
        <w:tc>
          <w:tcPr>
            <w:tcW w:w="4252" w:type="dxa"/>
          </w:tcPr>
          <w:p>
            <w:pPr>
              <w:pStyle w:val="yTableNAm"/>
              <w:tabs>
                <w:tab w:val="clear" w:pos="567"/>
                <w:tab w:val="left" w:pos="415"/>
              </w:tabs>
              <w:ind w:left="415" w:hanging="415"/>
            </w:pPr>
            <w:r>
              <w:t>•</w:t>
            </w:r>
            <w:r>
              <w:tab/>
              <w:t>for 12 m pen</w:t>
            </w:r>
          </w:p>
        </w:tc>
        <w:tc>
          <w:tcPr>
            <w:tcW w:w="1134" w:type="dxa"/>
          </w:tcPr>
          <w:p>
            <w:pPr>
              <w:pStyle w:val="yTableNAm"/>
              <w:jc w:val="right"/>
            </w:pPr>
            <w:r>
              <w:t>617.17</w:t>
            </w:r>
          </w:p>
        </w:tc>
      </w:tr>
      <w:tr>
        <w:trPr>
          <w:cantSplit/>
        </w:trPr>
        <w:tc>
          <w:tcPr>
            <w:tcW w:w="567" w:type="dxa"/>
          </w:tcPr>
          <w:p>
            <w:pPr>
              <w:pStyle w:val="yTableNAm"/>
            </w:pPr>
          </w:p>
        </w:tc>
        <w:tc>
          <w:tcPr>
            <w:tcW w:w="4252" w:type="dxa"/>
          </w:tcPr>
          <w:p>
            <w:pPr>
              <w:pStyle w:val="yTableNAm"/>
              <w:tabs>
                <w:tab w:val="clear" w:pos="567"/>
                <w:tab w:val="left" w:pos="415"/>
              </w:tabs>
              <w:ind w:left="415" w:hanging="415"/>
            </w:pPr>
            <w:r>
              <w:t>•</w:t>
            </w:r>
            <w:r>
              <w:tab/>
              <w:t>for 15 m pen</w:t>
            </w:r>
          </w:p>
        </w:tc>
        <w:tc>
          <w:tcPr>
            <w:tcW w:w="1134" w:type="dxa"/>
          </w:tcPr>
          <w:p>
            <w:pPr>
              <w:pStyle w:val="yTableNAm"/>
              <w:jc w:val="right"/>
            </w:pPr>
            <w:r>
              <w:t>771.46</w:t>
            </w:r>
          </w:p>
        </w:tc>
      </w:tr>
      <w:tr>
        <w:trPr>
          <w:cantSplit/>
        </w:trPr>
        <w:tc>
          <w:tcPr>
            <w:tcW w:w="567" w:type="dxa"/>
          </w:tcPr>
          <w:p>
            <w:pPr>
              <w:pStyle w:val="yTableNAm"/>
            </w:pPr>
          </w:p>
        </w:tc>
        <w:tc>
          <w:tcPr>
            <w:tcW w:w="4252" w:type="dxa"/>
          </w:tcPr>
          <w:p>
            <w:pPr>
              <w:pStyle w:val="yTableNAm"/>
              <w:tabs>
                <w:tab w:val="clear" w:pos="567"/>
                <w:tab w:val="left" w:pos="415"/>
              </w:tabs>
              <w:ind w:left="415" w:hanging="415"/>
            </w:pPr>
            <w:r>
              <w:t>•</w:t>
            </w:r>
            <w:r>
              <w:tab/>
              <w:t>for 18 m pen</w:t>
            </w:r>
          </w:p>
        </w:tc>
        <w:tc>
          <w:tcPr>
            <w:tcW w:w="1134" w:type="dxa"/>
          </w:tcPr>
          <w:p>
            <w:pPr>
              <w:pStyle w:val="yTableNAm"/>
              <w:jc w:val="right"/>
            </w:pPr>
            <w:r>
              <w:t>925.75</w:t>
            </w:r>
          </w:p>
        </w:tc>
      </w:tr>
      <w:tr>
        <w:trPr>
          <w:cantSplit/>
        </w:trPr>
        <w:tc>
          <w:tcPr>
            <w:tcW w:w="567" w:type="dxa"/>
          </w:tcPr>
          <w:p>
            <w:pPr>
              <w:pStyle w:val="yTableNAm"/>
            </w:pPr>
          </w:p>
        </w:tc>
        <w:tc>
          <w:tcPr>
            <w:tcW w:w="4252" w:type="dxa"/>
          </w:tcPr>
          <w:p>
            <w:pPr>
              <w:pStyle w:val="yTableNAm"/>
              <w:tabs>
                <w:tab w:val="clear" w:pos="567"/>
                <w:tab w:val="left" w:pos="415"/>
              </w:tabs>
              <w:ind w:left="415" w:hanging="415"/>
            </w:pPr>
            <w:r>
              <w:t>•</w:t>
            </w:r>
            <w:r>
              <w:tab/>
              <w:t>for 20 m pen</w:t>
            </w:r>
          </w:p>
        </w:tc>
        <w:tc>
          <w:tcPr>
            <w:tcW w:w="1134" w:type="dxa"/>
          </w:tcPr>
          <w:p>
            <w:pPr>
              <w:pStyle w:val="yTableNAm"/>
              <w:jc w:val="right"/>
            </w:pPr>
            <w:r>
              <w:t>1 028.61</w:t>
            </w:r>
          </w:p>
        </w:tc>
      </w:tr>
      <w:tr>
        <w:trPr>
          <w:cantSplit/>
        </w:trPr>
        <w:tc>
          <w:tcPr>
            <w:tcW w:w="567" w:type="dxa"/>
          </w:tcPr>
          <w:p>
            <w:pPr>
              <w:pStyle w:val="yTableNAm"/>
            </w:pPr>
          </w:p>
        </w:tc>
        <w:tc>
          <w:tcPr>
            <w:tcW w:w="4252" w:type="dxa"/>
          </w:tcPr>
          <w:p>
            <w:pPr>
              <w:pStyle w:val="yTableNAm"/>
              <w:tabs>
                <w:tab w:val="clear" w:pos="567"/>
                <w:tab w:val="left" w:pos="415"/>
              </w:tabs>
              <w:ind w:left="415" w:hanging="415"/>
            </w:pPr>
            <w:r>
              <w:t>•</w:t>
            </w:r>
            <w:r>
              <w:tab/>
              <w:t>for 22 m pen</w:t>
            </w:r>
          </w:p>
        </w:tc>
        <w:tc>
          <w:tcPr>
            <w:tcW w:w="1134" w:type="dxa"/>
          </w:tcPr>
          <w:p>
            <w:pPr>
              <w:pStyle w:val="yTableNAm"/>
              <w:jc w:val="right"/>
            </w:pPr>
            <w:r>
              <w:t>1 131.47</w:t>
            </w:r>
          </w:p>
        </w:tc>
      </w:tr>
      <w:tr>
        <w:trPr>
          <w:cantSplit/>
        </w:trPr>
        <w:tc>
          <w:tcPr>
            <w:tcW w:w="567" w:type="dxa"/>
          </w:tcPr>
          <w:p>
            <w:pPr>
              <w:pStyle w:val="yTableNAm"/>
            </w:pPr>
            <w:r>
              <w:t>8.</w:t>
            </w:r>
          </w:p>
        </w:tc>
        <w:tc>
          <w:tcPr>
            <w:tcW w:w="4252" w:type="dxa"/>
          </w:tcPr>
          <w:p>
            <w:pPr>
              <w:pStyle w:val="yTableNAm"/>
            </w:pPr>
            <w:r>
              <w:t>For use of pen at Jetty B for commercial or recreational vessel for one month or more, per vessel, per month, paid in advance</w:t>
            </w:r>
          </w:p>
        </w:tc>
        <w:tc>
          <w:tcPr>
            <w:tcW w:w="1134" w:type="dxa"/>
          </w:tcPr>
          <w:p>
            <w:pPr>
              <w:pStyle w:val="yTableNAm"/>
              <w:jc w:val="right"/>
            </w:pPr>
          </w:p>
        </w:tc>
      </w:tr>
      <w:tr>
        <w:trPr>
          <w:cantSplit/>
        </w:trPr>
        <w:tc>
          <w:tcPr>
            <w:tcW w:w="567" w:type="dxa"/>
          </w:tcPr>
          <w:p>
            <w:pPr>
              <w:pStyle w:val="yTableNAm"/>
            </w:pPr>
          </w:p>
        </w:tc>
        <w:tc>
          <w:tcPr>
            <w:tcW w:w="4252" w:type="dxa"/>
          </w:tcPr>
          <w:p>
            <w:pPr>
              <w:pStyle w:val="yTableNAm"/>
              <w:tabs>
                <w:tab w:val="clear" w:pos="567"/>
                <w:tab w:val="left" w:pos="415"/>
              </w:tabs>
              <w:ind w:left="415" w:hanging="415"/>
            </w:pPr>
            <w:r>
              <w:t>•</w:t>
            </w:r>
            <w:r>
              <w:tab/>
              <w:t>for 12 m pen</w:t>
            </w:r>
          </w:p>
        </w:tc>
        <w:tc>
          <w:tcPr>
            <w:tcW w:w="1134" w:type="dxa"/>
          </w:tcPr>
          <w:p>
            <w:pPr>
              <w:pStyle w:val="yTableNAm"/>
              <w:jc w:val="right"/>
            </w:pPr>
            <w:r>
              <w:t>925.75</w:t>
            </w:r>
          </w:p>
        </w:tc>
      </w:tr>
      <w:tr>
        <w:trPr>
          <w:cantSplit/>
        </w:trPr>
        <w:tc>
          <w:tcPr>
            <w:tcW w:w="567" w:type="dxa"/>
          </w:tcPr>
          <w:p>
            <w:pPr>
              <w:pStyle w:val="yTableNAm"/>
            </w:pPr>
          </w:p>
        </w:tc>
        <w:tc>
          <w:tcPr>
            <w:tcW w:w="4252" w:type="dxa"/>
          </w:tcPr>
          <w:p>
            <w:pPr>
              <w:pStyle w:val="yTableNAm"/>
              <w:tabs>
                <w:tab w:val="clear" w:pos="567"/>
                <w:tab w:val="left" w:pos="415"/>
              </w:tabs>
              <w:ind w:left="415" w:hanging="415"/>
            </w:pPr>
            <w:r>
              <w:t>•</w:t>
            </w:r>
            <w:r>
              <w:tab/>
              <w:t>for 15 m pen</w:t>
            </w:r>
          </w:p>
        </w:tc>
        <w:tc>
          <w:tcPr>
            <w:tcW w:w="1134" w:type="dxa"/>
          </w:tcPr>
          <w:p>
            <w:pPr>
              <w:pStyle w:val="yTableNAm"/>
              <w:jc w:val="right"/>
            </w:pPr>
            <w:r>
              <w:t>1 157.19</w:t>
            </w:r>
          </w:p>
        </w:tc>
      </w:tr>
      <w:tr>
        <w:trPr>
          <w:cantSplit/>
        </w:trPr>
        <w:tc>
          <w:tcPr>
            <w:tcW w:w="567" w:type="dxa"/>
          </w:tcPr>
          <w:p>
            <w:pPr>
              <w:pStyle w:val="yTableNAm"/>
            </w:pPr>
          </w:p>
        </w:tc>
        <w:tc>
          <w:tcPr>
            <w:tcW w:w="4252" w:type="dxa"/>
          </w:tcPr>
          <w:p>
            <w:pPr>
              <w:pStyle w:val="yTableNAm"/>
              <w:tabs>
                <w:tab w:val="clear" w:pos="567"/>
                <w:tab w:val="left" w:pos="415"/>
              </w:tabs>
              <w:ind w:left="415" w:hanging="415"/>
            </w:pPr>
            <w:r>
              <w:t>•</w:t>
            </w:r>
            <w:r>
              <w:tab/>
              <w:t>for 18 m pen</w:t>
            </w:r>
          </w:p>
        </w:tc>
        <w:tc>
          <w:tcPr>
            <w:tcW w:w="1134" w:type="dxa"/>
          </w:tcPr>
          <w:p>
            <w:pPr>
              <w:pStyle w:val="yTableNAm"/>
              <w:jc w:val="right"/>
            </w:pPr>
            <w:r>
              <w:t>1 388.62</w:t>
            </w:r>
          </w:p>
        </w:tc>
      </w:tr>
      <w:tr>
        <w:trPr>
          <w:cantSplit/>
        </w:trPr>
        <w:tc>
          <w:tcPr>
            <w:tcW w:w="567" w:type="dxa"/>
          </w:tcPr>
          <w:p>
            <w:pPr>
              <w:pStyle w:val="yTableNAm"/>
            </w:pPr>
          </w:p>
        </w:tc>
        <w:tc>
          <w:tcPr>
            <w:tcW w:w="4252" w:type="dxa"/>
          </w:tcPr>
          <w:p>
            <w:pPr>
              <w:pStyle w:val="yTableNAm"/>
              <w:tabs>
                <w:tab w:val="clear" w:pos="567"/>
                <w:tab w:val="left" w:pos="415"/>
              </w:tabs>
              <w:ind w:left="415" w:hanging="415"/>
            </w:pPr>
            <w:r>
              <w:t>•</w:t>
            </w:r>
            <w:r>
              <w:tab/>
              <w:t>for 20 m pen</w:t>
            </w:r>
          </w:p>
        </w:tc>
        <w:tc>
          <w:tcPr>
            <w:tcW w:w="1134" w:type="dxa"/>
          </w:tcPr>
          <w:p>
            <w:pPr>
              <w:pStyle w:val="yTableNAm"/>
              <w:jc w:val="right"/>
            </w:pPr>
            <w:r>
              <w:t>1 542.92</w:t>
            </w:r>
          </w:p>
        </w:tc>
      </w:tr>
      <w:tr>
        <w:trPr>
          <w:cantSplit/>
        </w:trPr>
        <w:tc>
          <w:tcPr>
            <w:tcW w:w="567" w:type="dxa"/>
            <w:tcBorders>
              <w:bottom w:val="single" w:sz="4" w:space="0" w:color="auto"/>
            </w:tcBorders>
          </w:tcPr>
          <w:p>
            <w:pPr>
              <w:pStyle w:val="yTableNAm"/>
            </w:pPr>
          </w:p>
        </w:tc>
        <w:tc>
          <w:tcPr>
            <w:tcW w:w="4252" w:type="dxa"/>
            <w:tcBorders>
              <w:bottom w:val="single" w:sz="4" w:space="0" w:color="auto"/>
            </w:tcBorders>
          </w:tcPr>
          <w:p>
            <w:pPr>
              <w:pStyle w:val="yTableNAm"/>
              <w:tabs>
                <w:tab w:val="clear" w:pos="567"/>
                <w:tab w:val="left" w:pos="415"/>
              </w:tabs>
              <w:ind w:left="415" w:hanging="415"/>
            </w:pPr>
            <w:r>
              <w:t>•</w:t>
            </w:r>
            <w:r>
              <w:tab/>
              <w:t>for 22 m pen</w:t>
            </w:r>
          </w:p>
        </w:tc>
        <w:tc>
          <w:tcPr>
            <w:tcW w:w="1134" w:type="dxa"/>
            <w:tcBorders>
              <w:bottom w:val="single" w:sz="4" w:space="0" w:color="auto"/>
            </w:tcBorders>
          </w:tcPr>
          <w:p>
            <w:pPr>
              <w:pStyle w:val="yTableNAm"/>
              <w:jc w:val="right"/>
            </w:pPr>
            <w:r>
              <w:t>1 697.21</w:t>
            </w:r>
          </w:p>
        </w:tc>
      </w:tr>
    </w:tbl>
    <w:p>
      <w:pPr>
        <w:pStyle w:val="yFootnotesection"/>
      </w:pPr>
      <w:r>
        <w:tab/>
        <w:t>[Clause 12 inserted in Gazette 28 Jun 2013 p. 2855</w:t>
      </w:r>
      <w:r>
        <w:noBreakHyphen/>
        <w:t>7.]</w:t>
      </w:r>
    </w:p>
    <w:p>
      <w:pPr>
        <w:pStyle w:val="yHeading5"/>
      </w:pPr>
      <w:bookmarkStart w:id="154" w:name="_Toc382380048"/>
      <w:r>
        <w:rPr>
          <w:rStyle w:val="CharSClsNo"/>
        </w:rPr>
        <w:t>13</w:t>
      </w:r>
      <w:r>
        <w:t>.</w:t>
      </w:r>
      <w:r>
        <w:rPr>
          <w:b w:val="0"/>
        </w:rPr>
        <w:tab/>
      </w:r>
      <w:r>
        <w:t>Green Head</w:t>
      </w:r>
      <w:bookmarkEnd w:id="154"/>
    </w:p>
    <w:p>
      <w:pPr>
        <w:pStyle w:val="ySubsection"/>
      </w:pPr>
      <w:r>
        <w:tab/>
        <w:t>(1)</w:t>
      </w:r>
      <w:r>
        <w:tab/>
        <w:t>This clause applies to Green Head.</w:t>
      </w:r>
    </w:p>
    <w:p>
      <w:pPr>
        <w:pStyle w:val="ySubsection"/>
      </w:pPr>
      <w:r>
        <w:tab/>
        <w:t>(2)</w:t>
      </w:r>
      <w:r>
        <w:tab/>
        <w:t>The fees and charges to be paid under regulation 6 are set out in Table 13.1.</w:t>
      </w:r>
    </w:p>
    <w:p>
      <w:pPr>
        <w:pStyle w:val="yTHeadingNAm"/>
      </w:pPr>
      <w:r>
        <w:t>Table 13.1 (Berthing)</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90"/>
        <w:gridCol w:w="996"/>
      </w:tblGrid>
      <w:tr>
        <w:trPr>
          <w:cantSplit/>
          <w:tblHeader/>
        </w:trPr>
        <w:tc>
          <w:tcPr>
            <w:tcW w:w="567" w:type="dxa"/>
            <w:tcBorders>
              <w:top w:val="single" w:sz="4" w:space="0" w:color="auto"/>
              <w:bottom w:val="single" w:sz="4" w:space="0" w:color="auto"/>
            </w:tcBorders>
          </w:tcPr>
          <w:p>
            <w:pPr>
              <w:pStyle w:val="yTableNAm"/>
              <w:rPr>
                <w:b/>
              </w:rPr>
            </w:pPr>
            <w:r>
              <w:rPr>
                <w:b/>
              </w:rPr>
              <w:t>Item</w:t>
            </w:r>
          </w:p>
        </w:tc>
        <w:tc>
          <w:tcPr>
            <w:tcW w:w="4390" w:type="dxa"/>
            <w:tcBorders>
              <w:top w:val="single" w:sz="4" w:space="0" w:color="auto"/>
              <w:bottom w:val="single" w:sz="4" w:space="0" w:color="auto"/>
            </w:tcBorders>
          </w:tcPr>
          <w:p>
            <w:pPr>
              <w:pStyle w:val="yTableNAm"/>
              <w:rPr>
                <w:b/>
              </w:rPr>
            </w:pPr>
            <w:r>
              <w:rPr>
                <w:b/>
              </w:rPr>
              <w:t>Service</w:t>
            </w:r>
          </w:p>
        </w:tc>
        <w:tc>
          <w:tcPr>
            <w:tcW w:w="996" w:type="dxa"/>
            <w:tcBorders>
              <w:top w:val="single" w:sz="4" w:space="0" w:color="auto"/>
              <w:bottom w:val="single" w:sz="4" w:space="0" w:color="auto"/>
            </w:tcBorders>
          </w:tcPr>
          <w:p>
            <w:pPr>
              <w:pStyle w:val="yTableNAm"/>
              <w:jc w:val="center"/>
              <w:rPr>
                <w:b/>
              </w:rPr>
            </w:pPr>
            <w:r>
              <w:rPr>
                <w:b/>
              </w:rPr>
              <w:t>$</w:t>
            </w:r>
          </w:p>
        </w:tc>
      </w:tr>
      <w:tr>
        <w:trPr>
          <w:cantSplit/>
        </w:trPr>
        <w:tc>
          <w:tcPr>
            <w:tcW w:w="567" w:type="dxa"/>
            <w:tcBorders>
              <w:top w:val="single" w:sz="4" w:space="0" w:color="auto"/>
              <w:bottom w:val="single" w:sz="4" w:space="0" w:color="auto"/>
            </w:tcBorders>
          </w:tcPr>
          <w:p>
            <w:pPr>
              <w:pStyle w:val="yTableNAm"/>
            </w:pPr>
            <w:r>
              <w:t>1.</w:t>
            </w:r>
          </w:p>
        </w:tc>
        <w:tc>
          <w:tcPr>
            <w:tcW w:w="4390" w:type="dxa"/>
            <w:tcBorders>
              <w:top w:val="single" w:sz="4" w:space="0" w:color="auto"/>
              <w:bottom w:val="single" w:sz="4" w:space="0" w:color="auto"/>
            </w:tcBorders>
          </w:tcPr>
          <w:p>
            <w:pPr>
              <w:pStyle w:val="yTableNAm"/>
            </w:pPr>
            <w:r>
              <w:t>For use of service jetty by vessel, per m of the vessel’s length, per day</w:t>
            </w:r>
          </w:p>
        </w:tc>
        <w:tc>
          <w:tcPr>
            <w:tcW w:w="996" w:type="dxa"/>
            <w:tcBorders>
              <w:top w:val="single" w:sz="4" w:space="0" w:color="auto"/>
              <w:bottom w:val="single" w:sz="4" w:space="0" w:color="auto"/>
            </w:tcBorders>
          </w:tcPr>
          <w:p>
            <w:pPr>
              <w:pStyle w:val="yTableNAm"/>
              <w:jc w:val="right"/>
            </w:pPr>
            <w:r>
              <w:br/>
              <w:t>4.78</w:t>
            </w:r>
          </w:p>
        </w:tc>
      </w:tr>
    </w:tbl>
    <w:p>
      <w:pPr>
        <w:pStyle w:val="yFootnotesection"/>
      </w:pPr>
      <w:r>
        <w:tab/>
        <w:t>[Clause 13 inserted in Gazette 28 Jun 2013 p. 2858.]</w:t>
      </w:r>
    </w:p>
    <w:p>
      <w:pPr>
        <w:pStyle w:val="yHeading5"/>
      </w:pPr>
      <w:bookmarkStart w:id="155" w:name="_Toc382380049"/>
      <w:r>
        <w:rPr>
          <w:rStyle w:val="CharSClsNo"/>
        </w:rPr>
        <w:t>14</w:t>
      </w:r>
      <w:r>
        <w:t>.</w:t>
      </w:r>
      <w:r>
        <w:rPr>
          <w:b w:val="0"/>
        </w:rPr>
        <w:tab/>
      </w:r>
      <w:r>
        <w:t>Hopetoun</w:t>
      </w:r>
      <w:bookmarkEnd w:id="155"/>
    </w:p>
    <w:p>
      <w:pPr>
        <w:pStyle w:val="ySubsection"/>
      </w:pPr>
      <w:r>
        <w:tab/>
        <w:t>(1)</w:t>
      </w:r>
      <w:r>
        <w:tab/>
        <w:t>This clause applies to Hopetoun.</w:t>
      </w:r>
    </w:p>
    <w:p>
      <w:pPr>
        <w:pStyle w:val="ySubsection"/>
      </w:pPr>
      <w:r>
        <w:tab/>
        <w:t>(2)</w:t>
      </w:r>
      <w:r>
        <w:tab/>
        <w:t>The fees and charges to be paid under regulation 6 are set out in Table 14.1.</w:t>
      </w:r>
    </w:p>
    <w:p>
      <w:pPr>
        <w:pStyle w:val="yTHeadingNAm"/>
      </w:pPr>
      <w:r>
        <w:t>Table 14.1 (Berthing)</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90"/>
        <w:gridCol w:w="996"/>
      </w:tblGrid>
      <w:tr>
        <w:trPr>
          <w:cantSplit/>
          <w:tblHeader/>
        </w:trPr>
        <w:tc>
          <w:tcPr>
            <w:tcW w:w="567" w:type="dxa"/>
            <w:tcBorders>
              <w:top w:val="single" w:sz="4" w:space="0" w:color="auto"/>
              <w:bottom w:val="single" w:sz="4" w:space="0" w:color="auto"/>
            </w:tcBorders>
          </w:tcPr>
          <w:p>
            <w:pPr>
              <w:pStyle w:val="yTableNAm"/>
              <w:rPr>
                <w:b/>
              </w:rPr>
            </w:pPr>
            <w:r>
              <w:rPr>
                <w:b/>
              </w:rPr>
              <w:t>Item</w:t>
            </w:r>
          </w:p>
        </w:tc>
        <w:tc>
          <w:tcPr>
            <w:tcW w:w="4390" w:type="dxa"/>
            <w:tcBorders>
              <w:top w:val="single" w:sz="4" w:space="0" w:color="auto"/>
              <w:bottom w:val="single" w:sz="4" w:space="0" w:color="auto"/>
            </w:tcBorders>
          </w:tcPr>
          <w:p>
            <w:pPr>
              <w:pStyle w:val="yTableNAm"/>
              <w:rPr>
                <w:b/>
              </w:rPr>
            </w:pPr>
            <w:r>
              <w:rPr>
                <w:b/>
              </w:rPr>
              <w:t>Service</w:t>
            </w:r>
          </w:p>
        </w:tc>
        <w:tc>
          <w:tcPr>
            <w:tcW w:w="996" w:type="dxa"/>
            <w:tcBorders>
              <w:top w:val="single" w:sz="4" w:space="0" w:color="auto"/>
              <w:bottom w:val="single" w:sz="4" w:space="0" w:color="auto"/>
            </w:tcBorders>
          </w:tcPr>
          <w:p>
            <w:pPr>
              <w:pStyle w:val="yTableNAm"/>
              <w:jc w:val="center"/>
              <w:rPr>
                <w:b/>
              </w:rPr>
            </w:pPr>
            <w:r>
              <w:rPr>
                <w:b/>
              </w:rPr>
              <w:t>$</w:t>
            </w:r>
          </w:p>
        </w:tc>
      </w:tr>
      <w:tr>
        <w:trPr>
          <w:cantSplit/>
        </w:trPr>
        <w:tc>
          <w:tcPr>
            <w:tcW w:w="567" w:type="dxa"/>
          </w:tcPr>
          <w:p>
            <w:pPr>
              <w:pStyle w:val="yTableNAm"/>
            </w:pPr>
            <w:r>
              <w:t>1.</w:t>
            </w:r>
          </w:p>
        </w:tc>
        <w:tc>
          <w:tcPr>
            <w:tcW w:w="4390" w:type="dxa"/>
          </w:tcPr>
          <w:p>
            <w:pPr>
              <w:pStyle w:val="yTableNAm"/>
            </w:pPr>
            <w:r>
              <w:t>For use of service jetty by vessel for short time just to load or unload, per m of the vessel’s length, for 12 months, paid in advance</w:t>
            </w:r>
          </w:p>
        </w:tc>
        <w:tc>
          <w:tcPr>
            <w:tcW w:w="996" w:type="dxa"/>
          </w:tcPr>
          <w:p>
            <w:pPr>
              <w:pStyle w:val="yTableNAm"/>
              <w:jc w:val="right"/>
            </w:pPr>
            <w:r>
              <w:br/>
            </w:r>
            <w:r>
              <w:br/>
              <w:t>94.58</w:t>
            </w:r>
          </w:p>
        </w:tc>
      </w:tr>
      <w:tr>
        <w:trPr>
          <w:cantSplit/>
        </w:trPr>
        <w:tc>
          <w:tcPr>
            <w:tcW w:w="567" w:type="dxa"/>
            <w:tcBorders>
              <w:bottom w:val="single" w:sz="4" w:space="0" w:color="auto"/>
            </w:tcBorders>
          </w:tcPr>
          <w:p>
            <w:pPr>
              <w:pStyle w:val="yTableNAm"/>
            </w:pPr>
            <w:r>
              <w:t>2.</w:t>
            </w:r>
          </w:p>
        </w:tc>
        <w:tc>
          <w:tcPr>
            <w:tcW w:w="4390" w:type="dxa"/>
            <w:tcBorders>
              <w:bottom w:val="single" w:sz="4" w:space="0" w:color="auto"/>
            </w:tcBorders>
          </w:tcPr>
          <w:p>
            <w:pPr>
              <w:pStyle w:val="yTableNAm"/>
            </w:pPr>
            <w:r>
              <w:t>For other use of service jetty by vessel, per m of the vessel’s length, per day</w:t>
            </w:r>
          </w:p>
        </w:tc>
        <w:tc>
          <w:tcPr>
            <w:tcW w:w="996" w:type="dxa"/>
            <w:tcBorders>
              <w:bottom w:val="single" w:sz="4" w:space="0" w:color="auto"/>
            </w:tcBorders>
          </w:tcPr>
          <w:p>
            <w:pPr>
              <w:pStyle w:val="yTableNAm"/>
              <w:jc w:val="right"/>
            </w:pPr>
            <w:r>
              <w:br/>
              <w:t>4.73</w:t>
            </w:r>
          </w:p>
        </w:tc>
      </w:tr>
    </w:tbl>
    <w:p>
      <w:pPr>
        <w:pStyle w:val="yFootnotesection"/>
      </w:pPr>
      <w:r>
        <w:tab/>
        <w:t>[Clause 14 inserted in Gazette 28 Jun 2013 p. 2858.]</w:t>
      </w:r>
    </w:p>
    <w:p>
      <w:pPr>
        <w:pStyle w:val="yHeading5"/>
      </w:pPr>
      <w:bookmarkStart w:id="156" w:name="_Toc382380050"/>
      <w:r>
        <w:rPr>
          <w:rStyle w:val="CharSClsNo"/>
        </w:rPr>
        <w:t>15</w:t>
      </w:r>
      <w:r>
        <w:t>.</w:t>
      </w:r>
      <w:r>
        <w:rPr>
          <w:b w:val="0"/>
        </w:rPr>
        <w:tab/>
      </w:r>
      <w:r>
        <w:t>Jurien</w:t>
      </w:r>
      <w:bookmarkEnd w:id="156"/>
    </w:p>
    <w:p>
      <w:pPr>
        <w:pStyle w:val="ySubsection"/>
      </w:pPr>
      <w:r>
        <w:tab/>
        <w:t>(1)</w:t>
      </w:r>
      <w:r>
        <w:tab/>
        <w:t xml:space="preserve">This clause applies to the </w:t>
      </w:r>
      <w:smartTag w:uri="urn:schemas-microsoft-com:office:smarttags" w:element="place">
        <w:smartTag w:uri="urn:schemas-microsoft-com:office:smarttags" w:element="PlaceName">
          <w:r>
            <w:t>Jurien</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w:t>
      </w:r>
    </w:p>
    <w:p>
      <w:pPr>
        <w:pStyle w:val="ySubsection"/>
      </w:pPr>
      <w:r>
        <w:tab/>
        <w:t>(2)</w:t>
      </w:r>
      <w:r>
        <w:tab/>
        <w:t>The fees and charges to be paid under regulations 6, 42A and 94A are set out in Table 15.1.</w:t>
      </w:r>
    </w:p>
    <w:p>
      <w:pPr>
        <w:pStyle w:val="ySubsection"/>
      </w:pPr>
      <w:r>
        <w:tab/>
        <w:t>(3)</w:t>
      </w:r>
      <w:r>
        <w:tab/>
        <w:t>In Table 15.1 the chargeable length for a pen is —</w:t>
      </w:r>
    </w:p>
    <w:p>
      <w:pPr>
        <w:pStyle w:val="yIndenta"/>
      </w:pPr>
      <w:r>
        <w:tab/>
        <w:t>(a)</w:t>
      </w:r>
      <w:r>
        <w:tab/>
        <w:t>if the pen is 12 m long, 9.6 m;</w:t>
      </w:r>
    </w:p>
    <w:p>
      <w:pPr>
        <w:pStyle w:val="yIndenta"/>
      </w:pPr>
      <w:r>
        <w:tab/>
        <w:t>(b)</w:t>
      </w:r>
      <w:r>
        <w:tab/>
        <w:t>if the pen is 15 m long, 12 m;</w:t>
      </w:r>
    </w:p>
    <w:p>
      <w:pPr>
        <w:pStyle w:val="yIndenta"/>
      </w:pPr>
      <w:r>
        <w:tab/>
        <w:t>(c)</w:t>
      </w:r>
      <w:r>
        <w:tab/>
        <w:t>if the pen is 18 m long, 14.4 m;</w:t>
      </w:r>
    </w:p>
    <w:p>
      <w:pPr>
        <w:pStyle w:val="yIndenta"/>
      </w:pPr>
      <w:r>
        <w:tab/>
        <w:t>(d)</w:t>
      </w:r>
      <w:r>
        <w:tab/>
        <w:t>if the pen is 20 m long, 16 m.</w:t>
      </w:r>
    </w:p>
    <w:p>
      <w:pPr>
        <w:pStyle w:val="yTHeadingNAm"/>
      </w:pPr>
      <w:r>
        <w:t>Table 15.1 (Berthing, jetty use and pen rental)</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90"/>
        <w:gridCol w:w="996"/>
      </w:tblGrid>
      <w:tr>
        <w:trPr>
          <w:cantSplit/>
          <w:tblHeader/>
        </w:trPr>
        <w:tc>
          <w:tcPr>
            <w:tcW w:w="567" w:type="dxa"/>
            <w:tcBorders>
              <w:top w:val="single" w:sz="4" w:space="0" w:color="auto"/>
              <w:bottom w:val="single" w:sz="4" w:space="0" w:color="auto"/>
            </w:tcBorders>
          </w:tcPr>
          <w:p>
            <w:pPr>
              <w:pStyle w:val="yTableNAm"/>
              <w:rPr>
                <w:b/>
              </w:rPr>
            </w:pPr>
            <w:r>
              <w:rPr>
                <w:b/>
              </w:rPr>
              <w:t>Item</w:t>
            </w:r>
          </w:p>
        </w:tc>
        <w:tc>
          <w:tcPr>
            <w:tcW w:w="4390" w:type="dxa"/>
            <w:tcBorders>
              <w:top w:val="single" w:sz="4" w:space="0" w:color="auto"/>
              <w:bottom w:val="single" w:sz="4" w:space="0" w:color="auto"/>
            </w:tcBorders>
          </w:tcPr>
          <w:p>
            <w:pPr>
              <w:pStyle w:val="yTableNAm"/>
              <w:rPr>
                <w:b/>
              </w:rPr>
            </w:pPr>
            <w:r>
              <w:rPr>
                <w:b/>
              </w:rPr>
              <w:t>Service</w:t>
            </w:r>
          </w:p>
        </w:tc>
        <w:tc>
          <w:tcPr>
            <w:tcW w:w="996" w:type="dxa"/>
            <w:tcBorders>
              <w:top w:val="single" w:sz="4" w:space="0" w:color="auto"/>
              <w:bottom w:val="single" w:sz="4" w:space="0" w:color="auto"/>
            </w:tcBorders>
          </w:tcPr>
          <w:p>
            <w:pPr>
              <w:pStyle w:val="yTableNAm"/>
              <w:jc w:val="center"/>
              <w:rPr>
                <w:b/>
              </w:rPr>
            </w:pPr>
            <w:r>
              <w:rPr>
                <w:b/>
              </w:rPr>
              <w:t>$</w:t>
            </w:r>
          </w:p>
        </w:tc>
      </w:tr>
      <w:tr>
        <w:trPr>
          <w:cantSplit/>
        </w:trPr>
        <w:tc>
          <w:tcPr>
            <w:tcW w:w="567" w:type="dxa"/>
          </w:tcPr>
          <w:p>
            <w:pPr>
              <w:pStyle w:val="yTableNAm"/>
            </w:pPr>
            <w:r>
              <w:t>1.</w:t>
            </w:r>
          </w:p>
        </w:tc>
        <w:tc>
          <w:tcPr>
            <w:tcW w:w="4390" w:type="dxa"/>
          </w:tcPr>
          <w:p>
            <w:pPr>
              <w:pStyle w:val="yTableNAm"/>
            </w:pPr>
            <w:r>
              <w:t xml:space="preserve">For pen for commercial vessel, per m of the longer of the vessel’s length and the chargeable length for the pen — </w:t>
            </w:r>
          </w:p>
        </w:tc>
        <w:tc>
          <w:tcPr>
            <w:tcW w:w="996" w:type="dxa"/>
          </w:tcPr>
          <w:p>
            <w:pPr>
              <w:pStyle w:val="yTableNAm"/>
              <w:jc w:val="right"/>
            </w:pP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12 months paid in advance</w:t>
            </w:r>
          </w:p>
        </w:tc>
        <w:tc>
          <w:tcPr>
            <w:tcW w:w="996" w:type="dxa"/>
            <w:vAlign w:val="bottom"/>
          </w:tcPr>
          <w:p>
            <w:pPr>
              <w:pStyle w:val="yTableNAm"/>
              <w:jc w:val="right"/>
              <w:rPr>
                <w:szCs w:val="22"/>
              </w:rPr>
            </w:pPr>
            <w:r>
              <w:rPr>
                <w:szCs w:val="22"/>
              </w:rPr>
              <w:t>397.25</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3 months or more, per month, paid in advance</w:t>
            </w:r>
          </w:p>
        </w:tc>
        <w:tc>
          <w:tcPr>
            <w:tcW w:w="996" w:type="dxa"/>
            <w:vAlign w:val="bottom"/>
          </w:tcPr>
          <w:p>
            <w:pPr>
              <w:pStyle w:val="yTableNAm"/>
              <w:jc w:val="right"/>
              <w:rPr>
                <w:szCs w:val="22"/>
              </w:rPr>
            </w:pPr>
            <w:r>
              <w:rPr>
                <w:szCs w:val="22"/>
              </w:rPr>
              <w:t>39.74</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one month or more, per month, paid in advance</w:t>
            </w:r>
          </w:p>
        </w:tc>
        <w:tc>
          <w:tcPr>
            <w:tcW w:w="996" w:type="dxa"/>
            <w:vAlign w:val="bottom"/>
          </w:tcPr>
          <w:p>
            <w:pPr>
              <w:pStyle w:val="yTableNAm"/>
              <w:jc w:val="right"/>
              <w:rPr>
                <w:szCs w:val="22"/>
              </w:rPr>
            </w:pPr>
            <w:r>
              <w:rPr>
                <w:szCs w:val="22"/>
              </w:rPr>
              <w:t>59.59</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one week or more, per week, paid in advance</w:t>
            </w:r>
          </w:p>
        </w:tc>
        <w:tc>
          <w:tcPr>
            <w:tcW w:w="996" w:type="dxa"/>
            <w:vAlign w:val="bottom"/>
          </w:tcPr>
          <w:p>
            <w:pPr>
              <w:pStyle w:val="yTableNAm"/>
              <w:jc w:val="right"/>
              <w:rPr>
                <w:szCs w:val="22"/>
              </w:rPr>
            </w:pPr>
            <w:r>
              <w:rPr>
                <w:szCs w:val="22"/>
              </w:rPr>
              <w:t>38.26</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otherwise, per day</w:t>
            </w:r>
          </w:p>
        </w:tc>
        <w:tc>
          <w:tcPr>
            <w:tcW w:w="996" w:type="dxa"/>
            <w:vAlign w:val="bottom"/>
          </w:tcPr>
          <w:p>
            <w:pPr>
              <w:pStyle w:val="yTableNAm"/>
              <w:jc w:val="right"/>
              <w:rPr>
                <w:szCs w:val="22"/>
              </w:rPr>
            </w:pPr>
            <w:r>
              <w:rPr>
                <w:szCs w:val="22"/>
              </w:rPr>
              <w:t>7.66</w:t>
            </w:r>
          </w:p>
        </w:tc>
      </w:tr>
      <w:tr>
        <w:trPr>
          <w:cantSplit/>
        </w:trPr>
        <w:tc>
          <w:tcPr>
            <w:tcW w:w="567" w:type="dxa"/>
          </w:tcPr>
          <w:p>
            <w:pPr>
              <w:pStyle w:val="yTableNAm"/>
            </w:pPr>
            <w:r>
              <w:t>2.</w:t>
            </w:r>
          </w:p>
        </w:tc>
        <w:tc>
          <w:tcPr>
            <w:tcW w:w="4390" w:type="dxa"/>
          </w:tcPr>
          <w:p>
            <w:pPr>
              <w:pStyle w:val="yTableNAm"/>
            </w:pPr>
            <w:r>
              <w:t xml:space="preserve">For pen for recreational vessel, per m of the longer of the vessel’s length and the chargeable length for the pen — </w:t>
            </w:r>
          </w:p>
        </w:tc>
        <w:tc>
          <w:tcPr>
            <w:tcW w:w="996" w:type="dxa"/>
          </w:tcPr>
          <w:p>
            <w:pPr>
              <w:pStyle w:val="yTableNAm"/>
              <w:jc w:val="right"/>
            </w:pP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12 months paid in advance</w:t>
            </w:r>
          </w:p>
        </w:tc>
        <w:tc>
          <w:tcPr>
            <w:tcW w:w="996" w:type="dxa"/>
            <w:vAlign w:val="bottom"/>
          </w:tcPr>
          <w:p>
            <w:pPr>
              <w:pStyle w:val="yTableNAm"/>
              <w:jc w:val="right"/>
              <w:rPr>
                <w:szCs w:val="22"/>
              </w:rPr>
            </w:pPr>
            <w:r>
              <w:rPr>
                <w:szCs w:val="22"/>
              </w:rPr>
              <w:t>381.25</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3 months or more, per month, paid in advance</w:t>
            </w:r>
          </w:p>
        </w:tc>
        <w:tc>
          <w:tcPr>
            <w:tcW w:w="996" w:type="dxa"/>
            <w:vAlign w:val="bottom"/>
          </w:tcPr>
          <w:p>
            <w:pPr>
              <w:pStyle w:val="yTableNAm"/>
              <w:jc w:val="right"/>
              <w:rPr>
                <w:szCs w:val="22"/>
              </w:rPr>
            </w:pPr>
            <w:r>
              <w:rPr>
                <w:szCs w:val="22"/>
              </w:rPr>
              <w:t>38.13</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one month or more, per month, paid in advance</w:t>
            </w:r>
          </w:p>
        </w:tc>
        <w:tc>
          <w:tcPr>
            <w:tcW w:w="996" w:type="dxa"/>
            <w:vAlign w:val="bottom"/>
          </w:tcPr>
          <w:p>
            <w:pPr>
              <w:pStyle w:val="yTableNAm"/>
              <w:jc w:val="right"/>
              <w:rPr>
                <w:szCs w:val="22"/>
              </w:rPr>
            </w:pPr>
            <w:r>
              <w:rPr>
                <w:szCs w:val="22"/>
              </w:rPr>
              <w:t>57.19</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one week or more, per week, paid in advance</w:t>
            </w:r>
          </w:p>
        </w:tc>
        <w:tc>
          <w:tcPr>
            <w:tcW w:w="996" w:type="dxa"/>
            <w:vAlign w:val="bottom"/>
          </w:tcPr>
          <w:p>
            <w:pPr>
              <w:pStyle w:val="yTableNAm"/>
              <w:jc w:val="right"/>
              <w:rPr>
                <w:szCs w:val="22"/>
              </w:rPr>
            </w:pPr>
            <w:r>
              <w:rPr>
                <w:szCs w:val="22"/>
              </w:rPr>
              <w:t>25.84</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3 days paid in advance</w:t>
            </w:r>
          </w:p>
        </w:tc>
        <w:tc>
          <w:tcPr>
            <w:tcW w:w="996" w:type="dxa"/>
            <w:vAlign w:val="bottom"/>
          </w:tcPr>
          <w:p>
            <w:pPr>
              <w:pStyle w:val="yTableNAm"/>
              <w:jc w:val="right"/>
              <w:rPr>
                <w:szCs w:val="22"/>
              </w:rPr>
            </w:pPr>
            <w:r>
              <w:rPr>
                <w:szCs w:val="22"/>
              </w:rPr>
              <w:t>10.33</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otherwise, per day</w:t>
            </w:r>
          </w:p>
        </w:tc>
        <w:tc>
          <w:tcPr>
            <w:tcW w:w="996" w:type="dxa"/>
            <w:vAlign w:val="bottom"/>
          </w:tcPr>
          <w:p>
            <w:pPr>
              <w:pStyle w:val="yTableNAm"/>
              <w:jc w:val="right"/>
              <w:rPr>
                <w:szCs w:val="22"/>
              </w:rPr>
            </w:pPr>
            <w:r>
              <w:rPr>
                <w:szCs w:val="22"/>
              </w:rPr>
              <w:t>5.17</w:t>
            </w:r>
          </w:p>
        </w:tc>
      </w:tr>
      <w:tr>
        <w:trPr>
          <w:cantSplit/>
        </w:trPr>
        <w:tc>
          <w:tcPr>
            <w:tcW w:w="567" w:type="dxa"/>
          </w:tcPr>
          <w:p>
            <w:pPr>
              <w:pStyle w:val="yTableNAm"/>
            </w:pPr>
            <w:r>
              <w:t>3.</w:t>
            </w:r>
          </w:p>
        </w:tc>
        <w:tc>
          <w:tcPr>
            <w:tcW w:w="4390" w:type="dxa"/>
          </w:tcPr>
          <w:p>
            <w:pPr>
              <w:pStyle w:val="yTableNAm"/>
            </w:pPr>
            <w:r>
              <w:t>For vehicular use of service jetty and land adjacent to it by a business (company or registered business name), other than lessee of land at Jurien Boat Harbour controlled or managed by the Department, to load or unload vessels, for 12 months paid in advance, per business</w:t>
            </w:r>
          </w:p>
        </w:tc>
        <w:tc>
          <w:tcPr>
            <w:tcW w:w="996" w:type="dxa"/>
            <w:vAlign w:val="bottom"/>
          </w:tcPr>
          <w:p>
            <w:pPr>
              <w:pStyle w:val="yTableNAm"/>
              <w:jc w:val="right"/>
              <w:rPr>
                <w:szCs w:val="22"/>
              </w:rPr>
            </w:pPr>
            <w:r>
              <w:rPr>
                <w:szCs w:val="22"/>
              </w:rPr>
              <w:t>4 713.69</w:t>
            </w:r>
          </w:p>
        </w:tc>
      </w:tr>
      <w:tr>
        <w:trPr>
          <w:cantSplit/>
        </w:trPr>
        <w:tc>
          <w:tcPr>
            <w:tcW w:w="567" w:type="dxa"/>
          </w:tcPr>
          <w:p>
            <w:pPr>
              <w:pStyle w:val="yTableNAm"/>
            </w:pPr>
            <w:r>
              <w:t>4.</w:t>
            </w:r>
          </w:p>
        </w:tc>
        <w:tc>
          <w:tcPr>
            <w:tcW w:w="4390" w:type="dxa"/>
          </w:tcPr>
          <w:p>
            <w:pPr>
              <w:pStyle w:val="yTableNAm"/>
            </w:pPr>
            <w:r>
              <w:t xml:space="preserve">For use of service jetty by vessel for which the item 1 or 2 fee has not been paid, per m of the vessel’s length, per day — </w:t>
            </w:r>
          </w:p>
        </w:tc>
        <w:tc>
          <w:tcPr>
            <w:tcW w:w="996" w:type="dxa"/>
            <w:vAlign w:val="bottom"/>
          </w:tcPr>
          <w:p>
            <w:pPr>
              <w:pStyle w:val="yTableNAm"/>
              <w:jc w:val="right"/>
              <w:rPr>
                <w:szCs w:val="22"/>
              </w:rPr>
            </w:pP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a commercial vessel</w:t>
            </w:r>
          </w:p>
        </w:tc>
        <w:tc>
          <w:tcPr>
            <w:tcW w:w="996" w:type="dxa"/>
            <w:vAlign w:val="bottom"/>
          </w:tcPr>
          <w:p>
            <w:pPr>
              <w:pStyle w:val="yTableNAm"/>
              <w:jc w:val="right"/>
              <w:rPr>
                <w:szCs w:val="22"/>
              </w:rPr>
            </w:pPr>
            <w:r>
              <w:rPr>
                <w:szCs w:val="22"/>
              </w:rPr>
              <w:t>3.81</w:t>
            </w:r>
          </w:p>
        </w:tc>
      </w:tr>
      <w:tr>
        <w:trPr>
          <w:cantSplit/>
        </w:trPr>
        <w:tc>
          <w:tcPr>
            <w:tcW w:w="567" w:type="dxa"/>
            <w:tcBorders>
              <w:bottom w:val="single" w:sz="4" w:space="0" w:color="auto"/>
            </w:tcBorders>
          </w:tcPr>
          <w:p>
            <w:pPr>
              <w:pStyle w:val="yTableNAm"/>
            </w:pPr>
          </w:p>
        </w:tc>
        <w:tc>
          <w:tcPr>
            <w:tcW w:w="4390" w:type="dxa"/>
            <w:tcBorders>
              <w:bottom w:val="single" w:sz="4" w:space="0" w:color="auto"/>
            </w:tcBorders>
          </w:tcPr>
          <w:p>
            <w:pPr>
              <w:pStyle w:val="yTableNAm"/>
              <w:tabs>
                <w:tab w:val="clear" w:pos="567"/>
                <w:tab w:val="left" w:pos="415"/>
              </w:tabs>
              <w:ind w:left="415" w:hanging="415"/>
            </w:pPr>
            <w:r>
              <w:t>•</w:t>
            </w:r>
            <w:r>
              <w:tab/>
              <w:t>for a recreational vessel</w:t>
            </w:r>
          </w:p>
        </w:tc>
        <w:tc>
          <w:tcPr>
            <w:tcW w:w="996" w:type="dxa"/>
            <w:tcBorders>
              <w:bottom w:val="single" w:sz="4" w:space="0" w:color="auto"/>
            </w:tcBorders>
            <w:vAlign w:val="bottom"/>
          </w:tcPr>
          <w:p>
            <w:pPr>
              <w:pStyle w:val="yTableNAm"/>
              <w:jc w:val="right"/>
              <w:rPr>
                <w:szCs w:val="22"/>
              </w:rPr>
            </w:pPr>
            <w:r>
              <w:rPr>
                <w:szCs w:val="22"/>
              </w:rPr>
              <w:t>3.67</w:t>
            </w:r>
          </w:p>
        </w:tc>
      </w:tr>
    </w:tbl>
    <w:p>
      <w:pPr>
        <w:pStyle w:val="yFootnotesection"/>
      </w:pPr>
      <w:r>
        <w:tab/>
        <w:t>[Clause 15 inserted in Gazette 28 Jun 2013 p. 2858</w:t>
      </w:r>
      <w:r>
        <w:noBreakHyphen/>
        <w:t>60.]</w:t>
      </w:r>
    </w:p>
    <w:p>
      <w:pPr>
        <w:pStyle w:val="yHeading5"/>
      </w:pPr>
      <w:bookmarkStart w:id="157" w:name="_Toc382380051"/>
      <w:r>
        <w:rPr>
          <w:rStyle w:val="CharSClsNo"/>
        </w:rPr>
        <w:t>16</w:t>
      </w:r>
      <w:r>
        <w:t>.</w:t>
      </w:r>
      <w:r>
        <w:rPr>
          <w:b w:val="0"/>
        </w:rPr>
        <w:tab/>
      </w:r>
      <w:r>
        <w:t>Kalbarri</w:t>
      </w:r>
      <w:bookmarkEnd w:id="157"/>
    </w:p>
    <w:p>
      <w:pPr>
        <w:pStyle w:val="ySubsection"/>
      </w:pPr>
      <w:r>
        <w:tab/>
        <w:t>(1)</w:t>
      </w:r>
      <w:r>
        <w:tab/>
        <w:t xml:space="preserve">This clause applies to the </w:t>
      </w:r>
      <w:smartTag w:uri="urn:schemas-microsoft-com:office:smarttags" w:element="place">
        <w:smartTag w:uri="urn:schemas-microsoft-com:office:smarttags" w:element="PlaceName">
          <w:r>
            <w:t>Kalbarri</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w:t>
      </w:r>
    </w:p>
    <w:p>
      <w:pPr>
        <w:pStyle w:val="ySubsection"/>
      </w:pPr>
      <w:r>
        <w:tab/>
        <w:t>(2)</w:t>
      </w:r>
      <w:r>
        <w:tab/>
        <w:t>The fees and charges to be paid under regulations 6 and 94A are set out in Table 16.1.</w:t>
      </w:r>
    </w:p>
    <w:p>
      <w:pPr>
        <w:pStyle w:val="ySubsection"/>
      </w:pPr>
      <w:r>
        <w:tab/>
        <w:t>(3)</w:t>
      </w:r>
      <w:r>
        <w:tab/>
        <w:t>In Table 16.1 the chargeable length for a pen is —</w:t>
      </w:r>
    </w:p>
    <w:p>
      <w:pPr>
        <w:pStyle w:val="yIndenta"/>
      </w:pPr>
      <w:r>
        <w:tab/>
        <w:t>(a)</w:t>
      </w:r>
      <w:r>
        <w:tab/>
        <w:t>if the pen is 12 m long, 9.6 m;</w:t>
      </w:r>
    </w:p>
    <w:p>
      <w:pPr>
        <w:pStyle w:val="yIndenta"/>
      </w:pPr>
      <w:r>
        <w:tab/>
        <w:t>(b)</w:t>
      </w:r>
      <w:r>
        <w:tab/>
        <w:t>if the pen is 15 m long, 12 m;</w:t>
      </w:r>
    </w:p>
    <w:p>
      <w:pPr>
        <w:pStyle w:val="yIndenta"/>
      </w:pPr>
      <w:r>
        <w:tab/>
        <w:t>(c)</w:t>
      </w:r>
      <w:r>
        <w:tab/>
        <w:t>if the pen is 18 m long, 14.4 m;</w:t>
      </w:r>
    </w:p>
    <w:p>
      <w:pPr>
        <w:pStyle w:val="yIndenta"/>
      </w:pPr>
      <w:r>
        <w:tab/>
        <w:t>(d)</w:t>
      </w:r>
      <w:r>
        <w:tab/>
        <w:t>if the pen is 20 m long, 16 m.</w:t>
      </w:r>
    </w:p>
    <w:p>
      <w:pPr>
        <w:pStyle w:val="yTHeadingNAm"/>
      </w:pPr>
      <w:r>
        <w:t>Table 16.1 (Berthing and pen rental)</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91"/>
        <w:gridCol w:w="995"/>
      </w:tblGrid>
      <w:tr>
        <w:trPr>
          <w:cantSplit/>
          <w:tblHeader/>
        </w:trPr>
        <w:tc>
          <w:tcPr>
            <w:tcW w:w="567" w:type="dxa"/>
            <w:tcBorders>
              <w:top w:val="single" w:sz="4" w:space="0" w:color="auto"/>
              <w:bottom w:val="single" w:sz="4" w:space="0" w:color="auto"/>
            </w:tcBorders>
          </w:tcPr>
          <w:p>
            <w:pPr>
              <w:pStyle w:val="yTableNAm"/>
              <w:keepNext/>
              <w:rPr>
                <w:b/>
              </w:rPr>
            </w:pPr>
            <w:r>
              <w:rPr>
                <w:b/>
              </w:rPr>
              <w:t>Item</w:t>
            </w:r>
          </w:p>
        </w:tc>
        <w:tc>
          <w:tcPr>
            <w:tcW w:w="4391" w:type="dxa"/>
            <w:tcBorders>
              <w:top w:val="single" w:sz="4" w:space="0" w:color="auto"/>
              <w:bottom w:val="single" w:sz="4" w:space="0" w:color="auto"/>
            </w:tcBorders>
          </w:tcPr>
          <w:p>
            <w:pPr>
              <w:pStyle w:val="yTableNAm"/>
              <w:keepNext/>
              <w:rPr>
                <w:b/>
              </w:rPr>
            </w:pPr>
            <w:r>
              <w:rPr>
                <w:b/>
              </w:rPr>
              <w:t>Service</w:t>
            </w:r>
          </w:p>
        </w:tc>
        <w:tc>
          <w:tcPr>
            <w:tcW w:w="995" w:type="dxa"/>
            <w:tcBorders>
              <w:top w:val="single" w:sz="4" w:space="0" w:color="auto"/>
              <w:bottom w:val="single" w:sz="4" w:space="0" w:color="auto"/>
            </w:tcBorders>
          </w:tcPr>
          <w:p>
            <w:pPr>
              <w:pStyle w:val="yTableNAm"/>
              <w:keepNext/>
              <w:jc w:val="center"/>
              <w:rPr>
                <w:b/>
              </w:rPr>
            </w:pPr>
            <w:r>
              <w:rPr>
                <w:b/>
              </w:rPr>
              <w:t>$</w:t>
            </w:r>
          </w:p>
        </w:tc>
      </w:tr>
      <w:tr>
        <w:trPr>
          <w:cantSplit/>
        </w:trPr>
        <w:tc>
          <w:tcPr>
            <w:tcW w:w="567" w:type="dxa"/>
          </w:tcPr>
          <w:p>
            <w:pPr>
              <w:pStyle w:val="yTableNAm"/>
              <w:keepNext/>
            </w:pPr>
            <w:r>
              <w:t>1.</w:t>
            </w:r>
          </w:p>
        </w:tc>
        <w:tc>
          <w:tcPr>
            <w:tcW w:w="4391" w:type="dxa"/>
          </w:tcPr>
          <w:p>
            <w:pPr>
              <w:pStyle w:val="yTableNAm"/>
              <w:keepNext/>
            </w:pPr>
            <w:r>
              <w:t>For pen, per m of the longer of the vessel’s length and the chargeable length for the pen —</w:t>
            </w:r>
          </w:p>
        </w:tc>
        <w:tc>
          <w:tcPr>
            <w:tcW w:w="995" w:type="dxa"/>
          </w:tcPr>
          <w:p>
            <w:pPr>
              <w:pStyle w:val="yTableNAm"/>
              <w:keepNext/>
              <w:jc w:val="right"/>
            </w:pPr>
          </w:p>
        </w:tc>
      </w:tr>
      <w:tr>
        <w:trPr>
          <w:cantSplit/>
        </w:trPr>
        <w:tc>
          <w:tcPr>
            <w:tcW w:w="567" w:type="dxa"/>
          </w:tcPr>
          <w:p>
            <w:pPr>
              <w:pStyle w:val="yTableNAm"/>
            </w:pPr>
          </w:p>
        </w:tc>
        <w:tc>
          <w:tcPr>
            <w:tcW w:w="4391" w:type="dxa"/>
          </w:tcPr>
          <w:p>
            <w:pPr>
              <w:pStyle w:val="yTableNAm"/>
              <w:tabs>
                <w:tab w:val="clear" w:pos="567"/>
                <w:tab w:val="left" w:pos="415"/>
              </w:tabs>
              <w:ind w:left="415" w:hanging="415"/>
            </w:pPr>
            <w:r>
              <w:t>•</w:t>
            </w:r>
            <w:r>
              <w:tab/>
              <w:t>for 12 months paid in advance</w:t>
            </w:r>
          </w:p>
        </w:tc>
        <w:tc>
          <w:tcPr>
            <w:tcW w:w="995" w:type="dxa"/>
            <w:vAlign w:val="bottom"/>
          </w:tcPr>
          <w:p>
            <w:pPr>
              <w:pStyle w:val="yTableNAm"/>
              <w:jc w:val="right"/>
              <w:rPr>
                <w:szCs w:val="22"/>
              </w:rPr>
            </w:pPr>
            <w:r>
              <w:rPr>
                <w:szCs w:val="22"/>
              </w:rPr>
              <w:t>259.75</w:t>
            </w:r>
          </w:p>
        </w:tc>
      </w:tr>
      <w:tr>
        <w:trPr>
          <w:cantSplit/>
        </w:trPr>
        <w:tc>
          <w:tcPr>
            <w:tcW w:w="567" w:type="dxa"/>
          </w:tcPr>
          <w:p>
            <w:pPr>
              <w:pStyle w:val="yTableNAm"/>
            </w:pPr>
          </w:p>
        </w:tc>
        <w:tc>
          <w:tcPr>
            <w:tcW w:w="4391" w:type="dxa"/>
          </w:tcPr>
          <w:p>
            <w:pPr>
              <w:pStyle w:val="yTableNAm"/>
              <w:tabs>
                <w:tab w:val="clear" w:pos="567"/>
                <w:tab w:val="left" w:pos="415"/>
              </w:tabs>
              <w:ind w:left="415" w:hanging="415"/>
            </w:pPr>
            <w:r>
              <w:t>•</w:t>
            </w:r>
            <w:r>
              <w:tab/>
              <w:t>for 3 months or more, per month, paid in advance</w:t>
            </w:r>
          </w:p>
        </w:tc>
        <w:tc>
          <w:tcPr>
            <w:tcW w:w="995" w:type="dxa"/>
            <w:vAlign w:val="bottom"/>
          </w:tcPr>
          <w:p>
            <w:pPr>
              <w:pStyle w:val="yTableNAm"/>
              <w:jc w:val="right"/>
              <w:rPr>
                <w:szCs w:val="22"/>
              </w:rPr>
            </w:pPr>
            <w:r>
              <w:rPr>
                <w:szCs w:val="22"/>
              </w:rPr>
              <w:t>25.96</w:t>
            </w:r>
          </w:p>
        </w:tc>
      </w:tr>
      <w:tr>
        <w:trPr>
          <w:cantSplit/>
        </w:trPr>
        <w:tc>
          <w:tcPr>
            <w:tcW w:w="567" w:type="dxa"/>
          </w:tcPr>
          <w:p>
            <w:pPr>
              <w:pStyle w:val="yTableNAm"/>
            </w:pPr>
          </w:p>
        </w:tc>
        <w:tc>
          <w:tcPr>
            <w:tcW w:w="4391" w:type="dxa"/>
          </w:tcPr>
          <w:p>
            <w:pPr>
              <w:pStyle w:val="yTableNAm"/>
              <w:tabs>
                <w:tab w:val="clear" w:pos="567"/>
                <w:tab w:val="left" w:pos="415"/>
              </w:tabs>
              <w:ind w:left="415" w:hanging="415"/>
            </w:pPr>
            <w:r>
              <w:t>•</w:t>
            </w:r>
            <w:r>
              <w:tab/>
              <w:t>for one month or more, per month, paid in advance</w:t>
            </w:r>
          </w:p>
        </w:tc>
        <w:tc>
          <w:tcPr>
            <w:tcW w:w="995" w:type="dxa"/>
            <w:vAlign w:val="bottom"/>
          </w:tcPr>
          <w:p>
            <w:pPr>
              <w:pStyle w:val="yTableNAm"/>
              <w:jc w:val="right"/>
              <w:rPr>
                <w:szCs w:val="22"/>
              </w:rPr>
            </w:pPr>
            <w:r>
              <w:rPr>
                <w:szCs w:val="22"/>
              </w:rPr>
              <w:t>38.96</w:t>
            </w:r>
          </w:p>
        </w:tc>
      </w:tr>
      <w:tr>
        <w:trPr>
          <w:cantSplit/>
        </w:trPr>
        <w:tc>
          <w:tcPr>
            <w:tcW w:w="567" w:type="dxa"/>
          </w:tcPr>
          <w:p>
            <w:pPr>
              <w:pStyle w:val="yTableNAm"/>
            </w:pPr>
          </w:p>
        </w:tc>
        <w:tc>
          <w:tcPr>
            <w:tcW w:w="4391" w:type="dxa"/>
          </w:tcPr>
          <w:p>
            <w:pPr>
              <w:pStyle w:val="yTableNAm"/>
              <w:tabs>
                <w:tab w:val="clear" w:pos="567"/>
                <w:tab w:val="left" w:pos="415"/>
              </w:tabs>
              <w:ind w:left="415" w:hanging="415"/>
            </w:pPr>
            <w:r>
              <w:t>•</w:t>
            </w:r>
            <w:r>
              <w:tab/>
              <w:t>for one week or more, per week, paid in advance</w:t>
            </w:r>
          </w:p>
        </w:tc>
        <w:tc>
          <w:tcPr>
            <w:tcW w:w="995" w:type="dxa"/>
            <w:vAlign w:val="bottom"/>
          </w:tcPr>
          <w:p>
            <w:pPr>
              <w:pStyle w:val="yTableNAm"/>
              <w:jc w:val="right"/>
              <w:rPr>
                <w:szCs w:val="22"/>
              </w:rPr>
            </w:pPr>
            <w:r>
              <w:rPr>
                <w:szCs w:val="22"/>
              </w:rPr>
              <w:t>29.36</w:t>
            </w:r>
          </w:p>
        </w:tc>
      </w:tr>
      <w:tr>
        <w:trPr>
          <w:cantSplit/>
        </w:trPr>
        <w:tc>
          <w:tcPr>
            <w:tcW w:w="567" w:type="dxa"/>
          </w:tcPr>
          <w:p>
            <w:pPr>
              <w:pStyle w:val="yTableNAm"/>
            </w:pPr>
          </w:p>
        </w:tc>
        <w:tc>
          <w:tcPr>
            <w:tcW w:w="4391" w:type="dxa"/>
          </w:tcPr>
          <w:p>
            <w:pPr>
              <w:pStyle w:val="yTableNAm"/>
              <w:tabs>
                <w:tab w:val="clear" w:pos="567"/>
                <w:tab w:val="left" w:pos="415"/>
              </w:tabs>
              <w:ind w:left="415" w:hanging="415"/>
            </w:pPr>
            <w:r>
              <w:t>•</w:t>
            </w:r>
            <w:r>
              <w:tab/>
              <w:t>otherwise, per day</w:t>
            </w:r>
          </w:p>
        </w:tc>
        <w:tc>
          <w:tcPr>
            <w:tcW w:w="995" w:type="dxa"/>
            <w:vAlign w:val="bottom"/>
          </w:tcPr>
          <w:p>
            <w:pPr>
              <w:pStyle w:val="yTableNAm"/>
              <w:jc w:val="right"/>
              <w:rPr>
                <w:szCs w:val="22"/>
              </w:rPr>
            </w:pPr>
            <w:r>
              <w:rPr>
                <w:szCs w:val="22"/>
              </w:rPr>
              <w:t>5.87</w:t>
            </w:r>
          </w:p>
        </w:tc>
      </w:tr>
      <w:tr>
        <w:trPr>
          <w:cantSplit/>
        </w:trPr>
        <w:tc>
          <w:tcPr>
            <w:tcW w:w="567" w:type="dxa"/>
          </w:tcPr>
          <w:p>
            <w:pPr>
              <w:pStyle w:val="yTableNAm"/>
            </w:pPr>
          </w:p>
        </w:tc>
        <w:tc>
          <w:tcPr>
            <w:tcW w:w="4391" w:type="dxa"/>
          </w:tcPr>
          <w:p>
            <w:pPr>
              <w:pStyle w:val="yTableNAm"/>
              <w:tabs>
                <w:tab w:val="clear" w:pos="567"/>
                <w:tab w:val="left" w:pos="415"/>
              </w:tabs>
              <w:ind w:left="415" w:hanging="415"/>
            </w:pPr>
            <w:r>
              <w:t>•</w:t>
            </w:r>
            <w:r>
              <w:tab/>
              <w:t>minimum overnight</w:t>
            </w:r>
          </w:p>
        </w:tc>
        <w:tc>
          <w:tcPr>
            <w:tcW w:w="995" w:type="dxa"/>
            <w:vAlign w:val="bottom"/>
          </w:tcPr>
          <w:p>
            <w:pPr>
              <w:pStyle w:val="yTableNAm"/>
              <w:jc w:val="right"/>
              <w:rPr>
                <w:szCs w:val="22"/>
              </w:rPr>
            </w:pPr>
            <w:r>
              <w:rPr>
                <w:szCs w:val="22"/>
              </w:rPr>
              <w:t>58.71</w:t>
            </w:r>
          </w:p>
        </w:tc>
      </w:tr>
      <w:tr>
        <w:trPr>
          <w:cantSplit/>
        </w:trPr>
        <w:tc>
          <w:tcPr>
            <w:tcW w:w="567" w:type="dxa"/>
          </w:tcPr>
          <w:p>
            <w:pPr>
              <w:pStyle w:val="yTableNAm"/>
            </w:pPr>
            <w:r>
              <w:t>2.</w:t>
            </w:r>
          </w:p>
        </w:tc>
        <w:tc>
          <w:tcPr>
            <w:tcW w:w="4391" w:type="dxa"/>
          </w:tcPr>
          <w:p>
            <w:pPr>
              <w:pStyle w:val="yTableNAm"/>
            </w:pPr>
            <w:r>
              <w:t xml:space="preserve">For use of service jetty by vessel if pen available — </w:t>
            </w:r>
          </w:p>
        </w:tc>
        <w:tc>
          <w:tcPr>
            <w:tcW w:w="995" w:type="dxa"/>
            <w:vAlign w:val="bottom"/>
          </w:tcPr>
          <w:p>
            <w:pPr>
              <w:pStyle w:val="yTableNAm"/>
              <w:jc w:val="right"/>
              <w:rPr>
                <w:szCs w:val="22"/>
              </w:rPr>
            </w:pPr>
          </w:p>
        </w:tc>
      </w:tr>
      <w:tr>
        <w:trPr>
          <w:cantSplit/>
        </w:trPr>
        <w:tc>
          <w:tcPr>
            <w:tcW w:w="567" w:type="dxa"/>
          </w:tcPr>
          <w:p>
            <w:pPr>
              <w:pStyle w:val="yTableNAm"/>
            </w:pPr>
          </w:p>
        </w:tc>
        <w:tc>
          <w:tcPr>
            <w:tcW w:w="4391" w:type="dxa"/>
          </w:tcPr>
          <w:p>
            <w:pPr>
              <w:pStyle w:val="yTableNAm"/>
              <w:tabs>
                <w:tab w:val="clear" w:pos="567"/>
                <w:tab w:val="left" w:pos="415"/>
              </w:tabs>
              <w:ind w:left="415" w:hanging="415"/>
            </w:pPr>
            <w:r>
              <w:t>•</w:t>
            </w:r>
            <w:r>
              <w:tab/>
              <w:t>per m of the vessel’s length, per day</w:t>
            </w:r>
          </w:p>
        </w:tc>
        <w:tc>
          <w:tcPr>
            <w:tcW w:w="995" w:type="dxa"/>
            <w:vAlign w:val="bottom"/>
          </w:tcPr>
          <w:p>
            <w:pPr>
              <w:pStyle w:val="yTableNAm"/>
              <w:jc w:val="right"/>
              <w:rPr>
                <w:szCs w:val="22"/>
              </w:rPr>
            </w:pPr>
            <w:r>
              <w:rPr>
                <w:szCs w:val="22"/>
              </w:rPr>
              <w:t>7.80</w:t>
            </w:r>
          </w:p>
        </w:tc>
      </w:tr>
      <w:tr>
        <w:trPr>
          <w:cantSplit/>
        </w:trPr>
        <w:tc>
          <w:tcPr>
            <w:tcW w:w="567" w:type="dxa"/>
          </w:tcPr>
          <w:p>
            <w:pPr>
              <w:pStyle w:val="yTableNAm"/>
            </w:pPr>
          </w:p>
        </w:tc>
        <w:tc>
          <w:tcPr>
            <w:tcW w:w="4391" w:type="dxa"/>
          </w:tcPr>
          <w:p>
            <w:pPr>
              <w:pStyle w:val="yTableNAm"/>
              <w:tabs>
                <w:tab w:val="clear" w:pos="567"/>
                <w:tab w:val="left" w:pos="415"/>
              </w:tabs>
              <w:ind w:left="415" w:hanging="415"/>
            </w:pPr>
            <w:r>
              <w:t>•</w:t>
            </w:r>
            <w:r>
              <w:tab/>
              <w:t>minimum overnight</w:t>
            </w:r>
          </w:p>
        </w:tc>
        <w:tc>
          <w:tcPr>
            <w:tcW w:w="995" w:type="dxa"/>
            <w:vAlign w:val="bottom"/>
          </w:tcPr>
          <w:p>
            <w:pPr>
              <w:pStyle w:val="yTableNAm"/>
              <w:jc w:val="right"/>
              <w:rPr>
                <w:szCs w:val="22"/>
              </w:rPr>
            </w:pPr>
            <w:r>
              <w:rPr>
                <w:szCs w:val="22"/>
              </w:rPr>
              <w:t>78.14</w:t>
            </w:r>
          </w:p>
        </w:tc>
      </w:tr>
      <w:tr>
        <w:trPr>
          <w:cantSplit/>
        </w:trPr>
        <w:tc>
          <w:tcPr>
            <w:tcW w:w="567" w:type="dxa"/>
          </w:tcPr>
          <w:p>
            <w:pPr>
              <w:pStyle w:val="yTableNAm"/>
            </w:pPr>
            <w:r>
              <w:t>3.</w:t>
            </w:r>
          </w:p>
        </w:tc>
        <w:tc>
          <w:tcPr>
            <w:tcW w:w="4391" w:type="dxa"/>
          </w:tcPr>
          <w:p>
            <w:pPr>
              <w:pStyle w:val="yTableNAm"/>
            </w:pPr>
            <w:r>
              <w:t xml:space="preserve">For use of service jetty by vessel if pen not available — </w:t>
            </w:r>
          </w:p>
        </w:tc>
        <w:tc>
          <w:tcPr>
            <w:tcW w:w="995" w:type="dxa"/>
            <w:vAlign w:val="bottom"/>
          </w:tcPr>
          <w:p>
            <w:pPr>
              <w:pStyle w:val="yTableNAm"/>
              <w:jc w:val="right"/>
              <w:rPr>
                <w:szCs w:val="22"/>
              </w:rPr>
            </w:pPr>
          </w:p>
        </w:tc>
      </w:tr>
      <w:tr>
        <w:trPr>
          <w:cantSplit/>
        </w:trPr>
        <w:tc>
          <w:tcPr>
            <w:tcW w:w="567" w:type="dxa"/>
          </w:tcPr>
          <w:p>
            <w:pPr>
              <w:pStyle w:val="yTableNAm"/>
            </w:pPr>
          </w:p>
        </w:tc>
        <w:tc>
          <w:tcPr>
            <w:tcW w:w="4391" w:type="dxa"/>
          </w:tcPr>
          <w:p>
            <w:pPr>
              <w:pStyle w:val="yTableNAm"/>
              <w:tabs>
                <w:tab w:val="clear" w:pos="567"/>
                <w:tab w:val="left" w:pos="415"/>
              </w:tabs>
              <w:ind w:left="415" w:hanging="415"/>
            </w:pPr>
            <w:r>
              <w:t>•</w:t>
            </w:r>
            <w:r>
              <w:tab/>
              <w:t>per m of the vessel’s length, per day</w:t>
            </w:r>
          </w:p>
        </w:tc>
        <w:tc>
          <w:tcPr>
            <w:tcW w:w="995" w:type="dxa"/>
            <w:vAlign w:val="bottom"/>
          </w:tcPr>
          <w:p>
            <w:pPr>
              <w:pStyle w:val="yTableNAm"/>
              <w:jc w:val="right"/>
              <w:rPr>
                <w:szCs w:val="22"/>
              </w:rPr>
            </w:pPr>
            <w:r>
              <w:rPr>
                <w:szCs w:val="22"/>
              </w:rPr>
              <w:t>5.23</w:t>
            </w:r>
          </w:p>
        </w:tc>
      </w:tr>
      <w:tr>
        <w:trPr>
          <w:cantSplit/>
        </w:trPr>
        <w:tc>
          <w:tcPr>
            <w:tcW w:w="567" w:type="dxa"/>
          </w:tcPr>
          <w:p>
            <w:pPr>
              <w:pStyle w:val="yTableNAm"/>
            </w:pPr>
          </w:p>
        </w:tc>
        <w:tc>
          <w:tcPr>
            <w:tcW w:w="4391" w:type="dxa"/>
          </w:tcPr>
          <w:p>
            <w:pPr>
              <w:pStyle w:val="yTableNAm"/>
              <w:tabs>
                <w:tab w:val="clear" w:pos="567"/>
                <w:tab w:val="left" w:pos="415"/>
              </w:tabs>
              <w:ind w:left="415" w:hanging="415"/>
            </w:pPr>
            <w:r>
              <w:t>•</w:t>
            </w:r>
            <w:r>
              <w:tab/>
              <w:t>minimum overnight</w:t>
            </w:r>
          </w:p>
        </w:tc>
        <w:tc>
          <w:tcPr>
            <w:tcW w:w="995" w:type="dxa"/>
            <w:vAlign w:val="bottom"/>
          </w:tcPr>
          <w:p>
            <w:pPr>
              <w:pStyle w:val="yTableNAm"/>
              <w:jc w:val="right"/>
              <w:rPr>
                <w:szCs w:val="22"/>
              </w:rPr>
            </w:pPr>
            <w:r>
              <w:rPr>
                <w:szCs w:val="22"/>
              </w:rPr>
              <w:t>52.11</w:t>
            </w:r>
          </w:p>
        </w:tc>
      </w:tr>
      <w:tr>
        <w:trPr>
          <w:cantSplit/>
        </w:trPr>
        <w:tc>
          <w:tcPr>
            <w:tcW w:w="567" w:type="dxa"/>
          </w:tcPr>
          <w:p>
            <w:pPr>
              <w:pStyle w:val="yTableNAm"/>
            </w:pPr>
            <w:r>
              <w:t>4.</w:t>
            </w:r>
          </w:p>
        </w:tc>
        <w:tc>
          <w:tcPr>
            <w:tcW w:w="4391" w:type="dxa"/>
          </w:tcPr>
          <w:p>
            <w:pPr>
              <w:pStyle w:val="yTableNAm"/>
            </w:pPr>
            <w:r>
              <w:t>For use of service jetty by vessel just to load or unload, unless the item 1, 2 or 3 fee has been paid for vessel, per vessel for 12 months paid in advance</w:t>
            </w:r>
          </w:p>
        </w:tc>
        <w:tc>
          <w:tcPr>
            <w:tcW w:w="995" w:type="dxa"/>
            <w:vAlign w:val="bottom"/>
          </w:tcPr>
          <w:p>
            <w:pPr>
              <w:pStyle w:val="yTableNAm"/>
              <w:jc w:val="right"/>
            </w:pPr>
            <w:r>
              <w:t>727.30</w:t>
            </w:r>
          </w:p>
        </w:tc>
      </w:tr>
      <w:tr>
        <w:trPr>
          <w:cantSplit/>
        </w:trPr>
        <w:tc>
          <w:tcPr>
            <w:tcW w:w="567" w:type="dxa"/>
          </w:tcPr>
          <w:p>
            <w:pPr>
              <w:pStyle w:val="yTableNAm"/>
              <w:keepNext/>
              <w:keepLines/>
              <w:rPr>
                <w:rFonts w:ascii="Arial" w:hAnsi="Arial"/>
                <w:b/>
              </w:rPr>
            </w:pPr>
            <w:r>
              <w:t>5.</w:t>
            </w:r>
          </w:p>
        </w:tc>
        <w:tc>
          <w:tcPr>
            <w:tcW w:w="4391" w:type="dxa"/>
          </w:tcPr>
          <w:p>
            <w:pPr>
              <w:pStyle w:val="yTableNAm"/>
              <w:keepNext/>
              <w:keepLines/>
              <w:rPr>
                <w:rFonts w:ascii="Arial" w:hAnsi="Arial"/>
                <w:b/>
              </w:rPr>
            </w:pPr>
            <w:r>
              <w:t>For electricity supply except to vessel for which the item 1, 2 or 3 fee has been paid —</w:t>
            </w:r>
          </w:p>
        </w:tc>
        <w:tc>
          <w:tcPr>
            <w:tcW w:w="995" w:type="dxa"/>
            <w:vAlign w:val="bottom"/>
          </w:tcPr>
          <w:p>
            <w:pPr>
              <w:pStyle w:val="yTableNAm"/>
              <w:keepNext/>
              <w:keepLines/>
              <w:jc w:val="right"/>
            </w:pPr>
          </w:p>
        </w:tc>
      </w:tr>
      <w:tr>
        <w:trPr>
          <w:cantSplit/>
        </w:trPr>
        <w:tc>
          <w:tcPr>
            <w:tcW w:w="567" w:type="dxa"/>
          </w:tcPr>
          <w:p>
            <w:pPr>
              <w:pStyle w:val="yTableNAm"/>
            </w:pPr>
          </w:p>
        </w:tc>
        <w:tc>
          <w:tcPr>
            <w:tcW w:w="4391" w:type="dxa"/>
          </w:tcPr>
          <w:p>
            <w:pPr>
              <w:pStyle w:val="yTableNAm"/>
              <w:tabs>
                <w:tab w:val="clear" w:pos="567"/>
                <w:tab w:val="left" w:pos="415"/>
              </w:tabs>
              <w:ind w:left="415" w:hanging="415"/>
            </w:pPr>
            <w:r>
              <w:t>•</w:t>
            </w:r>
            <w:r>
              <w:tab/>
              <w:t>single phase, if metering indicates usage of more than $6.51 in a day</w:t>
            </w:r>
          </w:p>
        </w:tc>
        <w:tc>
          <w:tcPr>
            <w:tcW w:w="995" w:type="dxa"/>
            <w:vAlign w:val="bottom"/>
          </w:tcPr>
          <w:p>
            <w:pPr>
              <w:pStyle w:val="yTableNAm"/>
              <w:jc w:val="right"/>
            </w:pPr>
            <w:r>
              <w:t>cost</w:t>
            </w:r>
          </w:p>
        </w:tc>
      </w:tr>
      <w:tr>
        <w:trPr>
          <w:cantSplit/>
        </w:trPr>
        <w:tc>
          <w:tcPr>
            <w:tcW w:w="567" w:type="dxa"/>
          </w:tcPr>
          <w:p>
            <w:pPr>
              <w:pStyle w:val="yTableNAm"/>
            </w:pPr>
          </w:p>
        </w:tc>
        <w:tc>
          <w:tcPr>
            <w:tcW w:w="4391" w:type="dxa"/>
          </w:tcPr>
          <w:p>
            <w:pPr>
              <w:pStyle w:val="yTableNAm"/>
              <w:tabs>
                <w:tab w:val="clear" w:pos="567"/>
                <w:tab w:val="left" w:pos="415"/>
              </w:tabs>
              <w:ind w:left="415" w:hanging="415"/>
            </w:pPr>
            <w:r>
              <w:t>•</w:t>
            </w:r>
            <w:r>
              <w:tab/>
              <w:t>single phase, otherwise, per day</w:t>
            </w:r>
          </w:p>
        </w:tc>
        <w:tc>
          <w:tcPr>
            <w:tcW w:w="995" w:type="dxa"/>
            <w:vAlign w:val="bottom"/>
          </w:tcPr>
          <w:p>
            <w:pPr>
              <w:pStyle w:val="yTableNAm"/>
              <w:jc w:val="right"/>
            </w:pPr>
            <w:r>
              <w:t>6.51</w:t>
            </w:r>
          </w:p>
        </w:tc>
      </w:tr>
      <w:tr>
        <w:trPr>
          <w:cantSplit/>
        </w:trPr>
        <w:tc>
          <w:tcPr>
            <w:tcW w:w="567" w:type="dxa"/>
          </w:tcPr>
          <w:p>
            <w:pPr>
              <w:pStyle w:val="yTableNAm"/>
            </w:pPr>
          </w:p>
        </w:tc>
        <w:tc>
          <w:tcPr>
            <w:tcW w:w="4391" w:type="dxa"/>
          </w:tcPr>
          <w:p>
            <w:pPr>
              <w:pStyle w:val="yTableNAm"/>
              <w:tabs>
                <w:tab w:val="clear" w:pos="567"/>
                <w:tab w:val="left" w:pos="415"/>
              </w:tabs>
              <w:ind w:left="415" w:hanging="415"/>
            </w:pPr>
            <w:r>
              <w:t>•</w:t>
            </w:r>
            <w:r>
              <w:tab/>
              <w:t>3</w:t>
            </w:r>
            <w:r>
              <w:noBreakHyphen/>
              <w:t>phase, if metering indicates usage of more than $26.06 in a day</w:t>
            </w:r>
          </w:p>
        </w:tc>
        <w:tc>
          <w:tcPr>
            <w:tcW w:w="995" w:type="dxa"/>
            <w:vAlign w:val="bottom"/>
          </w:tcPr>
          <w:p>
            <w:pPr>
              <w:pStyle w:val="yTableNAm"/>
              <w:jc w:val="right"/>
            </w:pPr>
            <w:r>
              <w:t>cost</w:t>
            </w:r>
          </w:p>
        </w:tc>
      </w:tr>
      <w:tr>
        <w:trPr>
          <w:cantSplit/>
        </w:trPr>
        <w:tc>
          <w:tcPr>
            <w:tcW w:w="567" w:type="dxa"/>
            <w:tcBorders>
              <w:bottom w:val="single" w:sz="4" w:space="0" w:color="auto"/>
            </w:tcBorders>
          </w:tcPr>
          <w:p>
            <w:pPr>
              <w:pStyle w:val="yTableNAm"/>
            </w:pPr>
          </w:p>
        </w:tc>
        <w:tc>
          <w:tcPr>
            <w:tcW w:w="4391" w:type="dxa"/>
            <w:tcBorders>
              <w:bottom w:val="single" w:sz="4" w:space="0" w:color="auto"/>
            </w:tcBorders>
          </w:tcPr>
          <w:p>
            <w:pPr>
              <w:pStyle w:val="yTableNAm"/>
              <w:tabs>
                <w:tab w:val="clear" w:pos="567"/>
                <w:tab w:val="left" w:pos="415"/>
              </w:tabs>
              <w:ind w:left="415" w:hanging="415"/>
            </w:pPr>
            <w:r>
              <w:t>•</w:t>
            </w:r>
            <w:r>
              <w:tab/>
              <w:t>3</w:t>
            </w:r>
            <w:r>
              <w:noBreakHyphen/>
              <w:t>phase, otherwise, per day</w:t>
            </w:r>
          </w:p>
        </w:tc>
        <w:tc>
          <w:tcPr>
            <w:tcW w:w="995" w:type="dxa"/>
            <w:tcBorders>
              <w:bottom w:val="single" w:sz="4" w:space="0" w:color="auto"/>
            </w:tcBorders>
            <w:vAlign w:val="bottom"/>
          </w:tcPr>
          <w:p>
            <w:pPr>
              <w:pStyle w:val="yTableNAm"/>
              <w:jc w:val="right"/>
            </w:pPr>
            <w:r>
              <w:t>26.06</w:t>
            </w:r>
          </w:p>
        </w:tc>
      </w:tr>
    </w:tbl>
    <w:p>
      <w:pPr>
        <w:pStyle w:val="yFootnotesection"/>
      </w:pPr>
      <w:r>
        <w:tab/>
        <w:t>[Clause 16 inserted in Gazette 28 Jun 2013 p. 2860</w:t>
      </w:r>
      <w:r>
        <w:noBreakHyphen/>
        <w:t>2.]</w:t>
      </w:r>
    </w:p>
    <w:p>
      <w:pPr>
        <w:pStyle w:val="yHeading5"/>
      </w:pPr>
      <w:bookmarkStart w:id="158" w:name="_Toc382380052"/>
      <w:r>
        <w:rPr>
          <w:rStyle w:val="CharSClsNo"/>
        </w:rPr>
        <w:t>17</w:t>
      </w:r>
      <w:r>
        <w:t>.</w:t>
      </w:r>
      <w:r>
        <w:rPr>
          <w:b w:val="0"/>
        </w:rPr>
        <w:tab/>
      </w:r>
      <w:r>
        <w:t>Lancelin</w:t>
      </w:r>
      <w:bookmarkEnd w:id="158"/>
    </w:p>
    <w:p>
      <w:pPr>
        <w:pStyle w:val="ySubsection"/>
      </w:pPr>
      <w:r>
        <w:tab/>
        <w:t>(1)</w:t>
      </w:r>
      <w:r>
        <w:tab/>
        <w:t>This clause applies to Lancelin.</w:t>
      </w:r>
    </w:p>
    <w:p>
      <w:pPr>
        <w:pStyle w:val="ySubsection"/>
      </w:pPr>
      <w:r>
        <w:tab/>
        <w:t>(2)</w:t>
      </w:r>
      <w:r>
        <w:tab/>
        <w:t>The fees to be paid under regulation 6 are set out in Table 17.1.</w:t>
      </w:r>
    </w:p>
    <w:p>
      <w:pPr>
        <w:pStyle w:val="yTHeadingNAm"/>
      </w:pPr>
      <w:r>
        <w:t>Table 17.1 (Berthing)</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90"/>
        <w:gridCol w:w="996"/>
      </w:tblGrid>
      <w:tr>
        <w:trPr>
          <w:cantSplit/>
          <w:tblHeader/>
        </w:trPr>
        <w:tc>
          <w:tcPr>
            <w:tcW w:w="567" w:type="dxa"/>
            <w:tcBorders>
              <w:top w:val="single" w:sz="4" w:space="0" w:color="auto"/>
              <w:bottom w:val="single" w:sz="4" w:space="0" w:color="auto"/>
            </w:tcBorders>
          </w:tcPr>
          <w:p>
            <w:pPr>
              <w:pStyle w:val="yTableNAm"/>
              <w:rPr>
                <w:b/>
              </w:rPr>
            </w:pPr>
            <w:r>
              <w:rPr>
                <w:b/>
              </w:rPr>
              <w:t>Item</w:t>
            </w:r>
          </w:p>
        </w:tc>
        <w:tc>
          <w:tcPr>
            <w:tcW w:w="4390" w:type="dxa"/>
            <w:tcBorders>
              <w:top w:val="single" w:sz="4" w:space="0" w:color="auto"/>
              <w:bottom w:val="single" w:sz="4" w:space="0" w:color="auto"/>
            </w:tcBorders>
          </w:tcPr>
          <w:p>
            <w:pPr>
              <w:pStyle w:val="yTableNAm"/>
              <w:rPr>
                <w:b/>
              </w:rPr>
            </w:pPr>
            <w:r>
              <w:rPr>
                <w:b/>
              </w:rPr>
              <w:t>Service</w:t>
            </w:r>
          </w:p>
        </w:tc>
        <w:tc>
          <w:tcPr>
            <w:tcW w:w="996" w:type="dxa"/>
            <w:tcBorders>
              <w:top w:val="single" w:sz="4" w:space="0" w:color="auto"/>
              <w:bottom w:val="single" w:sz="4" w:space="0" w:color="auto"/>
            </w:tcBorders>
          </w:tcPr>
          <w:p>
            <w:pPr>
              <w:pStyle w:val="yTableNAm"/>
              <w:jc w:val="center"/>
              <w:rPr>
                <w:b/>
              </w:rPr>
            </w:pPr>
            <w:r>
              <w:rPr>
                <w:b/>
              </w:rPr>
              <w:t>$</w:t>
            </w:r>
          </w:p>
        </w:tc>
      </w:tr>
      <w:tr>
        <w:trPr>
          <w:cantSplit/>
        </w:trPr>
        <w:tc>
          <w:tcPr>
            <w:tcW w:w="567" w:type="dxa"/>
            <w:tcBorders>
              <w:top w:val="single" w:sz="4" w:space="0" w:color="auto"/>
              <w:bottom w:val="single" w:sz="4" w:space="0" w:color="auto"/>
            </w:tcBorders>
          </w:tcPr>
          <w:p>
            <w:pPr>
              <w:pStyle w:val="yTableNAm"/>
            </w:pPr>
            <w:r>
              <w:t>1.</w:t>
            </w:r>
          </w:p>
        </w:tc>
        <w:tc>
          <w:tcPr>
            <w:tcW w:w="4390" w:type="dxa"/>
            <w:tcBorders>
              <w:top w:val="single" w:sz="4" w:space="0" w:color="auto"/>
              <w:bottom w:val="single" w:sz="4" w:space="0" w:color="auto"/>
            </w:tcBorders>
          </w:tcPr>
          <w:p>
            <w:pPr>
              <w:pStyle w:val="yTableNAm"/>
            </w:pPr>
            <w:r>
              <w:t>For use of service jetty by vessel, per m of the vessel’s length, per day</w:t>
            </w:r>
          </w:p>
        </w:tc>
        <w:tc>
          <w:tcPr>
            <w:tcW w:w="996" w:type="dxa"/>
            <w:tcBorders>
              <w:top w:val="single" w:sz="4" w:space="0" w:color="auto"/>
              <w:bottom w:val="single" w:sz="4" w:space="0" w:color="auto"/>
            </w:tcBorders>
          </w:tcPr>
          <w:p>
            <w:pPr>
              <w:pStyle w:val="yTableNAm"/>
              <w:jc w:val="right"/>
            </w:pPr>
            <w:r>
              <w:br/>
              <w:t>6.55</w:t>
            </w:r>
          </w:p>
        </w:tc>
      </w:tr>
    </w:tbl>
    <w:p>
      <w:pPr>
        <w:pStyle w:val="yFootnotesection"/>
      </w:pPr>
      <w:r>
        <w:tab/>
        <w:t>[Clause 17 inserted in Gazette 28 Jun 2013 p. 2862.]</w:t>
      </w:r>
    </w:p>
    <w:p>
      <w:pPr>
        <w:pStyle w:val="yHeading5"/>
      </w:pPr>
      <w:bookmarkStart w:id="159" w:name="_Toc382380053"/>
      <w:r>
        <w:rPr>
          <w:rStyle w:val="CharSClsNo"/>
        </w:rPr>
        <w:t>18</w:t>
      </w:r>
      <w:r>
        <w:t>.</w:t>
      </w:r>
      <w:r>
        <w:rPr>
          <w:b w:val="0"/>
        </w:rPr>
        <w:tab/>
      </w:r>
      <w:r>
        <w:t>Leeman</w:t>
      </w:r>
      <w:bookmarkEnd w:id="159"/>
    </w:p>
    <w:p>
      <w:pPr>
        <w:pStyle w:val="ySubsection"/>
      </w:pPr>
      <w:r>
        <w:tab/>
        <w:t>(1)</w:t>
      </w:r>
      <w:r>
        <w:tab/>
        <w:t>This clause applies to Leeman.</w:t>
      </w:r>
    </w:p>
    <w:p>
      <w:pPr>
        <w:pStyle w:val="ySubsection"/>
      </w:pPr>
      <w:r>
        <w:tab/>
        <w:t>(2)</w:t>
      </w:r>
      <w:r>
        <w:tab/>
        <w:t>The fees and charges to be paid under regulation 6 are set out in Table 18.1.</w:t>
      </w:r>
    </w:p>
    <w:p>
      <w:pPr>
        <w:pStyle w:val="yTHeadingNAm"/>
      </w:pPr>
      <w:r>
        <w:t>Table 18.1 (Berthing)</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90"/>
        <w:gridCol w:w="996"/>
      </w:tblGrid>
      <w:tr>
        <w:trPr>
          <w:cantSplit/>
          <w:tblHeader/>
        </w:trPr>
        <w:tc>
          <w:tcPr>
            <w:tcW w:w="567" w:type="dxa"/>
            <w:tcBorders>
              <w:top w:val="single" w:sz="4" w:space="0" w:color="auto"/>
              <w:bottom w:val="single" w:sz="4" w:space="0" w:color="auto"/>
            </w:tcBorders>
          </w:tcPr>
          <w:p>
            <w:pPr>
              <w:pStyle w:val="yTableNAm"/>
              <w:rPr>
                <w:b/>
              </w:rPr>
            </w:pPr>
            <w:r>
              <w:rPr>
                <w:b/>
              </w:rPr>
              <w:t>Item</w:t>
            </w:r>
          </w:p>
        </w:tc>
        <w:tc>
          <w:tcPr>
            <w:tcW w:w="4390" w:type="dxa"/>
            <w:tcBorders>
              <w:top w:val="single" w:sz="4" w:space="0" w:color="auto"/>
              <w:bottom w:val="single" w:sz="4" w:space="0" w:color="auto"/>
            </w:tcBorders>
          </w:tcPr>
          <w:p>
            <w:pPr>
              <w:pStyle w:val="yTableNAm"/>
              <w:rPr>
                <w:b/>
              </w:rPr>
            </w:pPr>
            <w:r>
              <w:rPr>
                <w:b/>
              </w:rPr>
              <w:t>Service</w:t>
            </w:r>
          </w:p>
        </w:tc>
        <w:tc>
          <w:tcPr>
            <w:tcW w:w="996" w:type="dxa"/>
            <w:tcBorders>
              <w:top w:val="single" w:sz="4" w:space="0" w:color="auto"/>
              <w:bottom w:val="single" w:sz="4" w:space="0" w:color="auto"/>
            </w:tcBorders>
          </w:tcPr>
          <w:p>
            <w:pPr>
              <w:pStyle w:val="yTableNAm"/>
              <w:jc w:val="center"/>
              <w:rPr>
                <w:b/>
              </w:rPr>
            </w:pPr>
            <w:r>
              <w:rPr>
                <w:b/>
              </w:rPr>
              <w:t>$</w:t>
            </w:r>
          </w:p>
        </w:tc>
      </w:tr>
      <w:tr>
        <w:trPr>
          <w:cantSplit/>
        </w:trPr>
        <w:tc>
          <w:tcPr>
            <w:tcW w:w="567" w:type="dxa"/>
          </w:tcPr>
          <w:p>
            <w:pPr>
              <w:pStyle w:val="yTableNAm"/>
            </w:pPr>
            <w:r>
              <w:t>1.</w:t>
            </w:r>
          </w:p>
        </w:tc>
        <w:tc>
          <w:tcPr>
            <w:tcW w:w="4390" w:type="dxa"/>
          </w:tcPr>
          <w:p>
            <w:pPr>
              <w:pStyle w:val="yTableNAm"/>
            </w:pPr>
            <w:r>
              <w:t xml:space="preserve">For use of service jetty by vessel — </w:t>
            </w:r>
          </w:p>
        </w:tc>
        <w:tc>
          <w:tcPr>
            <w:tcW w:w="996" w:type="dxa"/>
          </w:tcPr>
          <w:p>
            <w:pPr>
              <w:pStyle w:val="yTableNAm"/>
              <w:jc w:val="right"/>
            </w:pP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per m of the vessel’s length, per day</w:t>
            </w:r>
          </w:p>
        </w:tc>
        <w:tc>
          <w:tcPr>
            <w:tcW w:w="996" w:type="dxa"/>
          </w:tcPr>
          <w:p>
            <w:pPr>
              <w:pStyle w:val="yTableNAm"/>
              <w:jc w:val="right"/>
            </w:pPr>
            <w:r>
              <w:t>4.09</w:t>
            </w:r>
          </w:p>
        </w:tc>
      </w:tr>
      <w:tr>
        <w:trPr>
          <w:cantSplit/>
        </w:trPr>
        <w:tc>
          <w:tcPr>
            <w:tcW w:w="567" w:type="dxa"/>
            <w:tcBorders>
              <w:bottom w:val="single" w:sz="4" w:space="0" w:color="auto"/>
            </w:tcBorders>
          </w:tcPr>
          <w:p>
            <w:pPr>
              <w:pStyle w:val="yTableNAm"/>
            </w:pPr>
          </w:p>
        </w:tc>
        <w:tc>
          <w:tcPr>
            <w:tcW w:w="4390" w:type="dxa"/>
            <w:tcBorders>
              <w:bottom w:val="single" w:sz="4" w:space="0" w:color="auto"/>
            </w:tcBorders>
          </w:tcPr>
          <w:p>
            <w:pPr>
              <w:pStyle w:val="yTableNAm"/>
              <w:tabs>
                <w:tab w:val="clear" w:pos="567"/>
                <w:tab w:val="left" w:pos="415"/>
              </w:tabs>
              <w:ind w:left="415" w:hanging="415"/>
            </w:pPr>
            <w:r>
              <w:t>•</w:t>
            </w:r>
            <w:r>
              <w:tab/>
              <w:t>minimum overnight</w:t>
            </w:r>
          </w:p>
        </w:tc>
        <w:tc>
          <w:tcPr>
            <w:tcW w:w="996" w:type="dxa"/>
            <w:tcBorders>
              <w:bottom w:val="single" w:sz="4" w:space="0" w:color="auto"/>
            </w:tcBorders>
          </w:tcPr>
          <w:p>
            <w:pPr>
              <w:pStyle w:val="yTableNAm"/>
              <w:jc w:val="right"/>
            </w:pPr>
            <w:r>
              <w:t>61.44</w:t>
            </w:r>
          </w:p>
        </w:tc>
      </w:tr>
    </w:tbl>
    <w:p>
      <w:pPr>
        <w:pStyle w:val="yFootnotesection"/>
      </w:pPr>
      <w:r>
        <w:tab/>
        <w:t>[Clause 18 inserted in Gazette 28 Jun 2013 p. 2862.]</w:t>
      </w:r>
    </w:p>
    <w:p>
      <w:pPr>
        <w:pStyle w:val="yHeading5"/>
      </w:pPr>
      <w:bookmarkStart w:id="160" w:name="_Toc382380054"/>
      <w:r>
        <w:rPr>
          <w:rStyle w:val="CharSClsNo"/>
        </w:rPr>
        <w:t>19</w:t>
      </w:r>
      <w:r>
        <w:t>.</w:t>
      </w:r>
      <w:r>
        <w:rPr>
          <w:b w:val="0"/>
        </w:rPr>
        <w:tab/>
      </w:r>
      <w:r>
        <w:t xml:space="preserve">Onslow, </w:t>
      </w:r>
      <w:smartTag w:uri="urn:schemas-microsoft-com:office:smarttags" w:element="place">
        <w:smartTag w:uri="urn:schemas-microsoft-com:office:smarttags" w:element="PlaceName">
          <w:r>
            <w:t>Beadon</w:t>
          </w:r>
        </w:smartTag>
        <w:r>
          <w:t xml:space="preserve"> </w:t>
        </w:r>
        <w:smartTag w:uri="urn:schemas-microsoft-com:office:smarttags" w:element="PlaceType">
          <w:r>
            <w:t>Creek</w:t>
          </w:r>
        </w:smartTag>
        <w:r>
          <w:t xml:space="preserve"> </w:t>
        </w:r>
        <w:smartTag w:uri="urn:schemas-microsoft-com:office:smarttags" w:element="PlaceName">
          <w:r>
            <w:t>Boat</w:t>
          </w:r>
        </w:smartTag>
        <w:r>
          <w:t xml:space="preserve"> </w:t>
        </w:r>
        <w:smartTag w:uri="urn:schemas-microsoft-com:office:smarttags" w:element="PlaceType">
          <w:r>
            <w:t>Harbour</w:t>
          </w:r>
        </w:smartTag>
      </w:smartTag>
      <w:bookmarkEnd w:id="160"/>
    </w:p>
    <w:p>
      <w:pPr>
        <w:pStyle w:val="ySubsection"/>
      </w:pPr>
      <w:r>
        <w:tab/>
        <w:t>(1)</w:t>
      </w:r>
      <w:r>
        <w:tab/>
        <w:t xml:space="preserve">This clause applies to the </w:t>
      </w:r>
      <w:smartTag w:uri="urn:schemas-microsoft-com:office:smarttags" w:element="place">
        <w:smartTag w:uri="urn:schemas-microsoft-com:office:smarttags" w:element="PlaceName">
          <w:r>
            <w:t>Beadon</w:t>
          </w:r>
        </w:smartTag>
        <w:r>
          <w:t xml:space="preserve"> </w:t>
        </w:r>
        <w:smartTag w:uri="urn:schemas-microsoft-com:office:smarttags" w:element="PlaceType">
          <w:r>
            <w:t>Creek</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 xml:space="preserve"> at Onslow.</w:t>
      </w:r>
    </w:p>
    <w:p>
      <w:pPr>
        <w:pStyle w:val="ySubsection"/>
      </w:pPr>
      <w:r>
        <w:tab/>
        <w:t>(2)</w:t>
      </w:r>
      <w:r>
        <w:tab/>
        <w:t xml:space="preserve">In this clause a reference to a </w:t>
      </w:r>
      <w:r>
        <w:rPr>
          <w:rStyle w:val="CharDefText"/>
        </w:rPr>
        <w:t>service vessel</w:t>
      </w:r>
      <w:r>
        <w:t xml:space="preserve"> is a reference to any vessel other than a recreational vessel, tourism vessel or fishing vessel.</w:t>
      </w:r>
    </w:p>
    <w:p>
      <w:pPr>
        <w:pStyle w:val="ySubsection"/>
      </w:pPr>
      <w:r>
        <w:tab/>
        <w:t>(3)</w:t>
      </w:r>
      <w:r>
        <w:tab/>
        <w:t>The charges and dues to be paid under regulation 10A are set out in Table 19.1.</w:t>
      </w:r>
    </w:p>
    <w:p>
      <w:pPr>
        <w:pStyle w:val="yTHeadingNAm"/>
      </w:pPr>
      <w:r>
        <w:t>Table 19.1 (Wharfage)</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94"/>
        <w:gridCol w:w="992"/>
      </w:tblGrid>
      <w:tr>
        <w:trPr>
          <w:cantSplit/>
          <w:tblHeader/>
        </w:trPr>
        <w:tc>
          <w:tcPr>
            <w:tcW w:w="567" w:type="dxa"/>
            <w:tcBorders>
              <w:top w:val="single" w:sz="4" w:space="0" w:color="auto"/>
              <w:bottom w:val="single" w:sz="4" w:space="0" w:color="auto"/>
            </w:tcBorders>
          </w:tcPr>
          <w:p>
            <w:pPr>
              <w:pStyle w:val="yTableNAm"/>
              <w:rPr>
                <w:b/>
              </w:rPr>
            </w:pPr>
            <w:r>
              <w:rPr>
                <w:b/>
              </w:rPr>
              <w:t>Item</w:t>
            </w:r>
          </w:p>
        </w:tc>
        <w:tc>
          <w:tcPr>
            <w:tcW w:w="4394" w:type="dxa"/>
            <w:tcBorders>
              <w:top w:val="single" w:sz="4" w:space="0" w:color="auto"/>
              <w:bottom w:val="single" w:sz="4" w:space="0" w:color="auto"/>
            </w:tcBorders>
          </w:tcPr>
          <w:p>
            <w:pPr>
              <w:pStyle w:val="yTableNAm"/>
              <w:rPr>
                <w:b/>
              </w:rPr>
            </w:pPr>
            <w:r>
              <w:rPr>
                <w:b/>
              </w:rPr>
              <w:t>Goods</w:t>
            </w:r>
          </w:p>
        </w:tc>
        <w:tc>
          <w:tcPr>
            <w:tcW w:w="992" w:type="dxa"/>
            <w:tcBorders>
              <w:top w:val="single" w:sz="4" w:space="0" w:color="auto"/>
              <w:bottom w:val="single" w:sz="4" w:space="0" w:color="auto"/>
            </w:tcBorders>
          </w:tcPr>
          <w:p>
            <w:pPr>
              <w:pStyle w:val="yTableNAm"/>
              <w:jc w:val="center"/>
              <w:rPr>
                <w:b/>
              </w:rPr>
            </w:pPr>
            <w:r>
              <w:rPr>
                <w:b/>
              </w:rPr>
              <w:t>$</w:t>
            </w:r>
          </w:p>
        </w:tc>
      </w:tr>
      <w:tr>
        <w:trPr>
          <w:cantSplit/>
        </w:trPr>
        <w:tc>
          <w:tcPr>
            <w:tcW w:w="567" w:type="dxa"/>
          </w:tcPr>
          <w:p>
            <w:pPr>
              <w:pStyle w:val="yTableNAm"/>
            </w:pPr>
            <w:r>
              <w:t>1.</w:t>
            </w:r>
          </w:p>
        </w:tc>
        <w:tc>
          <w:tcPr>
            <w:tcW w:w="4394" w:type="dxa"/>
          </w:tcPr>
          <w:p>
            <w:pPr>
              <w:pStyle w:val="yTableNAm"/>
            </w:pPr>
            <w:r>
              <w:t>General cargo at the service wharf or an appurtenant area —</w:t>
            </w:r>
          </w:p>
        </w:tc>
        <w:tc>
          <w:tcPr>
            <w:tcW w:w="992" w:type="dxa"/>
          </w:tcPr>
          <w:p>
            <w:pPr>
              <w:pStyle w:val="yTableNAm"/>
              <w:jc w:val="right"/>
            </w:pPr>
          </w:p>
        </w:tc>
      </w:tr>
      <w:tr>
        <w:trPr>
          <w:cantSplit/>
        </w:trPr>
        <w:tc>
          <w:tcPr>
            <w:tcW w:w="567" w:type="dxa"/>
          </w:tcPr>
          <w:p>
            <w:pPr>
              <w:pStyle w:val="yTableNAm"/>
            </w:pPr>
          </w:p>
        </w:tc>
        <w:tc>
          <w:tcPr>
            <w:tcW w:w="4394" w:type="dxa"/>
          </w:tcPr>
          <w:p>
            <w:pPr>
              <w:pStyle w:val="yTableNAm"/>
              <w:tabs>
                <w:tab w:val="clear" w:pos="567"/>
                <w:tab w:val="left" w:pos="415"/>
              </w:tabs>
              <w:ind w:left="415" w:hanging="415"/>
            </w:pPr>
            <w:r>
              <w:t>•</w:t>
            </w:r>
            <w:r>
              <w:tab/>
              <w:t>if loaded from or into vessel, per t or m</w:t>
            </w:r>
            <w:r>
              <w:rPr>
                <w:vertAlign w:val="superscript"/>
              </w:rPr>
              <w:t>3</w:t>
            </w:r>
          </w:p>
        </w:tc>
        <w:tc>
          <w:tcPr>
            <w:tcW w:w="992" w:type="dxa"/>
          </w:tcPr>
          <w:p>
            <w:pPr>
              <w:pStyle w:val="yTableNAm"/>
              <w:jc w:val="right"/>
            </w:pPr>
            <w:r>
              <w:t>6.24</w:t>
            </w:r>
          </w:p>
        </w:tc>
      </w:tr>
      <w:tr>
        <w:trPr>
          <w:cantSplit/>
        </w:trPr>
        <w:tc>
          <w:tcPr>
            <w:tcW w:w="567" w:type="dxa"/>
            <w:tcBorders>
              <w:bottom w:val="single" w:sz="4" w:space="0" w:color="auto"/>
            </w:tcBorders>
          </w:tcPr>
          <w:p>
            <w:pPr>
              <w:pStyle w:val="yTableNAm"/>
            </w:pPr>
          </w:p>
        </w:tc>
        <w:tc>
          <w:tcPr>
            <w:tcW w:w="4394" w:type="dxa"/>
            <w:tcBorders>
              <w:bottom w:val="single" w:sz="4" w:space="0" w:color="auto"/>
            </w:tcBorders>
          </w:tcPr>
          <w:p>
            <w:pPr>
              <w:pStyle w:val="yTableNAm"/>
              <w:tabs>
                <w:tab w:val="clear" w:pos="567"/>
                <w:tab w:val="left" w:pos="415"/>
              </w:tabs>
              <w:ind w:left="415" w:hanging="415"/>
            </w:pPr>
            <w:r>
              <w:t>•</w:t>
            </w:r>
            <w:r>
              <w:tab/>
              <w:t>if vessel is lifted, per m of the vessel’s length</w:t>
            </w:r>
          </w:p>
        </w:tc>
        <w:tc>
          <w:tcPr>
            <w:tcW w:w="992" w:type="dxa"/>
            <w:tcBorders>
              <w:bottom w:val="single" w:sz="4" w:space="0" w:color="auto"/>
            </w:tcBorders>
          </w:tcPr>
          <w:p>
            <w:pPr>
              <w:pStyle w:val="yTableNAm"/>
              <w:jc w:val="right"/>
            </w:pPr>
            <w:r>
              <w:t>14.07</w:t>
            </w:r>
          </w:p>
        </w:tc>
      </w:tr>
    </w:tbl>
    <w:p>
      <w:pPr>
        <w:pStyle w:val="ySubsection"/>
      </w:pPr>
      <w:r>
        <w:tab/>
        <w:t>(4)</w:t>
      </w:r>
      <w:r>
        <w:tab/>
        <w:t>The fees and charges to be paid under regulations 6, 94A and 94B are set out in Table 19.2.</w:t>
      </w:r>
    </w:p>
    <w:p>
      <w:pPr>
        <w:pStyle w:val="yTHeadingNAm"/>
      </w:pPr>
      <w:r>
        <w:t>Table 19.2 (Berthing, pen rental and mooring)</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90"/>
        <w:gridCol w:w="996"/>
      </w:tblGrid>
      <w:tr>
        <w:trPr>
          <w:cantSplit/>
          <w:tblHeader/>
        </w:trPr>
        <w:tc>
          <w:tcPr>
            <w:tcW w:w="567" w:type="dxa"/>
            <w:tcBorders>
              <w:top w:val="single" w:sz="4" w:space="0" w:color="auto"/>
              <w:bottom w:val="single" w:sz="4" w:space="0" w:color="auto"/>
            </w:tcBorders>
          </w:tcPr>
          <w:p>
            <w:pPr>
              <w:pStyle w:val="yTableNAm"/>
              <w:rPr>
                <w:b/>
              </w:rPr>
            </w:pPr>
            <w:r>
              <w:rPr>
                <w:b/>
              </w:rPr>
              <w:t>Item</w:t>
            </w:r>
          </w:p>
        </w:tc>
        <w:tc>
          <w:tcPr>
            <w:tcW w:w="4390" w:type="dxa"/>
            <w:tcBorders>
              <w:top w:val="single" w:sz="4" w:space="0" w:color="auto"/>
              <w:bottom w:val="single" w:sz="4" w:space="0" w:color="auto"/>
            </w:tcBorders>
          </w:tcPr>
          <w:p>
            <w:pPr>
              <w:pStyle w:val="yTableNAm"/>
              <w:rPr>
                <w:b/>
              </w:rPr>
            </w:pPr>
            <w:r>
              <w:rPr>
                <w:b/>
              </w:rPr>
              <w:t>Service</w:t>
            </w:r>
          </w:p>
        </w:tc>
        <w:tc>
          <w:tcPr>
            <w:tcW w:w="996" w:type="dxa"/>
            <w:tcBorders>
              <w:top w:val="single" w:sz="4" w:space="0" w:color="auto"/>
              <w:bottom w:val="single" w:sz="4" w:space="0" w:color="auto"/>
            </w:tcBorders>
          </w:tcPr>
          <w:p>
            <w:pPr>
              <w:pStyle w:val="yTableNAm"/>
              <w:jc w:val="center"/>
              <w:rPr>
                <w:b/>
              </w:rPr>
            </w:pPr>
            <w:r>
              <w:rPr>
                <w:b/>
              </w:rPr>
              <w:t>$</w:t>
            </w:r>
          </w:p>
        </w:tc>
      </w:tr>
      <w:tr>
        <w:trPr>
          <w:cantSplit/>
        </w:trPr>
        <w:tc>
          <w:tcPr>
            <w:tcW w:w="567" w:type="dxa"/>
          </w:tcPr>
          <w:p>
            <w:pPr>
              <w:pStyle w:val="yTableNAm"/>
            </w:pPr>
            <w:r>
              <w:t>1.</w:t>
            </w:r>
          </w:p>
        </w:tc>
        <w:tc>
          <w:tcPr>
            <w:tcW w:w="4390" w:type="dxa"/>
          </w:tcPr>
          <w:p>
            <w:pPr>
              <w:pStyle w:val="yTableNAm"/>
            </w:pPr>
            <w:r>
              <w:t xml:space="preserve">For shared berthing on mooring piles or service wharf by recreational vessel, tourism vessel or fishing vessel, per m of the vessel’s length — </w:t>
            </w:r>
          </w:p>
          <w:p>
            <w:pPr>
              <w:pStyle w:val="NotesPerm"/>
              <w:tabs>
                <w:tab w:val="clear" w:pos="879"/>
                <w:tab w:val="left" w:pos="652"/>
              </w:tabs>
              <w:ind w:left="652" w:hanging="652"/>
            </w:pPr>
            <w:r>
              <w:t>Note:</w:t>
            </w:r>
            <w:r>
              <w:tab/>
              <w:t>includes short</w:t>
            </w:r>
            <w:r>
              <w:noBreakHyphen/>
              <w:t>term loading/unloading of goods and passengers on service wharf limited to 2 hours per day, otherwise item 3 fees will apply after 2 hours</w:t>
            </w:r>
          </w:p>
        </w:tc>
        <w:tc>
          <w:tcPr>
            <w:tcW w:w="996" w:type="dxa"/>
            <w:vAlign w:val="bottom"/>
          </w:tcPr>
          <w:p>
            <w:pPr>
              <w:pStyle w:val="yTableNAm"/>
              <w:jc w:val="right"/>
              <w:rPr>
                <w:szCs w:val="22"/>
              </w:rPr>
            </w:pP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12 months, paid in advance</w:t>
            </w:r>
          </w:p>
        </w:tc>
        <w:tc>
          <w:tcPr>
            <w:tcW w:w="996" w:type="dxa"/>
            <w:vAlign w:val="bottom"/>
          </w:tcPr>
          <w:p>
            <w:pPr>
              <w:pStyle w:val="yTableNAm"/>
              <w:jc w:val="right"/>
              <w:rPr>
                <w:szCs w:val="22"/>
              </w:rPr>
            </w:pPr>
            <w:r>
              <w:rPr>
                <w:szCs w:val="22"/>
              </w:rPr>
              <w:t>318.26</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3 months or more, per month, paid in advance</w:t>
            </w:r>
          </w:p>
        </w:tc>
        <w:tc>
          <w:tcPr>
            <w:tcW w:w="996" w:type="dxa"/>
            <w:vAlign w:val="bottom"/>
          </w:tcPr>
          <w:p>
            <w:pPr>
              <w:pStyle w:val="yTableNAm"/>
              <w:jc w:val="right"/>
              <w:rPr>
                <w:szCs w:val="22"/>
              </w:rPr>
            </w:pPr>
            <w:r>
              <w:rPr>
                <w:szCs w:val="22"/>
              </w:rPr>
              <w:t>31.83</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one month or more, per month, paid in advance</w:t>
            </w:r>
          </w:p>
        </w:tc>
        <w:tc>
          <w:tcPr>
            <w:tcW w:w="996" w:type="dxa"/>
            <w:vAlign w:val="bottom"/>
          </w:tcPr>
          <w:p>
            <w:pPr>
              <w:pStyle w:val="yTableNAm"/>
              <w:jc w:val="right"/>
              <w:rPr>
                <w:szCs w:val="22"/>
              </w:rPr>
            </w:pPr>
            <w:r>
              <w:rPr>
                <w:szCs w:val="22"/>
              </w:rPr>
              <w:t>47.74</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one week or more, per week, paid in advance</w:t>
            </w:r>
          </w:p>
        </w:tc>
        <w:tc>
          <w:tcPr>
            <w:tcW w:w="996" w:type="dxa"/>
            <w:vAlign w:val="bottom"/>
          </w:tcPr>
          <w:p>
            <w:pPr>
              <w:pStyle w:val="yTableNAm"/>
              <w:jc w:val="right"/>
              <w:rPr>
                <w:szCs w:val="22"/>
              </w:rPr>
            </w:pPr>
            <w:r>
              <w:rPr>
                <w:szCs w:val="22"/>
              </w:rPr>
              <w:t>39.75</w:t>
            </w:r>
          </w:p>
        </w:tc>
      </w:tr>
      <w:tr>
        <w:trPr>
          <w:cantSplit/>
        </w:trPr>
        <w:tc>
          <w:tcPr>
            <w:tcW w:w="567" w:type="dxa"/>
          </w:tcPr>
          <w:p>
            <w:pPr>
              <w:pStyle w:val="yTableNAm"/>
            </w:pPr>
          </w:p>
        </w:tc>
        <w:tc>
          <w:tcPr>
            <w:tcW w:w="4390" w:type="dxa"/>
          </w:tcPr>
          <w:p>
            <w:pPr>
              <w:pStyle w:val="yTableNAm"/>
              <w:tabs>
                <w:tab w:val="clear" w:pos="567"/>
                <w:tab w:val="left" w:pos="415"/>
              </w:tabs>
              <w:ind w:left="415" w:hanging="415"/>
              <w:rPr>
                <w:b/>
                <w:i/>
              </w:rPr>
            </w:pPr>
            <w:r>
              <w:t>•</w:t>
            </w:r>
            <w:r>
              <w:tab/>
              <w:t>otherwise, per day</w:t>
            </w:r>
          </w:p>
        </w:tc>
        <w:tc>
          <w:tcPr>
            <w:tcW w:w="996" w:type="dxa"/>
            <w:vAlign w:val="bottom"/>
          </w:tcPr>
          <w:p>
            <w:pPr>
              <w:pStyle w:val="yTableNAm"/>
              <w:jc w:val="right"/>
              <w:rPr>
                <w:szCs w:val="22"/>
              </w:rPr>
            </w:pPr>
            <w:r>
              <w:rPr>
                <w:szCs w:val="22"/>
              </w:rPr>
              <w:t>7.95</w:t>
            </w:r>
          </w:p>
        </w:tc>
      </w:tr>
      <w:tr>
        <w:trPr>
          <w:cantSplit/>
        </w:trPr>
        <w:tc>
          <w:tcPr>
            <w:tcW w:w="567" w:type="dxa"/>
          </w:tcPr>
          <w:p>
            <w:pPr>
              <w:pStyle w:val="yTableNAm"/>
            </w:pPr>
            <w:r>
              <w:t>2.</w:t>
            </w:r>
          </w:p>
        </w:tc>
        <w:tc>
          <w:tcPr>
            <w:tcW w:w="4390" w:type="dxa"/>
          </w:tcPr>
          <w:p>
            <w:pPr>
              <w:pStyle w:val="yTableNAm"/>
            </w:pPr>
            <w:r>
              <w:t>For berthing on mooring piles by a service vessel, per m of the vessel’s length —</w:t>
            </w:r>
          </w:p>
        </w:tc>
        <w:tc>
          <w:tcPr>
            <w:tcW w:w="996" w:type="dxa"/>
            <w:vAlign w:val="bottom"/>
          </w:tcPr>
          <w:p>
            <w:pPr>
              <w:pStyle w:val="yTableNAm"/>
              <w:jc w:val="right"/>
              <w:rPr>
                <w:szCs w:val="22"/>
              </w:rPr>
            </w:pP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12 months paid in advance</w:t>
            </w:r>
          </w:p>
        </w:tc>
        <w:tc>
          <w:tcPr>
            <w:tcW w:w="996" w:type="dxa"/>
            <w:vAlign w:val="bottom"/>
          </w:tcPr>
          <w:p>
            <w:pPr>
              <w:pStyle w:val="yTableNAm"/>
              <w:jc w:val="right"/>
              <w:rPr>
                <w:szCs w:val="22"/>
              </w:rPr>
            </w:pPr>
            <w:r>
              <w:rPr>
                <w:szCs w:val="22"/>
              </w:rPr>
              <w:t>339.46</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3 months or more, per month, paid in advance</w:t>
            </w:r>
          </w:p>
        </w:tc>
        <w:tc>
          <w:tcPr>
            <w:tcW w:w="996" w:type="dxa"/>
            <w:vAlign w:val="bottom"/>
          </w:tcPr>
          <w:p>
            <w:pPr>
              <w:pStyle w:val="yTableNAm"/>
              <w:jc w:val="right"/>
              <w:rPr>
                <w:szCs w:val="22"/>
              </w:rPr>
            </w:pPr>
            <w:r>
              <w:rPr>
                <w:szCs w:val="22"/>
              </w:rPr>
              <w:t>33.94</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one month or more, per month, paid in advance</w:t>
            </w:r>
          </w:p>
        </w:tc>
        <w:tc>
          <w:tcPr>
            <w:tcW w:w="996" w:type="dxa"/>
            <w:vAlign w:val="bottom"/>
          </w:tcPr>
          <w:p>
            <w:pPr>
              <w:pStyle w:val="yTableNAm"/>
              <w:jc w:val="right"/>
              <w:rPr>
                <w:szCs w:val="22"/>
              </w:rPr>
            </w:pPr>
            <w:r>
              <w:rPr>
                <w:szCs w:val="22"/>
              </w:rPr>
              <w:t>50.92</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one week or more, per week, paid in advance</w:t>
            </w:r>
          </w:p>
        </w:tc>
        <w:tc>
          <w:tcPr>
            <w:tcW w:w="996" w:type="dxa"/>
            <w:vAlign w:val="bottom"/>
          </w:tcPr>
          <w:p>
            <w:pPr>
              <w:pStyle w:val="yTableNAm"/>
              <w:jc w:val="right"/>
              <w:rPr>
                <w:szCs w:val="22"/>
              </w:rPr>
            </w:pPr>
            <w:r>
              <w:rPr>
                <w:szCs w:val="22"/>
              </w:rPr>
              <w:t>42.39</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otherwise, per day</w:t>
            </w:r>
          </w:p>
        </w:tc>
        <w:tc>
          <w:tcPr>
            <w:tcW w:w="996" w:type="dxa"/>
            <w:vAlign w:val="bottom"/>
          </w:tcPr>
          <w:p>
            <w:pPr>
              <w:pStyle w:val="yTableNAm"/>
              <w:jc w:val="right"/>
              <w:rPr>
                <w:szCs w:val="22"/>
              </w:rPr>
            </w:pPr>
            <w:r>
              <w:rPr>
                <w:szCs w:val="22"/>
              </w:rPr>
              <w:t>8.47</w:t>
            </w:r>
          </w:p>
        </w:tc>
      </w:tr>
      <w:tr>
        <w:trPr>
          <w:cantSplit/>
        </w:trPr>
        <w:tc>
          <w:tcPr>
            <w:tcW w:w="567" w:type="dxa"/>
          </w:tcPr>
          <w:p>
            <w:pPr>
              <w:pStyle w:val="yTableNAm"/>
            </w:pPr>
            <w:r>
              <w:t>3.</w:t>
            </w:r>
          </w:p>
        </w:tc>
        <w:tc>
          <w:tcPr>
            <w:tcW w:w="4390" w:type="dxa"/>
          </w:tcPr>
          <w:p>
            <w:pPr>
              <w:pStyle w:val="yTableNAm"/>
              <w:rPr>
                <w:rStyle w:val="DraftersNotes"/>
              </w:rPr>
            </w:pPr>
            <w:r>
              <w:t>For short</w:t>
            </w:r>
            <w:r>
              <w:noBreakHyphen/>
              <w:t>term use of service wharf by a service vessel, for up to 6 hours in a 24 hour period, per m of the vessel’s length</w:t>
            </w:r>
          </w:p>
        </w:tc>
        <w:tc>
          <w:tcPr>
            <w:tcW w:w="996" w:type="dxa"/>
            <w:vAlign w:val="bottom"/>
          </w:tcPr>
          <w:p>
            <w:pPr>
              <w:pStyle w:val="yTableNAm"/>
              <w:jc w:val="right"/>
              <w:rPr>
                <w:szCs w:val="22"/>
              </w:rPr>
            </w:pPr>
            <w:r>
              <w:rPr>
                <w:szCs w:val="22"/>
              </w:rPr>
              <w:t>8.00</w:t>
            </w:r>
          </w:p>
        </w:tc>
      </w:tr>
      <w:tr>
        <w:trPr>
          <w:cantSplit/>
        </w:trPr>
        <w:tc>
          <w:tcPr>
            <w:tcW w:w="567" w:type="dxa"/>
          </w:tcPr>
          <w:p>
            <w:pPr>
              <w:pStyle w:val="yTableNAm"/>
            </w:pPr>
            <w:r>
              <w:t>4.</w:t>
            </w:r>
          </w:p>
        </w:tc>
        <w:tc>
          <w:tcPr>
            <w:tcW w:w="4390" w:type="dxa"/>
          </w:tcPr>
          <w:p>
            <w:pPr>
              <w:pStyle w:val="yTableNAm"/>
            </w:pPr>
            <w:r>
              <w:t>For use of service wharf hardstand or appurtenant area for storage or maintenance (for short</w:t>
            </w:r>
            <w:r>
              <w:noBreakHyphen/>
              <w:t>term use only), per day —</w:t>
            </w:r>
          </w:p>
        </w:tc>
        <w:tc>
          <w:tcPr>
            <w:tcW w:w="996" w:type="dxa"/>
            <w:vAlign w:val="bottom"/>
          </w:tcPr>
          <w:p>
            <w:pPr>
              <w:pStyle w:val="yTableNAm"/>
              <w:jc w:val="right"/>
            </w:pP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per m</w:t>
            </w:r>
            <w:r>
              <w:rPr>
                <w:vertAlign w:val="superscript"/>
              </w:rPr>
              <w:t>2</w:t>
            </w:r>
          </w:p>
        </w:tc>
        <w:tc>
          <w:tcPr>
            <w:tcW w:w="996" w:type="dxa"/>
            <w:vAlign w:val="bottom"/>
          </w:tcPr>
          <w:p>
            <w:pPr>
              <w:pStyle w:val="yTableNAm"/>
              <w:jc w:val="right"/>
            </w:pPr>
            <w:r>
              <w:t>1.57</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minimum fee</w:t>
            </w:r>
          </w:p>
        </w:tc>
        <w:tc>
          <w:tcPr>
            <w:tcW w:w="996" w:type="dxa"/>
            <w:vAlign w:val="bottom"/>
          </w:tcPr>
          <w:p>
            <w:pPr>
              <w:pStyle w:val="yTableNAm"/>
              <w:jc w:val="right"/>
            </w:pPr>
            <w:r>
              <w:t>28.73</w:t>
            </w:r>
          </w:p>
        </w:tc>
      </w:tr>
      <w:tr>
        <w:trPr>
          <w:cantSplit/>
        </w:trPr>
        <w:tc>
          <w:tcPr>
            <w:tcW w:w="567" w:type="dxa"/>
          </w:tcPr>
          <w:p>
            <w:pPr>
              <w:pStyle w:val="yTableNAm"/>
              <w:keepNext/>
              <w:keepLines/>
              <w:rPr>
                <w:rFonts w:ascii="Arial" w:hAnsi="Arial"/>
                <w:b/>
              </w:rPr>
            </w:pPr>
            <w:r>
              <w:t>5.</w:t>
            </w:r>
          </w:p>
        </w:tc>
        <w:tc>
          <w:tcPr>
            <w:tcW w:w="4390" w:type="dxa"/>
          </w:tcPr>
          <w:p>
            <w:pPr>
              <w:pStyle w:val="yTableNAm"/>
              <w:keepNext/>
              <w:keepLines/>
              <w:rPr>
                <w:rFonts w:ascii="Arial" w:hAnsi="Arial"/>
                <w:b/>
              </w:rPr>
            </w:pPr>
            <w:r>
              <w:t>For electricity supply, 3</w:t>
            </w:r>
            <w:r>
              <w:noBreakHyphen/>
              <w:t>phase or single —</w:t>
            </w:r>
          </w:p>
        </w:tc>
        <w:tc>
          <w:tcPr>
            <w:tcW w:w="996" w:type="dxa"/>
            <w:vAlign w:val="bottom"/>
          </w:tcPr>
          <w:p>
            <w:pPr>
              <w:pStyle w:val="yTableNAm"/>
              <w:keepNext/>
              <w:keepLines/>
              <w:jc w:val="right"/>
            </w:pP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if metered, for units consumed, per unit with a minimum amount as for the consumption of 50 units</w:t>
            </w:r>
          </w:p>
        </w:tc>
        <w:tc>
          <w:tcPr>
            <w:tcW w:w="996" w:type="dxa"/>
            <w:vAlign w:val="bottom"/>
          </w:tcPr>
          <w:p>
            <w:pPr>
              <w:pStyle w:val="yTableNAm"/>
              <w:jc w:val="right"/>
            </w:pPr>
            <w:r>
              <w:t>cost</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if metered, for meter reading</w:t>
            </w:r>
          </w:p>
        </w:tc>
        <w:tc>
          <w:tcPr>
            <w:tcW w:w="996" w:type="dxa"/>
            <w:vAlign w:val="bottom"/>
          </w:tcPr>
          <w:p>
            <w:pPr>
              <w:pStyle w:val="yTableNAm"/>
              <w:jc w:val="right"/>
            </w:pPr>
            <w:r>
              <w:t>cost</w:t>
            </w:r>
          </w:p>
        </w:tc>
      </w:tr>
      <w:tr>
        <w:trPr>
          <w:cantSplit/>
        </w:trPr>
        <w:tc>
          <w:tcPr>
            <w:tcW w:w="567" w:type="dxa"/>
          </w:tcPr>
          <w:p>
            <w:pPr>
              <w:pStyle w:val="yTableNAm"/>
            </w:pPr>
          </w:p>
        </w:tc>
        <w:tc>
          <w:tcPr>
            <w:tcW w:w="4390" w:type="dxa"/>
          </w:tcPr>
          <w:p>
            <w:pPr>
              <w:pStyle w:val="yTableNAm"/>
              <w:tabs>
                <w:tab w:val="clear" w:pos="567"/>
                <w:tab w:val="left" w:pos="415"/>
              </w:tabs>
              <w:ind w:left="415" w:hanging="415"/>
              <w:rPr>
                <w:b/>
                <w:i/>
              </w:rPr>
            </w:pPr>
            <w:r>
              <w:t>•</w:t>
            </w:r>
            <w:r>
              <w:tab/>
              <w:t>if not metered, per period of 12 hours or part of that period</w:t>
            </w:r>
          </w:p>
        </w:tc>
        <w:tc>
          <w:tcPr>
            <w:tcW w:w="996" w:type="dxa"/>
            <w:vAlign w:val="bottom"/>
          </w:tcPr>
          <w:p>
            <w:pPr>
              <w:pStyle w:val="yTableNAm"/>
              <w:jc w:val="right"/>
            </w:pPr>
            <w:r>
              <w:t>cost</w:t>
            </w:r>
          </w:p>
        </w:tc>
      </w:tr>
      <w:tr>
        <w:trPr>
          <w:cantSplit/>
        </w:trPr>
        <w:tc>
          <w:tcPr>
            <w:tcW w:w="567" w:type="dxa"/>
          </w:tcPr>
          <w:p>
            <w:pPr>
              <w:pStyle w:val="yTableNAm"/>
            </w:pPr>
            <w:r>
              <w:t>6.</w:t>
            </w:r>
          </w:p>
        </w:tc>
        <w:tc>
          <w:tcPr>
            <w:tcW w:w="4390" w:type="dxa"/>
          </w:tcPr>
          <w:p>
            <w:pPr>
              <w:pStyle w:val="yTableNAm"/>
            </w:pPr>
            <w:r>
              <w:t xml:space="preserve">For water supply — </w:t>
            </w:r>
          </w:p>
        </w:tc>
        <w:tc>
          <w:tcPr>
            <w:tcW w:w="996" w:type="dxa"/>
            <w:vAlign w:val="bottom"/>
          </w:tcPr>
          <w:p>
            <w:pPr>
              <w:pStyle w:val="yTableNAm"/>
              <w:jc w:val="right"/>
              <w:rPr>
                <w:szCs w:val="22"/>
              </w:rPr>
            </w:pPr>
          </w:p>
        </w:tc>
      </w:tr>
      <w:tr>
        <w:trPr>
          <w:cantSplit/>
        </w:trPr>
        <w:tc>
          <w:tcPr>
            <w:tcW w:w="567" w:type="dxa"/>
          </w:tcPr>
          <w:p>
            <w:pPr>
              <w:pStyle w:val="yTableNAm"/>
            </w:pPr>
          </w:p>
        </w:tc>
        <w:tc>
          <w:tcPr>
            <w:tcW w:w="4390" w:type="dxa"/>
          </w:tcPr>
          <w:p>
            <w:pPr>
              <w:pStyle w:val="yTableNAm"/>
              <w:tabs>
                <w:tab w:val="clear" w:pos="567"/>
                <w:tab w:val="left" w:pos="415"/>
              </w:tabs>
              <w:ind w:left="415" w:hanging="415"/>
              <w:rPr>
                <w:rFonts w:ascii="Arial" w:hAnsi="Arial"/>
                <w:b/>
              </w:rPr>
            </w:pPr>
            <w:r>
              <w:t>•</w:t>
            </w:r>
            <w:r>
              <w:tab/>
              <w:t>if metered, for units consumed, per unit with a minimum amount as for the consumption of 2 kL</w:t>
            </w:r>
          </w:p>
        </w:tc>
        <w:tc>
          <w:tcPr>
            <w:tcW w:w="996" w:type="dxa"/>
            <w:vAlign w:val="bottom"/>
          </w:tcPr>
          <w:p>
            <w:pPr>
              <w:pStyle w:val="yTableNAm"/>
              <w:jc w:val="right"/>
            </w:pPr>
            <w:r>
              <w:t>cost</w:t>
            </w:r>
          </w:p>
        </w:tc>
      </w:tr>
      <w:tr>
        <w:trPr>
          <w:cantSplit/>
        </w:trPr>
        <w:tc>
          <w:tcPr>
            <w:tcW w:w="567" w:type="dxa"/>
          </w:tcPr>
          <w:p>
            <w:pPr>
              <w:pStyle w:val="yTableNAm"/>
            </w:pPr>
          </w:p>
        </w:tc>
        <w:tc>
          <w:tcPr>
            <w:tcW w:w="4390" w:type="dxa"/>
          </w:tcPr>
          <w:p>
            <w:pPr>
              <w:pStyle w:val="yTableNAm"/>
              <w:tabs>
                <w:tab w:val="clear" w:pos="567"/>
                <w:tab w:val="left" w:pos="415"/>
              </w:tabs>
              <w:ind w:left="415" w:hanging="415"/>
              <w:rPr>
                <w:b/>
                <w:i/>
              </w:rPr>
            </w:pPr>
            <w:r>
              <w:t>•</w:t>
            </w:r>
            <w:r>
              <w:tab/>
              <w:t>if not metered, per period of 12 hours or part of that period</w:t>
            </w:r>
          </w:p>
        </w:tc>
        <w:tc>
          <w:tcPr>
            <w:tcW w:w="996" w:type="dxa"/>
            <w:vAlign w:val="bottom"/>
          </w:tcPr>
          <w:p>
            <w:pPr>
              <w:pStyle w:val="yTableNAm"/>
              <w:jc w:val="right"/>
            </w:pPr>
            <w:r>
              <w:t>cost</w:t>
            </w:r>
          </w:p>
        </w:tc>
      </w:tr>
      <w:tr>
        <w:trPr>
          <w:cantSplit/>
        </w:trPr>
        <w:tc>
          <w:tcPr>
            <w:tcW w:w="567" w:type="dxa"/>
          </w:tcPr>
          <w:p>
            <w:pPr>
              <w:pStyle w:val="yTableNAm"/>
            </w:pPr>
            <w:r>
              <w:t>7.</w:t>
            </w:r>
          </w:p>
        </w:tc>
        <w:tc>
          <w:tcPr>
            <w:tcW w:w="4390" w:type="dxa"/>
          </w:tcPr>
          <w:p>
            <w:pPr>
              <w:pStyle w:val="yTableNAm"/>
            </w:pPr>
            <w:r>
              <w:t xml:space="preserve">For rubbish removal — </w:t>
            </w:r>
          </w:p>
        </w:tc>
        <w:tc>
          <w:tcPr>
            <w:tcW w:w="996" w:type="dxa"/>
            <w:vAlign w:val="bottom"/>
          </w:tcPr>
          <w:p>
            <w:pPr>
              <w:pStyle w:val="yTableNAm"/>
              <w:jc w:val="right"/>
              <w:rPr>
                <w:szCs w:val="22"/>
              </w:rPr>
            </w:pP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excess quantity or from vessel not using harbour, minimum per half skip supplied and emptied</w:t>
            </w:r>
          </w:p>
        </w:tc>
        <w:tc>
          <w:tcPr>
            <w:tcW w:w="996" w:type="dxa"/>
            <w:vAlign w:val="bottom"/>
          </w:tcPr>
          <w:p>
            <w:pPr>
              <w:pStyle w:val="yTableNAm"/>
              <w:jc w:val="right"/>
              <w:rPr>
                <w:szCs w:val="22"/>
              </w:rPr>
            </w:pPr>
            <w:r>
              <w:rPr>
                <w:szCs w:val="22"/>
              </w:rPr>
              <w:br/>
              <w:t>cost</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waste oil from vessels in excess of 150 L</w:t>
            </w:r>
          </w:p>
        </w:tc>
        <w:tc>
          <w:tcPr>
            <w:tcW w:w="996" w:type="dxa"/>
            <w:vAlign w:val="bottom"/>
          </w:tcPr>
          <w:p>
            <w:pPr>
              <w:pStyle w:val="yTableNAm"/>
              <w:jc w:val="right"/>
              <w:rPr>
                <w:szCs w:val="22"/>
              </w:rPr>
            </w:pPr>
            <w:r>
              <w:rPr>
                <w:szCs w:val="22"/>
              </w:rPr>
              <w:t>cost</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waste oil drum not removed by owner, per 20 L drum</w:t>
            </w:r>
          </w:p>
        </w:tc>
        <w:tc>
          <w:tcPr>
            <w:tcW w:w="996" w:type="dxa"/>
            <w:vAlign w:val="bottom"/>
          </w:tcPr>
          <w:p>
            <w:pPr>
              <w:pStyle w:val="yTableNAm"/>
              <w:jc w:val="right"/>
              <w:rPr>
                <w:szCs w:val="22"/>
              </w:rPr>
            </w:pPr>
            <w:r>
              <w:rPr>
                <w:szCs w:val="22"/>
              </w:rPr>
              <w:br/>
              <w:t>cost</w:t>
            </w:r>
          </w:p>
        </w:tc>
      </w:tr>
      <w:tr>
        <w:trPr>
          <w:cantSplit/>
        </w:trPr>
        <w:tc>
          <w:tcPr>
            <w:tcW w:w="567" w:type="dxa"/>
            <w:tcBorders>
              <w:bottom w:val="single" w:sz="4" w:space="0" w:color="auto"/>
            </w:tcBorders>
          </w:tcPr>
          <w:p>
            <w:pPr>
              <w:pStyle w:val="yTableNAm"/>
            </w:pPr>
          </w:p>
        </w:tc>
        <w:tc>
          <w:tcPr>
            <w:tcW w:w="4390" w:type="dxa"/>
            <w:tcBorders>
              <w:bottom w:val="single" w:sz="4" w:space="0" w:color="auto"/>
            </w:tcBorders>
          </w:tcPr>
          <w:p>
            <w:pPr>
              <w:pStyle w:val="yTableNAm"/>
              <w:tabs>
                <w:tab w:val="clear" w:pos="567"/>
                <w:tab w:val="left" w:pos="415"/>
              </w:tabs>
              <w:ind w:left="415" w:hanging="415"/>
            </w:pPr>
            <w:r>
              <w:t>•</w:t>
            </w:r>
            <w:r>
              <w:tab/>
              <w:t>rubbish not put in supplied bins</w:t>
            </w:r>
          </w:p>
        </w:tc>
        <w:tc>
          <w:tcPr>
            <w:tcW w:w="996" w:type="dxa"/>
            <w:tcBorders>
              <w:bottom w:val="single" w:sz="4" w:space="0" w:color="auto"/>
            </w:tcBorders>
            <w:vAlign w:val="bottom"/>
          </w:tcPr>
          <w:p>
            <w:pPr>
              <w:pStyle w:val="yTableNAm"/>
              <w:jc w:val="right"/>
              <w:rPr>
                <w:szCs w:val="22"/>
              </w:rPr>
            </w:pPr>
            <w:r>
              <w:rPr>
                <w:szCs w:val="22"/>
              </w:rPr>
              <w:t>cost</w:t>
            </w:r>
          </w:p>
        </w:tc>
      </w:tr>
    </w:tbl>
    <w:p>
      <w:pPr>
        <w:pStyle w:val="yFootnotesection"/>
      </w:pPr>
      <w:r>
        <w:tab/>
        <w:t>[Clause 19 inserted in Gazette 28 Jun 2013 p. 2863</w:t>
      </w:r>
      <w:r>
        <w:noBreakHyphen/>
        <w:t>5.]</w:t>
      </w:r>
    </w:p>
    <w:p>
      <w:pPr>
        <w:pStyle w:val="yHeading5"/>
      </w:pPr>
      <w:bookmarkStart w:id="161" w:name="_Toc382380055"/>
      <w:r>
        <w:rPr>
          <w:rStyle w:val="CharSClsNo"/>
        </w:rPr>
        <w:t>20</w:t>
      </w:r>
      <w:r>
        <w:t>.</w:t>
      </w:r>
      <w:r>
        <w:rPr>
          <w:b w:val="0"/>
        </w:rPr>
        <w:tab/>
      </w:r>
      <w:r>
        <w:t xml:space="preserve">Point Samson, </w:t>
      </w:r>
      <w:smartTag w:uri="urn:schemas-microsoft-com:office:smarttags" w:element="place">
        <w:smartTag w:uri="urn:schemas-microsoft-com:office:smarttags" w:element="PlaceName">
          <w:r>
            <w:t>Johns</w:t>
          </w:r>
        </w:smartTag>
        <w:r>
          <w:t xml:space="preserve"> </w:t>
        </w:r>
        <w:smartTag w:uri="urn:schemas-microsoft-com:office:smarttags" w:element="PlaceName">
          <w:r>
            <w:t>Creek</w:t>
          </w:r>
        </w:smartTag>
        <w:r>
          <w:t xml:space="preserve"> </w:t>
        </w:r>
        <w:smartTag w:uri="urn:schemas-microsoft-com:office:smarttags" w:element="PlaceName">
          <w:r>
            <w:t>Boat</w:t>
          </w:r>
        </w:smartTag>
        <w:r>
          <w:t xml:space="preserve"> </w:t>
        </w:r>
        <w:smartTag w:uri="urn:schemas-microsoft-com:office:smarttags" w:element="PlaceType">
          <w:r>
            <w:t>Harbour</w:t>
          </w:r>
        </w:smartTag>
      </w:smartTag>
      <w:bookmarkEnd w:id="161"/>
    </w:p>
    <w:p>
      <w:pPr>
        <w:pStyle w:val="ySubsection"/>
      </w:pPr>
      <w:r>
        <w:tab/>
        <w:t>(1)</w:t>
      </w:r>
      <w:r>
        <w:tab/>
        <w:t xml:space="preserve">This clause applies to the </w:t>
      </w:r>
      <w:smartTag w:uri="urn:schemas-microsoft-com:office:smarttags" w:element="place">
        <w:smartTag w:uri="urn:schemas-microsoft-com:office:smarttags" w:element="PlaceName">
          <w:r>
            <w:t>Johns</w:t>
          </w:r>
        </w:smartTag>
        <w:r>
          <w:t xml:space="preserve"> </w:t>
        </w:r>
        <w:smartTag w:uri="urn:schemas-microsoft-com:office:smarttags" w:element="PlaceName">
          <w:r>
            <w:t>Creek</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 xml:space="preserve"> at Point Samson.</w:t>
      </w:r>
    </w:p>
    <w:p>
      <w:pPr>
        <w:pStyle w:val="ySubsection"/>
      </w:pPr>
      <w:r>
        <w:tab/>
        <w:t>(2)</w:t>
      </w:r>
      <w:r>
        <w:tab/>
        <w:t xml:space="preserve">In this clause a reference to a </w:t>
      </w:r>
      <w:r>
        <w:rPr>
          <w:rStyle w:val="CharDefText"/>
        </w:rPr>
        <w:t>service vessel</w:t>
      </w:r>
      <w:r>
        <w:t xml:space="preserve"> is a reference to any vessel other than a recreational vessel, tourism vessel or fishing vessel.</w:t>
      </w:r>
    </w:p>
    <w:p>
      <w:pPr>
        <w:pStyle w:val="ySubsection"/>
      </w:pPr>
      <w:r>
        <w:tab/>
        <w:t>(3)</w:t>
      </w:r>
      <w:r>
        <w:tab/>
        <w:t>The charges and dues to be paid under regulation 10A are set out in Table 20.1.</w:t>
      </w:r>
    </w:p>
    <w:p>
      <w:pPr>
        <w:pStyle w:val="yTHeadingNAm"/>
        <w:keepLines/>
        <w:widowControl w:val="0"/>
      </w:pPr>
      <w:r>
        <w:t>Table 20.1 (Wharfage)</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94"/>
        <w:gridCol w:w="992"/>
      </w:tblGrid>
      <w:tr>
        <w:trPr>
          <w:cantSplit/>
          <w:tblHeader/>
        </w:trPr>
        <w:tc>
          <w:tcPr>
            <w:tcW w:w="567" w:type="dxa"/>
            <w:tcBorders>
              <w:top w:val="single" w:sz="4" w:space="0" w:color="auto"/>
              <w:bottom w:val="single" w:sz="4" w:space="0" w:color="auto"/>
            </w:tcBorders>
          </w:tcPr>
          <w:p>
            <w:pPr>
              <w:pStyle w:val="yTableNAm"/>
              <w:keepNext/>
              <w:keepLines/>
              <w:widowControl w:val="0"/>
              <w:rPr>
                <w:b/>
              </w:rPr>
            </w:pPr>
            <w:r>
              <w:rPr>
                <w:b/>
              </w:rPr>
              <w:t>Item</w:t>
            </w:r>
          </w:p>
        </w:tc>
        <w:tc>
          <w:tcPr>
            <w:tcW w:w="4394" w:type="dxa"/>
            <w:tcBorders>
              <w:top w:val="single" w:sz="4" w:space="0" w:color="auto"/>
              <w:bottom w:val="single" w:sz="4" w:space="0" w:color="auto"/>
            </w:tcBorders>
          </w:tcPr>
          <w:p>
            <w:pPr>
              <w:pStyle w:val="yTableNAm"/>
              <w:keepNext/>
              <w:keepLines/>
              <w:widowControl w:val="0"/>
              <w:rPr>
                <w:b/>
              </w:rPr>
            </w:pPr>
            <w:r>
              <w:rPr>
                <w:b/>
              </w:rPr>
              <w:t>Goods</w:t>
            </w:r>
          </w:p>
        </w:tc>
        <w:tc>
          <w:tcPr>
            <w:tcW w:w="992" w:type="dxa"/>
            <w:tcBorders>
              <w:top w:val="single" w:sz="4" w:space="0" w:color="auto"/>
              <w:bottom w:val="single" w:sz="4" w:space="0" w:color="auto"/>
            </w:tcBorders>
          </w:tcPr>
          <w:p>
            <w:pPr>
              <w:pStyle w:val="yTableNAm"/>
              <w:keepNext/>
              <w:keepLines/>
              <w:widowControl w:val="0"/>
              <w:jc w:val="center"/>
              <w:rPr>
                <w:b/>
              </w:rPr>
            </w:pPr>
            <w:r>
              <w:rPr>
                <w:b/>
              </w:rPr>
              <w:t>$</w:t>
            </w:r>
          </w:p>
        </w:tc>
      </w:tr>
      <w:tr>
        <w:trPr>
          <w:cantSplit/>
        </w:trPr>
        <w:tc>
          <w:tcPr>
            <w:tcW w:w="567" w:type="dxa"/>
          </w:tcPr>
          <w:p>
            <w:pPr>
              <w:pStyle w:val="yTableNAm"/>
              <w:keepNext/>
              <w:keepLines/>
              <w:widowControl w:val="0"/>
            </w:pPr>
            <w:r>
              <w:t>1.</w:t>
            </w:r>
          </w:p>
        </w:tc>
        <w:tc>
          <w:tcPr>
            <w:tcW w:w="4394" w:type="dxa"/>
          </w:tcPr>
          <w:p>
            <w:pPr>
              <w:pStyle w:val="yTableNAm"/>
              <w:keepNext/>
              <w:keepLines/>
              <w:widowControl w:val="0"/>
            </w:pPr>
            <w:r>
              <w:t>General cargo at the service wharf or an appurtenant area —</w:t>
            </w:r>
          </w:p>
        </w:tc>
        <w:tc>
          <w:tcPr>
            <w:tcW w:w="992" w:type="dxa"/>
          </w:tcPr>
          <w:p>
            <w:pPr>
              <w:pStyle w:val="yTableNAm"/>
              <w:keepNext/>
              <w:keepLines/>
              <w:widowControl w:val="0"/>
              <w:jc w:val="right"/>
            </w:pPr>
          </w:p>
        </w:tc>
      </w:tr>
      <w:tr>
        <w:trPr>
          <w:cantSplit/>
        </w:trPr>
        <w:tc>
          <w:tcPr>
            <w:tcW w:w="567" w:type="dxa"/>
          </w:tcPr>
          <w:p>
            <w:pPr>
              <w:pStyle w:val="yTableNAm"/>
            </w:pPr>
          </w:p>
        </w:tc>
        <w:tc>
          <w:tcPr>
            <w:tcW w:w="4394" w:type="dxa"/>
          </w:tcPr>
          <w:p>
            <w:pPr>
              <w:pStyle w:val="yTableNAm"/>
              <w:tabs>
                <w:tab w:val="clear" w:pos="567"/>
                <w:tab w:val="left" w:pos="415"/>
              </w:tabs>
              <w:ind w:left="415" w:hanging="415"/>
            </w:pPr>
            <w:r>
              <w:t>•</w:t>
            </w:r>
            <w:r>
              <w:tab/>
              <w:t>if loaded from or into vessel, per t or m</w:t>
            </w:r>
            <w:r>
              <w:rPr>
                <w:vertAlign w:val="superscript"/>
              </w:rPr>
              <w:t>3</w:t>
            </w:r>
          </w:p>
        </w:tc>
        <w:tc>
          <w:tcPr>
            <w:tcW w:w="992" w:type="dxa"/>
          </w:tcPr>
          <w:p>
            <w:pPr>
              <w:pStyle w:val="yTableNAm"/>
              <w:jc w:val="right"/>
            </w:pPr>
            <w:r>
              <w:t>6.24</w:t>
            </w:r>
          </w:p>
        </w:tc>
      </w:tr>
      <w:tr>
        <w:trPr>
          <w:cantSplit/>
        </w:trPr>
        <w:tc>
          <w:tcPr>
            <w:tcW w:w="567" w:type="dxa"/>
            <w:tcBorders>
              <w:bottom w:val="single" w:sz="4" w:space="0" w:color="auto"/>
            </w:tcBorders>
          </w:tcPr>
          <w:p>
            <w:pPr>
              <w:pStyle w:val="yTableNAm"/>
            </w:pPr>
          </w:p>
        </w:tc>
        <w:tc>
          <w:tcPr>
            <w:tcW w:w="4394" w:type="dxa"/>
            <w:tcBorders>
              <w:bottom w:val="single" w:sz="4" w:space="0" w:color="auto"/>
            </w:tcBorders>
          </w:tcPr>
          <w:p>
            <w:pPr>
              <w:pStyle w:val="yTableNAm"/>
              <w:tabs>
                <w:tab w:val="clear" w:pos="567"/>
                <w:tab w:val="left" w:pos="415"/>
              </w:tabs>
              <w:ind w:left="415" w:hanging="415"/>
            </w:pPr>
            <w:r>
              <w:t>•</w:t>
            </w:r>
            <w:r>
              <w:tab/>
              <w:t>if vessel is lifted, per m of the vessel’s length</w:t>
            </w:r>
          </w:p>
        </w:tc>
        <w:tc>
          <w:tcPr>
            <w:tcW w:w="992" w:type="dxa"/>
            <w:tcBorders>
              <w:bottom w:val="single" w:sz="4" w:space="0" w:color="auto"/>
            </w:tcBorders>
          </w:tcPr>
          <w:p>
            <w:pPr>
              <w:pStyle w:val="yTableNAm"/>
              <w:spacing w:before="140"/>
              <w:jc w:val="right"/>
            </w:pPr>
            <w:r>
              <w:br/>
              <w:t>14.07</w:t>
            </w:r>
          </w:p>
        </w:tc>
      </w:tr>
    </w:tbl>
    <w:p>
      <w:pPr>
        <w:pStyle w:val="ySubsection"/>
      </w:pPr>
      <w:r>
        <w:tab/>
        <w:t>(4)</w:t>
      </w:r>
      <w:r>
        <w:tab/>
        <w:t>The fees and charges to be paid under regulations 6 and 94A are set out in Table 20.2.</w:t>
      </w:r>
    </w:p>
    <w:p>
      <w:pPr>
        <w:pStyle w:val="yTHeadingNAm"/>
      </w:pPr>
      <w:r>
        <w:t>Table 20.2 (Berthing and pen rental)</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90"/>
        <w:gridCol w:w="996"/>
      </w:tblGrid>
      <w:tr>
        <w:trPr>
          <w:cantSplit/>
          <w:tblHeader/>
        </w:trPr>
        <w:tc>
          <w:tcPr>
            <w:tcW w:w="567" w:type="dxa"/>
            <w:tcBorders>
              <w:top w:val="single" w:sz="4" w:space="0" w:color="auto"/>
              <w:bottom w:val="single" w:sz="4" w:space="0" w:color="auto"/>
            </w:tcBorders>
          </w:tcPr>
          <w:p>
            <w:pPr>
              <w:pStyle w:val="yTableNAm"/>
              <w:rPr>
                <w:b/>
              </w:rPr>
            </w:pPr>
            <w:r>
              <w:rPr>
                <w:b/>
              </w:rPr>
              <w:t>Item</w:t>
            </w:r>
          </w:p>
        </w:tc>
        <w:tc>
          <w:tcPr>
            <w:tcW w:w="4390" w:type="dxa"/>
            <w:tcBorders>
              <w:top w:val="single" w:sz="4" w:space="0" w:color="auto"/>
              <w:bottom w:val="single" w:sz="4" w:space="0" w:color="auto"/>
            </w:tcBorders>
          </w:tcPr>
          <w:p>
            <w:pPr>
              <w:pStyle w:val="yTableNAm"/>
              <w:rPr>
                <w:b/>
              </w:rPr>
            </w:pPr>
            <w:r>
              <w:rPr>
                <w:b/>
              </w:rPr>
              <w:t>Service</w:t>
            </w:r>
          </w:p>
        </w:tc>
        <w:tc>
          <w:tcPr>
            <w:tcW w:w="996" w:type="dxa"/>
            <w:tcBorders>
              <w:top w:val="single" w:sz="4" w:space="0" w:color="auto"/>
              <w:bottom w:val="single" w:sz="4" w:space="0" w:color="auto"/>
            </w:tcBorders>
          </w:tcPr>
          <w:p>
            <w:pPr>
              <w:pStyle w:val="yTableNAm"/>
              <w:jc w:val="center"/>
              <w:rPr>
                <w:b/>
              </w:rPr>
            </w:pPr>
            <w:r>
              <w:rPr>
                <w:b/>
              </w:rPr>
              <w:t>$</w:t>
            </w:r>
          </w:p>
        </w:tc>
      </w:tr>
      <w:tr>
        <w:trPr>
          <w:cantSplit/>
        </w:trPr>
        <w:tc>
          <w:tcPr>
            <w:tcW w:w="567" w:type="dxa"/>
          </w:tcPr>
          <w:p>
            <w:pPr>
              <w:pStyle w:val="yTableNAm"/>
            </w:pPr>
            <w:r>
              <w:t>1.</w:t>
            </w:r>
          </w:p>
        </w:tc>
        <w:tc>
          <w:tcPr>
            <w:tcW w:w="4390" w:type="dxa"/>
          </w:tcPr>
          <w:p>
            <w:pPr>
              <w:pStyle w:val="yTableNAm"/>
            </w:pPr>
            <w:r>
              <w:t>For use of pen or berth at land</w:t>
            </w:r>
            <w:r>
              <w:noBreakHyphen/>
              <w:t xml:space="preserve">backed wharf or service jetty by recreational vessel, tourism vessel or fishing vessel, per m of the vessel’s length — </w:t>
            </w:r>
          </w:p>
          <w:p>
            <w:pPr>
              <w:pStyle w:val="yTableNAm"/>
            </w:pPr>
            <w:r>
              <w:t>Note:</w:t>
            </w:r>
            <w:r>
              <w:tab/>
              <w:t>Includes short term loading/unloading of goods and passengers</w:t>
            </w:r>
          </w:p>
        </w:tc>
        <w:tc>
          <w:tcPr>
            <w:tcW w:w="996" w:type="dxa"/>
            <w:vAlign w:val="bottom"/>
          </w:tcPr>
          <w:p>
            <w:pPr>
              <w:pStyle w:val="yTableNAm"/>
              <w:jc w:val="right"/>
              <w:rPr>
                <w:szCs w:val="22"/>
              </w:rPr>
            </w:pP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12 months paid in advance</w:t>
            </w:r>
          </w:p>
        </w:tc>
        <w:tc>
          <w:tcPr>
            <w:tcW w:w="996" w:type="dxa"/>
            <w:vAlign w:val="bottom"/>
          </w:tcPr>
          <w:p>
            <w:pPr>
              <w:pStyle w:val="yTableNAm"/>
              <w:jc w:val="right"/>
              <w:rPr>
                <w:szCs w:val="22"/>
              </w:rPr>
            </w:pPr>
            <w:r>
              <w:rPr>
                <w:szCs w:val="22"/>
              </w:rPr>
              <w:t>472.85</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3 months or more, per month, paid in advance</w:t>
            </w:r>
          </w:p>
        </w:tc>
        <w:tc>
          <w:tcPr>
            <w:tcW w:w="996" w:type="dxa"/>
            <w:vAlign w:val="bottom"/>
          </w:tcPr>
          <w:p>
            <w:pPr>
              <w:pStyle w:val="yTableNAm"/>
              <w:jc w:val="right"/>
              <w:rPr>
                <w:szCs w:val="22"/>
              </w:rPr>
            </w:pPr>
            <w:r>
              <w:rPr>
                <w:szCs w:val="22"/>
              </w:rPr>
              <w:t>47.27</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one month or more, per month, paid in advance</w:t>
            </w:r>
          </w:p>
        </w:tc>
        <w:tc>
          <w:tcPr>
            <w:tcW w:w="996" w:type="dxa"/>
            <w:vAlign w:val="bottom"/>
          </w:tcPr>
          <w:p>
            <w:pPr>
              <w:pStyle w:val="yTableNAm"/>
              <w:jc w:val="right"/>
              <w:rPr>
                <w:szCs w:val="22"/>
              </w:rPr>
            </w:pPr>
            <w:r>
              <w:rPr>
                <w:szCs w:val="22"/>
              </w:rPr>
              <w:t>70.93</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one week or more, per week, paid in advance</w:t>
            </w:r>
          </w:p>
        </w:tc>
        <w:tc>
          <w:tcPr>
            <w:tcW w:w="996" w:type="dxa"/>
            <w:vAlign w:val="bottom"/>
          </w:tcPr>
          <w:p>
            <w:pPr>
              <w:pStyle w:val="yTableNAm"/>
              <w:jc w:val="right"/>
              <w:rPr>
                <w:szCs w:val="22"/>
              </w:rPr>
            </w:pPr>
            <w:r>
              <w:rPr>
                <w:szCs w:val="22"/>
              </w:rPr>
              <w:t>47.27</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otherwise, per day</w:t>
            </w:r>
          </w:p>
        </w:tc>
        <w:tc>
          <w:tcPr>
            <w:tcW w:w="996" w:type="dxa"/>
            <w:vAlign w:val="bottom"/>
          </w:tcPr>
          <w:p>
            <w:pPr>
              <w:pStyle w:val="yTableNAm"/>
              <w:jc w:val="right"/>
              <w:rPr>
                <w:szCs w:val="22"/>
              </w:rPr>
            </w:pPr>
            <w:r>
              <w:rPr>
                <w:szCs w:val="22"/>
              </w:rPr>
              <w:t>9.45</w:t>
            </w:r>
          </w:p>
        </w:tc>
      </w:tr>
      <w:tr>
        <w:trPr>
          <w:cantSplit/>
        </w:trPr>
        <w:tc>
          <w:tcPr>
            <w:tcW w:w="567" w:type="dxa"/>
          </w:tcPr>
          <w:p>
            <w:pPr>
              <w:pStyle w:val="yTableNAm"/>
            </w:pPr>
            <w:r>
              <w:t>2.</w:t>
            </w:r>
          </w:p>
        </w:tc>
        <w:tc>
          <w:tcPr>
            <w:tcW w:w="4390" w:type="dxa"/>
          </w:tcPr>
          <w:p>
            <w:pPr>
              <w:pStyle w:val="yTableNAm"/>
            </w:pPr>
            <w:r>
              <w:t>For use of pen or berth at land</w:t>
            </w:r>
            <w:r>
              <w:noBreakHyphen/>
              <w:t xml:space="preserve">backed wharf or service jetty by a service vessel, per m of the vessel’s length — </w:t>
            </w:r>
          </w:p>
        </w:tc>
        <w:tc>
          <w:tcPr>
            <w:tcW w:w="996" w:type="dxa"/>
            <w:vAlign w:val="bottom"/>
          </w:tcPr>
          <w:p>
            <w:pPr>
              <w:pStyle w:val="yTableNAm"/>
              <w:jc w:val="right"/>
              <w:rPr>
                <w:szCs w:val="22"/>
              </w:rPr>
            </w:pP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12 months paid in advance</w:t>
            </w:r>
          </w:p>
        </w:tc>
        <w:tc>
          <w:tcPr>
            <w:tcW w:w="996" w:type="dxa"/>
            <w:vAlign w:val="bottom"/>
          </w:tcPr>
          <w:p>
            <w:pPr>
              <w:pStyle w:val="yTableNAm"/>
              <w:jc w:val="right"/>
              <w:rPr>
                <w:szCs w:val="22"/>
              </w:rPr>
            </w:pPr>
            <w:r>
              <w:rPr>
                <w:szCs w:val="22"/>
              </w:rPr>
              <w:t>1 039.00</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3 months or more, per month, paid in advance</w:t>
            </w:r>
          </w:p>
        </w:tc>
        <w:tc>
          <w:tcPr>
            <w:tcW w:w="996" w:type="dxa"/>
            <w:vAlign w:val="bottom"/>
          </w:tcPr>
          <w:p>
            <w:pPr>
              <w:pStyle w:val="yTableNAm"/>
              <w:jc w:val="right"/>
              <w:rPr>
                <w:szCs w:val="22"/>
              </w:rPr>
            </w:pPr>
            <w:r>
              <w:rPr>
                <w:szCs w:val="22"/>
              </w:rPr>
              <w:t>103.90</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one month or more, per month, paid in advance</w:t>
            </w:r>
          </w:p>
        </w:tc>
        <w:tc>
          <w:tcPr>
            <w:tcW w:w="996" w:type="dxa"/>
            <w:vAlign w:val="bottom"/>
          </w:tcPr>
          <w:p>
            <w:pPr>
              <w:pStyle w:val="yTableNAm"/>
              <w:jc w:val="right"/>
              <w:rPr>
                <w:szCs w:val="22"/>
              </w:rPr>
            </w:pPr>
            <w:r>
              <w:rPr>
                <w:szCs w:val="22"/>
              </w:rPr>
              <w:t>155.85</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up to 6 hours in a 24 hour period</w:t>
            </w:r>
          </w:p>
        </w:tc>
        <w:tc>
          <w:tcPr>
            <w:tcW w:w="996" w:type="dxa"/>
            <w:vAlign w:val="bottom"/>
          </w:tcPr>
          <w:p>
            <w:pPr>
              <w:pStyle w:val="yTableNAm"/>
              <w:jc w:val="right"/>
              <w:rPr>
                <w:szCs w:val="22"/>
              </w:rPr>
            </w:pPr>
            <w:r>
              <w:rPr>
                <w:szCs w:val="22"/>
              </w:rPr>
              <w:t>8.00</w:t>
            </w:r>
          </w:p>
        </w:tc>
      </w:tr>
      <w:tr>
        <w:trPr>
          <w:cantSplit/>
        </w:trPr>
        <w:tc>
          <w:tcPr>
            <w:tcW w:w="567" w:type="dxa"/>
          </w:tcPr>
          <w:p>
            <w:pPr>
              <w:pStyle w:val="yTableNAm"/>
            </w:pPr>
            <w:r>
              <w:t>3.</w:t>
            </w:r>
          </w:p>
        </w:tc>
        <w:tc>
          <w:tcPr>
            <w:tcW w:w="4390" w:type="dxa"/>
          </w:tcPr>
          <w:p>
            <w:pPr>
              <w:pStyle w:val="yTableNAm"/>
            </w:pPr>
            <w:r>
              <w:t xml:space="preserve">For use of service jetty and mooring/berth within area adjacent to causeway by recreational vessel, tourism vessel or fishing vessel, per m of the vessel’s length — </w:t>
            </w:r>
          </w:p>
        </w:tc>
        <w:tc>
          <w:tcPr>
            <w:tcW w:w="996" w:type="dxa"/>
            <w:vAlign w:val="bottom"/>
          </w:tcPr>
          <w:p>
            <w:pPr>
              <w:pStyle w:val="yTableNAm"/>
              <w:jc w:val="right"/>
              <w:rPr>
                <w:szCs w:val="22"/>
              </w:rPr>
            </w:pP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12 months paid in advance</w:t>
            </w:r>
          </w:p>
        </w:tc>
        <w:tc>
          <w:tcPr>
            <w:tcW w:w="996" w:type="dxa"/>
            <w:vAlign w:val="bottom"/>
          </w:tcPr>
          <w:p>
            <w:pPr>
              <w:pStyle w:val="yTableNAm"/>
              <w:jc w:val="right"/>
              <w:rPr>
                <w:szCs w:val="22"/>
              </w:rPr>
            </w:pPr>
            <w:r>
              <w:rPr>
                <w:szCs w:val="22"/>
              </w:rPr>
              <w:t>378.28</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3 months or more, per month, paid in advance</w:t>
            </w:r>
          </w:p>
        </w:tc>
        <w:tc>
          <w:tcPr>
            <w:tcW w:w="996" w:type="dxa"/>
            <w:vAlign w:val="bottom"/>
          </w:tcPr>
          <w:p>
            <w:pPr>
              <w:pStyle w:val="yTableNAm"/>
              <w:jc w:val="right"/>
              <w:rPr>
                <w:szCs w:val="22"/>
              </w:rPr>
            </w:pPr>
            <w:r>
              <w:rPr>
                <w:szCs w:val="22"/>
              </w:rPr>
              <w:t>37.84</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one month or more, per month, paid in advance</w:t>
            </w:r>
          </w:p>
        </w:tc>
        <w:tc>
          <w:tcPr>
            <w:tcW w:w="996" w:type="dxa"/>
            <w:vAlign w:val="bottom"/>
          </w:tcPr>
          <w:p>
            <w:pPr>
              <w:pStyle w:val="yTableNAm"/>
              <w:jc w:val="right"/>
              <w:rPr>
                <w:szCs w:val="22"/>
              </w:rPr>
            </w:pPr>
            <w:r>
              <w:rPr>
                <w:szCs w:val="22"/>
              </w:rPr>
              <w:t>56.74</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one week or more, per week, paid in advance</w:t>
            </w:r>
          </w:p>
        </w:tc>
        <w:tc>
          <w:tcPr>
            <w:tcW w:w="996" w:type="dxa"/>
            <w:vAlign w:val="bottom"/>
          </w:tcPr>
          <w:p>
            <w:pPr>
              <w:pStyle w:val="yTableNAm"/>
              <w:jc w:val="right"/>
              <w:rPr>
                <w:szCs w:val="22"/>
              </w:rPr>
            </w:pPr>
            <w:r>
              <w:rPr>
                <w:szCs w:val="22"/>
              </w:rPr>
              <w:t>39.36</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otherwise, per day</w:t>
            </w:r>
          </w:p>
        </w:tc>
        <w:tc>
          <w:tcPr>
            <w:tcW w:w="996" w:type="dxa"/>
            <w:vAlign w:val="bottom"/>
          </w:tcPr>
          <w:p>
            <w:pPr>
              <w:pStyle w:val="yTableNAm"/>
              <w:jc w:val="right"/>
              <w:rPr>
                <w:szCs w:val="22"/>
              </w:rPr>
            </w:pPr>
            <w:r>
              <w:rPr>
                <w:szCs w:val="22"/>
              </w:rPr>
              <w:t>7.87</w:t>
            </w:r>
          </w:p>
        </w:tc>
      </w:tr>
      <w:tr>
        <w:trPr>
          <w:cantSplit/>
        </w:trPr>
        <w:tc>
          <w:tcPr>
            <w:tcW w:w="567" w:type="dxa"/>
          </w:tcPr>
          <w:p>
            <w:pPr>
              <w:pStyle w:val="yTableNAm"/>
            </w:pPr>
            <w:r>
              <w:t>4.</w:t>
            </w:r>
          </w:p>
        </w:tc>
        <w:tc>
          <w:tcPr>
            <w:tcW w:w="4390" w:type="dxa"/>
          </w:tcPr>
          <w:p>
            <w:pPr>
              <w:pStyle w:val="yTableNAm"/>
            </w:pPr>
            <w:r>
              <w:t xml:space="preserve">For use of service jetty and mooring/berth within area adjacent to causeway by a service vessel, per m of the vessel’s length — </w:t>
            </w:r>
          </w:p>
        </w:tc>
        <w:tc>
          <w:tcPr>
            <w:tcW w:w="996" w:type="dxa"/>
            <w:vAlign w:val="bottom"/>
          </w:tcPr>
          <w:p>
            <w:pPr>
              <w:pStyle w:val="yTableNAm"/>
              <w:jc w:val="right"/>
              <w:rPr>
                <w:szCs w:val="22"/>
              </w:rPr>
            </w:pP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12 months paid in advance</w:t>
            </w:r>
          </w:p>
        </w:tc>
        <w:tc>
          <w:tcPr>
            <w:tcW w:w="996" w:type="dxa"/>
            <w:vAlign w:val="bottom"/>
          </w:tcPr>
          <w:p>
            <w:pPr>
              <w:pStyle w:val="yTableNAm"/>
              <w:jc w:val="right"/>
              <w:rPr>
                <w:szCs w:val="22"/>
              </w:rPr>
            </w:pPr>
            <w:r>
              <w:rPr>
                <w:szCs w:val="22"/>
              </w:rPr>
              <w:t>831.19</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3 months or more, per month, paid in advance</w:t>
            </w:r>
          </w:p>
        </w:tc>
        <w:tc>
          <w:tcPr>
            <w:tcW w:w="996" w:type="dxa"/>
            <w:vAlign w:val="bottom"/>
          </w:tcPr>
          <w:p>
            <w:pPr>
              <w:pStyle w:val="yTableNAm"/>
              <w:jc w:val="right"/>
              <w:rPr>
                <w:szCs w:val="22"/>
              </w:rPr>
            </w:pPr>
            <w:r>
              <w:rPr>
                <w:szCs w:val="22"/>
              </w:rPr>
              <w:t>83.16</w:t>
            </w:r>
          </w:p>
        </w:tc>
      </w:tr>
      <w:tr>
        <w:trPr>
          <w:cantSplit/>
        </w:trPr>
        <w:tc>
          <w:tcPr>
            <w:tcW w:w="567" w:type="dxa"/>
          </w:tcPr>
          <w:p>
            <w:pPr>
              <w:pStyle w:val="yTableNAm"/>
              <w:spacing w:before="80"/>
            </w:pPr>
          </w:p>
        </w:tc>
        <w:tc>
          <w:tcPr>
            <w:tcW w:w="4390" w:type="dxa"/>
          </w:tcPr>
          <w:p>
            <w:pPr>
              <w:pStyle w:val="yTableNAm"/>
              <w:tabs>
                <w:tab w:val="clear" w:pos="567"/>
                <w:tab w:val="left" w:pos="415"/>
              </w:tabs>
              <w:spacing w:before="80"/>
              <w:ind w:left="414" w:hanging="414"/>
              <w:rPr>
                <w:rFonts w:ascii="Arial" w:hAnsi="Arial"/>
                <w:b/>
              </w:rPr>
            </w:pPr>
            <w:r>
              <w:t>•</w:t>
            </w:r>
            <w:r>
              <w:tab/>
              <w:t>for one month or more, per month, paid in advance</w:t>
            </w:r>
          </w:p>
        </w:tc>
        <w:tc>
          <w:tcPr>
            <w:tcW w:w="996" w:type="dxa"/>
            <w:vAlign w:val="bottom"/>
          </w:tcPr>
          <w:p>
            <w:pPr>
              <w:pStyle w:val="yTableNAm"/>
              <w:spacing w:before="80"/>
              <w:jc w:val="right"/>
              <w:rPr>
                <w:rFonts w:ascii="Arial" w:hAnsi="Arial"/>
                <w:b/>
                <w:szCs w:val="22"/>
              </w:rPr>
            </w:pPr>
            <w:r>
              <w:rPr>
                <w:szCs w:val="22"/>
              </w:rPr>
              <w:t>124.68</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up to 6 hours in a 24 hour period</w:t>
            </w:r>
          </w:p>
        </w:tc>
        <w:tc>
          <w:tcPr>
            <w:tcW w:w="996" w:type="dxa"/>
            <w:vAlign w:val="bottom"/>
          </w:tcPr>
          <w:p>
            <w:pPr>
              <w:pStyle w:val="yTableNAm"/>
              <w:jc w:val="right"/>
            </w:pPr>
            <w:r>
              <w:t>6.40</w:t>
            </w:r>
          </w:p>
        </w:tc>
      </w:tr>
      <w:tr>
        <w:trPr>
          <w:cantSplit/>
        </w:trPr>
        <w:tc>
          <w:tcPr>
            <w:tcW w:w="567" w:type="dxa"/>
          </w:tcPr>
          <w:p>
            <w:pPr>
              <w:pStyle w:val="yTableNAm"/>
            </w:pPr>
            <w:r>
              <w:t>5.</w:t>
            </w:r>
          </w:p>
        </w:tc>
        <w:tc>
          <w:tcPr>
            <w:tcW w:w="4390" w:type="dxa"/>
          </w:tcPr>
          <w:p>
            <w:pPr>
              <w:pStyle w:val="yTableNAm"/>
            </w:pPr>
            <w:r>
              <w:t>For use of service wharf hardstand or appurtenant area for storage or maintenance (for short</w:t>
            </w:r>
            <w:r>
              <w:noBreakHyphen/>
              <w:t>term use only), per day —</w:t>
            </w:r>
          </w:p>
        </w:tc>
        <w:tc>
          <w:tcPr>
            <w:tcW w:w="996" w:type="dxa"/>
            <w:vAlign w:val="bottom"/>
          </w:tcPr>
          <w:p>
            <w:pPr>
              <w:pStyle w:val="yTableNAm"/>
              <w:jc w:val="right"/>
            </w:pP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per m</w:t>
            </w:r>
            <w:r>
              <w:rPr>
                <w:vertAlign w:val="superscript"/>
              </w:rPr>
              <w:t>2</w:t>
            </w:r>
          </w:p>
        </w:tc>
        <w:tc>
          <w:tcPr>
            <w:tcW w:w="996" w:type="dxa"/>
            <w:vAlign w:val="bottom"/>
          </w:tcPr>
          <w:p>
            <w:pPr>
              <w:pStyle w:val="yTableNAm"/>
              <w:jc w:val="right"/>
            </w:pPr>
            <w:r>
              <w:t>1.57</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minimum fee</w:t>
            </w:r>
          </w:p>
        </w:tc>
        <w:tc>
          <w:tcPr>
            <w:tcW w:w="996" w:type="dxa"/>
            <w:vAlign w:val="bottom"/>
          </w:tcPr>
          <w:p>
            <w:pPr>
              <w:pStyle w:val="yTableNAm"/>
              <w:jc w:val="right"/>
            </w:pPr>
            <w:r>
              <w:t>28.73</w:t>
            </w:r>
          </w:p>
        </w:tc>
      </w:tr>
      <w:tr>
        <w:trPr>
          <w:cantSplit/>
        </w:trPr>
        <w:tc>
          <w:tcPr>
            <w:tcW w:w="567" w:type="dxa"/>
          </w:tcPr>
          <w:p>
            <w:pPr>
              <w:pStyle w:val="yTableNAm"/>
            </w:pPr>
            <w:r>
              <w:t>6.</w:t>
            </w:r>
          </w:p>
        </w:tc>
        <w:tc>
          <w:tcPr>
            <w:tcW w:w="4390" w:type="dxa"/>
          </w:tcPr>
          <w:p>
            <w:pPr>
              <w:pStyle w:val="yTableNAm"/>
            </w:pPr>
            <w:r>
              <w:t>For electricity supply, 3</w:t>
            </w:r>
            <w:r>
              <w:noBreakHyphen/>
              <w:t>phase or single —</w:t>
            </w:r>
          </w:p>
        </w:tc>
        <w:tc>
          <w:tcPr>
            <w:tcW w:w="996" w:type="dxa"/>
            <w:vAlign w:val="bottom"/>
          </w:tcPr>
          <w:p>
            <w:pPr>
              <w:pStyle w:val="yTableNAm"/>
              <w:jc w:val="right"/>
            </w:pP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if metered, for units consumed, per unit with a minimum amount as for the consumption of 50 units</w:t>
            </w:r>
          </w:p>
        </w:tc>
        <w:tc>
          <w:tcPr>
            <w:tcW w:w="996" w:type="dxa"/>
            <w:vAlign w:val="bottom"/>
          </w:tcPr>
          <w:p>
            <w:pPr>
              <w:pStyle w:val="yTableNAm"/>
              <w:jc w:val="right"/>
            </w:pPr>
            <w:r>
              <w:t>cost</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if metered, for meter reading</w:t>
            </w:r>
          </w:p>
        </w:tc>
        <w:tc>
          <w:tcPr>
            <w:tcW w:w="996" w:type="dxa"/>
            <w:vAlign w:val="bottom"/>
          </w:tcPr>
          <w:p>
            <w:pPr>
              <w:pStyle w:val="yTableNAm"/>
              <w:jc w:val="right"/>
            </w:pPr>
            <w:r>
              <w:t>cost</w:t>
            </w:r>
          </w:p>
        </w:tc>
      </w:tr>
      <w:tr>
        <w:trPr>
          <w:cantSplit/>
        </w:trPr>
        <w:tc>
          <w:tcPr>
            <w:tcW w:w="567" w:type="dxa"/>
          </w:tcPr>
          <w:p>
            <w:pPr>
              <w:pStyle w:val="yTableNAm"/>
            </w:pPr>
          </w:p>
        </w:tc>
        <w:tc>
          <w:tcPr>
            <w:tcW w:w="4390" w:type="dxa"/>
          </w:tcPr>
          <w:p>
            <w:pPr>
              <w:pStyle w:val="yTableNAm"/>
              <w:tabs>
                <w:tab w:val="clear" w:pos="567"/>
                <w:tab w:val="left" w:pos="415"/>
              </w:tabs>
              <w:ind w:left="415" w:hanging="415"/>
              <w:rPr>
                <w:b/>
                <w:i/>
              </w:rPr>
            </w:pPr>
            <w:r>
              <w:t>•</w:t>
            </w:r>
            <w:r>
              <w:tab/>
              <w:t>if not metered, per period of 12 hours or part of that period</w:t>
            </w:r>
          </w:p>
        </w:tc>
        <w:tc>
          <w:tcPr>
            <w:tcW w:w="996" w:type="dxa"/>
            <w:vAlign w:val="bottom"/>
          </w:tcPr>
          <w:p>
            <w:pPr>
              <w:pStyle w:val="yTableNAm"/>
              <w:jc w:val="right"/>
            </w:pPr>
            <w:r>
              <w:t>cost</w:t>
            </w:r>
          </w:p>
        </w:tc>
      </w:tr>
      <w:tr>
        <w:trPr>
          <w:cantSplit/>
        </w:trPr>
        <w:tc>
          <w:tcPr>
            <w:tcW w:w="567" w:type="dxa"/>
          </w:tcPr>
          <w:p>
            <w:pPr>
              <w:pStyle w:val="yTableNAm"/>
            </w:pPr>
            <w:r>
              <w:t>7.</w:t>
            </w:r>
          </w:p>
        </w:tc>
        <w:tc>
          <w:tcPr>
            <w:tcW w:w="4390" w:type="dxa"/>
          </w:tcPr>
          <w:p>
            <w:pPr>
              <w:pStyle w:val="yTableNAm"/>
            </w:pPr>
            <w:r>
              <w:t xml:space="preserve">For rubbish removal — </w:t>
            </w:r>
          </w:p>
        </w:tc>
        <w:tc>
          <w:tcPr>
            <w:tcW w:w="996" w:type="dxa"/>
            <w:vAlign w:val="bottom"/>
          </w:tcPr>
          <w:p>
            <w:pPr>
              <w:pStyle w:val="yTableNAm"/>
              <w:jc w:val="right"/>
            </w:pP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excess quantity or from vessel not using harbour, minimum per half skip supplied and emptied</w:t>
            </w:r>
          </w:p>
        </w:tc>
        <w:tc>
          <w:tcPr>
            <w:tcW w:w="996" w:type="dxa"/>
            <w:vAlign w:val="bottom"/>
          </w:tcPr>
          <w:p>
            <w:pPr>
              <w:pStyle w:val="yTableNAm"/>
              <w:jc w:val="right"/>
            </w:pPr>
            <w:r>
              <w:t>cost</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waste oil from vessels in excess of 150 L</w:t>
            </w:r>
          </w:p>
        </w:tc>
        <w:tc>
          <w:tcPr>
            <w:tcW w:w="996" w:type="dxa"/>
            <w:vAlign w:val="bottom"/>
          </w:tcPr>
          <w:p>
            <w:pPr>
              <w:pStyle w:val="yTableNAm"/>
              <w:jc w:val="right"/>
            </w:pPr>
            <w:r>
              <w:t>cost</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waste oil drum not removed by owner, per 20 L drum</w:t>
            </w:r>
          </w:p>
        </w:tc>
        <w:tc>
          <w:tcPr>
            <w:tcW w:w="996" w:type="dxa"/>
            <w:vAlign w:val="bottom"/>
          </w:tcPr>
          <w:p>
            <w:pPr>
              <w:pStyle w:val="yTableNAm"/>
              <w:jc w:val="right"/>
            </w:pPr>
            <w:r>
              <w:t>cost</w:t>
            </w:r>
          </w:p>
        </w:tc>
      </w:tr>
      <w:tr>
        <w:trPr>
          <w:cantSplit/>
        </w:trPr>
        <w:tc>
          <w:tcPr>
            <w:tcW w:w="567" w:type="dxa"/>
            <w:tcBorders>
              <w:bottom w:val="single" w:sz="4" w:space="0" w:color="auto"/>
            </w:tcBorders>
          </w:tcPr>
          <w:p>
            <w:pPr>
              <w:pStyle w:val="yTableNAm"/>
            </w:pPr>
          </w:p>
        </w:tc>
        <w:tc>
          <w:tcPr>
            <w:tcW w:w="4390" w:type="dxa"/>
            <w:tcBorders>
              <w:bottom w:val="single" w:sz="4" w:space="0" w:color="auto"/>
            </w:tcBorders>
          </w:tcPr>
          <w:p>
            <w:pPr>
              <w:pStyle w:val="yTableNAm"/>
              <w:tabs>
                <w:tab w:val="clear" w:pos="567"/>
                <w:tab w:val="left" w:pos="415"/>
              </w:tabs>
              <w:ind w:left="415" w:hanging="415"/>
            </w:pPr>
            <w:r>
              <w:t>•</w:t>
            </w:r>
            <w:r>
              <w:tab/>
              <w:t>rubbish not put in supplied bins</w:t>
            </w:r>
          </w:p>
        </w:tc>
        <w:tc>
          <w:tcPr>
            <w:tcW w:w="996" w:type="dxa"/>
            <w:tcBorders>
              <w:bottom w:val="single" w:sz="4" w:space="0" w:color="auto"/>
            </w:tcBorders>
            <w:vAlign w:val="bottom"/>
          </w:tcPr>
          <w:p>
            <w:pPr>
              <w:pStyle w:val="yTableNAm"/>
              <w:jc w:val="right"/>
            </w:pPr>
            <w:r>
              <w:t>cost</w:t>
            </w:r>
          </w:p>
        </w:tc>
      </w:tr>
    </w:tbl>
    <w:p>
      <w:pPr>
        <w:pStyle w:val="ySubsection"/>
        <w:keepNext/>
        <w:keepLines/>
      </w:pPr>
      <w:r>
        <w:tab/>
        <w:t>(3)</w:t>
      </w:r>
      <w:r>
        <w:tab/>
        <w:t>The fees and charges to be paid under regulation 96 are set out in Table 20.3.</w:t>
      </w:r>
    </w:p>
    <w:p>
      <w:pPr>
        <w:pStyle w:val="yTHeadingNAm"/>
        <w:keepLines/>
      </w:pPr>
      <w:r>
        <w:t>Table 20.3 (Slip services)</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90"/>
        <w:gridCol w:w="996"/>
      </w:tblGrid>
      <w:tr>
        <w:trPr>
          <w:cantSplit/>
          <w:tblHeader/>
        </w:trPr>
        <w:tc>
          <w:tcPr>
            <w:tcW w:w="567" w:type="dxa"/>
            <w:tcBorders>
              <w:top w:val="single" w:sz="4" w:space="0" w:color="auto"/>
              <w:bottom w:val="single" w:sz="4" w:space="0" w:color="auto"/>
            </w:tcBorders>
          </w:tcPr>
          <w:p>
            <w:pPr>
              <w:pStyle w:val="yTableNAm"/>
              <w:keepNext/>
              <w:keepLines/>
              <w:rPr>
                <w:b/>
              </w:rPr>
            </w:pPr>
            <w:r>
              <w:rPr>
                <w:b/>
              </w:rPr>
              <w:t>Item</w:t>
            </w:r>
          </w:p>
        </w:tc>
        <w:tc>
          <w:tcPr>
            <w:tcW w:w="4390" w:type="dxa"/>
            <w:tcBorders>
              <w:top w:val="single" w:sz="4" w:space="0" w:color="auto"/>
              <w:bottom w:val="single" w:sz="4" w:space="0" w:color="auto"/>
            </w:tcBorders>
          </w:tcPr>
          <w:p>
            <w:pPr>
              <w:pStyle w:val="yTableNAm"/>
              <w:keepNext/>
              <w:keepLines/>
              <w:rPr>
                <w:b/>
              </w:rPr>
            </w:pPr>
            <w:r>
              <w:rPr>
                <w:b/>
              </w:rPr>
              <w:t>Service</w:t>
            </w:r>
          </w:p>
        </w:tc>
        <w:tc>
          <w:tcPr>
            <w:tcW w:w="996" w:type="dxa"/>
            <w:tcBorders>
              <w:top w:val="single" w:sz="4" w:space="0" w:color="auto"/>
              <w:bottom w:val="single" w:sz="4" w:space="0" w:color="auto"/>
            </w:tcBorders>
          </w:tcPr>
          <w:p>
            <w:pPr>
              <w:pStyle w:val="yTableNAm"/>
              <w:keepNext/>
              <w:keepLines/>
              <w:jc w:val="center"/>
              <w:rPr>
                <w:b/>
              </w:rPr>
            </w:pPr>
            <w:r>
              <w:rPr>
                <w:b/>
              </w:rPr>
              <w:t>$</w:t>
            </w:r>
          </w:p>
        </w:tc>
      </w:tr>
      <w:tr>
        <w:trPr>
          <w:cantSplit/>
        </w:trPr>
        <w:tc>
          <w:tcPr>
            <w:tcW w:w="567" w:type="dxa"/>
          </w:tcPr>
          <w:p>
            <w:pPr>
              <w:pStyle w:val="yTableNAm"/>
            </w:pPr>
            <w:r>
              <w:t>1.</w:t>
            </w:r>
          </w:p>
        </w:tc>
        <w:tc>
          <w:tcPr>
            <w:tcW w:w="4390" w:type="dxa"/>
          </w:tcPr>
          <w:p>
            <w:pPr>
              <w:pStyle w:val="yTableNAm"/>
            </w:pPr>
            <w:r>
              <w:t xml:space="preserve">For water supply — </w:t>
            </w:r>
          </w:p>
        </w:tc>
        <w:tc>
          <w:tcPr>
            <w:tcW w:w="996" w:type="dxa"/>
            <w:vAlign w:val="bottom"/>
          </w:tcPr>
          <w:p>
            <w:pPr>
              <w:pStyle w:val="yTableNAm"/>
              <w:jc w:val="right"/>
              <w:rPr>
                <w:szCs w:val="22"/>
              </w:rPr>
            </w:pPr>
          </w:p>
        </w:tc>
      </w:tr>
      <w:tr>
        <w:trPr>
          <w:cantSplit/>
        </w:trPr>
        <w:tc>
          <w:tcPr>
            <w:tcW w:w="567" w:type="dxa"/>
          </w:tcPr>
          <w:p>
            <w:pPr>
              <w:pStyle w:val="yTableNAm"/>
            </w:pPr>
          </w:p>
        </w:tc>
        <w:tc>
          <w:tcPr>
            <w:tcW w:w="4390" w:type="dxa"/>
          </w:tcPr>
          <w:p>
            <w:pPr>
              <w:pStyle w:val="yTableNAm"/>
              <w:tabs>
                <w:tab w:val="clear" w:pos="567"/>
                <w:tab w:val="left" w:pos="415"/>
              </w:tabs>
              <w:ind w:left="415" w:hanging="415"/>
              <w:rPr>
                <w:rFonts w:ascii="Arial" w:hAnsi="Arial"/>
                <w:b/>
              </w:rPr>
            </w:pPr>
            <w:r>
              <w:t>•</w:t>
            </w:r>
            <w:r>
              <w:tab/>
              <w:t>if metered, for units consumed, per unit with a minimum amount as for the consumption of 2 kL</w:t>
            </w:r>
          </w:p>
        </w:tc>
        <w:tc>
          <w:tcPr>
            <w:tcW w:w="996" w:type="dxa"/>
            <w:vAlign w:val="bottom"/>
          </w:tcPr>
          <w:p>
            <w:pPr>
              <w:pStyle w:val="yTableNAm"/>
              <w:jc w:val="right"/>
            </w:pPr>
            <w:r>
              <w:t>cost</w:t>
            </w:r>
          </w:p>
        </w:tc>
      </w:tr>
      <w:tr>
        <w:trPr>
          <w:cantSplit/>
        </w:trPr>
        <w:tc>
          <w:tcPr>
            <w:tcW w:w="567" w:type="dxa"/>
          </w:tcPr>
          <w:p>
            <w:pPr>
              <w:pStyle w:val="yTableNAm"/>
            </w:pPr>
          </w:p>
        </w:tc>
        <w:tc>
          <w:tcPr>
            <w:tcW w:w="4390" w:type="dxa"/>
          </w:tcPr>
          <w:p>
            <w:pPr>
              <w:pStyle w:val="yTableNAm"/>
              <w:tabs>
                <w:tab w:val="clear" w:pos="567"/>
                <w:tab w:val="left" w:pos="415"/>
              </w:tabs>
              <w:ind w:left="415" w:hanging="415"/>
              <w:rPr>
                <w:b/>
                <w:i/>
              </w:rPr>
            </w:pPr>
            <w:r>
              <w:t>•</w:t>
            </w:r>
            <w:r>
              <w:tab/>
              <w:t>if not metered, per period of 12 hours or part of that period</w:t>
            </w:r>
          </w:p>
        </w:tc>
        <w:tc>
          <w:tcPr>
            <w:tcW w:w="996" w:type="dxa"/>
            <w:vAlign w:val="bottom"/>
          </w:tcPr>
          <w:p>
            <w:pPr>
              <w:pStyle w:val="yTableNAm"/>
              <w:jc w:val="right"/>
            </w:pPr>
            <w:r>
              <w:t>cost</w:t>
            </w:r>
          </w:p>
        </w:tc>
      </w:tr>
      <w:tr>
        <w:trPr>
          <w:cantSplit/>
        </w:trPr>
        <w:tc>
          <w:tcPr>
            <w:tcW w:w="567" w:type="dxa"/>
          </w:tcPr>
          <w:p>
            <w:pPr>
              <w:pStyle w:val="yTableNAm"/>
            </w:pPr>
            <w:r>
              <w:t>2.</w:t>
            </w:r>
          </w:p>
        </w:tc>
        <w:tc>
          <w:tcPr>
            <w:tcW w:w="4390" w:type="dxa"/>
          </w:tcPr>
          <w:p>
            <w:pPr>
              <w:pStyle w:val="yTableNAm"/>
            </w:pPr>
            <w:r>
              <w:t xml:space="preserve">Use of slip, per day, for a vessel for which the annual pen fee in Table 20.2 has been paid that is — </w:t>
            </w:r>
          </w:p>
        </w:tc>
        <w:tc>
          <w:tcPr>
            <w:tcW w:w="996" w:type="dxa"/>
          </w:tcPr>
          <w:p>
            <w:pPr>
              <w:pStyle w:val="yTableNAm"/>
              <w:jc w:val="right"/>
            </w:pP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not over 15 m long</w:t>
            </w:r>
          </w:p>
        </w:tc>
        <w:tc>
          <w:tcPr>
            <w:tcW w:w="996" w:type="dxa"/>
            <w:vAlign w:val="bottom"/>
          </w:tcPr>
          <w:p>
            <w:pPr>
              <w:pStyle w:val="yTableNAm"/>
              <w:jc w:val="right"/>
              <w:rPr>
                <w:szCs w:val="22"/>
              </w:rPr>
            </w:pPr>
            <w:r>
              <w:rPr>
                <w:szCs w:val="22"/>
              </w:rPr>
              <w:t>157.61</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over 15 m long</w:t>
            </w:r>
          </w:p>
        </w:tc>
        <w:tc>
          <w:tcPr>
            <w:tcW w:w="996" w:type="dxa"/>
            <w:vAlign w:val="bottom"/>
          </w:tcPr>
          <w:p>
            <w:pPr>
              <w:pStyle w:val="yTableNAm"/>
              <w:jc w:val="right"/>
              <w:rPr>
                <w:szCs w:val="22"/>
              </w:rPr>
            </w:pPr>
            <w:r>
              <w:rPr>
                <w:szCs w:val="22"/>
              </w:rPr>
              <w:t>223.80</w:t>
            </w:r>
          </w:p>
        </w:tc>
      </w:tr>
      <w:tr>
        <w:trPr>
          <w:cantSplit/>
        </w:trPr>
        <w:tc>
          <w:tcPr>
            <w:tcW w:w="567" w:type="dxa"/>
          </w:tcPr>
          <w:p>
            <w:pPr>
              <w:pStyle w:val="yTableNAm"/>
            </w:pPr>
            <w:r>
              <w:t>3.</w:t>
            </w:r>
          </w:p>
        </w:tc>
        <w:tc>
          <w:tcPr>
            <w:tcW w:w="4390" w:type="dxa"/>
          </w:tcPr>
          <w:p>
            <w:pPr>
              <w:pStyle w:val="yTableNAm"/>
            </w:pPr>
            <w:r>
              <w:t xml:space="preserve">Use of slip, per day, for any other vessel that is — </w:t>
            </w:r>
          </w:p>
        </w:tc>
        <w:tc>
          <w:tcPr>
            <w:tcW w:w="996" w:type="dxa"/>
            <w:vAlign w:val="bottom"/>
          </w:tcPr>
          <w:p>
            <w:pPr>
              <w:pStyle w:val="yTableNAm"/>
              <w:jc w:val="right"/>
              <w:rPr>
                <w:szCs w:val="22"/>
              </w:rPr>
            </w:pP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not over 15 m long</w:t>
            </w:r>
          </w:p>
        </w:tc>
        <w:tc>
          <w:tcPr>
            <w:tcW w:w="996" w:type="dxa"/>
            <w:vAlign w:val="bottom"/>
          </w:tcPr>
          <w:p>
            <w:pPr>
              <w:pStyle w:val="yTableNAm"/>
              <w:jc w:val="right"/>
              <w:rPr>
                <w:szCs w:val="22"/>
              </w:rPr>
            </w:pPr>
            <w:r>
              <w:rPr>
                <w:szCs w:val="22"/>
              </w:rPr>
              <w:t>189.13</w:t>
            </w:r>
          </w:p>
        </w:tc>
      </w:tr>
      <w:tr>
        <w:trPr>
          <w:cantSplit/>
        </w:trPr>
        <w:tc>
          <w:tcPr>
            <w:tcW w:w="567" w:type="dxa"/>
            <w:tcBorders>
              <w:bottom w:val="single" w:sz="4" w:space="0" w:color="auto"/>
            </w:tcBorders>
          </w:tcPr>
          <w:p>
            <w:pPr>
              <w:pStyle w:val="yTableNAm"/>
            </w:pPr>
          </w:p>
        </w:tc>
        <w:tc>
          <w:tcPr>
            <w:tcW w:w="4390" w:type="dxa"/>
            <w:tcBorders>
              <w:bottom w:val="single" w:sz="4" w:space="0" w:color="auto"/>
            </w:tcBorders>
          </w:tcPr>
          <w:p>
            <w:pPr>
              <w:pStyle w:val="yTableNAm"/>
              <w:tabs>
                <w:tab w:val="clear" w:pos="567"/>
                <w:tab w:val="left" w:pos="415"/>
              </w:tabs>
              <w:ind w:left="415" w:hanging="415"/>
            </w:pPr>
            <w:r>
              <w:t>•</w:t>
            </w:r>
            <w:r>
              <w:tab/>
              <w:t>over 15 m long</w:t>
            </w:r>
          </w:p>
        </w:tc>
        <w:tc>
          <w:tcPr>
            <w:tcW w:w="996" w:type="dxa"/>
            <w:tcBorders>
              <w:bottom w:val="single" w:sz="4" w:space="0" w:color="auto"/>
            </w:tcBorders>
            <w:vAlign w:val="bottom"/>
          </w:tcPr>
          <w:p>
            <w:pPr>
              <w:pStyle w:val="yTableNAm"/>
              <w:jc w:val="right"/>
              <w:rPr>
                <w:szCs w:val="22"/>
              </w:rPr>
            </w:pPr>
            <w:r>
              <w:rPr>
                <w:szCs w:val="22"/>
              </w:rPr>
              <w:t>275.81</w:t>
            </w:r>
          </w:p>
        </w:tc>
      </w:tr>
    </w:tbl>
    <w:p>
      <w:pPr>
        <w:pStyle w:val="yFootnotesection"/>
      </w:pPr>
      <w:r>
        <w:tab/>
        <w:t>[Clause 20 inserted in Gazette 28 Jun 2013 p. 2865</w:t>
      </w:r>
      <w:r>
        <w:noBreakHyphen/>
        <w:t>9.]</w:t>
      </w:r>
    </w:p>
    <w:p>
      <w:pPr>
        <w:pStyle w:val="yHeading5"/>
      </w:pPr>
      <w:bookmarkStart w:id="162" w:name="_Toc382380056"/>
      <w:r>
        <w:rPr>
          <w:rStyle w:val="CharSClsNo"/>
        </w:rPr>
        <w:t>21</w:t>
      </w:r>
      <w:r>
        <w:t>.</w:t>
      </w:r>
      <w:r>
        <w:tab/>
        <w:t xml:space="preserve">Port </w:t>
      </w:r>
      <w:smartTag w:uri="urn:schemas-microsoft-com:office:smarttags" w:element="place">
        <w:smartTag w:uri="urn:schemas-microsoft-com:office:smarttags" w:element="City">
          <w:r>
            <w:t>Denison</w:t>
          </w:r>
        </w:smartTag>
      </w:smartTag>
      <w:bookmarkEnd w:id="162"/>
    </w:p>
    <w:p>
      <w:pPr>
        <w:pStyle w:val="ySubsection"/>
      </w:pPr>
      <w:r>
        <w:tab/>
        <w:t>(1)</w:t>
      </w:r>
      <w:r>
        <w:tab/>
        <w:t>This clause applies to Port Denison.</w:t>
      </w:r>
    </w:p>
    <w:p>
      <w:pPr>
        <w:pStyle w:val="ySubsection"/>
      </w:pPr>
      <w:r>
        <w:tab/>
        <w:t>(2)</w:t>
      </w:r>
      <w:r>
        <w:tab/>
        <w:t>The fees and charges to be paid under regulations 6 and 94A are set out in Table 21.1.</w:t>
      </w:r>
    </w:p>
    <w:p>
      <w:pPr>
        <w:pStyle w:val="ySubsection"/>
      </w:pPr>
      <w:r>
        <w:tab/>
        <w:t>(3)</w:t>
      </w:r>
      <w:r>
        <w:tab/>
        <w:t>In Table 21.1 the chargeable length for a pen that is 20 m long is 16 m.</w:t>
      </w:r>
    </w:p>
    <w:p>
      <w:pPr>
        <w:pStyle w:val="yTHeadingNAm"/>
        <w:keepLines/>
      </w:pPr>
      <w:r>
        <w:t>Table 21.1 (Berthing and pen rental)</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709"/>
        <w:gridCol w:w="4248"/>
        <w:gridCol w:w="996"/>
      </w:tblGrid>
      <w:tr>
        <w:trPr>
          <w:cantSplit/>
          <w:tblHeader/>
        </w:trPr>
        <w:tc>
          <w:tcPr>
            <w:tcW w:w="709" w:type="dxa"/>
            <w:tcBorders>
              <w:top w:val="single" w:sz="4" w:space="0" w:color="auto"/>
              <w:bottom w:val="single" w:sz="4" w:space="0" w:color="auto"/>
            </w:tcBorders>
          </w:tcPr>
          <w:p>
            <w:pPr>
              <w:pStyle w:val="yTableNAm"/>
              <w:keepNext/>
              <w:keepLines/>
              <w:rPr>
                <w:b/>
              </w:rPr>
            </w:pPr>
            <w:r>
              <w:rPr>
                <w:b/>
              </w:rPr>
              <w:t>Item</w:t>
            </w:r>
          </w:p>
        </w:tc>
        <w:tc>
          <w:tcPr>
            <w:tcW w:w="4248" w:type="dxa"/>
            <w:tcBorders>
              <w:top w:val="single" w:sz="4" w:space="0" w:color="auto"/>
              <w:bottom w:val="single" w:sz="4" w:space="0" w:color="auto"/>
            </w:tcBorders>
          </w:tcPr>
          <w:p>
            <w:pPr>
              <w:pStyle w:val="yTableNAm"/>
              <w:keepNext/>
              <w:keepLines/>
              <w:rPr>
                <w:b/>
              </w:rPr>
            </w:pPr>
            <w:r>
              <w:rPr>
                <w:b/>
              </w:rPr>
              <w:t>Service</w:t>
            </w:r>
          </w:p>
        </w:tc>
        <w:tc>
          <w:tcPr>
            <w:tcW w:w="996" w:type="dxa"/>
            <w:tcBorders>
              <w:top w:val="single" w:sz="4" w:space="0" w:color="auto"/>
              <w:bottom w:val="single" w:sz="4" w:space="0" w:color="auto"/>
            </w:tcBorders>
          </w:tcPr>
          <w:p>
            <w:pPr>
              <w:pStyle w:val="yTableNAm"/>
              <w:keepNext/>
              <w:keepLines/>
              <w:jc w:val="center"/>
              <w:rPr>
                <w:b/>
              </w:rPr>
            </w:pPr>
            <w:r>
              <w:rPr>
                <w:b/>
              </w:rPr>
              <w:t>$</w:t>
            </w:r>
          </w:p>
        </w:tc>
      </w:tr>
      <w:tr>
        <w:trPr>
          <w:cantSplit/>
        </w:trPr>
        <w:tc>
          <w:tcPr>
            <w:tcW w:w="709" w:type="dxa"/>
          </w:tcPr>
          <w:p>
            <w:pPr>
              <w:pStyle w:val="yTableNAm"/>
            </w:pPr>
            <w:r>
              <w:t>1.</w:t>
            </w:r>
          </w:p>
        </w:tc>
        <w:tc>
          <w:tcPr>
            <w:tcW w:w="4248" w:type="dxa"/>
          </w:tcPr>
          <w:p>
            <w:pPr>
              <w:pStyle w:val="yTableNAm"/>
            </w:pPr>
            <w:r>
              <w:t xml:space="preserve">For pen for commercial or recreational vessel — </w:t>
            </w:r>
          </w:p>
        </w:tc>
        <w:tc>
          <w:tcPr>
            <w:tcW w:w="996" w:type="dxa"/>
          </w:tcPr>
          <w:p>
            <w:pPr>
              <w:pStyle w:val="yTableNAm"/>
              <w:jc w:val="right"/>
            </w:pPr>
          </w:p>
        </w:tc>
      </w:tr>
      <w:tr>
        <w:trPr>
          <w:cantSplit/>
        </w:trPr>
        <w:tc>
          <w:tcPr>
            <w:tcW w:w="709" w:type="dxa"/>
          </w:tcPr>
          <w:p>
            <w:pPr>
              <w:pStyle w:val="yTableNAm"/>
            </w:pPr>
          </w:p>
        </w:tc>
        <w:tc>
          <w:tcPr>
            <w:tcW w:w="4248" w:type="dxa"/>
          </w:tcPr>
          <w:p>
            <w:pPr>
              <w:pStyle w:val="yTableNAm"/>
              <w:tabs>
                <w:tab w:val="clear" w:pos="567"/>
                <w:tab w:val="left" w:pos="415"/>
              </w:tabs>
              <w:ind w:left="415" w:hanging="415"/>
            </w:pPr>
            <w:r>
              <w:t>•</w:t>
            </w:r>
            <w:r>
              <w:tab/>
              <w:t>for 12 months paid in advance</w:t>
            </w:r>
          </w:p>
        </w:tc>
        <w:tc>
          <w:tcPr>
            <w:tcW w:w="996" w:type="dxa"/>
          </w:tcPr>
          <w:p>
            <w:pPr>
              <w:pStyle w:val="yTableNAm"/>
              <w:jc w:val="right"/>
            </w:pPr>
            <w:r>
              <w:t>988.61</w:t>
            </w:r>
          </w:p>
        </w:tc>
      </w:tr>
      <w:tr>
        <w:trPr>
          <w:cantSplit/>
        </w:trPr>
        <w:tc>
          <w:tcPr>
            <w:tcW w:w="709" w:type="dxa"/>
          </w:tcPr>
          <w:p>
            <w:pPr>
              <w:pStyle w:val="yTableNAm"/>
            </w:pPr>
          </w:p>
        </w:tc>
        <w:tc>
          <w:tcPr>
            <w:tcW w:w="4248" w:type="dxa"/>
          </w:tcPr>
          <w:p>
            <w:pPr>
              <w:pStyle w:val="yTableNAm"/>
              <w:tabs>
                <w:tab w:val="clear" w:pos="567"/>
                <w:tab w:val="left" w:pos="415"/>
              </w:tabs>
              <w:ind w:left="415" w:hanging="415"/>
            </w:pPr>
            <w:r>
              <w:t>•</w:t>
            </w:r>
            <w:r>
              <w:tab/>
              <w:t>plus per vessel, per m of the longer of the vessel’s length and the chargeable length (if any) for the pen</w:t>
            </w:r>
          </w:p>
        </w:tc>
        <w:tc>
          <w:tcPr>
            <w:tcW w:w="996" w:type="dxa"/>
          </w:tcPr>
          <w:p>
            <w:pPr>
              <w:pStyle w:val="yTableNAm"/>
              <w:jc w:val="right"/>
            </w:pPr>
            <w:r>
              <w:br/>
            </w:r>
            <w:r>
              <w:br/>
              <w:t>80.00</w:t>
            </w:r>
          </w:p>
        </w:tc>
      </w:tr>
      <w:tr>
        <w:trPr>
          <w:cantSplit/>
        </w:trPr>
        <w:tc>
          <w:tcPr>
            <w:tcW w:w="709" w:type="dxa"/>
          </w:tcPr>
          <w:p>
            <w:pPr>
              <w:pStyle w:val="yTableNAm"/>
            </w:pPr>
            <w:r>
              <w:t>2.</w:t>
            </w:r>
          </w:p>
        </w:tc>
        <w:tc>
          <w:tcPr>
            <w:tcW w:w="4248" w:type="dxa"/>
          </w:tcPr>
          <w:p>
            <w:pPr>
              <w:pStyle w:val="yTableNAm"/>
            </w:pPr>
            <w:r>
              <w:t>For dinghy pen for 12 months paid in advance</w:t>
            </w:r>
          </w:p>
        </w:tc>
        <w:tc>
          <w:tcPr>
            <w:tcW w:w="996" w:type="dxa"/>
          </w:tcPr>
          <w:p>
            <w:pPr>
              <w:pStyle w:val="yTableNAm"/>
              <w:jc w:val="right"/>
            </w:pPr>
            <w:r>
              <w:t>259.75</w:t>
            </w:r>
          </w:p>
        </w:tc>
      </w:tr>
      <w:tr>
        <w:trPr>
          <w:cantSplit/>
        </w:trPr>
        <w:tc>
          <w:tcPr>
            <w:tcW w:w="709" w:type="dxa"/>
          </w:tcPr>
          <w:p>
            <w:pPr>
              <w:pStyle w:val="yTableNAm"/>
            </w:pPr>
            <w:r>
              <w:t>3.</w:t>
            </w:r>
          </w:p>
        </w:tc>
        <w:tc>
          <w:tcPr>
            <w:tcW w:w="4248" w:type="dxa"/>
          </w:tcPr>
          <w:p>
            <w:pPr>
              <w:pStyle w:val="yTableNAm"/>
            </w:pPr>
            <w:r>
              <w:t>For use of service jetty other than for short time to load or unload vessel for which an annual fee for the use of a pen or a swing mooring has been paid, per vessel, per day</w:t>
            </w:r>
          </w:p>
        </w:tc>
        <w:tc>
          <w:tcPr>
            <w:tcW w:w="996" w:type="dxa"/>
          </w:tcPr>
          <w:p>
            <w:pPr>
              <w:pStyle w:val="yTableNAm"/>
              <w:jc w:val="right"/>
            </w:pPr>
            <w:r>
              <w:br/>
            </w:r>
            <w:r>
              <w:br/>
            </w:r>
            <w:r>
              <w:br/>
              <w:t>45.72</w:t>
            </w:r>
          </w:p>
        </w:tc>
      </w:tr>
      <w:tr>
        <w:trPr>
          <w:cantSplit/>
        </w:trPr>
        <w:tc>
          <w:tcPr>
            <w:tcW w:w="709" w:type="dxa"/>
          </w:tcPr>
          <w:p>
            <w:pPr>
              <w:pStyle w:val="yTableNAm"/>
            </w:pPr>
            <w:r>
              <w:t>4.</w:t>
            </w:r>
          </w:p>
        </w:tc>
        <w:tc>
          <w:tcPr>
            <w:tcW w:w="4248" w:type="dxa"/>
          </w:tcPr>
          <w:p>
            <w:pPr>
              <w:pStyle w:val="yTableNAm"/>
              <w:rPr>
                <w:rStyle w:val="DraftersNotes"/>
              </w:rPr>
            </w:pPr>
            <w:r>
              <w:t>For use of service jetty for short time just to load or unload vessel for which no annual fee for the use of a pen or a swing mooring has been paid, per vessel for 12 months paid in advance</w:t>
            </w:r>
          </w:p>
        </w:tc>
        <w:tc>
          <w:tcPr>
            <w:tcW w:w="996" w:type="dxa"/>
          </w:tcPr>
          <w:p>
            <w:pPr>
              <w:pStyle w:val="yTableNAm"/>
              <w:jc w:val="right"/>
            </w:pPr>
            <w:r>
              <w:br/>
            </w:r>
            <w:r>
              <w:br/>
            </w:r>
            <w:r>
              <w:br/>
            </w:r>
            <w:r>
              <w:br/>
              <w:t>285.73</w:t>
            </w:r>
          </w:p>
        </w:tc>
      </w:tr>
      <w:tr>
        <w:trPr>
          <w:cantSplit/>
        </w:trPr>
        <w:tc>
          <w:tcPr>
            <w:tcW w:w="709" w:type="dxa"/>
            <w:tcBorders>
              <w:bottom w:val="single" w:sz="4" w:space="0" w:color="auto"/>
            </w:tcBorders>
          </w:tcPr>
          <w:p>
            <w:pPr>
              <w:pStyle w:val="yTableNAm"/>
            </w:pPr>
            <w:r>
              <w:t>5.</w:t>
            </w:r>
          </w:p>
        </w:tc>
        <w:tc>
          <w:tcPr>
            <w:tcW w:w="4248" w:type="dxa"/>
            <w:tcBorders>
              <w:bottom w:val="single" w:sz="4" w:space="0" w:color="auto"/>
            </w:tcBorders>
          </w:tcPr>
          <w:p>
            <w:pPr>
              <w:pStyle w:val="yTableNAm"/>
            </w:pPr>
            <w:r>
              <w:t>For other use of service jetty by vessel, per m of the vessel’s length, per day</w:t>
            </w:r>
          </w:p>
        </w:tc>
        <w:tc>
          <w:tcPr>
            <w:tcW w:w="996" w:type="dxa"/>
            <w:tcBorders>
              <w:bottom w:val="single" w:sz="4" w:space="0" w:color="auto"/>
            </w:tcBorders>
          </w:tcPr>
          <w:p>
            <w:pPr>
              <w:pStyle w:val="yTableNAm"/>
              <w:jc w:val="right"/>
            </w:pPr>
            <w:r>
              <w:br/>
              <w:t>5.71</w:t>
            </w:r>
          </w:p>
        </w:tc>
      </w:tr>
    </w:tbl>
    <w:p>
      <w:pPr>
        <w:pStyle w:val="ySubsection"/>
        <w:spacing w:before="120"/>
      </w:pPr>
      <w:r>
        <w:tab/>
        <w:t>(4)</w:t>
      </w:r>
      <w:r>
        <w:tab/>
        <w:t>The fees and charges to be paid under regulation 10A are set out in Table 21.2.</w:t>
      </w:r>
    </w:p>
    <w:p>
      <w:pPr>
        <w:pStyle w:val="yTHeadingNAm"/>
        <w:spacing w:before="120" w:after="40"/>
      </w:pPr>
      <w:r>
        <w:t>Table 21.2 (Wharfage)</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709"/>
        <w:gridCol w:w="4248"/>
        <w:gridCol w:w="996"/>
      </w:tblGrid>
      <w:tr>
        <w:trPr>
          <w:cantSplit/>
          <w:tblHeader/>
        </w:trPr>
        <w:tc>
          <w:tcPr>
            <w:tcW w:w="709" w:type="dxa"/>
            <w:tcBorders>
              <w:top w:val="single" w:sz="4" w:space="0" w:color="auto"/>
              <w:bottom w:val="single" w:sz="4" w:space="0" w:color="auto"/>
            </w:tcBorders>
          </w:tcPr>
          <w:p>
            <w:pPr>
              <w:pStyle w:val="yTableNAm"/>
              <w:rPr>
                <w:b/>
              </w:rPr>
            </w:pPr>
            <w:r>
              <w:rPr>
                <w:b/>
              </w:rPr>
              <w:t>Item</w:t>
            </w:r>
          </w:p>
        </w:tc>
        <w:tc>
          <w:tcPr>
            <w:tcW w:w="4248" w:type="dxa"/>
            <w:tcBorders>
              <w:top w:val="single" w:sz="4" w:space="0" w:color="auto"/>
              <w:bottom w:val="single" w:sz="4" w:space="0" w:color="auto"/>
            </w:tcBorders>
          </w:tcPr>
          <w:p>
            <w:pPr>
              <w:pStyle w:val="yTableNAm"/>
              <w:rPr>
                <w:b/>
              </w:rPr>
            </w:pPr>
            <w:r>
              <w:rPr>
                <w:b/>
              </w:rPr>
              <w:t>Service</w:t>
            </w:r>
          </w:p>
        </w:tc>
        <w:tc>
          <w:tcPr>
            <w:tcW w:w="996" w:type="dxa"/>
            <w:tcBorders>
              <w:top w:val="single" w:sz="4" w:space="0" w:color="auto"/>
              <w:bottom w:val="single" w:sz="4" w:space="0" w:color="auto"/>
            </w:tcBorders>
          </w:tcPr>
          <w:p>
            <w:pPr>
              <w:pStyle w:val="yTableNAm"/>
              <w:jc w:val="center"/>
              <w:rPr>
                <w:b/>
              </w:rPr>
            </w:pPr>
            <w:r>
              <w:rPr>
                <w:b/>
              </w:rPr>
              <w:t>$</w:t>
            </w:r>
          </w:p>
        </w:tc>
      </w:tr>
      <w:tr>
        <w:trPr>
          <w:cantSplit/>
        </w:trPr>
        <w:tc>
          <w:tcPr>
            <w:tcW w:w="709" w:type="dxa"/>
            <w:tcBorders>
              <w:top w:val="single" w:sz="4" w:space="0" w:color="auto"/>
              <w:bottom w:val="single" w:sz="4" w:space="0" w:color="auto"/>
            </w:tcBorders>
          </w:tcPr>
          <w:p>
            <w:pPr>
              <w:pStyle w:val="yTableNAm"/>
            </w:pPr>
            <w:r>
              <w:t>1.</w:t>
            </w:r>
          </w:p>
        </w:tc>
        <w:tc>
          <w:tcPr>
            <w:tcW w:w="4248" w:type="dxa"/>
            <w:tcBorders>
              <w:top w:val="single" w:sz="4" w:space="0" w:color="auto"/>
              <w:bottom w:val="single" w:sz="4" w:space="0" w:color="auto"/>
            </w:tcBorders>
          </w:tcPr>
          <w:p>
            <w:pPr>
              <w:pStyle w:val="yTableNAm"/>
            </w:pPr>
            <w:r>
              <w:t>Wharfage for general cargo if loaded from or into a vessel, per vessel, for 12 months (excludes fishing product, fishing equipment and bait)</w:t>
            </w:r>
          </w:p>
        </w:tc>
        <w:tc>
          <w:tcPr>
            <w:tcW w:w="996" w:type="dxa"/>
            <w:tcBorders>
              <w:top w:val="single" w:sz="4" w:space="0" w:color="auto"/>
              <w:bottom w:val="single" w:sz="4" w:space="0" w:color="auto"/>
            </w:tcBorders>
          </w:tcPr>
          <w:p>
            <w:pPr>
              <w:pStyle w:val="yTableNAm"/>
              <w:jc w:val="right"/>
            </w:pPr>
            <w:r>
              <w:br/>
            </w:r>
            <w:r>
              <w:br/>
            </w:r>
            <w:r>
              <w:br/>
              <w:t>571.45</w:t>
            </w:r>
          </w:p>
        </w:tc>
      </w:tr>
    </w:tbl>
    <w:p>
      <w:pPr>
        <w:pStyle w:val="yFootnotesection"/>
        <w:spacing w:before="60"/>
      </w:pPr>
      <w:r>
        <w:tab/>
        <w:t>[Clause 21 inserted in Gazette 28 Jun 2013 p. 2869</w:t>
      </w:r>
      <w:r>
        <w:noBreakHyphen/>
        <w:t>70.]</w:t>
      </w:r>
    </w:p>
    <w:p>
      <w:pPr>
        <w:pStyle w:val="yHeading5"/>
        <w:keepNext w:val="0"/>
        <w:keepLines w:val="0"/>
        <w:spacing w:before="160"/>
      </w:pPr>
      <w:bookmarkStart w:id="163" w:name="_Toc382380057"/>
      <w:r>
        <w:rPr>
          <w:rStyle w:val="CharSClsNo"/>
        </w:rPr>
        <w:t>22</w:t>
      </w:r>
      <w:r>
        <w:t>.</w:t>
      </w:r>
      <w:r>
        <w:rPr>
          <w:b w:val="0"/>
        </w:rPr>
        <w:tab/>
      </w:r>
      <w:r>
        <w:t>Port Gregory</w:t>
      </w:r>
      <w:bookmarkEnd w:id="163"/>
    </w:p>
    <w:p>
      <w:pPr>
        <w:pStyle w:val="ySubsection"/>
        <w:spacing w:before="100"/>
      </w:pPr>
      <w:r>
        <w:tab/>
        <w:t>(1)</w:t>
      </w:r>
      <w:r>
        <w:tab/>
        <w:t>This clause applies to Port Gregory.</w:t>
      </w:r>
    </w:p>
    <w:p>
      <w:pPr>
        <w:pStyle w:val="ySubsection"/>
      </w:pPr>
      <w:r>
        <w:tab/>
        <w:t>(2)</w:t>
      </w:r>
      <w:r>
        <w:tab/>
        <w:t>The fees and charges to be paid under regulation 6 are set out in Table 22.1.</w:t>
      </w:r>
    </w:p>
    <w:p>
      <w:pPr>
        <w:pStyle w:val="yTHeadingNAm"/>
      </w:pPr>
      <w:r>
        <w:t>Table 22.1 (Berthing)</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90"/>
        <w:gridCol w:w="996"/>
      </w:tblGrid>
      <w:tr>
        <w:trPr>
          <w:cantSplit/>
          <w:tblHeader/>
        </w:trPr>
        <w:tc>
          <w:tcPr>
            <w:tcW w:w="567" w:type="dxa"/>
            <w:tcBorders>
              <w:top w:val="single" w:sz="4" w:space="0" w:color="auto"/>
              <w:bottom w:val="single" w:sz="4" w:space="0" w:color="auto"/>
            </w:tcBorders>
          </w:tcPr>
          <w:p>
            <w:pPr>
              <w:pStyle w:val="yTableNAm"/>
              <w:rPr>
                <w:b/>
              </w:rPr>
            </w:pPr>
            <w:r>
              <w:rPr>
                <w:b/>
              </w:rPr>
              <w:t>Item</w:t>
            </w:r>
          </w:p>
        </w:tc>
        <w:tc>
          <w:tcPr>
            <w:tcW w:w="4390" w:type="dxa"/>
            <w:tcBorders>
              <w:top w:val="single" w:sz="4" w:space="0" w:color="auto"/>
              <w:bottom w:val="single" w:sz="4" w:space="0" w:color="auto"/>
            </w:tcBorders>
          </w:tcPr>
          <w:p>
            <w:pPr>
              <w:pStyle w:val="yTableNAm"/>
              <w:rPr>
                <w:b/>
              </w:rPr>
            </w:pPr>
            <w:r>
              <w:rPr>
                <w:b/>
              </w:rPr>
              <w:t>Service</w:t>
            </w:r>
          </w:p>
        </w:tc>
        <w:tc>
          <w:tcPr>
            <w:tcW w:w="996" w:type="dxa"/>
            <w:tcBorders>
              <w:top w:val="single" w:sz="4" w:space="0" w:color="auto"/>
              <w:bottom w:val="single" w:sz="4" w:space="0" w:color="auto"/>
            </w:tcBorders>
          </w:tcPr>
          <w:p>
            <w:pPr>
              <w:pStyle w:val="yTableNAm"/>
              <w:jc w:val="center"/>
              <w:rPr>
                <w:b/>
              </w:rPr>
            </w:pPr>
            <w:r>
              <w:rPr>
                <w:b/>
              </w:rPr>
              <w:t>$</w:t>
            </w:r>
          </w:p>
        </w:tc>
      </w:tr>
      <w:tr>
        <w:trPr>
          <w:cantSplit/>
        </w:trPr>
        <w:tc>
          <w:tcPr>
            <w:tcW w:w="567" w:type="dxa"/>
          </w:tcPr>
          <w:p>
            <w:pPr>
              <w:pStyle w:val="yTableNAm"/>
            </w:pPr>
            <w:r>
              <w:t>1.</w:t>
            </w:r>
          </w:p>
        </w:tc>
        <w:tc>
          <w:tcPr>
            <w:tcW w:w="4390" w:type="dxa"/>
          </w:tcPr>
          <w:p>
            <w:pPr>
              <w:pStyle w:val="yTableNAm"/>
            </w:pPr>
            <w:r>
              <w:t>For use of service jetty by vessel just to load or unload, for 12 months, per vessel paid in advance</w:t>
            </w:r>
          </w:p>
        </w:tc>
        <w:tc>
          <w:tcPr>
            <w:tcW w:w="996" w:type="dxa"/>
            <w:vAlign w:val="bottom"/>
          </w:tcPr>
          <w:p>
            <w:pPr>
              <w:pStyle w:val="yTableNAm"/>
              <w:jc w:val="right"/>
            </w:pPr>
            <w:r>
              <w:t>287.39</w:t>
            </w:r>
          </w:p>
        </w:tc>
      </w:tr>
      <w:tr>
        <w:trPr>
          <w:cantSplit/>
        </w:trPr>
        <w:tc>
          <w:tcPr>
            <w:tcW w:w="567" w:type="dxa"/>
          </w:tcPr>
          <w:p>
            <w:pPr>
              <w:pStyle w:val="yTableNAm"/>
            </w:pPr>
            <w:r>
              <w:t>2.</w:t>
            </w:r>
          </w:p>
        </w:tc>
        <w:tc>
          <w:tcPr>
            <w:tcW w:w="4390" w:type="dxa"/>
          </w:tcPr>
          <w:p>
            <w:pPr>
              <w:pStyle w:val="yTableNAm"/>
            </w:pPr>
            <w:r>
              <w:t xml:space="preserve">For other use of service jetty by vessel — </w:t>
            </w:r>
          </w:p>
        </w:tc>
        <w:tc>
          <w:tcPr>
            <w:tcW w:w="996" w:type="dxa"/>
            <w:vAlign w:val="bottom"/>
          </w:tcPr>
          <w:p>
            <w:pPr>
              <w:pStyle w:val="yTableNAm"/>
              <w:jc w:val="right"/>
            </w:pP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per m of the vessel’s length, per day</w:t>
            </w:r>
          </w:p>
        </w:tc>
        <w:tc>
          <w:tcPr>
            <w:tcW w:w="996" w:type="dxa"/>
            <w:vAlign w:val="bottom"/>
          </w:tcPr>
          <w:p>
            <w:pPr>
              <w:pStyle w:val="yTableNAm"/>
              <w:jc w:val="right"/>
            </w:pPr>
            <w:r>
              <w:t>5.02</w:t>
            </w:r>
          </w:p>
        </w:tc>
      </w:tr>
      <w:tr>
        <w:trPr>
          <w:cantSplit/>
        </w:trPr>
        <w:tc>
          <w:tcPr>
            <w:tcW w:w="567" w:type="dxa"/>
            <w:tcBorders>
              <w:bottom w:val="single" w:sz="4" w:space="0" w:color="auto"/>
            </w:tcBorders>
          </w:tcPr>
          <w:p>
            <w:pPr>
              <w:pStyle w:val="yTableNAm"/>
            </w:pPr>
          </w:p>
        </w:tc>
        <w:tc>
          <w:tcPr>
            <w:tcW w:w="4390" w:type="dxa"/>
            <w:tcBorders>
              <w:bottom w:val="single" w:sz="4" w:space="0" w:color="auto"/>
            </w:tcBorders>
          </w:tcPr>
          <w:p>
            <w:pPr>
              <w:pStyle w:val="yTableNAm"/>
              <w:tabs>
                <w:tab w:val="clear" w:pos="567"/>
                <w:tab w:val="left" w:pos="415"/>
              </w:tabs>
              <w:ind w:left="415" w:hanging="415"/>
            </w:pPr>
            <w:r>
              <w:t>•</w:t>
            </w:r>
            <w:r>
              <w:tab/>
              <w:t>minimum overnight</w:t>
            </w:r>
          </w:p>
        </w:tc>
        <w:tc>
          <w:tcPr>
            <w:tcW w:w="996" w:type="dxa"/>
            <w:tcBorders>
              <w:bottom w:val="single" w:sz="4" w:space="0" w:color="auto"/>
            </w:tcBorders>
            <w:vAlign w:val="bottom"/>
          </w:tcPr>
          <w:p>
            <w:pPr>
              <w:pStyle w:val="yTableNAm"/>
              <w:jc w:val="right"/>
            </w:pPr>
            <w:r>
              <w:t>55.85</w:t>
            </w:r>
          </w:p>
        </w:tc>
      </w:tr>
    </w:tbl>
    <w:p>
      <w:pPr>
        <w:pStyle w:val="yFootnotesection"/>
      </w:pPr>
      <w:r>
        <w:tab/>
        <w:t>[Clause 22 inserted in Gazette 28 Jun 2013 p. 2871.]</w:t>
      </w:r>
    </w:p>
    <w:p>
      <w:pPr>
        <w:pStyle w:val="yHeading5"/>
      </w:pPr>
      <w:bookmarkStart w:id="164" w:name="_Toc382380058"/>
      <w:r>
        <w:rPr>
          <w:rStyle w:val="CharSClsNo"/>
        </w:rPr>
        <w:t>23</w:t>
      </w:r>
      <w:r>
        <w:t>.</w:t>
      </w:r>
      <w:r>
        <w:rPr>
          <w:b w:val="0"/>
        </w:rPr>
        <w:tab/>
      </w:r>
      <w:r>
        <w:t>Wyndham</w:t>
      </w:r>
      <w:bookmarkEnd w:id="164"/>
    </w:p>
    <w:p>
      <w:pPr>
        <w:pStyle w:val="ySubsection"/>
      </w:pPr>
      <w:r>
        <w:tab/>
        <w:t>(1)</w:t>
      </w:r>
      <w:r>
        <w:tab/>
        <w:t xml:space="preserve">This clause applies to the </w:t>
      </w:r>
      <w:smartTag w:uri="urn:schemas-microsoft-com:office:smarttags" w:element="place">
        <w:smartTag w:uri="urn:schemas-microsoft-com:office:smarttags" w:element="PlaceType">
          <w:r>
            <w:t>Port</w:t>
          </w:r>
        </w:smartTag>
        <w:r>
          <w:t xml:space="preserve"> of </w:t>
        </w:r>
        <w:smartTag w:uri="urn:schemas-microsoft-com:office:smarttags" w:element="PlaceName">
          <w:r>
            <w:t>Wyndham</w:t>
          </w:r>
        </w:smartTag>
      </w:smartTag>
      <w:r>
        <w:t>.</w:t>
      </w:r>
    </w:p>
    <w:p>
      <w:pPr>
        <w:pStyle w:val="ySubsection"/>
      </w:pPr>
      <w:r>
        <w:tab/>
        <w:t>(2)</w:t>
      </w:r>
      <w:r>
        <w:tab/>
        <w:t>The dues to be paid under regulation 6 are set out in Table 23.1.</w:t>
      </w:r>
    </w:p>
    <w:p>
      <w:pPr>
        <w:pStyle w:val="yTHeadingNAm"/>
      </w:pPr>
      <w:r>
        <w:t>Table 23.1 (Berthing)</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1947"/>
        <w:gridCol w:w="2305"/>
        <w:gridCol w:w="1134"/>
      </w:tblGrid>
      <w:tr>
        <w:trPr>
          <w:cantSplit/>
          <w:tblHeader/>
        </w:trPr>
        <w:tc>
          <w:tcPr>
            <w:tcW w:w="567" w:type="dxa"/>
            <w:tcBorders>
              <w:top w:val="single" w:sz="4" w:space="0" w:color="auto"/>
              <w:bottom w:val="single" w:sz="4" w:space="0" w:color="auto"/>
            </w:tcBorders>
          </w:tcPr>
          <w:p>
            <w:pPr>
              <w:pStyle w:val="yTableNAm"/>
              <w:rPr>
                <w:b/>
              </w:rPr>
            </w:pPr>
            <w:r>
              <w:rPr>
                <w:b/>
              </w:rPr>
              <w:t>Item</w:t>
            </w:r>
          </w:p>
        </w:tc>
        <w:tc>
          <w:tcPr>
            <w:tcW w:w="1947" w:type="dxa"/>
            <w:tcBorders>
              <w:top w:val="single" w:sz="4" w:space="0" w:color="auto"/>
              <w:bottom w:val="single" w:sz="4" w:space="0" w:color="auto"/>
            </w:tcBorders>
          </w:tcPr>
          <w:p>
            <w:pPr>
              <w:pStyle w:val="yTableNAm"/>
              <w:rPr>
                <w:b/>
              </w:rPr>
            </w:pPr>
            <w:r>
              <w:rPr>
                <w:b/>
              </w:rPr>
              <w:t>Vessel or cargo</w:t>
            </w:r>
          </w:p>
        </w:tc>
        <w:tc>
          <w:tcPr>
            <w:tcW w:w="2305" w:type="dxa"/>
            <w:tcBorders>
              <w:top w:val="single" w:sz="4" w:space="0" w:color="auto"/>
              <w:bottom w:val="single" w:sz="4" w:space="0" w:color="auto"/>
            </w:tcBorders>
          </w:tcPr>
          <w:p>
            <w:pPr>
              <w:pStyle w:val="yTableNAm"/>
              <w:rPr>
                <w:b/>
              </w:rPr>
            </w:pPr>
            <w:r>
              <w:rPr>
                <w:b/>
              </w:rPr>
              <w:t>Dues</w:t>
            </w:r>
          </w:p>
        </w:tc>
        <w:tc>
          <w:tcPr>
            <w:tcW w:w="1134" w:type="dxa"/>
            <w:tcBorders>
              <w:top w:val="single" w:sz="4" w:space="0" w:color="auto"/>
              <w:bottom w:val="single" w:sz="4" w:space="0" w:color="auto"/>
            </w:tcBorders>
          </w:tcPr>
          <w:p>
            <w:pPr>
              <w:pStyle w:val="yTableNAm"/>
              <w:jc w:val="center"/>
              <w:rPr>
                <w:b/>
              </w:rPr>
            </w:pPr>
            <w:r>
              <w:rPr>
                <w:b/>
              </w:rPr>
              <w:t>Minimum per day ($)</w:t>
            </w:r>
          </w:p>
        </w:tc>
      </w:tr>
      <w:tr>
        <w:trPr>
          <w:cantSplit/>
        </w:trPr>
        <w:tc>
          <w:tcPr>
            <w:tcW w:w="567" w:type="dxa"/>
          </w:tcPr>
          <w:p>
            <w:pPr>
              <w:pStyle w:val="yTableNAm"/>
            </w:pPr>
            <w:r>
              <w:t>1.</w:t>
            </w:r>
          </w:p>
        </w:tc>
        <w:tc>
          <w:tcPr>
            <w:tcW w:w="1947" w:type="dxa"/>
          </w:tcPr>
          <w:p>
            <w:pPr>
              <w:pStyle w:val="yTableNAm"/>
            </w:pPr>
            <w:r>
              <w:t>Vessel of 300 gross registered tonnes or over</w:t>
            </w:r>
          </w:p>
        </w:tc>
        <w:tc>
          <w:tcPr>
            <w:tcW w:w="2305" w:type="dxa"/>
          </w:tcPr>
          <w:p>
            <w:pPr>
              <w:pStyle w:val="yTableNAm"/>
            </w:pPr>
            <w:r>
              <w:t>$1.13 per t, per m</w:t>
            </w:r>
            <w:r>
              <w:rPr>
                <w:vertAlign w:val="superscript"/>
              </w:rPr>
              <w:t>3</w:t>
            </w:r>
            <w:r>
              <w:t>, or per kL, at option of officer in charge, on all cargo landed or shipped</w:t>
            </w:r>
          </w:p>
        </w:tc>
        <w:tc>
          <w:tcPr>
            <w:tcW w:w="1134" w:type="dxa"/>
            <w:vAlign w:val="bottom"/>
          </w:tcPr>
          <w:p>
            <w:pPr>
              <w:pStyle w:val="yTableNAm"/>
              <w:jc w:val="right"/>
            </w:pPr>
            <w:r>
              <w:t>169.48</w:t>
            </w:r>
          </w:p>
        </w:tc>
      </w:tr>
      <w:tr>
        <w:trPr>
          <w:cantSplit/>
        </w:trPr>
        <w:tc>
          <w:tcPr>
            <w:tcW w:w="567" w:type="dxa"/>
          </w:tcPr>
          <w:p>
            <w:pPr>
              <w:pStyle w:val="yTableNAm"/>
            </w:pPr>
            <w:r>
              <w:t>2.</w:t>
            </w:r>
          </w:p>
        </w:tc>
        <w:tc>
          <w:tcPr>
            <w:tcW w:w="1947" w:type="dxa"/>
          </w:tcPr>
          <w:p>
            <w:pPr>
              <w:pStyle w:val="yTableNAm"/>
            </w:pPr>
            <w:r>
              <w:t>Vessel under 300 gross registered tonnes</w:t>
            </w:r>
          </w:p>
        </w:tc>
        <w:tc>
          <w:tcPr>
            <w:tcW w:w="2305" w:type="dxa"/>
          </w:tcPr>
          <w:p>
            <w:pPr>
              <w:pStyle w:val="yTableNAm"/>
            </w:pPr>
            <w:r>
              <w:t>$6.13 per m of the vessel’s length, per day</w:t>
            </w:r>
          </w:p>
        </w:tc>
        <w:tc>
          <w:tcPr>
            <w:tcW w:w="1134" w:type="dxa"/>
            <w:vAlign w:val="bottom"/>
          </w:tcPr>
          <w:p>
            <w:pPr>
              <w:pStyle w:val="yTableNAm"/>
              <w:jc w:val="right"/>
            </w:pPr>
            <w:r>
              <w:t>112.94</w:t>
            </w:r>
          </w:p>
        </w:tc>
      </w:tr>
      <w:tr>
        <w:trPr>
          <w:cantSplit/>
        </w:trPr>
        <w:tc>
          <w:tcPr>
            <w:tcW w:w="567" w:type="dxa"/>
          </w:tcPr>
          <w:p>
            <w:pPr>
              <w:pStyle w:val="yTableNAm"/>
            </w:pPr>
            <w:r>
              <w:t>3.</w:t>
            </w:r>
          </w:p>
        </w:tc>
        <w:tc>
          <w:tcPr>
            <w:tcW w:w="1947" w:type="dxa"/>
          </w:tcPr>
          <w:p>
            <w:pPr>
              <w:pStyle w:val="yTableNAm"/>
            </w:pPr>
            <w:r>
              <w:t>Vessel using berth for purposes other than handling cargo</w:t>
            </w:r>
          </w:p>
        </w:tc>
        <w:tc>
          <w:tcPr>
            <w:tcW w:w="2305" w:type="dxa"/>
          </w:tcPr>
          <w:p>
            <w:pPr>
              <w:pStyle w:val="yTableNAm"/>
            </w:pPr>
            <w:r>
              <w:t>$6.13 per m of the vessel’s length, per day</w:t>
            </w:r>
          </w:p>
        </w:tc>
        <w:tc>
          <w:tcPr>
            <w:tcW w:w="1134" w:type="dxa"/>
            <w:vAlign w:val="bottom"/>
          </w:tcPr>
          <w:p>
            <w:pPr>
              <w:pStyle w:val="yTableNAm"/>
              <w:jc w:val="right"/>
            </w:pPr>
            <w:r>
              <w:t>112.94</w:t>
            </w:r>
          </w:p>
        </w:tc>
      </w:tr>
      <w:tr>
        <w:trPr>
          <w:cantSplit/>
        </w:trPr>
        <w:tc>
          <w:tcPr>
            <w:tcW w:w="567" w:type="dxa"/>
          </w:tcPr>
          <w:p>
            <w:pPr>
              <w:pStyle w:val="yTableNAm"/>
              <w:keepNext/>
            </w:pPr>
            <w:r>
              <w:t>4.</w:t>
            </w:r>
          </w:p>
        </w:tc>
        <w:tc>
          <w:tcPr>
            <w:tcW w:w="1947" w:type="dxa"/>
          </w:tcPr>
          <w:p>
            <w:pPr>
              <w:pStyle w:val="yTableNAm"/>
            </w:pPr>
            <w:r>
              <w:t>Container, empty</w:t>
            </w:r>
          </w:p>
        </w:tc>
        <w:tc>
          <w:tcPr>
            <w:tcW w:w="2305" w:type="dxa"/>
          </w:tcPr>
          <w:p>
            <w:pPr>
              <w:pStyle w:val="yTableNAm"/>
            </w:pPr>
            <w:r>
              <w:t>$8.80 per container</w:t>
            </w:r>
          </w:p>
        </w:tc>
        <w:tc>
          <w:tcPr>
            <w:tcW w:w="1134" w:type="dxa"/>
          </w:tcPr>
          <w:p>
            <w:pPr>
              <w:pStyle w:val="yTableNAm"/>
              <w:jc w:val="right"/>
            </w:pPr>
          </w:p>
        </w:tc>
      </w:tr>
      <w:tr>
        <w:trPr>
          <w:cantSplit/>
        </w:trPr>
        <w:tc>
          <w:tcPr>
            <w:tcW w:w="567" w:type="dxa"/>
            <w:tcBorders>
              <w:bottom w:val="single" w:sz="4" w:space="0" w:color="auto"/>
            </w:tcBorders>
          </w:tcPr>
          <w:p>
            <w:pPr>
              <w:pStyle w:val="yTableNAm"/>
            </w:pPr>
            <w:r>
              <w:t>5.</w:t>
            </w:r>
          </w:p>
        </w:tc>
        <w:tc>
          <w:tcPr>
            <w:tcW w:w="1947" w:type="dxa"/>
            <w:tcBorders>
              <w:bottom w:val="single" w:sz="4" w:space="0" w:color="auto"/>
            </w:tcBorders>
          </w:tcPr>
          <w:p>
            <w:pPr>
              <w:pStyle w:val="yTableNAm"/>
            </w:pPr>
            <w:r>
              <w:t>Container, loaded</w:t>
            </w:r>
          </w:p>
        </w:tc>
        <w:tc>
          <w:tcPr>
            <w:tcW w:w="2305" w:type="dxa"/>
            <w:tcBorders>
              <w:bottom w:val="single" w:sz="4" w:space="0" w:color="auto"/>
            </w:tcBorders>
          </w:tcPr>
          <w:p>
            <w:pPr>
              <w:pStyle w:val="yTableNAm"/>
            </w:pPr>
            <w:r>
              <w:t>$28.30 per container</w:t>
            </w:r>
          </w:p>
        </w:tc>
        <w:tc>
          <w:tcPr>
            <w:tcW w:w="1134" w:type="dxa"/>
            <w:tcBorders>
              <w:bottom w:val="single" w:sz="4" w:space="0" w:color="auto"/>
            </w:tcBorders>
          </w:tcPr>
          <w:p>
            <w:pPr>
              <w:pStyle w:val="yTableNAm"/>
              <w:jc w:val="right"/>
            </w:pPr>
          </w:p>
        </w:tc>
      </w:tr>
    </w:tbl>
    <w:p>
      <w:pPr>
        <w:pStyle w:val="ySubsection"/>
      </w:pPr>
      <w:r>
        <w:tab/>
        <w:t>(3)</w:t>
      </w:r>
      <w:r>
        <w:tab/>
        <w:t>The charges and dues to be paid under regulation 10A are set out in Table 23.2.</w:t>
      </w:r>
    </w:p>
    <w:p>
      <w:pPr>
        <w:pStyle w:val="yTHeadingNAm"/>
      </w:pPr>
      <w:r>
        <w:t>Table 23.2 (Wharfage)</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94"/>
        <w:gridCol w:w="992"/>
      </w:tblGrid>
      <w:tr>
        <w:trPr>
          <w:cantSplit/>
          <w:tblHeader/>
        </w:trPr>
        <w:tc>
          <w:tcPr>
            <w:tcW w:w="567" w:type="dxa"/>
            <w:tcBorders>
              <w:top w:val="single" w:sz="4" w:space="0" w:color="auto"/>
              <w:bottom w:val="single" w:sz="4" w:space="0" w:color="auto"/>
            </w:tcBorders>
          </w:tcPr>
          <w:p>
            <w:pPr>
              <w:pStyle w:val="yTableNAm"/>
              <w:rPr>
                <w:b/>
              </w:rPr>
            </w:pPr>
            <w:r>
              <w:rPr>
                <w:b/>
              </w:rPr>
              <w:t>Item</w:t>
            </w:r>
          </w:p>
        </w:tc>
        <w:tc>
          <w:tcPr>
            <w:tcW w:w="4394" w:type="dxa"/>
            <w:tcBorders>
              <w:top w:val="single" w:sz="4" w:space="0" w:color="auto"/>
              <w:bottom w:val="single" w:sz="4" w:space="0" w:color="auto"/>
            </w:tcBorders>
          </w:tcPr>
          <w:p>
            <w:pPr>
              <w:pStyle w:val="yTableNAm"/>
              <w:rPr>
                <w:b/>
              </w:rPr>
            </w:pPr>
            <w:r>
              <w:rPr>
                <w:b/>
              </w:rPr>
              <w:t>Goods</w:t>
            </w:r>
          </w:p>
        </w:tc>
        <w:tc>
          <w:tcPr>
            <w:tcW w:w="992" w:type="dxa"/>
            <w:tcBorders>
              <w:top w:val="single" w:sz="4" w:space="0" w:color="auto"/>
              <w:bottom w:val="single" w:sz="4" w:space="0" w:color="auto"/>
            </w:tcBorders>
          </w:tcPr>
          <w:p>
            <w:pPr>
              <w:pStyle w:val="yTableNAm"/>
              <w:jc w:val="center"/>
              <w:rPr>
                <w:b/>
              </w:rPr>
            </w:pPr>
            <w:r>
              <w:rPr>
                <w:b/>
              </w:rPr>
              <w:t>$</w:t>
            </w:r>
          </w:p>
        </w:tc>
      </w:tr>
      <w:tr>
        <w:trPr>
          <w:cantSplit/>
        </w:trPr>
        <w:tc>
          <w:tcPr>
            <w:tcW w:w="567" w:type="dxa"/>
          </w:tcPr>
          <w:p>
            <w:pPr>
              <w:pStyle w:val="yTableNAm"/>
            </w:pPr>
            <w:r>
              <w:t>1.</w:t>
            </w:r>
          </w:p>
        </w:tc>
        <w:tc>
          <w:tcPr>
            <w:tcW w:w="4394" w:type="dxa"/>
          </w:tcPr>
          <w:p>
            <w:pPr>
              <w:pStyle w:val="yTableNAm"/>
            </w:pPr>
            <w:r>
              <w:t xml:space="preserve">Cargo in 20 feet equivalent unit (TEU) containers — </w:t>
            </w:r>
          </w:p>
        </w:tc>
        <w:tc>
          <w:tcPr>
            <w:tcW w:w="992" w:type="dxa"/>
            <w:vAlign w:val="bottom"/>
          </w:tcPr>
          <w:p>
            <w:pPr>
              <w:pStyle w:val="yTableNAm"/>
              <w:jc w:val="right"/>
            </w:pPr>
          </w:p>
        </w:tc>
      </w:tr>
      <w:tr>
        <w:trPr>
          <w:cantSplit/>
        </w:trPr>
        <w:tc>
          <w:tcPr>
            <w:tcW w:w="567" w:type="dxa"/>
          </w:tcPr>
          <w:p>
            <w:pPr>
              <w:pStyle w:val="yTableNAm"/>
            </w:pPr>
          </w:p>
        </w:tc>
        <w:tc>
          <w:tcPr>
            <w:tcW w:w="4394" w:type="dxa"/>
          </w:tcPr>
          <w:p>
            <w:pPr>
              <w:pStyle w:val="yTableNAm"/>
              <w:tabs>
                <w:tab w:val="clear" w:pos="567"/>
                <w:tab w:val="left" w:pos="415"/>
              </w:tabs>
              <w:ind w:left="415" w:hanging="415"/>
            </w:pPr>
            <w:r>
              <w:t>•</w:t>
            </w:r>
            <w:r>
              <w:tab/>
              <w:t>fertiliser, per TEU</w:t>
            </w:r>
          </w:p>
        </w:tc>
        <w:tc>
          <w:tcPr>
            <w:tcW w:w="992" w:type="dxa"/>
            <w:vAlign w:val="bottom"/>
          </w:tcPr>
          <w:p>
            <w:pPr>
              <w:pStyle w:val="yTableNAm"/>
              <w:jc w:val="right"/>
            </w:pPr>
            <w:r>
              <w:t>98.25</w:t>
            </w:r>
          </w:p>
        </w:tc>
      </w:tr>
      <w:tr>
        <w:trPr>
          <w:cantSplit/>
        </w:trPr>
        <w:tc>
          <w:tcPr>
            <w:tcW w:w="567" w:type="dxa"/>
          </w:tcPr>
          <w:p>
            <w:pPr>
              <w:pStyle w:val="yTableNAm"/>
            </w:pPr>
          </w:p>
        </w:tc>
        <w:tc>
          <w:tcPr>
            <w:tcW w:w="4394" w:type="dxa"/>
          </w:tcPr>
          <w:p>
            <w:pPr>
              <w:pStyle w:val="yTableNAm"/>
              <w:tabs>
                <w:tab w:val="clear" w:pos="567"/>
                <w:tab w:val="left" w:pos="415"/>
              </w:tabs>
              <w:ind w:left="415" w:hanging="415"/>
            </w:pPr>
            <w:r>
              <w:t>•</w:t>
            </w:r>
            <w:r>
              <w:tab/>
              <w:t>explosives, per TEU</w:t>
            </w:r>
          </w:p>
        </w:tc>
        <w:tc>
          <w:tcPr>
            <w:tcW w:w="992" w:type="dxa"/>
            <w:vAlign w:val="bottom"/>
          </w:tcPr>
          <w:p>
            <w:pPr>
              <w:pStyle w:val="yTableNAm"/>
              <w:jc w:val="right"/>
            </w:pPr>
            <w:r>
              <w:t>121.55</w:t>
            </w:r>
          </w:p>
        </w:tc>
      </w:tr>
      <w:tr>
        <w:trPr>
          <w:cantSplit/>
        </w:trPr>
        <w:tc>
          <w:tcPr>
            <w:tcW w:w="567" w:type="dxa"/>
          </w:tcPr>
          <w:p>
            <w:pPr>
              <w:pStyle w:val="yTableNAm"/>
            </w:pPr>
          </w:p>
        </w:tc>
        <w:tc>
          <w:tcPr>
            <w:tcW w:w="4394" w:type="dxa"/>
          </w:tcPr>
          <w:p>
            <w:pPr>
              <w:pStyle w:val="yTableNAm"/>
              <w:tabs>
                <w:tab w:val="clear" w:pos="567"/>
                <w:tab w:val="left" w:pos="415"/>
              </w:tabs>
              <w:ind w:left="415" w:hanging="415"/>
            </w:pPr>
            <w:r>
              <w:t>•</w:t>
            </w:r>
            <w:r>
              <w:tab/>
              <w:t>products of the soil (not otherwise specified), per TEU</w:t>
            </w:r>
          </w:p>
        </w:tc>
        <w:tc>
          <w:tcPr>
            <w:tcW w:w="992" w:type="dxa"/>
            <w:vAlign w:val="bottom"/>
          </w:tcPr>
          <w:p>
            <w:pPr>
              <w:pStyle w:val="yTableNAm"/>
              <w:jc w:val="right"/>
            </w:pPr>
            <w:r>
              <w:t>61.68</w:t>
            </w:r>
          </w:p>
        </w:tc>
      </w:tr>
      <w:tr>
        <w:trPr>
          <w:cantSplit/>
        </w:trPr>
        <w:tc>
          <w:tcPr>
            <w:tcW w:w="567" w:type="dxa"/>
          </w:tcPr>
          <w:p>
            <w:pPr>
              <w:pStyle w:val="yTableNAm"/>
            </w:pPr>
          </w:p>
        </w:tc>
        <w:tc>
          <w:tcPr>
            <w:tcW w:w="4394" w:type="dxa"/>
          </w:tcPr>
          <w:p>
            <w:pPr>
              <w:pStyle w:val="yTableNAm"/>
              <w:tabs>
                <w:tab w:val="clear" w:pos="567"/>
                <w:tab w:val="left" w:pos="415"/>
              </w:tabs>
              <w:ind w:left="415" w:hanging="415"/>
            </w:pPr>
            <w:r>
              <w:t>•</w:t>
            </w:r>
            <w:r>
              <w:tab/>
              <w:t>not otherwise specified in this item, per TEU</w:t>
            </w:r>
          </w:p>
        </w:tc>
        <w:tc>
          <w:tcPr>
            <w:tcW w:w="992" w:type="dxa"/>
            <w:vAlign w:val="bottom"/>
          </w:tcPr>
          <w:p>
            <w:pPr>
              <w:pStyle w:val="yTableNAm"/>
              <w:jc w:val="right"/>
            </w:pPr>
            <w:r>
              <w:t>194.81</w:t>
            </w:r>
          </w:p>
        </w:tc>
      </w:tr>
      <w:tr>
        <w:trPr>
          <w:cantSplit/>
        </w:trPr>
        <w:tc>
          <w:tcPr>
            <w:tcW w:w="567" w:type="dxa"/>
          </w:tcPr>
          <w:p>
            <w:pPr>
              <w:pStyle w:val="yTableNAm"/>
            </w:pPr>
            <w:r>
              <w:t>2.</w:t>
            </w:r>
          </w:p>
        </w:tc>
        <w:tc>
          <w:tcPr>
            <w:tcW w:w="4394" w:type="dxa"/>
          </w:tcPr>
          <w:p>
            <w:pPr>
              <w:pStyle w:val="yTableNAm"/>
            </w:pPr>
            <w:r>
              <w:t>Empty TEU containers, per TEU</w:t>
            </w:r>
          </w:p>
        </w:tc>
        <w:tc>
          <w:tcPr>
            <w:tcW w:w="992" w:type="dxa"/>
            <w:vAlign w:val="bottom"/>
          </w:tcPr>
          <w:p>
            <w:pPr>
              <w:pStyle w:val="yTableNAm"/>
              <w:jc w:val="right"/>
            </w:pPr>
            <w:r>
              <w:t>56.62</w:t>
            </w:r>
          </w:p>
        </w:tc>
      </w:tr>
      <w:tr>
        <w:trPr>
          <w:cantSplit/>
        </w:trPr>
        <w:tc>
          <w:tcPr>
            <w:tcW w:w="567" w:type="dxa"/>
          </w:tcPr>
          <w:p>
            <w:pPr>
              <w:pStyle w:val="yTableNAm"/>
            </w:pPr>
            <w:r>
              <w:t>3.</w:t>
            </w:r>
          </w:p>
        </w:tc>
        <w:tc>
          <w:tcPr>
            <w:tcW w:w="4394" w:type="dxa"/>
          </w:tcPr>
          <w:p>
            <w:pPr>
              <w:pStyle w:val="yTableNAm"/>
            </w:pPr>
            <w:r>
              <w:t>Cargo, whether in containers (not TEU containers) or otherwise —</w:t>
            </w:r>
          </w:p>
        </w:tc>
        <w:tc>
          <w:tcPr>
            <w:tcW w:w="992" w:type="dxa"/>
            <w:vAlign w:val="bottom"/>
          </w:tcPr>
          <w:p>
            <w:pPr>
              <w:pStyle w:val="yTableNAm"/>
              <w:jc w:val="right"/>
            </w:pPr>
          </w:p>
        </w:tc>
      </w:tr>
      <w:tr>
        <w:trPr>
          <w:cantSplit/>
        </w:trPr>
        <w:tc>
          <w:tcPr>
            <w:tcW w:w="567" w:type="dxa"/>
          </w:tcPr>
          <w:p>
            <w:pPr>
              <w:pStyle w:val="yTableNAm"/>
            </w:pPr>
          </w:p>
        </w:tc>
        <w:tc>
          <w:tcPr>
            <w:tcW w:w="4394" w:type="dxa"/>
          </w:tcPr>
          <w:p>
            <w:pPr>
              <w:pStyle w:val="yTableNAm"/>
              <w:tabs>
                <w:tab w:val="clear" w:pos="567"/>
                <w:tab w:val="left" w:pos="415"/>
              </w:tabs>
              <w:ind w:left="415" w:hanging="415"/>
            </w:pPr>
            <w:r>
              <w:t>•</w:t>
            </w:r>
            <w:r>
              <w:tab/>
              <w:t xml:space="preserve">animals, live — </w:t>
            </w:r>
          </w:p>
        </w:tc>
        <w:tc>
          <w:tcPr>
            <w:tcW w:w="992" w:type="dxa"/>
            <w:vAlign w:val="bottom"/>
          </w:tcPr>
          <w:p>
            <w:pPr>
              <w:pStyle w:val="yTableNAm"/>
              <w:jc w:val="right"/>
            </w:pPr>
          </w:p>
        </w:tc>
      </w:tr>
      <w:tr>
        <w:trPr>
          <w:cantSplit/>
        </w:trPr>
        <w:tc>
          <w:tcPr>
            <w:tcW w:w="567" w:type="dxa"/>
          </w:tcPr>
          <w:p>
            <w:pPr>
              <w:pStyle w:val="yTableNAm"/>
            </w:pPr>
          </w:p>
        </w:tc>
        <w:tc>
          <w:tcPr>
            <w:tcW w:w="4394" w:type="dxa"/>
          </w:tcPr>
          <w:p>
            <w:pPr>
              <w:pStyle w:val="yTableNAm"/>
              <w:tabs>
                <w:tab w:val="clear" w:pos="567"/>
                <w:tab w:val="left" w:pos="443"/>
                <w:tab w:val="left" w:pos="840"/>
              </w:tabs>
            </w:pPr>
            <w:r>
              <w:tab/>
              <w:t>•</w:t>
            </w:r>
            <w:r>
              <w:tab/>
              <w:t>cattle (bullocks, cows, etc.), per head</w:t>
            </w:r>
          </w:p>
        </w:tc>
        <w:tc>
          <w:tcPr>
            <w:tcW w:w="992" w:type="dxa"/>
            <w:vAlign w:val="bottom"/>
          </w:tcPr>
          <w:p>
            <w:pPr>
              <w:pStyle w:val="yTableNAm"/>
              <w:jc w:val="right"/>
            </w:pPr>
            <w:r>
              <w:t>2.42</w:t>
            </w:r>
          </w:p>
        </w:tc>
      </w:tr>
      <w:tr>
        <w:trPr>
          <w:cantSplit/>
        </w:trPr>
        <w:tc>
          <w:tcPr>
            <w:tcW w:w="567" w:type="dxa"/>
          </w:tcPr>
          <w:p>
            <w:pPr>
              <w:pStyle w:val="yTableNAm"/>
            </w:pPr>
          </w:p>
        </w:tc>
        <w:tc>
          <w:tcPr>
            <w:tcW w:w="4394" w:type="dxa"/>
          </w:tcPr>
          <w:p>
            <w:pPr>
              <w:pStyle w:val="yTableNAm"/>
              <w:tabs>
                <w:tab w:val="clear" w:pos="567"/>
                <w:tab w:val="left" w:pos="443"/>
                <w:tab w:val="left" w:pos="840"/>
              </w:tabs>
            </w:pPr>
            <w:r>
              <w:tab/>
              <w:t>•</w:t>
            </w:r>
            <w:r>
              <w:tab/>
              <w:t>dogs, goats, pigs, sheep, per head</w:t>
            </w:r>
          </w:p>
        </w:tc>
        <w:tc>
          <w:tcPr>
            <w:tcW w:w="992" w:type="dxa"/>
            <w:vAlign w:val="bottom"/>
          </w:tcPr>
          <w:p>
            <w:pPr>
              <w:pStyle w:val="yTableNAm"/>
              <w:jc w:val="right"/>
            </w:pPr>
            <w:r>
              <w:t>0.50</w:t>
            </w:r>
          </w:p>
        </w:tc>
      </w:tr>
      <w:tr>
        <w:trPr>
          <w:cantSplit/>
        </w:trPr>
        <w:tc>
          <w:tcPr>
            <w:tcW w:w="567" w:type="dxa"/>
          </w:tcPr>
          <w:p>
            <w:pPr>
              <w:pStyle w:val="yTableNAm"/>
            </w:pPr>
          </w:p>
        </w:tc>
        <w:tc>
          <w:tcPr>
            <w:tcW w:w="4394" w:type="dxa"/>
          </w:tcPr>
          <w:p>
            <w:pPr>
              <w:pStyle w:val="yTableNAm"/>
              <w:tabs>
                <w:tab w:val="clear" w:pos="567"/>
                <w:tab w:val="left" w:pos="415"/>
              </w:tabs>
              <w:ind w:left="415" w:hanging="415"/>
            </w:pPr>
            <w:r>
              <w:t>•</w:t>
            </w:r>
            <w:r>
              <w:tab/>
              <w:t>bulk, by pipeline, per kL</w:t>
            </w:r>
          </w:p>
        </w:tc>
        <w:tc>
          <w:tcPr>
            <w:tcW w:w="992" w:type="dxa"/>
            <w:vAlign w:val="bottom"/>
          </w:tcPr>
          <w:p>
            <w:pPr>
              <w:pStyle w:val="yTableNAm"/>
              <w:jc w:val="right"/>
            </w:pPr>
            <w:r>
              <w:t>10.31</w:t>
            </w:r>
          </w:p>
        </w:tc>
      </w:tr>
      <w:tr>
        <w:trPr>
          <w:cantSplit/>
        </w:trPr>
        <w:tc>
          <w:tcPr>
            <w:tcW w:w="567" w:type="dxa"/>
          </w:tcPr>
          <w:p>
            <w:pPr>
              <w:pStyle w:val="yTableNAm"/>
            </w:pPr>
          </w:p>
        </w:tc>
        <w:tc>
          <w:tcPr>
            <w:tcW w:w="4394" w:type="dxa"/>
          </w:tcPr>
          <w:p>
            <w:pPr>
              <w:pStyle w:val="yTableNAm"/>
              <w:tabs>
                <w:tab w:val="clear" w:pos="567"/>
                <w:tab w:val="left" w:pos="415"/>
              </w:tabs>
              <w:ind w:left="415" w:hanging="415"/>
            </w:pPr>
            <w:r>
              <w:t>•</w:t>
            </w:r>
            <w:r>
              <w:tab/>
              <w:t>bulk, by pipeline using road tanker on jetty, per kL</w:t>
            </w:r>
          </w:p>
        </w:tc>
        <w:tc>
          <w:tcPr>
            <w:tcW w:w="992" w:type="dxa"/>
            <w:vAlign w:val="bottom"/>
          </w:tcPr>
          <w:p>
            <w:pPr>
              <w:pStyle w:val="yTableNAm"/>
              <w:jc w:val="right"/>
            </w:pPr>
            <w:r>
              <w:t>10.73</w:t>
            </w:r>
          </w:p>
        </w:tc>
      </w:tr>
      <w:tr>
        <w:trPr>
          <w:cantSplit/>
        </w:trPr>
        <w:tc>
          <w:tcPr>
            <w:tcW w:w="567" w:type="dxa"/>
          </w:tcPr>
          <w:p>
            <w:pPr>
              <w:pStyle w:val="yTableNAm"/>
            </w:pPr>
          </w:p>
        </w:tc>
        <w:tc>
          <w:tcPr>
            <w:tcW w:w="4394" w:type="dxa"/>
          </w:tcPr>
          <w:p>
            <w:pPr>
              <w:pStyle w:val="yTableNAm"/>
              <w:tabs>
                <w:tab w:val="clear" w:pos="567"/>
                <w:tab w:val="left" w:pos="415"/>
              </w:tabs>
              <w:ind w:left="415" w:hanging="415"/>
            </w:pPr>
            <w:r>
              <w:t>•</w:t>
            </w:r>
            <w:r>
              <w:tab/>
              <w:t>containers (not TEU containers), empty, per t or m</w:t>
            </w:r>
            <w:r>
              <w:rPr>
                <w:vertAlign w:val="superscript"/>
              </w:rPr>
              <w:t>3</w:t>
            </w:r>
          </w:p>
        </w:tc>
        <w:tc>
          <w:tcPr>
            <w:tcW w:w="992" w:type="dxa"/>
            <w:vAlign w:val="bottom"/>
          </w:tcPr>
          <w:p>
            <w:pPr>
              <w:pStyle w:val="yTableNAm"/>
              <w:jc w:val="right"/>
            </w:pPr>
            <w:r>
              <w:t>2.42</w:t>
            </w:r>
          </w:p>
        </w:tc>
      </w:tr>
      <w:tr>
        <w:trPr>
          <w:cantSplit/>
        </w:trPr>
        <w:tc>
          <w:tcPr>
            <w:tcW w:w="567" w:type="dxa"/>
          </w:tcPr>
          <w:p>
            <w:pPr>
              <w:pStyle w:val="yTableNAm"/>
            </w:pPr>
          </w:p>
        </w:tc>
        <w:tc>
          <w:tcPr>
            <w:tcW w:w="4394" w:type="dxa"/>
          </w:tcPr>
          <w:p>
            <w:pPr>
              <w:pStyle w:val="yTableNAm"/>
              <w:tabs>
                <w:tab w:val="clear" w:pos="567"/>
                <w:tab w:val="left" w:pos="415"/>
              </w:tabs>
              <w:ind w:left="415" w:hanging="415"/>
            </w:pPr>
            <w:r>
              <w:t>•</w:t>
            </w:r>
            <w:r>
              <w:tab/>
              <w:t>explosives, per t or m</w:t>
            </w:r>
            <w:r>
              <w:rPr>
                <w:vertAlign w:val="superscript"/>
              </w:rPr>
              <w:t>3</w:t>
            </w:r>
          </w:p>
        </w:tc>
        <w:tc>
          <w:tcPr>
            <w:tcW w:w="992" w:type="dxa"/>
            <w:vAlign w:val="bottom"/>
          </w:tcPr>
          <w:p>
            <w:pPr>
              <w:pStyle w:val="yTableNAm"/>
              <w:jc w:val="right"/>
            </w:pPr>
            <w:r>
              <w:t>4.18</w:t>
            </w:r>
          </w:p>
        </w:tc>
      </w:tr>
      <w:tr>
        <w:trPr>
          <w:cantSplit/>
        </w:trPr>
        <w:tc>
          <w:tcPr>
            <w:tcW w:w="567" w:type="dxa"/>
          </w:tcPr>
          <w:p>
            <w:pPr>
              <w:pStyle w:val="yTableNAm"/>
            </w:pPr>
          </w:p>
        </w:tc>
        <w:tc>
          <w:tcPr>
            <w:tcW w:w="4394" w:type="dxa"/>
          </w:tcPr>
          <w:p>
            <w:pPr>
              <w:pStyle w:val="yTableNAm"/>
              <w:tabs>
                <w:tab w:val="clear" w:pos="567"/>
                <w:tab w:val="left" w:pos="415"/>
              </w:tabs>
              <w:ind w:left="415" w:hanging="415"/>
            </w:pPr>
            <w:r>
              <w:t>•</w:t>
            </w:r>
            <w:r>
              <w:tab/>
              <w:t>fertiliser, per t or m</w:t>
            </w:r>
            <w:r>
              <w:rPr>
                <w:vertAlign w:val="superscript"/>
              </w:rPr>
              <w:t>3</w:t>
            </w:r>
          </w:p>
        </w:tc>
        <w:tc>
          <w:tcPr>
            <w:tcW w:w="992" w:type="dxa"/>
            <w:vAlign w:val="bottom"/>
          </w:tcPr>
          <w:p>
            <w:pPr>
              <w:pStyle w:val="yTableNAm"/>
              <w:jc w:val="right"/>
            </w:pPr>
            <w:r>
              <w:t>3.40</w:t>
            </w:r>
          </w:p>
        </w:tc>
      </w:tr>
      <w:tr>
        <w:trPr>
          <w:cantSplit/>
        </w:trPr>
        <w:tc>
          <w:tcPr>
            <w:tcW w:w="567" w:type="dxa"/>
          </w:tcPr>
          <w:p>
            <w:pPr>
              <w:pStyle w:val="yTableNAm"/>
            </w:pPr>
          </w:p>
        </w:tc>
        <w:tc>
          <w:tcPr>
            <w:tcW w:w="4394" w:type="dxa"/>
          </w:tcPr>
          <w:p>
            <w:pPr>
              <w:pStyle w:val="yTableNAm"/>
              <w:tabs>
                <w:tab w:val="clear" w:pos="567"/>
                <w:tab w:val="left" w:pos="415"/>
              </w:tabs>
              <w:ind w:left="415" w:hanging="415"/>
            </w:pPr>
            <w:r>
              <w:t>•</w:t>
            </w:r>
            <w:r>
              <w:tab/>
              <w:t>meat, chilled or frozen, per t or m</w:t>
            </w:r>
            <w:r>
              <w:rPr>
                <w:vertAlign w:val="superscript"/>
              </w:rPr>
              <w:t>3</w:t>
            </w:r>
          </w:p>
        </w:tc>
        <w:tc>
          <w:tcPr>
            <w:tcW w:w="992" w:type="dxa"/>
            <w:vAlign w:val="bottom"/>
          </w:tcPr>
          <w:p>
            <w:pPr>
              <w:pStyle w:val="yTableNAm"/>
              <w:jc w:val="right"/>
            </w:pPr>
            <w:r>
              <w:t>4.00</w:t>
            </w:r>
          </w:p>
        </w:tc>
      </w:tr>
      <w:tr>
        <w:trPr>
          <w:cantSplit/>
        </w:trPr>
        <w:tc>
          <w:tcPr>
            <w:tcW w:w="567" w:type="dxa"/>
          </w:tcPr>
          <w:p>
            <w:pPr>
              <w:pStyle w:val="yTableNAm"/>
            </w:pPr>
          </w:p>
        </w:tc>
        <w:tc>
          <w:tcPr>
            <w:tcW w:w="4394" w:type="dxa"/>
          </w:tcPr>
          <w:p>
            <w:pPr>
              <w:pStyle w:val="yTableNAm"/>
              <w:tabs>
                <w:tab w:val="clear" w:pos="567"/>
                <w:tab w:val="left" w:pos="415"/>
              </w:tabs>
              <w:ind w:left="415" w:hanging="415"/>
            </w:pPr>
            <w:r>
              <w:t>•</w:t>
            </w:r>
            <w:r>
              <w:tab/>
              <w:t>ore, per t</w:t>
            </w:r>
          </w:p>
        </w:tc>
        <w:tc>
          <w:tcPr>
            <w:tcW w:w="992" w:type="dxa"/>
            <w:vAlign w:val="bottom"/>
          </w:tcPr>
          <w:p>
            <w:pPr>
              <w:pStyle w:val="yTableNAm"/>
              <w:jc w:val="right"/>
            </w:pPr>
            <w:r>
              <w:t>3.31</w:t>
            </w:r>
          </w:p>
        </w:tc>
      </w:tr>
      <w:tr>
        <w:trPr>
          <w:cantSplit/>
        </w:trPr>
        <w:tc>
          <w:tcPr>
            <w:tcW w:w="567" w:type="dxa"/>
          </w:tcPr>
          <w:p>
            <w:pPr>
              <w:pStyle w:val="yTableNAm"/>
            </w:pPr>
          </w:p>
        </w:tc>
        <w:tc>
          <w:tcPr>
            <w:tcW w:w="4394" w:type="dxa"/>
          </w:tcPr>
          <w:p>
            <w:pPr>
              <w:pStyle w:val="yTableNAm"/>
              <w:tabs>
                <w:tab w:val="clear" w:pos="567"/>
                <w:tab w:val="left" w:pos="415"/>
              </w:tabs>
              <w:ind w:left="415" w:hanging="415"/>
            </w:pPr>
            <w:r>
              <w:t>•</w:t>
            </w:r>
            <w:r>
              <w:tab/>
              <w:t>products of the soil (not otherwise specified), per t or m</w:t>
            </w:r>
            <w:r>
              <w:rPr>
                <w:vertAlign w:val="superscript"/>
              </w:rPr>
              <w:t>3</w:t>
            </w:r>
          </w:p>
        </w:tc>
        <w:tc>
          <w:tcPr>
            <w:tcW w:w="992" w:type="dxa"/>
            <w:vAlign w:val="bottom"/>
          </w:tcPr>
          <w:p>
            <w:pPr>
              <w:pStyle w:val="yTableNAm"/>
              <w:jc w:val="right"/>
            </w:pPr>
            <w:r>
              <w:t>2.28</w:t>
            </w:r>
          </w:p>
        </w:tc>
      </w:tr>
      <w:tr>
        <w:trPr>
          <w:cantSplit/>
        </w:trPr>
        <w:tc>
          <w:tcPr>
            <w:tcW w:w="567" w:type="dxa"/>
          </w:tcPr>
          <w:p>
            <w:pPr>
              <w:pStyle w:val="yTableNAm"/>
            </w:pPr>
          </w:p>
        </w:tc>
        <w:tc>
          <w:tcPr>
            <w:tcW w:w="4394" w:type="dxa"/>
          </w:tcPr>
          <w:p>
            <w:pPr>
              <w:pStyle w:val="yTableNAm"/>
              <w:tabs>
                <w:tab w:val="clear" w:pos="567"/>
                <w:tab w:val="left" w:pos="415"/>
              </w:tabs>
              <w:ind w:left="415" w:hanging="415"/>
            </w:pPr>
            <w:r>
              <w:t>•</w:t>
            </w:r>
            <w:r>
              <w:tab/>
              <w:t xml:space="preserve">vehicles — </w:t>
            </w:r>
          </w:p>
        </w:tc>
        <w:tc>
          <w:tcPr>
            <w:tcW w:w="992" w:type="dxa"/>
            <w:vAlign w:val="bottom"/>
          </w:tcPr>
          <w:p>
            <w:pPr>
              <w:pStyle w:val="yTableNAm"/>
              <w:jc w:val="right"/>
            </w:pPr>
          </w:p>
        </w:tc>
      </w:tr>
      <w:tr>
        <w:trPr>
          <w:cantSplit/>
        </w:trPr>
        <w:tc>
          <w:tcPr>
            <w:tcW w:w="567" w:type="dxa"/>
          </w:tcPr>
          <w:p>
            <w:pPr>
              <w:pStyle w:val="yTableNAm"/>
            </w:pPr>
          </w:p>
        </w:tc>
        <w:tc>
          <w:tcPr>
            <w:tcW w:w="4394" w:type="dxa"/>
          </w:tcPr>
          <w:p>
            <w:pPr>
              <w:pStyle w:val="yTableNAm"/>
              <w:tabs>
                <w:tab w:val="clear" w:pos="567"/>
                <w:tab w:val="left" w:pos="443"/>
                <w:tab w:val="left" w:pos="835"/>
              </w:tabs>
              <w:ind w:left="835" w:hanging="835"/>
            </w:pPr>
            <w:r>
              <w:tab/>
              <w:t>•</w:t>
            </w:r>
            <w:r>
              <w:tab/>
              <w:t>commercial vehicles on own wheels, per t or m</w:t>
            </w:r>
            <w:r>
              <w:rPr>
                <w:vertAlign w:val="superscript"/>
              </w:rPr>
              <w:t>3</w:t>
            </w:r>
          </w:p>
        </w:tc>
        <w:tc>
          <w:tcPr>
            <w:tcW w:w="992" w:type="dxa"/>
            <w:vAlign w:val="bottom"/>
          </w:tcPr>
          <w:p>
            <w:pPr>
              <w:pStyle w:val="yTableNAm"/>
              <w:jc w:val="right"/>
            </w:pPr>
            <w:r>
              <w:t>3.99</w:t>
            </w:r>
          </w:p>
        </w:tc>
      </w:tr>
      <w:tr>
        <w:trPr>
          <w:cantSplit/>
        </w:trPr>
        <w:tc>
          <w:tcPr>
            <w:tcW w:w="567" w:type="dxa"/>
          </w:tcPr>
          <w:p>
            <w:pPr>
              <w:pStyle w:val="yTableNAm"/>
            </w:pPr>
          </w:p>
        </w:tc>
        <w:tc>
          <w:tcPr>
            <w:tcW w:w="4394" w:type="dxa"/>
          </w:tcPr>
          <w:p>
            <w:pPr>
              <w:pStyle w:val="yTableNAm"/>
              <w:tabs>
                <w:tab w:val="clear" w:pos="567"/>
                <w:tab w:val="left" w:pos="443"/>
                <w:tab w:val="left" w:pos="793"/>
                <w:tab w:val="left" w:pos="1644"/>
              </w:tabs>
              <w:ind w:left="793" w:hanging="793"/>
            </w:pPr>
            <w:r>
              <w:tab/>
              <w:t>•</w:t>
            </w:r>
            <w:r>
              <w:tab/>
              <w:t>other vehicles on own wheels, per t or m</w:t>
            </w:r>
            <w:r>
              <w:rPr>
                <w:vertAlign w:val="superscript"/>
              </w:rPr>
              <w:t>3</w:t>
            </w:r>
          </w:p>
        </w:tc>
        <w:tc>
          <w:tcPr>
            <w:tcW w:w="992" w:type="dxa"/>
            <w:vAlign w:val="bottom"/>
          </w:tcPr>
          <w:p>
            <w:pPr>
              <w:pStyle w:val="yTableNAm"/>
              <w:jc w:val="right"/>
            </w:pPr>
            <w:r>
              <w:t>3.81</w:t>
            </w:r>
          </w:p>
        </w:tc>
      </w:tr>
      <w:tr>
        <w:trPr>
          <w:cantSplit/>
        </w:trPr>
        <w:tc>
          <w:tcPr>
            <w:tcW w:w="567" w:type="dxa"/>
          </w:tcPr>
          <w:p>
            <w:pPr>
              <w:pStyle w:val="yTableNAm"/>
            </w:pPr>
          </w:p>
        </w:tc>
        <w:tc>
          <w:tcPr>
            <w:tcW w:w="4394" w:type="dxa"/>
          </w:tcPr>
          <w:p>
            <w:pPr>
              <w:pStyle w:val="yTableNAm"/>
              <w:tabs>
                <w:tab w:val="clear" w:pos="567"/>
                <w:tab w:val="left" w:pos="415"/>
              </w:tabs>
              <w:ind w:left="415" w:hanging="415"/>
            </w:pPr>
            <w:r>
              <w:t>•</w:t>
            </w:r>
            <w:r>
              <w:tab/>
              <w:t>recreational vessel, per m of the vessel’s length</w:t>
            </w:r>
          </w:p>
        </w:tc>
        <w:tc>
          <w:tcPr>
            <w:tcW w:w="992" w:type="dxa"/>
            <w:vAlign w:val="bottom"/>
          </w:tcPr>
          <w:p>
            <w:pPr>
              <w:pStyle w:val="yTableNAm"/>
              <w:jc w:val="right"/>
            </w:pPr>
            <w:r>
              <w:t>15.08</w:t>
            </w:r>
          </w:p>
        </w:tc>
      </w:tr>
      <w:tr>
        <w:trPr>
          <w:cantSplit/>
        </w:trPr>
        <w:tc>
          <w:tcPr>
            <w:tcW w:w="567" w:type="dxa"/>
            <w:tcBorders>
              <w:bottom w:val="single" w:sz="4" w:space="0" w:color="auto"/>
            </w:tcBorders>
          </w:tcPr>
          <w:p>
            <w:pPr>
              <w:pStyle w:val="yTableNAm"/>
            </w:pPr>
          </w:p>
        </w:tc>
        <w:tc>
          <w:tcPr>
            <w:tcW w:w="4394" w:type="dxa"/>
            <w:tcBorders>
              <w:bottom w:val="single" w:sz="4" w:space="0" w:color="auto"/>
            </w:tcBorders>
          </w:tcPr>
          <w:p>
            <w:pPr>
              <w:pStyle w:val="yTableNAm"/>
              <w:tabs>
                <w:tab w:val="clear" w:pos="567"/>
                <w:tab w:val="left" w:pos="415"/>
              </w:tabs>
              <w:ind w:left="415" w:hanging="415"/>
            </w:pPr>
            <w:r>
              <w:t>•</w:t>
            </w:r>
            <w:r>
              <w:tab/>
              <w:t>not otherwise specified in this item, per t or m</w:t>
            </w:r>
            <w:r>
              <w:rPr>
                <w:vertAlign w:val="superscript"/>
              </w:rPr>
              <w:t>3</w:t>
            </w:r>
          </w:p>
        </w:tc>
        <w:tc>
          <w:tcPr>
            <w:tcW w:w="992" w:type="dxa"/>
            <w:tcBorders>
              <w:bottom w:val="single" w:sz="4" w:space="0" w:color="auto"/>
            </w:tcBorders>
            <w:vAlign w:val="bottom"/>
          </w:tcPr>
          <w:p>
            <w:pPr>
              <w:pStyle w:val="yTableNAm"/>
              <w:jc w:val="right"/>
            </w:pPr>
            <w:r>
              <w:t>6.58</w:t>
            </w:r>
          </w:p>
        </w:tc>
      </w:tr>
    </w:tbl>
    <w:p>
      <w:pPr>
        <w:pStyle w:val="ySubsection"/>
      </w:pPr>
      <w:r>
        <w:tab/>
        <w:t>(4)</w:t>
      </w:r>
      <w:r>
        <w:tab/>
        <w:t>The dues to be paid under regulation 11 are set out in Table 23.3.</w:t>
      </w:r>
    </w:p>
    <w:p>
      <w:pPr>
        <w:pStyle w:val="yTHeadingNAm"/>
      </w:pPr>
      <w:r>
        <w:t>Table 23.3 (Transhipment)</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3685"/>
        <w:gridCol w:w="1701"/>
      </w:tblGrid>
      <w:tr>
        <w:trPr>
          <w:cantSplit/>
          <w:tblHeader/>
        </w:trPr>
        <w:tc>
          <w:tcPr>
            <w:tcW w:w="567" w:type="dxa"/>
            <w:tcBorders>
              <w:top w:val="single" w:sz="4" w:space="0" w:color="auto"/>
              <w:bottom w:val="single" w:sz="4" w:space="0" w:color="auto"/>
            </w:tcBorders>
          </w:tcPr>
          <w:p>
            <w:pPr>
              <w:pStyle w:val="yTableNAm"/>
              <w:rPr>
                <w:b/>
              </w:rPr>
            </w:pPr>
            <w:r>
              <w:rPr>
                <w:b/>
              </w:rPr>
              <w:t>Item</w:t>
            </w:r>
          </w:p>
        </w:tc>
        <w:tc>
          <w:tcPr>
            <w:tcW w:w="3685" w:type="dxa"/>
            <w:tcBorders>
              <w:top w:val="single" w:sz="4" w:space="0" w:color="auto"/>
              <w:bottom w:val="single" w:sz="4" w:space="0" w:color="auto"/>
            </w:tcBorders>
          </w:tcPr>
          <w:p>
            <w:pPr>
              <w:pStyle w:val="yTableNAm"/>
              <w:rPr>
                <w:b/>
              </w:rPr>
            </w:pPr>
            <w:r>
              <w:rPr>
                <w:b/>
              </w:rPr>
              <w:t>Goods</w:t>
            </w:r>
          </w:p>
        </w:tc>
        <w:tc>
          <w:tcPr>
            <w:tcW w:w="1701" w:type="dxa"/>
            <w:tcBorders>
              <w:top w:val="single" w:sz="4" w:space="0" w:color="auto"/>
              <w:bottom w:val="single" w:sz="4" w:space="0" w:color="auto"/>
            </w:tcBorders>
          </w:tcPr>
          <w:p>
            <w:pPr>
              <w:pStyle w:val="yTableNAm"/>
              <w:jc w:val="center"/>
              <w:rPr>
                <w:b/>
              </w:rPr>
            </w:pPr>
            <w:r>
              <w:rPr>
                <w:b/>
              </w:rPr>
              <w:t>Dues</w:t>
            </w:r>
          </w:p>
        </w:tc>
      </w:tr>
      <w:tr>
        <w:trPr>
          <w:cantSplit/>
        </w:trPr>
        <w:tc>
          <w:tcPr>
            <w:tcW w:w="567" w:type="dxa"/>
          </w:tcPr>
          <w:p>
            <w:pPr>
              <w:pStyle w:val="yTableNAm"/>
            </w:pPr>
            <w:r>
              <w:t>1.</w:t>
            </w:r>
          </w:p>
        </w:tc>
        <w:tc>
          <w:tcPr>
            <w:tcW w:w="3685" w:type="dxa"/>
          </w:tcPr>
          <w:p>
            <w:pPr>
              <w:pStyle w:val="yTableNAm"/>
            </w:pPr>
            <w:r>
              <w:t xml:space="preserve">For cargo — </w:t>
            </w:r>
          </w:p>
        </w:tc>
        <w:tc>
          <w:tcPr>
            <w:tcW w:w="1701" w:type="dxa"/>
          </w:tcPr>
          <w:p>
            <w:pPr>
              <w:pStyle w:val="yTableNAm"/>
            </w:pPr>
          </w:p>
        </w:tc>
      </w:tr>
      <w:tr>
        <w:trPr>
          <w:cantSplit/>
        </w:trPr>
        <w:tc>
          <w:tcPr>
            <w:tcW w:w="567" w:type="dxa"/>
          </w:tcPr>
          <w:p>
            <w:pPr>
              <w:pStyle w:val="yTableNAm"/>
            </w:pPr>
          </w:p>
        </w:tc>
        <w:tc>
          <w:tcPr>
            <w:tcW w:w="3685" w:type="dxa"/>
          </w:tcPr>
          <w:p>
            <w:pPr>
              <w:pStyle w:val="yTableNAm"/>
              <w:tabs>
                <w:tab w:val="clear" w:pos="567"/>
                <w:tab w:val="left" w:pos="415"/>
              </w:tabs>
              <w:ind w:left="415" w:hanging="415"/>
            </w:pPr>
            <w:r>
              <w:t>•</w:t>
            </w:r>
            <w:r>
              <w:tab/>
              <w:t>loaded over the side of a vessel to another vessel</w:t>
            </w:r>
          </w:p>
        </w:tc>
        <w:tc>
          <w:tcPr>
            <w:tcW w:w="1701" w:type="dxa"/>
          </w:tcPr>
          <w:p>
            <w:pPr>
              <w:pStyle w:val="yTableNAm"/>
            </w:pPr>
            <w:r>
              <w:t>50% of wharfage for the cargo</w:t>
            </w:r>
          </w:p>
        </w:tc>
      </w:tr>
      <w:tr>
        <w:trPr>
          <w:cantSplit/>
        </w:trPr>
        <w:tc>
          <w:tcPr>
            <w:tcW w:w="567" w:type="dxa"/>
            <w:tcBorders>
              <w:bottom w:val="single" w:sz="4" w:space="0" w:color="auto"/>
            </w:tcBorders>
          </w:tcPr>
          <w:p>
            <w:pPr>
              <w:pStyle w:val="yTableNAm"/>
            </w:pPr>
          </w:p>
        </w:tc>
        <w:tc>
          <w:tcPr>
            <w:tcW w:w="3685" w:type="dxa"/>
            <w:tcBorders>
              <w:bottom w:val="single" w:sz="4" w:space="0" w:color="auto"/>
            </w:tcBorders>
          </w:tcPr>
          <w:p>
            <w:pPr>
              <w:pStyle w:val="yTableNAm"/>
              <w:tabs>
                <w:tab w:val="clear" w:pos="567"/>
                <w:tab w:val="left" w:pos="415"/>
              </w:tabs>
              <w:ind w:left="415" w:hanging="415"/>
            </w:pPr>
            <w:r>
              <w:t>•</w:t>
            </w:r>
            <w:r>
              <w:tab/>
              <w:t>landed on jetty</w:t>
            </w:r>
          </w:p>
        </w:tc>
        <w:tc>
          <w:tcPr>
            <w:tcW w:w="1701" w:type="dxa"/>
            <w:tcBorders>
              <w:bottom w:val="single" w:sz="4" w:space="0" w:color="auto"/>
            </w:tcBorders>
          </w:tcPr>
          <w:p>
            <w:pPr>
              <w:pStyle w:val="yTableNAm"/>
            </w:pPr>
            <w:r>
              <w:t>100% of wharfage for the cargo</w:t>
            </w:r>
          </w:p>
        </w:tc>
      </w:tr>
    </w:tbl>
    <w:p>
      <w:pPr>
        <w:pStyle w:val="ySubsection"/>
      </w:pPr>
      <w:r>
        <w:tab/>
        <w:t>(5)</w:t>
      </w:r>
      <w:r>
        <w:tab/>
        <w:t>The charges to be paid under regulation 25 for storage are set out in Table 23.4.</w:t>
      </w:r>
    </w:p>
    <w:p>
      <w:pPr>
        <w:pStyle w:val="yTHeadingNAm"/>
        <w:keepLines/>
        <w:widowControl w:val="0"/>
      </w:pPr>
      <w:r>
        <w:t>Table 23.4 (Storage)</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94"/>
        <w:gridCol w:w="992"/>
      </w:tblGrid>
      <w:tr>
        <w:trPr>
          <w:cantSplit/>
          <w:tblHeader/>
        </w:trPr>
        <w:tc>
          <w:tcPr>
            <w:tcW w:w="567" w:type="dxa"/>
            <w:tcBorders>
              <w:top w:val="single" w:sz="4" w:space="0" w:color="auto"/>
              <w:bottom w:val="single" w:sz="4" w:space="0" w:color="auto"/>
            </w:tcBorders>
          </w:tcPr>
          <w:p>
            <w:pPr>
              <w:pStyle w:val="yTableNAm"/>
              <w:keepNext/>
              <w:keepLines/>
              <w:widowControl w:val="0"/>
              <w:rPr>
                <w:b/>
              </w:rPr>
            </w:pPr>
            <w:r>
              <w:rPr>
                <w:b/>
              </w:rPr>
              <w:t>Item</w:t>
            </w:r>
          </w:p>
        </w:tc>
        <w:tc>
          <w:tcPr>
            <w:tcW w:w="4394" w:type="dxa"/>
            <w:tcBorders>
              <w:top w:val="single" w:sz="4" w:space="0" w:color="auto"/>
              <w:bottom w:val="single" w:sz="4" w:space="0" w:color="auto"/>
            </w:tcBorders>
          </w:tcPr>
          <w:p>
            <w:pPr>
              <w:pStyle w:val="yTableNAm"/>
              <w:keepNext/>
              <w:keepLines/>
              <w:widowControl w:val="0"/>
              <w:rPr>
                <w:b/>
              </w:rPr>
            </w:pPr>
            <w:r>
              <w:rPr>
                <w:b/>
              </w:rPr>
              <w:t>Goods</w:t>
            </w:r>
          </w:p>
        </w:tc>
        <w:tc>
          <w:tcPr>
            <w:tcW w:w="992" w:type="dxa"/>
            <w:tcBorders>
              <w:top w:val="single" w:sz="4" w:space="0" w:color="auto"/>
              <w:bottom w:val="single" w:sz="4" w:space="0" w:color="auto"/>
            </w:tcBorders>
          </w:tcPr>
          <w:p>
            <w:pPr>
              <w:pStyle w:val="yTableNAm"/>
              <w:keepNext/>
              <w:keepLines/>
              <w:widowControl w:val="0"/>
              <w:jc w:val="center"/>
              <w:rPr>
                <w:b/>
              </w:rPr>
            </w:pPr>
            <w:r>
              <w:rPr>
                <w:b/>
              </w:rPr>
              <w:t>$</w:t>
            </w:r>
          </w:p>
        </w:tc>
      </w:tr>
      <w:tr>
        <w:trPr>
          <w:cantSplit/>
        </w:trPr>
        <w:tc>
          <w:tcPr>
            <w:tcW w:w="567" w:type="dxa"/>
          </w:tcPr>
          <w:p>
            <w:pPr>
              <w:pStyle w:val="yTableNAm"/>
              <w:keepNext/>
              <w:keepLines/>
              <w:widowControl w:val="0"/>
            </w:pPr>
            <w:r>
              <w:t>1.</w:t>
            </w:r>
          </w:p>
        </w:tc>
        <w:tc>
          <w:tcPr>
            <w:tcW w:w="4394" w:type="dxa"/>
          </w:tcPr>
          <w:p>
            <w:pPr>
              <w:pStyle w:val="yTableNAm"/>
              <w:keepNext/>
              <w:keepLines/>
              <w:widowControl w:val="0"/>
            </w:pPr>
            <w:r>
              <w:t>Goods in transit not removed from goods shed within 3 days after being received, per t, per day</w:t>
            </w:r>
          </w:p>
        </w:tc>
        <w:tc>
          <w:tcPr>
            <w:tcW w:w="992" w:type="dxa"/>
            <w:vAlign w:val="bottom"/>
          </w:tcPr>
          <w:p>
            <w:pPr>
              <w:pStyle w:val="yTableNAm"/>
              <w:keepNext/>
              <w:keepLines/>
              <w:widowControl w:val="0"/>
              <w:tabs>
                <w:tab w:val="clear" w:pos="567"/>
              </w:tabs>
              <w:spacing w:before="0"/>
              <w:jc w:val="right"/>
              <w:rPr>
                <w:bCs/>
              </w:rPr>
            </w:pPr>
            <w:r>
              <w:t>0.66</w:t>
            </w:r>
          </w:p>
        </w:tc>
      </w:tr>
      <w:tr>
        <w:trPr>
          <w:cantSplit/>
        </w:trPr>
        <w:tc>
          <w:tcPr>
            <w:tcW w:w="567" w:type="dxa"/>
          </w:tcPr>
          <w:p>
            <w:pPr>
              <w:pStyle w:val="yTableNAm"/>
            </w:pPr>
            <w:r>
              <w:t>2.</w:t>
            </w:r>
          </w:p>
        </w:tc>
        <w:tc>
          <w:tcPr>
            <w:tcW w:w="4394" w:type="dxa"/>
          </w:tcPr>
          <w:p>
            <w:pPr>
              <w:pStyle w:val="yTableNAm"/>
            </w:pPr>
            <w:r>
              <w:t>Goods being transhipped —</w:t>
            </w:r>
          </w:p>
        </w:tc>
        <w:tc>
          <w:tcPr>
            <w:tcW w:w="992" w:type="dxa"/>
            <w:vAlign w:val="bottom"/>
          </w:tcPr>
          <w:p>
            <w:pPr>
              <w:pStyle w:val="yTableNAm"/>
              <w:keepNext/>
              <w:tabs>
                <w:tab w:val="clear" w:pos="567"/>
              </w:tabs>
              <w:spacing w:before="0"/>
              <w:jc w:val="right"/>
              <w:rPr>
                <w:bCs/>
              </w:rPr>
            </w:pPr>
          </w:p>
        </w:tc>
      </w:tr>
      <w:tr>
        <w:trPr>
          <w:cantSplit/>
        </w:trPr>
        <w:tc>
          <w:tcPr>
            <w:tcW w:w="567" w:type="dxa"/>
          </w:tcPr>
          <w:p>
            <w:pPr>
              <w:pStyle w:val="yTableNAm"/>
            </w:pPr>
          </w:p>
        </w:tc>
        <w:tc>
          <w:tcPr>
            <w:tcW w:w="4394" w:type="dxa"/>
          </w:tcPr>
          <w:p>
            <w:pPr>
              <w:pStyle w:val="yTableNAm"/>
              <w:tabs>
                <w:tab w:val="clear" w:pos="567"/>
                <w:tab w:val="left" w:pos="415"/>
              </w:tabs>
              <w:ind w:left="415" w:hanging="415"/>
            </w:pPr>
            <w:r>
              <w:t>•</w:t>
            </w:r>
            <w:r>
              <w:tab/>
              <w:t>for first 2 weeks, per t or m</w:t>
            </w:r>
            <w:r>
              <w:rPr>
                <w:vertAlign w:val="superscript"/>
              </w:rPr>
              <w:t>3</w:t>
            </w:r>
            <w:r>
              <w:t>, per week</w:t>
            </w:r>
          </w:p>
        </w:tc>
        <w:tc>
          <w:tcPr>
            <w:tcW w:w="992" w:type="dxa"/>
            <w:vAlign w:val="bottom"/>
          </w:tcPr>
          <w:p>
            <w:pPr>
              <w:pStyle w:val="yTableNAm"/>
              <w:keepNext/>
              <w:tabs>
                <w:tab w:val="clear" w:pos="567"/>
              </w:tabs>
              <w:spacing w:before="0"/>
              <w:jc w:val="right"/>
              <w:rPr>
                <w:bCs/>
              </w:rPr>
            </w:pPr>
            <w:r>
              <w:rPr>
                <w:bCs/>
              </w:rPr>
              <w:t>0.66</w:t>
            </w:r>
          </w:p>
        </w:tc>
      </w:tr>
      <w:tr>
        <w:trPr>
          <w:cantSplit/>
        </w:trPr>
        <w:tc>
          <w:tcPr>
            <w:tcW w:w="567" w:type="dxa"/>
          </w:tcPr>
          <w:p>
            <w:pPr>
              <w:pStyle w:val="yTableNAm"/>
            </w:pPr>
          </w:p>
        </w:tc>
        <w:tc>
          <w:tcPr>
            <w:tcW w:w="4394" w:type="dxa"/>
          </w:tcPr>
          <w:p>
            <w:pPr>
              <w:pStyle w:val="yTableNAm"/>
              <w:tabs>
                <w:tab w:val="clear" w:pos="567"/>
                <w:tab w:val="left" w:pos="415"/>
              </w:tabs>
              <w:ind w:left="415" w:hanging="415"/>
            </w:pPr>
            <w:r>
              <w:t>•</w:t>
            </w:r>
            <w:r>
              <w:tab/>
              <w:t>after the first 2 weeks, per t or m</w:t>
            </w:r>
            <w:r>
              <w:rPr>
                <w:vertAlign w:val="superscript"/>
              </w:rPr>
              <w:t>3</w:t>
            </w:r>
            <w:r>
              <w:t>, per day</w:t>
            </w:r>
          </w:p>
        </w:tc>
        <w:tc>
          <w:tcPr>
            <w:tcW w:w="992" w:type="dxa"/>
            <w:vAlign w:val="bottom"/>
          </w:tcPr>
          <w:p>
            <w:pPr>
              <w:pStyle w:val="yTableNAm"/>
              <w:keepNext/>
              <w:tabs>
                <w:tab w:val="clear" w:pos="567"/>
              </w:tabs>
              <w:spacing w:before="0"/>
              <w:jc w:val="right"/>
              <w:rPr>
                <w:bCs/>
              </w:rPr>
            </w:pPr>
            <w:r>
              <w:rPr>
                <w:bCs/>
              </w:rPr>
              <w:t>0.66</w:t>
            </w:r>
          </w:p>
        </w:tc>
      </w:tr>
      <w:tr>
        <w:trPr>
          <w:cantSplit/>
        </w:trPr>
        <w:tc>
          <w:tcPr>
            <w:tcW w:w="567" w:type="dxa"/>
            <w:tcBorders>
              <w:bottom w:val="single" w:sz="4" w:space="0" w:color="auto"/>
            </w:tcBorders>
          </w:tcPr>
          <w:p>
            <w:pPr>
              <w:pStyle w:val="yTableNAm"/>
            </w:pPr>
            <w:r>
              <w:t>3.</w:t>
            </w:r>
          </w:p>
        </w:tc>
        <w:tc>
          <w:tcPr>
            <w:tcW w:w="4394" w:type="dxa"/>
            <w:tcBorders>
              <w:bottom w:val="single" w:sz="4" w:space="0" w:color="auto"/>
            </w:tcBorders>
          </w:tcPr>
          <w:p>
            <w:pPr>
              <w:pStyle w:val="yTableNAm"/>
            </w:pPr>
            <w:r>
              <w:t>Goods at container park, Wyndham, per loaded container</w:t>
            </w:r>
          </w:p>
        </w:tc>
        <w:tc>
          <w:tcPr>
            <w:tcW w:w="992" w:type="dxa"/>
            <w:tcBorders>
              <w:bottom w:val="single" w:sz="4" w:space="0" w:color="auto"/>
            </w:tcBorders>
            <w:vAlign w:val="bottom"/>
          </w:tcPr>
          <w:p>
            <w:pPr>
              <w:pStyle w:val="yTableNAm"/>
              <w:keepNext/>
              <w:tabs>
                <w:tab w:val="clear" w:pos="567"/>
              </w:tabs>
              <w:spacing w:before="0"/>
              <w:jc w:val="right"/>
              <w:rPr>
                <w:bCs/>
              </w:rPr>
            </w:pPr>
            <w:r>
              <w:rPr>
                <w:bCs/>
              </w:rPr>
              <w:t>36.08</w:t>
            </w:r>
          </w:p>
        </w:tc>
      </w:tr>
    </w:tbl>
    <w:p>
      <w:pPr>
        <w:pStyle w:val="ySubsection"/>
      </w:pPr>
      <w:r>
        <w:tab/>
        <w:t>(6)</w:t>
      </w:r>
      <w:r>
        <w:tab/>
        <w:t>The charges to be paid under regulation 96 are set out in Table 23.5.</w:t>
      </w:r>
    </w:p>
    <w:p>
      <w:pPr>
        <w:pStyle w:val="yTHeadingNAm"/>
      </w:pPr>
      <w:r>
        <w:t>Table 23.5 (Slip services)</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94"/>
        <w:gridCol w:w="992"/>
      </w:tblGrid>
      <w:tr>
        <w:trPr>
          <w:cantSplit/>
          <w:tblHeader/>
        </w:trPr>
        <w:tc>
          <w:tcPr>
            <w:tcW w:w="567" w:type="dxa"/>
            <w:tcBorders>
              <w:top w:val="single" w:sz="4" w:space="0" w:color="auto"/>
              <w:bottom w:val="single" w:sz="4" w:space="0" w:color="auto"/>
            </w:tcBorders>
          </w:tcPr>
          <w:p>
            <w:pPr>
              <w:pStyle w:val="yTableNAm"/>
              <w:rPr>
                <w:b/>
              </w:rPr>
            </w:pPr>
            <w:r>
              <w:rPr>
                <w:b/>
              </w:rPr>
              <w:t>Item</w:t>
            </w:r>
          </w:p>
        </w:tc>
        <w:tc>
          <w:tcPr>
            <w:tcW w:w="4394" w:type="dxa"/>
            <w:tcBorders>
              <w:top w:val="single" w:sz="4" w:space="0" w:color="auto"/>
              <w:bottom w:val="single" w:sz="4" w:space="0" w:color="auto"/>
            </w:tcBorders>
          </w:tcPr>
          <w:p>
            <w:pPr>
              <w:pStyle w:val="yTableNAm"/>
              <w:rPr>
                <w:b/>
              </w:rPr>
            </w:pPr>
            <w:r>
              <w:rPr>
                <w:b/>
              </w:rPr>
              <w:t>Service</w:t>
            </w:r>
          </w:p>
        </w:tc>
        <w:tc>
          <w:tcPr>
            <w:tcW w:w="992" w:type="dxa"/>
            <w:tcBorders>
              <w:top w:val="single" w:sz="4" w:space="0" w:color="auto"/>
              <w:bottom w:val="single" w:sz="4" w:space="0" w:color="auto"/>
            </w:tcBorders>
          </w:tcPr>
          <w:p>
            <w:pPr>
              <w:pStyle w:val="yTableNAm"/>
              <w:jc w:val="center"/>
              <w:rPr>
                <w:b/>
              </w:rPr>
            </w:pPr>
            <w:r>
              <w:rPr>
                <w:b/>
              </w:rPr>
              <w:t>$</w:t>
            </w:r>
          </w:p>
        </w:tc>
      </w:tr>
      <w:tr>
        <w:trPr>
          <w:cantSplit/>
        </w:trPr>
        <w:tc>
          <w:tcPr>
            <w:tcW w:w="567" w:type="dxa"/>
          </w:tcPr>
          <w:p>
            <w:pPr>
              <w:pStyle w:val="yTableNAm"/>
            </w:pPr>
            <w:r>
              <w:t>1.</w:t>
            </w:r>
          </w:p>
        </w:tc>
        <w:tc>
          <w:tcPr>
            <w:tcW w:w="4394" w:type="dxa"/>
          </w:tcPr>
          <w:p>
            <w:pPr>
              <w:pStyle w:val="yTableNAm"/>
            </w:pPr>
            <w:r>
              <w:t xml:space="preserve">Use of slip, per day, for a vessel that is — </w:t>
            </w:r>
          </w:p>
        </w:tc>
        <w:tc>
          <w:tcPr>
            <w:tcW w:w="992" w:type="dxa"/>
          </w:tcPr>
          <w:p>
            <w:pPr>
              <w:pStyle w:val="yTableNAm"/>
              <w:jc w:val="right"/>
            </w:pPr>
          </w:p>
        </w:tc>
      </w:tr>
      <w:tr>
        <w:trPr>
          <w:cantSplit/>
        </w:trPr>
        <w:tc>
          <w:tcPr>
            <w:tcW w:w="567" w:type="dxa"/>
          </w:tcPr>
          <w:p>
            <w:pPr>
              <w:pStyle w:val="yTableNAm"/>
            </w:pPr>
          </w:p>
        </w:tc>
        <w:tc>
          <w:tcPr>
            <w:tcW w:w="4394" w:type="dxa"/>
          </w:tcPr>
          <w:p>
            <w:pPr>
              <w:pStyle w:val="yTableNAm"/>
              <w:tabs>
                <w:tab w:val="clear" w:pos="567"/>
                <w:tab w:val="left" w:pos="415"/>
              </w:tabs>
              <w:ind w:left="415" w:hanging="415"/>
            </w:pPr>
            <w:r>
              <w:t>•</w:t>
            </w:r>
            <w:r>
              <w:tab/>
              <w:t>not over 15 m long</w:t>
            </w:r>
          </w:p>
        </w:tc>
        <w:tc>
          <w:tcPr>
            <w:tcW w:w="992" w:type="dxa"/>
            <w:vAlign w:val="bottom"/>
          </w:tcPr>
          <w:p>
            <w:pPr>
              <w:pStyle w:val="yTableNAm"/>
              <w:jc w:val="right"/>
              <w:rPr>
                <w:szCs w:val="22"/>
              </w:rPr>
            </w:pPr>
            <w:r>
              <w:rPr>
                <w:szCs w:val="22"/>
              </w:rPr>
              <w:t>138.95</w:t>
            </w:r>
          </w:p>
        </w:tc>
      </w:tr>
      <w:tr>
        <w:trPr>
          <w:cantSplit/>
        </w:trPr>
        <w:tc>
          <w:tcPr>
            <w:tcW w:w="567" w:type="dxa"/>
          </w:tcPr>
          <w:p>
            <w:pPr>
              <w:pStyle w:val="yTableNAm"/>
            </w:pPr>
          </w:p>
        </w:tc>
        <w:tc>
          <w:tcPr>
            <w:tcW w:w="4394" w:type="dxa"/>
          </w:tcPr>
          <w:p>
            <w:pPr>
              <w:pStyle w:val="yTableNAm"/>
              <w:tabs>
                <w:tab w:val="clear" w:pos="567"/>
                <w:tab w:val="left" w:pos="415"/>
              </w:tabs>
              <w:ind w:left="415" w:hanging="415"/>
            </w:pPr>
            <w:r>
              <w:t>•</w:t>
            </w:r>
            <w:r>
              <w:tab/>
              <w:t>over 15 m long</w:t>
            </w:r>
          </w:p>
        </w:tc>
        <w:tc>
          <w:tcPr>
            <w:tcW w:w="992" w:type="dxa"/>
            <w:vAlign w:val="bottom"/>
          </w:tcPr>
          <w:p>
            <w:pPr>
              <w:pStyle w:val="yTableNAm"/>
              <w:jc w:val="right"/>
              <w:rPr>
                <w:szCs w:val="22"/>
              </w:rPr>
            </w:pPr>
            <w:r>
              <w:rPr>
                <w:szCs w:val="22"/>
              </w:rPr>
              <w:t>202.40</w:t>
            </w:r>
          </w:p>
        </w:tc>
      </w:tr>
      <w:tr>
        <w:trPr>
          <w:cantSplit/>
        </w:trPr>
        <w:tc>
          <w:tcPr>
            <w:tcW w:w="567" w:type="dxa"/>
            <w:tcBorders>
              <w:bottom w:val="single" w:sz="4" w:space="0" w:color="auto"/>
            </w:tcBorders>
          </w:tcPr>
          <w:p>
            <w:pPr>
              <w:pStyle w:val="yTableNAm"/>
            </w:pPr>
            <w:r>
              <w:t>2.</w:t>
            </w:r>
          </w:p>
        </w:tc>
        <w:tc>
          <w:tcPr>
            <w:tcW w:w="4394" w:type="dxa"/>
            <w:tcBorders>
              <w:bottom w:val="single" w:sz="4" w:space="0" w:color="auto"/>
            </w:tcBorders>
          </w:tcPr>
          <w:p>
            <w:pPr>
              <w:pStyle w:val="yTableNAm"/>
            </w:pPr>
            <w:r>
              <w:t>Haulage, for each haul up or down</w:t>
            </w:r>
          </w:p>
        </w:tc>
        <w:tc>
          <w:tcPr>
            <w:tcW w:w="992" w:type="dxa"/>
            <w:tcBorders>
              <w:bottom w:val="single" w:sz="4" w:space="0" w:color="auto"/>
            </w:tcBorders>
            <w:vAlign w:val="bottom"/>
          </w:tcPr>
          <w:p>
            <w:pPr>
              <w:pStyle w:val="yTableNAm"/>
              <w:jc w:val="right"/>
              <w:rPr>
                <w:szCs w:val="22"/>
              </w:rPr>
            </w:pPr>
            <w:r>
              <w:rPr>
                <w:szCs w:val="22"/>
              </w:rPr>
              <w:t>169.79</w:t>
            </w:r>
          </w:p>
        </w:tc>
      </w:tr>
    </w:tbl>
    <w:p>
      <w:pPr>
        <w:pStyle w:val="ySubsection"/>
        <w:keepNext/>
        <w:keepLines/>
      </w:pPr>
      <w:r>
        <w:tab/>
        <w:t>(7)</w:t>
      </w:r>
      <w:r>
        <w:tab/>
        <w:t>The fees to be paid under regulation 105I are set out in Table 23.6.</w:t>
      </w:r>
    </w:p>
    <w:p>
      <w:pPr>
        <w:pStyle w:val="yTHeadingNAm"/>
        <w:keepLines/>
      </w:pPr>
      <w:r>
        <w:t>Table 23.6 (Weighbridge use)</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94"/>
        <w:gridCol w:w="992"/>
      </w:tblGrid>
      <w:tr>
        <w:trPr>
          <w:cantSplit/>
          <w:tblHeader/>
        </w:trPr>
        <w:tc>
          <w:tcPr>
            <w:tcW w:w="567" w:type="dxa"/>
            <w:tcBorders>
              <w:top w:val="single" w:sz="4" w:space="0" w:color="auto"/>
              <w:bottom w:val="single" w:sz="4" w:space="0" w:color="auto"/>
            </w:tcBorders>
          </w:tcPr>
          <w:p>
            <w:pPr>
              <w:pStyle w:val="yTableNAm"/>
              <w:keepNext/>
              <w:keepLines/>
              <w:rPr>
                <w:b/>
              </w:rPr>
            </w:pPr>
            <w:r>
              <w:rPr>
                <w:b/>
              </w:rPr>
              <w:t>Item</w:t>
            </w:r>
          </w:p>
        </w:tc>
        <w:tc>
          <w:tcPr>
            <w:tcW w:w="4394" w:type="dxa"/>
            <w:tcBorders>
              <w:top w:val="single" w:sz="4" w:space="0" w:color="auto"/>
              <w:bottom w:val="single" w:sz="4" w:space="0" w:color="auto"/>
            </w:tcBorders>
          </w:tcPr>
          <w:p>
            <w:pPr>
              <w:pStyle w:val="yTableNAm"/>
              <w:keepNext/>
              <w:keepLines/>
              <w:rPr>
                <w:b/>
              </w:rPr>
            </w:pPr>
            <w:r>
              <w:rPr>
                <w:b/>
              </w:rPr>
              <w:t>Service</w:t>
            </w:r>
          </w:p>
        </w:tc>
        <w:tc>
          <w:tcPr>
            <w:tcW w:w="992" w:type="dxa"/>
            <w:tcBorders>
              <w:top w:val="single" w:sz="4" w:space="0" w:color="auto"/>
              <w:bottom w:val="single" w:sz="4" w:space="0" w:color="auto"/>
            </w:tcBorders>
          </w:tcPr>
          <w:p>
            <w:pPr>
              <w:pStyle w:val="yTableNAm"/>
              <w:keepNext/>
              <w:keepLines/>
              <w:jc w:val="center"/>
              <w:rPr>
                <w:b/>
              </w:rPr>
            </w:pPr>
            <w:r>
              <w:rPr>
                <w:b/>
              </w:rPr>
              <w:t>$</w:t>
            </w:r>
          </w:p>
        </w:tc>
      </w:tr>
      <w:tr>
        <w:trPr>
          <w:cantSplit/>
        </w:trPr>
        <w:tc>
          <w:tcPr>
            <w:tcW w:w="567" w:type="dxa"/>
          </w:tcPr>
          <w:p>
            <w:pPr>
              <w:pStyle w:val="yTableNAm"/>
            </w:pPr>
            <w:r>
              <w:t>1.</w:t>
            </w:r>
          </w:p>
        </w:tc>
        <w:tc>
          <w:tcPr>
            <w:tcW w:w="4394" w:type="dxa"/>
          </w:tcPr>
          <w:p>
            <w:pPr>
              <w:pStyle w:val="yTableNAm"/>
            </w:pPr>
            <w:r>
              <w:t xml:space="preserve">Use of weighbridge — </w:t>
            </w:r>
          </w:p>
        </w:tc>
        <w:tc>
          <w:tcPr>
            <w:tcW w:w="992" w:type="dxa"/>
          </w:tcPr>
          <w:p>
            <w:pPr>
              <w:pStyle w:val="yTableNAm"/>
              <w:jc w:val="right"/>
            </w:pPr>
          </w:p>
        </w:tc>
      </w:tr>
      <w:tr>
        <w:trPr>
          <w:cantSplit/>
        </w:trPr>
        <w:tc>
          <w:tcPr>
            <w:tcW w:w="567" w:type="dxa"/>
          </w:tcPr>
          <w:p>
            <w:pPr>
              <w:pStyle w:val="yTableNAm"/>
            </w:pPr>
          </w:p>
        </w:tc>
        <w:tc>
          <w:tcPr>
            <w:tcW w:w="4394" w:type="dxa"/>
          </w:tcPr>
          <w:p>
            <w:pPr>
              <w:pStyle w:val="yTableNAm"/>
              <w:tabs>
                <w:tab w:val="clear" w:pos="567"/>
                <w:tab w:val="left" w:pos="415"/>
              </w:tabs>
              <w:ind w:left="415" w:hanging="415"/>
            </w:pPr>
            <w:r>
              <w:t>•</w:t>
            </w:r>
            <w:r>
              <w:tab/>
              <w:t>for not over 10 t</w:t>
            </w:r>
          </w:p>
        </w:tc>
        <w:tc>
          <w:tcPr>
            <w:tcW w:w="992" w:type="dxa"/>
            <w:vAlign w:val="bottom"/>
          </w:tcPr>
          <w:p>
            <w:pPr>
              <w:pStyle w:val="yTableNAm"/>
              <w:jc w:val="right"/>
              <w:rPr>
                <w:szCs w:val="22"/>
              </w:rPr>
            </w:pPr>
            <w:r>
              <w:rPr>
                <w:szCs w:val="22"/>
              </w:rPr>
              <w:t>12.94</w:t>
            </w:r>
          </w:p>
        </w:tc>
      </w:tr>
      <w:tr>
        <w:trPr>
          <w:cantSplit/>
        </w:trPr>
        <w:tc>
          <w:tcPr>
            <w:tcW w:w="567" w:type="dxa"/>
          </w:tcPr>
          <w:p>
            <w:pPr>
              <w:pStyle w:val="yTableNAm"/>
            </w:pPr>
          </w:p>
        </w:tc>
        <w:tc>
          <w:tcPr>
            <w:tcW w:w="4394" w:type="dxa"/>
          </w:tcPr>
          <w:p>
            <w:pPr>
              <w:pStyle w:val="yTableNAm"/>
              <w:tabs>
                <w:tab w:val="clear" w:pos="567"/>
                <w:tab w:val="left" w:pos="415"/>
              </w:tabs>
              <w:ind w:left="415" w:hanging="415"/>
            </w:pPr>
            <w:r>
              <w:t>•</w:t>
            </w:r>
            <w:r>
              <w:tab/>
              <w:t>for over 10 t but not over 30 t</w:t>
            </w:r>
          </w:p>
        </w:tc>
        <w:tc>
          <w:tcPr>
            <w:tcW w:w="992" w:type="dxa"/>
            <w:vAlign w:val="bottom"/>
          </w:tcPr>
          <w:p>
            <w:pPr>
              <w:pStyle w:val="yTableNAm"/>
              <w:jc w:val="right"/>
              <w:rPr>
                <w:szCs w:val="22"/>
              </w:rPr>
            </w:pPr>
            <w:r>
              <w:rPr>
                <w:szCs w:val="22"/>
              </w:rPr>
              <w:t>14.72</w:t>
            </w:r>
          </w:p>
        </w:tc>
      </w:tr>
      <w:tr>
        <w:trPr>
          <w:cantSplit/>
        </w:trPr>
        <w:tc>
          <w:tcPr>
            <w:tcW w:w="567" w:type="dxa"/>
            <w:tcBorders>
              <w:bottom w:val="single" w:sz="4" w:space="0" w:color="auto"/>
            </w:tcBorders>
          </w:tcPr>
          <w:p>
            <w:pPr>
              <w:pStyle w:val="yTableNAm"/>
            </w:pPr>
          </w:p>
        </w:tc>
        <w:tc>
          <w:tcPr>
            <w:tcW w:w="4394" w:type="dxa"/>
            <w:tcBorders>
              <w:bottom w:val="single" w:sz="4" w:space="0" w:color="auto"/>
            </w:tcBorders>
          </w:tcPr>
          <w:p>
            <w:pPr>
              <w:pStyle w:val="yTableNAm"/>
              <w:tabs>
                <w:tab w:val="clear" w:pos="567"/>
                <w:tab w:val="left" w:pos="415"/>
              </w:tabs>
              <w:ind w:left="415" w:hanging="415"/>
            </w:pPr>
            <w:r>
              <w:t>•</w:t>
            </w:r>
            <w:r>
              <w:tab/>
              <w:t>for over 30 t</w:t>
            </w:r>
          </w:p>
        </w:tc>
        <w:tc>
          <w:tcPr>
            <w:tcW w:w="992" w:type="dxa"/>
            <w:tcBorders>
              <w:bottom w:val="single" w:sz="4" w:space="0" w:color="auto"/>
            </w:tcBorders>
            <w:vAlign w:val="bottom"/>
          </w:tcPr>
          <w:p>
            <w:pPr>
              <w:pStyle w:val="yTableNAm"/>
              <w:jc w:val="right"/>
              <w:rPr>
                <w:szCs w:val="22"/>
              </w:rPr>
            </w:pPr>
            <w:r>
              <w:rPr>
                <w:szCs w:val="22"/>
              </w:rPr>
              <w:t>18.38</w:t>
            </w:r>
          </w:p>
        </w:tc>
      </w:tr>
    </w:tbl>
    <w:p>
      <w:pPr>
        <w:pStyle w:val="ySubsection"/>
      </w:pPr>
      <w:r>
        <w:tab/>
        <w:t>(8)</w:t>
      </w:r>
      <w:r>
        <w:tab/>
        <w:t xml:space="preserve">The charge to be paid for each kilolitre of water supplied to a vessel is the relevant amount prescribed in the </w:t>
      </w:r>
      <w:r>
        <w:rPr>
          <w:i/>
          <w:iCs/>
        </w:rPr>
        <w:t>Water Agencies (Charges) By</w:t>
      </w:r>
      <w:r>
        <w:rPr>
          <w:i/>
          <w:iCs/>
        </w:rPr>
        <w:noBreakHyphen/>
        <w:t>laws 1987</w:t>
      </w:r>
      <w:r>
        <w:t xml:space="preserve"> Schedule 1 item 31(b).</w:t>
      </w:r>
    </w:p>
    <w:p>
      <w:pPr>
        <w:pStyle w:val="ySubsection"/>
      </w:pPr>
      <w:r>
        <w:tab/>
        <w:t>(9)</w:t>
      </w:r>
      <w:r>
        <w:tab/>
        <w:t>The charge for lighting, per hour or part of an hour, is set out in Table 23.7.</w:t>
      </w:r>
    </w:p>
    <w:p>
      <w:pPr>
        <w:pStyle w:val="yTHeadingNAm"/>
      </w:pPr>
      <w:r>
        <w:t>Table 23.7 (Lighting)</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94"/>
        <w:gridCol w:w="992"/>
      </w:tblGrid>
      <w:tr>
        <w:trPr>
          <w:cantSplit/>
          <w:tblHeader/>
        </w:trPr>
        <w:tc>
          <w:tcPr>
            <w:tcW w:w="567" w:type="dxa"/>
            <w:tcBorders>
              <w:top w:val="single" w:sz="4" w:space="0" w:color="auto"/>
              <w:bottom w:val="single" w:sz="4" w:space="0" w:color="auto"/>
            </w:tcBorders>
          </w:tcPr>
          <w:p>
            <w:pPr>
              <w:pStyle w:val="yTableNAm"/>
              <w:rPr>
                <w:b/>
              </w:rPr>
            </w:pPr>
            <w:r>
              <w:rPr>
                <w:b/>
              </w:rPr>
              <w:t>Item</w:t>
            </w:r>
          </w:p>
        </w:tc>
        <w:tc>
          <w:tcPr>
            <w:tcW w:w="4394" w:type="dxa"/>
            <w:tcBorders>
              <w:top w:val="single" w:sz="4" w:space="0" w:color="auto"/>
              <w:bottom w:val="single" w:sz="4" w:space="0" w:color="auto"/>
            </w:tcBorders>
          </w:tcPr>
          <w:p>
            <w:pPr>
              <w:pStyle w:val="yTableNAm"/>
              <w:rPr>
                <w:b/>
              </w:rPr>
            </w:pPr>
            <w:r>
              <w:rPr>
                <w:b/>
              </w:rPr>
              <w:t>Service</w:t>
            </w:r>
          </w:p>
        </w:tc>
        <w:tc>
          <w:tcPr>
            <w:tcW w:w="992" w:type="dxa"/>
            <w:tcBorders>
              <w:top w:val="single" w:sz="4" w:space="0" w:color="auto"/>
              <w:bottom w:val="single" w:sz="4" w:space="0" w:color="auto"/>
            </w:tcBorders>
          </w:tcPr>
          <w:p>
            <w:pPr>
              <w:pStyle w:val="yTableNAm"/>
              <w:jc w:val="center"/>
              <w:rPr>
                <w:b/>
              </w:rPr>
            </w:pPr>
            <w:r>
              <w:rPr>
                <w:b/>
              </w:rPr>
              <w:t>$</w:t>
            </w:r>
          </w:p>
        </w:tc>
      </w:tr>
      <w:tr>
        <w:trPr>
          <w:cantSplit/>
        </w:trPr>
        <w:tc>
          <w:tcPr>
            <w:tcW w:w="567" w:type="dxa"/>
          </w:tcPr>
          <w:p>
            <w:pPr>
              <w:pStyle w:val="yTableNAm"/>
            </w:pPr>
            <w:r>
              <w:t>1.</w:t>
            </w:r>
          </w:p>
        </w:tc>
        <w:tc>
          <w:tcPr>
            <w:tcW w:w="4394" w:type="dxa"/>
          </w:tcPr>
          <w:p>
            <w:pPr>
              <w:pStyle w:val="yTableNAm"/>
            </w:pPr>
            <w:r>
              <w:t>For jetty, shed and yard</w:t>
            </w:r>
          </w:p>
        </w:tc>
        <w:tc>
          <w:tcPr>
            <w:tcW w:w="992" w:type="dxa"/>
            <w:vAlign w:val="bottom"/>
          </w:tcPr>
          <w:p>
            <w:pPr>
              <w:pStyle w:val="yTableNAm"/>
              <w:jc w:val="right"/>
              <w:rPr>
                <w:szCs w:val="22"/>
              </w:rPr>
            </w:pPr>
            <w:r>
              <w:rPr>
                <w:szCs w:val="22"/>
              </w:rPr>
              <w:t>31.20</w:t>
            </w:r>
          </w:p>
        </w:tc>
      </w:tr>
      <w:tr>
        <w:trPr>
          <w:cantSplit/>
        </w:trPr>
        <w:tc>
          <w:tcPr>
            <w:tcW w:w="567" w:type="dxa"/>
          </w:tcPr>
          <w:p>
            <w:pPr>
              <w:pStyle w:val="yTableNAm"/>
            </w:pPr>
            <w:r>
              <w:t>2.</w:t>
            </w:r>
          </w:p>
        </w:tc>
        <w:tc>
          <w:tcPr>
            <w:tcW w:w="4394" w:type="dxa"/>
          </w:tcPr>
          <w:p>
            <w:pPr>
              <w:pStyle w:val="yTableNAm"/>
            </w:pPr>
            <w:r>
              <w:t>For jetty only</w:t>
            </w:r>
          </w:p>
        </w:tc>
        <w:tc>
          <w:tcPr>
            <w:tcW w:w="992" w:type="dxa"/>
            <w:vAlign w:val="bottom"/>
          </w:tcPr>
          <w:p>
            <w:pPr>
              <w:pStyle w:val="yTableNAm"/>
              <w:jc w:val="right"/>
              <w:rPr>
                <w:szCs w:val="22"/>
              </w:rPr>
            </w:pPr>
            <w:r>
              <w:rPr>
                <w:szCs w:val="22"/>
              </w:rPr>
              <w:t>10.02</w:t>
            </w:r>
          </w:p>
        </w:tc>
      </w:tr>
      <w:tr>
        <w:trPr>
          <w:cantSplit/>
        </w:trPr>
        <w:tc>
          <w:tcPr>
            <w:tcW w:w="567" w:type="dxa"/>
            <w:tcBorders>
              <w:bottom w:val="single" w:sz="4" w:space="0" w:color="auto"/>
            </w:tcBorders>
          </w:tcPr>
          <w:p>
            <w:pPr>
              <w:pStyle w:val="yTableNAm"/>
            </w:pPr>
            <w:r>
              <w:t>3.</w:t>
            </w:r>
          </w:p>
        </w:tc>
        <w:tc>
          <w:tcPr>
            <w:tcW w:w="4394" w:type="dxa"/>
            <w:tcBorders>
              <w:bottom w:val="single" w:sz="4" w:space="0" w:color="auto"/>
            </w:tcBorders>
          </w:tcPr>
          <w:p>
            <w:pPr>
              <w:pStyle w:val="yTableNAm"/>
            </w:pPr>
            <w:r>
              <w:t>For reduced lighting</w:t>
            </w:r>
          </w:p>
        </w:tc>
        <w:tc>
          <w:tcPr>
            <w:tcW w:w="992" w:type="dxa"/>
            <w:tcBorders>
              <w:bottom w:val="single" w:sz="4" w:space="0" w:color="auto"/>
            </w:tcBorders>
            <w:vAlign w:val="bottom"/>
          </w:tcPr>
          <w:p>
            <w:pPr>
              <w:pStyle w:val="yTableNAm"/>
              <w:jc w:val="right"/>
              <w:rPr>
                <w:szCs w:val="22"/>
              </w:rPr>
            </w:pPr>
            <w:r>
              <w:rPr>
                <w:szCs w:val="22"/>
              </w:rPr>
              <w:t>3.31</w:t>
            </w:r>
          </w:p>
        </w:tc>
      </w:tr>
    </w:tbl>
    <w:p>
      <w:pPr>
        <w:pStyle w:val="yFootnotesection"/>
      </w:pPr>
      <w:r>
        <w:tab/>
        <w:t>[Clause 23 inserted in Gazette 28 Jun 2013 p. 2871</w:t>
      </w:r>
      <w:r>
        <w:noBreakHyphen/>
        <w:t>5.]</w:t>
      </w:r>
    </w:p>
    <w:p>
      <w:pPr>
        <w:pStyle w:val="yHeading3"/>
        <w:keepLines/>
      </w:pPr>
      <w:bookmarkStart w:id="165" w:name="_Toc382380059"/>
      <w:r>
        <w:rPr>
          <w:rStyle w:val="CharSDivNo"/>
        </w:rPr>
        <w:t>Division 2</w:t>
      </w:r>
      <w:r>
        <w:rPr>
          <w:b w:val="0"/>
        </w:rPr>
        <w:t> — </w:t>
      </w:r>
      <w:r>
        <w:rPr>
          <w:rStyle w:val="CharSDivText"/>
        </w:rPr>
        <w:t>Charges, dues and fees not specified in Division 1</w:t>
      </w:r>
      <w:bookmarkEnd w:id="165"/>
    </w:p>
    <w:p>
      <w:pPr>
        <w:pStyle w:val="yFootnoteheading"/>
        <w:keepNext/>
        <w:keepLines/>
      </w:pPr>
      <w:r>
        <w:tab/>
        <w:t>[Heading inserted in Gazette 28 Jun 2013 p. 2875.]</w:t>
      </w:r>
    </w:p>
    <w:p>
      <w:pPr>
        <w:pStyle w:val="yHeading5"/>
      </w:pPr>
      <w:bookmarkStart w:id="166" w:name="_Toc382380060"/>
      <w:r>
        <w:rPr>
          <w:rStyle w:val="CharSClsNo"/>
        </w:rPr>
        <w:t>24</w:t>
      </w:r>
      <w:r>
        <w:t>.</w:t>
      </w:r>
      <w:r>
        <w:rPr>
          <w:b w:val="0"/>
        </w:rPr>
        <w:tab/>
      </w:r>
      <w:r>
        <w:t>Wharfage (r. 10A)</w:t>
      </w:r>
      <w:bookmarkEnd w:id="166"/>
    </w:p>
    <w:p>
      <w:pPr>
        <w:pStyle w:val="ySubsection"/>
        <w:keepNext/>
        <w:keepLines/>
      </w:pPr>
      <w:r>
        <w:tab/>
      </w:r>
      <w:r>
        <w:tab/>
        <w:t>The dues and charges to be paid under regulation 10A at a place for which no such dues or charges are prescribed in Division 1 are set out in Table 24.1.</w:t>
      </w:r>
    </w:p>
    <w:p>
      <w:pPr>
        <w:pStyle w:val="yTHeadingNAm"/>
        <w:keepLines/>
      </w:pPr>
      <w:r>
        <w:t>Table 24.1 (Wharfage)</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87"/>
        <w:gridCol w:w="999"/>
      </w:tblGrid>
      <w:tr>
        <w:trPr>
          <w:cantSplit/>
          <w:tblHeader/>
        </w:trPr>
        <w:tc>
          <w:tcPr>
            <w:tcW w:w="567" w:type="dxa"/>
            <w:tcBorders>
              <w:top w:val="single" w:sz="4" w:space="0" w:color="auto"/>
              <w:bottom w:val="single" w:sz="4" w:space="0" w:color="auto"/>
            </w:tcBorders>
          </w:tcPr>
          <w:p>
            <w:pPr>
              <w:pStyle w:val="yTableNAm"/>
              <w:keepNext/>
              <w:keepLines/>
              <w:rPr>
                <w:b/>
              </w:rPr>
            </w:pPr>
            <w:r>
              <w:rPr>
                <w:b/>
              </w:rPr>
              <w:t>Item</w:t>
            </w:r>
          </w:p>
        </w:tc>
        <w:tc>
          <w:tcPr>
            <w:tcW w:w="4387" w:type="dxa"/>
            <w:tcBorders>
              <w:top w:val="single" w:sz="4" w:space="0" w:color="auto"/>
              <w:bottom w:val="single" w:sz="4" w:space="0" w:color="auto"/>
            </w:tcBorders>
          </w:tcPr>
          <w:p>
            <w:pPr>
              <w:pStyle w:val="yTableNAm"/>
              <w:keepNext/>
              <w:keepLines/>
              <w:rPr>
                <w:b/>
              </w:rPr>
            </w:pPr>
            <w:r>
              <w:rPr>
                <w:b/>
              </w:rPr>
              <w:t>Service</w:t>
            </w:r>
          </w:p>
        </w:tc>
        <w:tc>
          <w:tcPr>
            <w:tcW w:w="999" w:type="dxa"/>
            <w:tcBorders>
              <w:top w:val="single" w:sz="4" w:space="0" w:color="auto"/>
              <w:bottom w:val="single" w:sz="4" w:space="0" w:color="auto"/>
            </w:tcBorders>
          </w:tcPr>
          <w:p>
            <w:pPr>
              <w:pStyle w:val="yTableNAm"/>
              <w:keepNext/>
              <w:keepLines/>
              <w:jc w:val="center"/>
              <w:rPr>
                <w:b/>
              </w:rPr>
            </w:pPr>
            <w:r>
              <w:rPr>
                <w:b/>
              </w:rPr>
              <w:t>$</w:t>
            </w:r>
          </w:p>
        </w:tc>
      </w:tr>
      <w:tr>
        <w:trPr>
          <w:cantSplit/>
        </w:trPr>
        <w:tc>
          <w:tcPr>
            <w:tcW w:w="567" w:type="dxa"/>
          </w:tcPr>
          <w:p>
            <w:pPr>
              <w:pStyle w:val="yTableNAm"/>
            </w:pPr>
            <w:r>
              <w:t>1.</w:t>
            </w:r>
          </w:p>
        </w:tc>
        <w:tc>
          <w:tcPr>
            <w:tcW w:w="4387" w:type="dxa"/>
          </w:tcPr>
          <w:p>
            <w:pPr>
              <w:pStyle w:val="yTableNAm"/>
            </w:pPr>
            <w:r>
              <w:t>Wharfage for general cargo —</w:t>
            </w:r>
          </w:p>
        </w:tc>
        <w:tc>
          <w:tcPr>
            <w:tcW w:w="999" w:type="dxa"/>
          </w:tcPr>
          <w:p>
            <w:pPr>
              <w:pStyle w:val="yTableNAm"/>
              <w:jc w:val="right"/>
            </w:pPr>
          </w:p>
        </w:tc>
      </w:tr>
      <w:tr>
        <w:trPr>
          <w:cantSplit/>
        </w:trPr>
        <w:tc>
          <w:tcPr>
            <w:tcW w:w="567" w:type="dxa"/>
          </w:tcPr>
          <w:p>
            <w:pPr>
              <w:pStyle w:val="yTableNAm"/>
            </w:pPr>
          </w:p>
        </w:tc>
        <w:tc>
          <w:tcPr>
            <w:tcW w:w="4387" w:type="dxa"/>
          </w:tcPr>
          <w:p>
            <w:pPr>
              <w:pStyle w:val="yTableNAm"/>
              <w:tabs>
                <w:tab w:val="clear" w:pos="567"/>
                <w:tab w:val="left" w:pos="415"/>
              </w:tabs>
              <w:ind w:left="415" w:hanging="415"/>
            </w:pPr>
            <w:r>
              <w:t>•</w:t>
            </w:r>
            <w:r>
              <w:tab/>
              <w:t>if loaded from or into vessel, per t or m</w:t>
            </w:r>
            <w:r>
              <w:rPr>
                <w:vertAlign w:val="superscript"/>
              </w:rPr>
              <w:t>3</w:t>
            </w:r>
          </w:p>
        </w:tc>
        <w:tc>
          <w:tcPr>
            <w:tcW w:w="999" w:type="dxa"/>
            <w:vAlign w:val="bottom"/>
          </w:tcPr>
          <w:p>
            <w:pPr>
              <w:pStyle w:val="yTableNAm"/>
              <w:jc w:val="right"/>
              <w:rPr>
                <w:szCs w:val="22"/>
              </w:rPr>
            </w:pPr>
            <w:r>
              <w:rPr>
                <w:szCs w:val="22"/>
              </w:rPr>
              <w:t>6.30</w:t>
            </w:r>
          </w:p>
        </w:tc>
      </w:tr>
      <w:tr>
        <w:trPr>
          <w:cantSplit/>
        </w:trPr>
        <w:tc>
          <w:tcPr>
            <w:tcW w:w="567" w:type="dxa"/>
            <w:tcBorders>
              <w:bottom w:val="single" w:sz="4" w:space="0" w:color="auto"/>
            </w:tcBorders>
          </w:tcPr>
          <w:p>
            <w:pPr>
              <w:pStyle w:val="yTableNAm"/>
            </w:pPr>
          </w:p>
        </w:tc>
        <w:tc>
          <w:tcPr>
            <w:tcW w:w="4387" w:type="dxa"/>
            <w:tcBorders>
              <w:bottom w:val="single" w:sz="4" w:space="0" w:color="auto"/>
            </w:tcBorders>
          </w:tcPr>
          <w:p>
            <w:pPr>
              <w:pStyle w:val="yTableNAm"/>
              <w:tabs>
                <w:tab w:val="clear" w:pos="567"/>
                <w:tab w:val="left" w:pos="415"/>
              </w:tabs>
              <w:ind w:left="415" w:hanging="415"/>
            </w:pPr>
            <w:r>
              <w:t>•</w:t>
            </w:r>
            <w:r>
              <w:tab/>
              <w:t>if vessel is lifted, per m of the vessel’s length</w:t>
            </w:r>
          </w:p>
        </w:tc>
        <w:tc>
          <w:tcPr>
            <w:tcW w:w="999" w:type="dxa"/>
            <w:tcBorders>
              <w:bottom w:val="single" w:sz="4" w:space="0" w:color="auto"/>
            </w:tcBorders>
            <w:vAlign w:val="bottom"/>
          </w:tcPr>
          <w:p>
            <w:pPr>
              <w:pStyle w:val="yTableNAm"/>
              <w:jc w:val="right"/>
              <w:rPr>
                <w:szCs w:val="22"/>
              </w:rPr>
            </w:pPr>
            <w:r>
              <w:rPr>
                <w:szCs w:val="22"/>
              </w:rPr>
              <w:t>14.18</w:t>
            </w:r>
          </w:p>
        </w:tc>
      </w:tr>
    </w:tbl>
    <w:p>
      <w:pPr>
        <w:pStyle w:val="yFootnotesection"/>
      </w:pPr>
      <w:r>
        <w:tab/>
        <w:t>[Clause 24 inserted in Gazette 28 Jun 2013 p. 2875</w:t>
      </w:r>
      <w:r>
        <w:noBreakHyphen/>
        <w:t>6.]</w:t>
      </w:r>
    </w:p>
    <w:p>
      <w:pPr>
        <w:pStyle w:val="yHeading5"/>
      </w:pPr>
      <w:bookmarkStart w:id="167" w:name="_Toc382380061"/>
      <w:r>
        <w:rPr>
          <w:rStyle w:val="CharSClsNo"/>
        </w:rPr>
        <w:t>25</w:t>
      </w:r>
      <w:r>
        <w:t>.</w:t>
      </w:r>
      <w:r>
        <w:rPr>
          <w:b w:val="0"/>
        </w:rPr>
        <w:tab/>
      </w:r>
      <w:r>
        <w:t>Rubbish removal (r. 53A)</w:t>
      </w:r>
      <w:bookmarkEnd w:id="167"/>
    </w:p>
    <w:p>
      <w:pPr>
        <w:pStyle w:val="ySubsection"/>
      </w:pPr>
      <w:r>
        <w:tab/>
      </w:r>
      <w:r>
        <w:tab/>
        <w:t>The fees to be paid under regulation 53A at a place for which no such fees are prescribed in Division 1 are set out in Table 25.1.</w:t>
      </w:r>
    </w:p>
    <w:p>
      <w:pPr>
        <w:pStyle w:val="yTHeadingNAm"/>
      </w:pPr>
      <w:r>
        <w:t>Table 25.1 (Rubbish removal)</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87"/>
        <w:gridCol w:w="999"/>
      </w:tblGrid>
      <w:tr>
        <w:trPr>
          <w:cantSplit/>
          <w:tblHeader/>
        </w:trPr>
        <w:tc>
          <w:tcPr>
            <w:tcW w:w="567" w:type="dxa"/>
            <w:tcBorders>
              <w:top w:val="single" w:sz="4" w:space="0" w:color="auto"/>
              <w:bottom w:val="single" w:sz="4" w:space="0" w:color="auto"/>
            </w:tcBorders>
          </w:tcPr>
          <w:p>
            <w:pPr>
              <w:pStyle w:val="yTableNAm"/>
              <w:rPr>
                <w:b/>
              </w:rPr>
            </w:pPr>
            <w:r>
              <w:rPr>
                <w:b/>
              </w:rPr>
              <w:t>Item</w:t>
            </w:r>
          </w:p>
        </w:tc>
        <w:tc>
          <w:tcPr>
            <w:tcW w:w="4387" w:type="dxa"/>
            <w:tcBorders>
              <w:top w:val="single" w:sz="4" w:space="0" w:color="auto"/>
              <w:bottom w:val="single" w:sz="4" w:space="0" w:color="auto"/>
            </w:tcBorders>
          </w:tcPr>
          <w:p>
            <w:pPr>
              <w:pStyle w:val="yTableNAm"/>
              <w:rPr>
                <w:b/>
              </w:rPr>
            </w:pPr>
            <w:r>
              <w:rPr>
                <w:b/>
              </w:rPr>
              <w:t>Service</w:t>
            </w:r>
          </w:p>
        </w:tc>
        <w:tc>
          <w:tcPr>
            <w:tcW w:w="999" w:type="dxa"/>
            <w:tcBorders>
              <w:top w:val="single" w:sz="4" w:space="0" w:color="auto"/>
              <w:bottom w:val="single" w:sz="4" w:space="0" w:color="auto"/>
            </w:tcBorders>
          </w:tcPr>
          <w:p>
            <w:pPr>
              <w:pStyle w:val="yTableNAm"/>
              <w:jc w:val="center"/>
              <w:rPr>
                <w:b/>
              </w:rPr>
            </w:pPr>
            <w:r>
              <w:rPr>
                <w:b/>
              </w:rPr>
              <w:t>$</w:t>
            </w:r>
          </w:p>
        </w:tc>
      </w:tr>
      <w:tr>
        <w:trPr>
          <w:cantSplit/>
        </w:trPr>
        <w:tc>
          <w:tcPr>
            <w:tcW w:w="567" w:type="dxa"/>
          </w:tcPr>
          <w:p>
            <w:pPr>
              <w:pStyle w:val="yTableNAm"/>
            </w:pPr>
            <w:r>
              <w:t>1.</w:t>
            </w:r>
          </w:p>
        </w:tc>
        <w:tc>
          <w:tcPr>
            <w:tcW w:w="4387" w:type="dxa"/>
          </w:tcPr>
          <w:p>
            <w:pPr>
              <w:pStyle w:val="yTableNAm"/>
            </w:pPr>
            <w:r>
              <w:t xml:space="preserve">Rubbish removal — </w:t>
            </w:r>
          </w:p>
        </w:tc>
        <w:tc>
          <w:tcPr>
            <w:tcW w:w="999" w:type="dxa"/>
          </w:tcPr>
          <w:p>
            <w:pPr>
              <w:pStyle w:val="yTableNAm"/>
              <w:jc w:val="right"/>
            </w:pPr>
          </w:p>
        </w:tc>
      </w:tr>
      <w:tr>
        <w:trPr>
          <w:cantSplit/>
        </w:trPr>
        <w:tc>
          <w:tcPr>
            <w:tcW w:w="567" w:type="dxa"/>
          </w:tcPr>
          <w:p>
            <w:pPr>
              <w:pStyle w:val="yTableNAm"/>
            </w:pPr>
          </w:p>
        </w:tc>
        <w:tc>
          <w:tcPr>
            <w:tcW w:w="4387" w:type="dxa"/>
          </w:tcPr>
          <w:p>
            <w:pPr>
              <w:pStyle w:val="yTableNAm"/>
              <w:tabs>
                <w:tab w:val="clear" w:pos="567"/>
                <w:tab w:val="left" w:pos="415"/>
              </w:tabs>
              <w:ind w:left="415" w:hanging="415"/>
            </w:pPr>
            <w:r>
              <w:t>•</w:t>
            </w:r>
            <w:r>
              <w:tab/>
              <w:t>for excess quantities, or if not from vessel using wharf or public jetty, per service</w:t>
            </w:r>
          </w:p>
        </w:tc>
        <w:tc>
          <w:tcPr>
            <w:tcW w:w="999" w:type="dxa"/>
            <w:vAlign w:val="bottom"/>
          </w:tcPr>
          <w:p>
            <w:pPr>
              <w:pStyle w:val="yTableNAm"/>
              <w:jc w:val="right"/>
            </w:pPr>
            <w:r>
              <w:t>78.81</w:t>
            </w:r>
          </w:p>
        </w:tc>
      </w:tr>
      <w:tr>
        <w:trPr>
          <w:cantSplit/>
        </w:trPr>
        <w:tc>
          <w:tcPr>
            <w:tcW w:w="567" w:type="dxa"/>
            <w:tcBorders>
              <w:bottom w:val="single" w:sz="4" w:space="0" w:color="auto"/>
            </w:tcBorders>
          </w:tcPr>
          <w:p>
            <w:pPr>
              <w:pStyle w:val="yTableNAm"/>
            </w:pPr>
          </w:p>
        </w:tc>
        <w:tc>
          <w:tcPr>
            <w:tcW w:w="4387" w:type="dxa"/>
            <w:tcBorders>
              <w:bottom w:val="single" w:sz="4" w:space="0" w:color="auto"/>
            </w:tcBorders>
          </w:tcPr>
          <w:p>
            <w:pPr>
              <w:pStyle w:val="yTableNAm"/>
              <w:tabs>
                <w:tab w:val="clear" w:pos="567"/>
                <w:tab w:val="left" w:pos="415"/>
              </w:tabs>
              <w:ind w:left="415" w:hanging="415"/>
            </w:pPr>
            <w:r>
              <w:t>•</w:t>
            </w:r>
            <w:r>
              <w:tab/>
              <w:t>to clean up rubbish not placed in bins</w:t>
            </w:r>
          </w:p>
        </w:tc>
        <w:tc>
          <w:tcPr>
            <w:tcW w:w="999" w:type="dxa"/>
            <w:tcBorders>
              <w:bottom w:val="single" w:sz="4" w:space="0" w:color="auto"/>
            </w:tcBorders>
            <w:vAlign w:val="bottom"/>
          </w:tcPr>
          <w:p>
            <w:pPr>
              <w:pStyle w:val="yTableNAm"/>
              <w:jc w:val="right"/>
            </w:pPr>
            <w:r>
              <w:t>cost</w:t>
            </w:r>
          </w:p>
        </w:tc>
      </w:tr>
    </w:tbl>
    <w:p>
      <w:pPr>
        <w:pStyle w:val="yFootnotesection"/>
      </w:pPr>
      <w:r>
        <w:tab/>
        <w:t>[Clause 25 inserted in Gazette 28 Jun 2013 p. 2876.]</w:t>
      </w:r>
    </w:p>
    <w:p>
      <w:pPr>
        <w:pStyle w:val="yHeading5"/>
      </w:pPr>
      <w:bookmarkStart w:id="168" w:name="_Toc382380062"/>
      <w:r>
        <w:rPr>
          <w:rStyle w:val="CharSClsNo"/>
        </w:rPr>
        <w:t>26</w:t>
      </w:r>
      <w:r>
        <w:t>.</w:t>
      </w:r>
      <w:r>
        <w:rPr>
          <w:b w:val="0"/>
        </w:rPr>
        <w:tab/>
      </w:r>
      <w:r>
        <w:t>Pile mooring (r. 94B)</w:t>
      </w:r>
      <w:bookmarkEnd w:id="168"/>
    </w:p>
    <w:p>
      <w:pPr>
        <w:pStyle w:val="ySubsection"/>
      </w:pPr>
      <w:r>
        <w:tab/>
      </w:r>
      <w:r>
        <w:tab/>
        <w:t>The fees to be paid under regulation 94B at a place for which no such fees are prescribed in Division 1 are set out in Table 26.1.</w:t>
      </w:r>
    </w:p>
    <w:p>
      <w:pPr>
        <w:pStyle w:val="yTHeadingNAm"/>
      </w:pPr>
      <w:r>
        <w:t>Table 26.1 (Pile mooring)</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88"/>
        <w:gridCol w:w="998"/>
      </w:tblGrid>
      <w:tr>
        <w:trPr>
          <w:cantSplit/>
          <w:tblHeader/>
        </w:trPr>
        <w:tc>
          <w:tcPr>
            <w:tcW w:w="567" w:type="dxa"/>
            <w:tcBorders>
              <w:top w:val="single" w:sz="4" w:space="0" w:color="auto"/>
              <w:bottom w:val="single" w:sz="4" w:space="0" w:color="auto"/>
            </w:tcBorders>
          </w:tcPr>
          <w:p>
            <w:pPr>
              <w:pStyle w:val="yTableNAm"/>
              <w:rPr>
                <w:b/>
              </w:rPr>
            </w:pPr>
            <w:r>
              <w:rPr>
                <w:b/>
              </w:rPr>
              <w:t>Item</w:t>
            </w:r>
          </w:p>
        </w:tc>
        <w:tc>
          <w:tcPr>
            <w:tcW w:w="4388" w:type="dxa"/>
            <w:tcBorders>
              <w:top w:val="single" w:sz="4" w:space="0" w:color="auto"/>
              <w:bottom w:val="single" w:sz="4" w:space="0" w:color="auto"/>
            </w:tcBorders>
          </w:tcPr>
          <w:p>
            <w:pPr>
              <w:pStyle w:val="yTableNAm"/>
              <w:rPr>
                <w:b/>
              </w:rPr>
            </w:pPr>
            <w:r>
              <w:rPr>
                <w:b/>
              </w:rPr>
              <w:t>Service</w:t>
            </w:r>
          </w:p>
        </w:tc>
        <w:tc>
          <w:tcPr>
            <w:tcW w:w="998" w:type="dxa"/>
            <w:tcBorders>
              <w:top w:val="single" w:sz="4" w:space="0" w:color="auto"/>
              <w:bottom w:val="single" w:sz="4" w:space="0" w:color="auto"/>
            </w:tcBorders>
          </w:tcPr>
          <w:p>
            <w:pPr>
              <w:pStyle w:val="yTableNAm"/>
              <w:jc w:val="center"/>
              <w:rPr>
                <w:b/>
              </w:rPr>
            </w:pPr>
            <w:r>
              <w:rPr>
                <w:b/>
              </w:rPr>
              <w:t>$</w:t>
            </w:r>
          </w:p>
        </w:tc>
      </w:tr>
      <w:tr>
        <w:trPr>
          <w:cantSplit/>
        </w:trPr>
        <w:tc>
          <w:tcPr>
            <w:tcW w:w="567" w:type="dxa"/>
          </w:tcPr>
          <w:p>
            <w:pPr>
              <w:pStyle w:val="yTableNAm"/>
            </w:pPr>
            <w:r>
              <w:t>1.</w:t>
            </w:r>
          </w:p>
        </w:tc>
        <w:tc>
          <w:tcPr>
            <w:tcW w:w="4388" w:type="dxa"/>
          </w:tcPr>
          <w:p>
            <w:pPr>
              <w:pStyle w:val="yTableNAm"/>
            </w:pPr>
            <w:r>
              <w:t xml:space="preserve">For pile mooring, per m of the vessel’s length — </w:t>
            </w:r>
          </w:p>
        </w:tc>
        <w:tc>
          <w:tcPr>
            <w:tcW w:w="998" w:type="dxa"/>
          </w:tcPr>
          <w:p>
            <w:pPr>
              <w:pStyle w:val="yTableNAm"/>
              <w:jc w:val="right"/>
            </w:pPr>
          </w:p>
        </w:tc>
      </w:tr>
      <w:tr>
        <w:trPr>
          <w:cantSplit/>
        </w:trPr>
        <w:tc>
          <w:tcPr>
            <w:tcW w:w="567" w:type="dxa"/>
          </w:tcPr>
          <w:p>
            <w:pPr>
              <w:pStyle w:val="yTableNAm"/>
            </w:pPr>
          </w:p>
        </w:tc>
        <w:tc>
          <w:tcPr>
            <w:tcW w:w="4388" w:type="dxa"/>
          </w:tcPr>
          <w:p>
            <w:pPr>
              <w:pStyle w:val="yTableNAm"/>
              <w:tabs>
                <w:tab w:val="clear" w:pos="567"/>
                <w:tab w:val="left" w:pos="415"/>
              </w:tabs>
              <w:ind w:left="415" w:hanging="415"/>
            </w:pPr>
            <w:r>
              <w:t>•</w:t>
            </w:r>
            <w:r>
              <w:tab/>
              <w:t>for 12 months paid in advance</w:t>
            </w:r>
          </w:p>
        </w:tc>
        <w:tc>
          <w:tcPr>
            <w:tcW w:w="998" w:type="dxa"/>
            <w:vAlign w:val="bottom"/>
          </w:tcPr>
          <w:p>
            <w:pPr>
              <w:pStyle w:val="yTableNAm"/>
              <w:jc w:val="right"/>
              <w:rPr>
                <w:szCs w:val="22"/>
              </w:rPr>
            </w:pPr>
            <w:r>
              <w:rPr>
                <w:szCs w:val="22"/>
              </w:rPr>
              <w:t>157.61</w:t>
            </w:r>
          </w:p>
        </w:tc>
      </w:tr>
      <w:tr>
        <w:trPr>
          <w:cantSplit/>
        </w:trPr>
        <w:tc>
          <w:tcPr>
            <w:tcW w:w="567" w:type="dxa"/>
          </w:tcPr>
          <w:p>
            <w:pPr>
              <w:pStyle w:val="yTableNAm"/>
            </w:pPr>
          </w:p>
        </w:tc>
        <w:tc>
          <w:tcPr>
            <w:tcW w:w="4388" w:type="dxa"/>
          </w:tcPr>
          <w:p>
            <w:pPr>
              <w:pStyle w:val="yTableNAm"/>
              <w:tabs>
                <w:tab w:val="clear" w:pos="567"/>
                <w:tab w:val="left" w:pos="415"/>
              </w:tabs>
              <w:ind w:left="415" w:hanging="415"/>
            </w:pPr>
            <w:r>
              <w:t>•</w:t>
            </w:r>
            <w:r>
              <w:tab/>
              <w:t>for one month paid in advance</w:t>
            </w:r>
          </w:p>
        </w:tc>
        <w:tc>
          <w:tcPr>
            <w:tcW w:w="998" w:type="dxa"/>
            <w:vAlign w:val="bottom"/>
          </w:tcPr>
          <w:p>
            <w:pPr>
              <w:pStyle w:val="yTableNAm"/>
              <w:jc w:val="right"/>
              <w:rPr>
                <w:szCs w:val="22"/>
              </w:rPr>
            </w:pPr>
            <w:r>
              <w:rPr>
                <w:szCs w:val="22"/>
              </w:rPr>
              <w:t>23.65</w:t>
            </w:r>
          </w:p>
        </w:tc>
      </w:tr>
      <w:tr>
        <w:trPr>
          <w:cantSplit/>
        </w:trPr>
        <w:tc>
          <w:tcPr>
            <w:tcW w:w="567" w:type="dxa"/>
            <w:tcBorders>
              <w:bottom w:val="single" w:sz="4" w:space="0" w:color="auto"/>
            </w:tcBorders>
          </w:tcPr>
          <w:p>
            <w:pPr>
              <w:pStyle w:val="yTableNAm"/>
            </w:pPr>
          </w:p>
        </w:tc>
        <w:tc>
          <w:tcPr>
            <w:tcW w:w="4388" w:type="dxa"/>
            <w:tcBorders>
              <w:bottom w:val="single" w:sz="4" w:space="0" w:color="auto"/>
            </w:tcBorders>
          </w:tcPr>
          <w:p>
            <w:pPr>
              <w:pStyle w:val="yTableNAm"/>
              <w:tabs>
                <w:tab w:val="clear" w:pos="567"/>
                <w:tab w:val="left" w:pos="415"/>
              </w:tabs>
              <w:ind w:left="415" w:hanging="415"/>
            </w:pPr>
            <w:r>
              <w:t>•</w:t>
            </w:r>
            <w:r>
              <w:tab/>
              <w:t>otherwise, per day</w:t>
            </w:r>
          </w:p>
        </w:tc>
        <w:tc>
          <w:tcPr>
            <w:tcW w:w="998" w:type="dxa"/>
            <w:tcBorders>
              <w:bottom w:val="single" w:sz="4" w:space="0" w:color="auto"/>
            </w:tcBorders>
            <w:vAlign w:val="bottom"/>
          </w:tcPr>
          <w:p>
            <w:pPr>
              <w:pStyle w:val="yTableNAm"/>
              <w:jc w:val="right"/>
              <w:rPr>
                <w:szCs w:val="22"/>
              </w:rPr>
            </w:pPr>
            <w:r>
              <w:rPr>
                <w:szCs w:val="22"/>
              </w:rPr>
              <w:t>3.17</w:t>
            </w:r>
          </w:p>
        </w:tc>
      </w:tr>
    </w:tbl>
    <w:p>
      <w:pPr>
        <w:pStyle w:val="yFootnotesection"/>
      </w:pPr>
      <w:r>
        <w:tab/>
        <w:t>[Clause 26 inserted in Gazette 28 Jun 2013 p. 2876</w:t>
      </w:r>
      <w:r>
        <w:noBreakHyphen/>
        <w:t>7.]</w:t>
      </w:r>
    </w:p>
    <w:p>
      <w:pPr>
        <w:pStyle w:val="yHeading5"/>
      </w:pPr>
      <w:bookmarkStart w:id="169" w:name="_Toc382380063"/>
      <w:r>
        <w:rPr>
          <w:rStyle w:val="CharSClsNo"/>
        </w:rPr>
        <w:t>27</w:t>
      </w:r>
      <w:r>
        <w:t>.</w:t>
      </w:r>
      <w:r>
        <w:rPr>
          <w:b w:val="0"/>
        </w:rPr>
        <w:tab/>
      </w:r>
      <w:r>
        <w:t>Berthing and mooring (r. 94C)</w:t>
      </w:r>
      <w:bookmarkEnd w:id="169"/>
    </w:p>
    <w:p>
      <w:pPr>
        <w:pStyle w:val="ySubsection"/>
      </w:pPr>
      <w:r>
        <w:tab/>
      </w:r>
      <w:r>
        <w:tab/>
        <w:t>The fees to be paid under regulation 94C at a place for which no such fees are prescribed in Division 1 are set out in Table 27.1.</w:t>
      </w:r>
    </w:p>
    <w:p>
      <w:pPr>
        <w:pStyle w:val="yTHeadingNAm"/>
      </w:pPr>
      <w:r>
        <w:t>Table 27.1 (Berthing or mooring)</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87"/>
        <w:gridCol w:w="999"/>
      </w:tblGrid>
      <w:tr>
        <w:trPr>
          <w:cantSplit/>
          <w:tblHeader/>
        </w:trPr>
        <w:tc>
          <w:tcPr>
            <w:tcW w:w="567" w:type="dxa"/>
            <w:tcBorders>
              <w:top w:val="single" w:sz="4" w:space="0" w:color="auto"/>
              <w:bottom w:val="single" w:sz="4" w:space="0" w:color="auto"/>
            </w:tcBorders>
          </w:tcPr>
          <w:p>
            <w:pPr>
              <w:pStyle w:val="yTableNAm"/>
              <w:rPr>
                <w:b/>
              </w:rPr>
            </w:pPr>
            <w:r>
              <w:rPr>
                <w:b/>
              </w:rPr>
              <w:t>Item</w:t>
            </w:r>
          </w:p>
        </w:tc>
        <w:tc>
          <w:tcPr>
            <w:tcW w:w="4387" w:type="dxa"/>
            <w:tcBorders>
              <w:top w:val="single" w:sz="4" w:space="0" w:color="auto"/>
              <w:bottom w:val="single" w:sz="4" w:space="0" w:color="auto"/>
            </w:tcBorders>
          </w:tcPr>
          <w:p>
            <w:pPr>
              <w:pStyle w:val="yTableNAm"/>
              <w:rPr>
                <w:b/>
              </w:rPr>
            </w:pPr>
            <w:r>
              <w:rPr>
                <w:b/>
              </w:rPr>
              <w:t>Service</w:t>
            </w:r>
          </w:p>
        </w:tc>
        <w:tc>
          <w:tcPr>
            <w:tcW w:w="999" w:type="dxa"/>
            <w:tcBorders>
              <w:top w:val="single" w:sz="4" w:space="0" w:color="auto"/>
              <w:bottom w:val="single" w:sz="4" w:space="0" w:color="auto"/>
            </w:tcBorders>
          </w:tcPr>
          <w:p>
            <w:pPr>
              <w:pStyle w:val="yTableNAm"/>
              <w:jc w:val="center"/>
              <w:rPr>
                <w:b/>
              </w:rPr>
            </w:pPr>
            <w:r>
              <w:rPr>
                <w:b/>
              </w:rPr>
              <w:t>$</w:t>
            </w:r>
          </w:p>
        </w:tc>
      </w:tr>
      <w:tr>
        <w:trPr>
          <w:cantSplit/>
        </w:trPr>
        <w:tc>
          <w:tcPr>
            <w:tcW w:w="567" w:type="dxa"/>
          </w:tcPr>
          <w:p>
            <w:pPr>
              <w:pStyle w:val="yTableNAm"/>
            </w:pPr>
            <w:r>
              <w:t>1.</w:t>
            </w:r>
          </w:p>
        </w:tc>
        <w:tc>
          <w:tcPr>
            <w:tcW w:w="4387" w:type="dxa"/>
          </w:tcPr>
          <w:p>
            <w:pPr>
              <w:pStyle w:val="yTableNAm"/>
            </w:pPr>
            <w:r>
              <w:t xml:space="preserve">Berthing or mooring — </w:t>
            </w:r>
          </w:p>
        </w:tc>
        <w:tc>
          <w:tcPr>
            <w:tcW w:w="999" w:type="dxa"/>
          </w:tcPr>
          <w:p>
            <w:pPr>
              <w:pStyle w:val="yTableNAm"/>
              <w:jc w:val="right"/>
            </w:pPr>
          </w:p>
        </w:tc>
      </w:tr>
      <w:tr>
        <w:trPr>
          <w:cantSplit/>
        </w:trPr>
        <w:tc>
          <w:tcPr>
            <w:tcW w:w="567" w:type="dxa"/>
          </w:tcPr>
          <w:p>
            <w:pPr>
              <w:pStyle w:val="yTableNAm"/>
            </w:pPr>
          </w:p>
        </w:tc>
        <w:tc>
          <w:tcPr>
            <w:tcW w:w="4387" w:type="dxa"/>
          </w:tcPr>
          <w:p>
            <w:pPr>
              <w:pStyle w:val="yTableNAm"/>
              <w:tabs>
                <w:tab w:val="clear" w:pos="567"/>
                <w:tab w:val="left" w:pos="415"/>
              </w:tabs>
              <w:ind w:left="415" w:hanging="415"/>
            </w:pPr>
            <w:r>
              <w:t>•</w:t>
            </w:r>
            <w:r>
              <w:tab/>
              <w:t>for 12 months paid in advance</w:t>
            </w:r>
          </w:p>
        </w:tc>
        <w:tc>
          <w:tcPr>
            <w:tcW w:w="999" w:type="dxa"/>
            <w:vAlign w:val="bottom"/>
          </w:tcPr>
          <w:p>
            <w:pPr>
              <w:pStyle w:val="yTableNAm"/>
              <w:jc w:val="right"/>
              <w:rPr>
                <w:szCs w:val="22"/>
              </w:rPr>
            </w:pPr>
            <w:r>
              <w:rPr>
                <w:szCs w:val="22"/>
              </w:rPr>
              <w:t>238.37</w:t>
            </w:r>
          </w:p>
        </w:tc>
      </w:tr>
      <w:tr>
        <w:trPr>
          <w:cantSplit/>
        </w:trPr>
        <w:tc>
          <w:tcPr>
            <w:tcW w:w="567" w:type="dxa"/>
          </w:tcPr>
          <w:p>
            <w:pPr>
              <w:pStyle w:val="yTableNAm"/>
            </w:pPr>
          </w:p>
        </w:tc>
        <w:tc>
          <w:tcPr>
            <w:tcW w:w="4387" w:type="dxa"/>
          </w:tcPr>
          <w:p>
            <w:pPr>
              <w:pStyle w:val="yTableNAm"/>
              <w:tabs>
                <w:tab w:val="clear" w:pos="567"/>
                <w:tab w:val="left" w:pos="415"/>
              </w:tabs>
              <w:ind w:left="415" w:hanging="415"/>
            </w:pPr>
            <w:r>
              <w:t>•</w:t>
            </w:r>
            <w:r>
              <w:tab/>
              <w:t>per day, per m of the vessel’s length</w:t>
            </w:r>
          </w:p>
        </w:tc>
        <w:tc>
          <w:tcPr>
            <w:tcW w:w="999" w:type="dxa"/>
            <w:vAlign w:val="bottom"/>
          </w:tcPr>
          <w:p>
            <w:pPr>
              <w:pStyle w:val="yTableNAm"/>
              <w:jc w:val="right"/>
              <w:rPr>
                <w:szCs w:val="22"/>
              </w:rPr>
            </w:pPr>
            <w:r>
              <w:rPr>
                <w:szCs w:val="22"/>
              </w:rPr>
              <w:t>4.73</w:t>
            </w:r>
          </w:p>
        </w:tc>
      </w:tr>
      <w:tr>
        <w:trPr>
          <w:cantSplit/>
        </w:trPr>
        <w:tc>
          <w:tcPr>
            <w:tcW w:w="567" w:type="dxa"/>
          </w:tcPr>
          <w:p>
            <w:pPr>
              <w:pStyle w:val="yTableNAm"/>
            </w:pPr>
            <w:r>
              <w:t>2.</w:t>
            </w:r>
          </w:p>
        </w:tc>
        <w:tc>
          <w:tcPr>
            <w:tcW w:w="4387" w:type="dxa"/>
          </w:tcPr>
          <w:p>
            <w:pPr>
              <w:pStyle w:val="yTableNAm"/>
            </w:pPr>
            <w:r>
              <w:t xml:space="preserve">Electricity supply — </w:t>
            </w:r>
          </w:p>
        </w:tc>
        <w:tc>
          <w:tcPr>
            <w:tcW w:w="999" w:type="dxa"/>
            <w:vAlign w:val="bottom"/>
          </w:tcPr>
          <w:p>
            <w:pPr>
              <w:pStyle w:val="yTableNAm"/>
              <w:jc w:val="right"/>
              <w:rPr>
                <w:szCs w:val="22"/>
              </w:rPr>
            </w:pPr>
          </w:p>
        </w:tc>
      </w:tr>
      <w:tr>
        <w:trPr>
          <w:cantSplit/>
        </w:trPr>
        <w:tc>
          <w:tcPr>
            <w:tcW w:w="567" w:type="dxa"/>
          </w:tcPr>
          <w:p>
            <w:pPr>
              <w:pStyle w:val="yTableNAm"/>
            </w:pPr>
          </w:p>
        </w:tc>
        <w:tc>
          <w:tcPr>
            <w:tcW w:w="4387" w:type="dxa"/>
          </w:tcPr>
          <w:p>
            <w:pPr>
              <w:pStyle w:val="yTableNAm"/>
              <w:tabs>
                <w:tab w:val="clear" w:pos="567"/>
                <w:tab w:val="left" w:pos="415"/>
              </w:tabs>
              <w:ind w:left="415" w:hanging="415"/>
            </w:pPr>
            <w:r>
              <w:t>•</w:t>
            </w:r>
            <w:r>
              <w:tab/>
              <w:t>3</w:t>
            </w:r>
            <w:r>
              <w:noBreakHyphen/>
              <w:t>phase, if metering shows usage of more than $31.52 in a 12 hour period</w:t>
            </w:r>
          </w:p>
        </w:tc>
        <w:tc>
          <w:tcPr>
            <w:tcW w:w="999" w:type="dxa"/>
            <w:vAlign w:val="bottom"/>
          </w:tcPr>
          <w:p>
            <w:pPr>
              <w:pStyle w:val="yTableNAm"/>
              <w:jc w:val="right"/>
              <w:rPr>
                <w:szCs w:val="22"/>
              </w:rPr>
            </w:pPr>
            <w:r>
              <w:rPr>
                <w:szCs w:val="22"/>
              </w:rPr>
              <w:t>cost</w:t>
            </w:r>
          </w:p>
        </w:tc>
      </w:tr>
      <w:tr>
        <w:trPr>
          <w:cantSplit/>
        </w:trPr>
        <w:tc>
          <w:tcPr>
            <w:tcW w:w="567" w:type="dxa"/>
            <w:tcBorders>
              <w:bottom w:val="single" w:sz="4" w:space="0" w:color="auto"/>
            </w:tcBorders>
          </w:tcPr>
          <w:p>
            <w:pPr>
              <w:pStyle w:val="yTableNAm"/>
            </w:pPr>
          </w:p>
        </w:tc>
        <w:tc>
          <w:tcPr>
            <w:tcW w:w="4387" w:type="dxa"/>
            <w:tcBorders>
              <w:bottom w:val="single" w:sz="4" w:space="0" w:color="auto"/>
            </w:tcBorders>
          </w:tcPr>
          <w:p>
            <w:pPr>
              <w:pStyle w:val="yTableNAm"/>
              <w:tabs>
                <w:tab w:val="clear" w:pos="567"/>
                <w:tab w:val="left" w:pos="415"/>
              </w:tabs>
              <w:ind w:left="415" w:hanging="415"/>
            </w:pPr>
            <w:r>
              <w:t>•</w:t>
            </w:r>
            <w:r>
              <w:tab/>
              <w:t>3</w:t>
            </w:r>
            <w:r>
              <w:noBreakHyphen/>
              <w:t>phase, otherwise per period of 12 hours or part of that period</w:t>
            </w:r>
          </w:p>
        </w:tc>
        <w:tc>
          <w:tcPr>
            <w:tcW w:w="999" w:type="dxa"/>
            <w:tcBorders>
              <w:bottom w:val="single" w:sz="4" w:space="0" w:color="auto"/>
            </w:tcBorders>
            <w:vAlign w:val="bottom"/>
          </w:tcPr>
          <w:p>
            <w:pPr>
              <w:pStyle w:val="yTableNAm"/>
              <w:jc w:val="right"/>
              <w:rPr>
                <w:szCs w:val="22"/>
              </w:rPr>
            </w:pPr>
            <w:r>
              <w:rPr>
                <w:szCs w:val="22"/>
              </w:rPr>
              <w:t>31.52</w:t>
            </w:r>
          </w:p>
        </w:tc>
      </w:tr>
    </w:tbl>
    <w:p>
      <w:pPr>
        <w:pStyle w:val="yFootnotesection"/>
      </w:pPr>
      <w:r>
        <w:tab/>
        <w:t>[Clause 27 inserted in Gazette 28 Jun 2013 p. 2877.]</w:t>
      </w:r>
    </w:p>
    <w:p>
      <w:pPr>
        <w:pStyle w:val="yHeading5"/>
      </w:pPr>
      <w:bookmarkStart w:id="170" w:name="_Toc382380064"/>
      <w:r>
        <w:rPr>
          <w:rStyle w:val="CharSClsNo"/>
        </w:rPr>
        <w:t>28</w:t>
      </w:r>
      <w:r>
        <w:t>.</w:t>
      </w:r>
      <w:r>
        <w:rPr>
          <w:b w:val="0"/>
        </w:rPr>
        <w:tab/>
      </w:r>
      <w:r>
        <w:t>Slip services (r. 96)</w:t>
      </w:r>
      <w:bookmarkEnd w:id="170"/>
    </w:p>
    <w:p>
      <w:pPr>
        <w:pStyle w:val="ySubsection"/>
      </w:pPr>
      <w:r>
        <w:tab/>
      </w:r>
      <w:r>
        <w:tab/>
        <w:t>The charges to be paid under regulation 96 for services at a slip controlled and managed by the Department at a place for which no such fees are prescribed in Division 1 are set out in Table 28.1.</w:t>
      </w:r>
    </w:p>
    <w:p>
      <w:pPr>
        <w:pStyle w:val="yTHeadingNAm"/>
      </w:pPr>
      <w:r>
        <w:t>Table 28.1 (Slip services)</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88"/>
        <w:gridCol w:w="6"/>
        <w:gridCol w:w="992"/>
      </w:tblGrid>
      <w:tr>
        <w:trPr>
          <w:cantSplit/>
          <w:tblHeader/>
        </w:trPr>
        <w:tc>
          <w:tcPr>
            <w:tcW w:w="567" w:type="dxa"/>
            <w:tcBorders>
              <w:top w:val="single" w:sz="4" w:space="0" w:color="auto"/>
              <w:bottom w:val="single" w:sz="4" w:space="0" w:color="auto"/>
            </w:tcBorders>
          </w:tcPr>
          <w:p>
            <w:pPr>
              <w:pStyle w:val="yTableNAm"/>
              <w:rPr>
                <w:b/>
              </w:rPr>
            </w:pPr>
            <w:r>
              <w:rPr>
                <w:b/>
              </w:rPr>
              <w:t>Item</w:t>
            </w:r>
          </w:p>
        </w:tc>
        <w:tc>
          <w:tcPr>
            <w:tcW w:w="4388" w:type="dxa"/>
            <w:tcBorders>
              <w:top w:val="single" w:sz="4" w:space="0" w:color="auto"/>
              <w:bottom w:val="single" w:sz="4" w:space="0" w:color="auto"/>
            </w:tcBorders>
          </w:tcPr>
          <w:p>
            <w:pPr>
              <w:pStyle w:val="yTableNAm"/>
              <w:rPr>
                <w:b/>
              </w:rPr>
            </w:pPr>
            <w:r>
              <w:rPr>
                <w:b/>
              </w:rPr>
              <w:t>Service</w:t>
            </w:r>
          </w:p>
        </w:tc>
        <w:tc>
          <w:tcPr>
            <w:tcW w:w="998" w:type="dxa"/>
            <w:gridSpan w:val="2"/>
            <w:tcBorders>
              <w:top w:val="single" w:sz="4" w:space="0" w:color="auto"/>
              <w:bottom w:val="single" w:sz="4" w:space="0" w:color="auto"/>
            </w:tcBorders>
          </w:tcPr>
          <w:p>
            <w:pPr>
              <w:pStyle w:val="yTableNAm"/>
              <w:jc w:val="center"/>
              <w:rPr>
                <w:b/>
              </w:rPr>
            </w:pPr>
            <w:r>
              <w:rPr>
                <w:b/>
              </w:rPr>
              <w:t>$</w:t>
            </w:r>
          </w:p>
        </w:tc>
      </w:tr>
      <w:tr>
        <w:trPr>
          <w:cantSplit/>
        </w:trPr>
        <w:tc>
          <w:tcPr>
            <w:tcW w:w="567" w:type="dxa"/>
          </w:tcPr>
          <w:p>
            <w:pPr>
              <w:pStyle w:val="yTableNAm"/>
            </w:pPr>
            <w:r>
              <w:t>1.</w:t>
            </w:r>
          </w:p>
        </w:tc>
        <w:tc>
          <w:tcPr>
            <w:tcW w:w="4394" w:type="dxa"/>
            <w:gridSpan w:val="2"/>
          </w:tcPr>
          <w:p>
            <w:pPr>
              <w:pStyle w:val="yTableNAm"/>
            </w:pPr>
            <w:r>
              <w:t xml:space="preserve">Water supply, per day — </w:t>
            </w:r>
          </w:p>
        </w:tc>
        <w:tc>
          <w:tcPr>
            <w:tcW w:w="992" w:type="dxa"/>
          </w:tcPr>
          <w:p>
            <w:pPr>
              <w:pStyle w:val="yTableNAm"/>
              <w:jc w:val="right"/>
            </w:pPr>
          </w:p>
        </w:tc>
      </w:tr>
      <w:tr>
        <w:trPr>
          <w:cantSplit/>
        </w:trPr>
        <w:tc>
          <w:tcPr>
            <w:tcW w:w="567" w:type="dxa"/>
          </w:tcPr>
          <w:p>
            <w:pPr>
              <w:pStyle w:val="yTableNAm"/>
            </w:pPr>
          </w:p>
        </w:tc>
        <w:tc>
          <w:tcPr>
            <w:tcW w:w="4394" w:type="dxa"/>
            <w:gridSpan w:val="2"/>
          </w:tcPr>
          <w:p>
            <w:pPr>
              <w:pStyle w:val="yTableNAm"/>
              <w:tabs>
                <w:tab w:val="clear" w:pos="567"/>
                <w:tab w:val="left" w:pos="415"/>
              </w:tabs>
              <w:ind w:left="415" w:hanging="415"/>
            </w:pPr>
            <w:r>
              <w:t>•</w:t>
            </w:r>
            <w:r>
              <w:tab/>
              <w:t>if metering indicates usage of more than $4.73 in a day</w:t>
            </w:r>
          </w:p>
        </w:tc>
        <w:tc>
          <w:tcPr>
            <w:tcW w:w="992" w:type="dxa"/>
            <w:vAlign w:val="bottom"/>
          </w:tcPr>
          <w:p>
            <w:pPr>
              <w:pStyle w:val="yTableNAm"/>
              <w:jc w:val="right"/>
            </w:pPr>
            <w:r>
              <w:br/>
              <w:t>cost</w:t>
            </w:r>
          </w:p>
        </w:tc>
      </w:tr>
      <w:tr>
        <w:trPr>
          <w:cantSplit/>
        </w:trPr>
        <w:tc>
          <w:tcPr>
            <w:tcW w:w="567" w:type="dxa"/>
          </w:tcPr>
          <w:p>
            <w:pPr>
              <w:pStyle w:val="yTableNAm"/>
            </w:pPr>
          </w:p>
        </w:tc>
        <w:tc>
          <w:tcPr>
            <w:tcW w:w="4394" w:type="dxa"/>
            <w:gridSpan w:val="2"/>
          </w:tcPr>
          <w:p>
            <w:pPr>
              <w:pStyle w:val="yTableNAm"/>
              <w:tabs>
                <w:tab w:val="clear" w:pos="567"/>
                <w:tab w:val="left" w:pos="415"/>
              </w:tabs>
              <w:ind w:left="415" w:hanging="415"/>
            </w:pPr>
            <w:r>
              <w:t>•</w:t>
            </w:r>
            <w:r>
              <w:tab/>
              <w:t>otherwise, per day</w:t>
            </w:r>
          </w:p>
        </w:tc>
        <w:tc>
          <w:tcPr>
            <w:tcW w:w="992" w:type="dxa"/>
            <w:vAlign w:val="bottom"/>
          </w:tcPr>
          <w:p>
            <w:pPr>
              <w:pStyle w:val="yTableNAm"/>
              <w:jc w:val="right"/>
            </w:pPr>
            <w:r>
              <w:t>4.73</w:t>
            </w:r>
          </w:p>
        </w:tc>
      </w:tr>
      <w:tr>
        <w:trPr>
          <w:cantSplit/>
        </w:trPr>
        <w:tc>
          <w:tcPr>
            <w:tcW w:w="567" w:type="dxa"/>
          </w:tcPr>
          <w:p>
            <w:pPr>
              <w:pStyle w:val="yTableNAm"/>
            </w:pPr>
            <w:r>
              <w:t>2.</w:t>
            </w:r>
          </w:p>
        </w:tc>
        <w:tc>
          <w:tcPr>
            <w:tcW w:w="4394" w:type="dxa"/>
            <w:gridSpan w:val="2"/>
          </w:tcPr>
          <w:p>
            <w:pPr>
              <w:pStyle w:val="yTableNAm"/>
            </w:pPr>
            <w:r>
              <w:t xml:space="preserve">Electricity supply — </w:t>
            </w:r>
          </w:p>
        </w:tc>
        <w:tc>
          <w:tcPr>
            <w:tcW w:w="992" w:type="dxa"/>
            <w:vAlign w:val="bottom"/>
          </w:tcPr>
          <w:p>
            <w:pPr>
              <w:pStyle w:val="yTableNAm"/>
              <w:jc w:val="right"/>
            </w:pPr>
          </w:p>
        </w:tc>
      </w:tr>
      <w:tr>
        <w:trPr>
          <w:cantSplit/>
        </w:trPr>
        <w:tc>
          <w:tcPr>
            <w:tcW w:w="567" w:type="dxa"/>
          </w:tcPr>
          <w:p>
            <w:pPr>
              <w:pStyle w:val="yTableNAm"/>
            </w:pPr>
          </w:p>
        </w:tc>
        <w:tc>
          <w:tcPr>
            <w:tcW w:w="4394" w:type="dxa"/>
            <w:gridSpan w:val="2"/>
          </w:tcPr>
          <w:p>
            <w:pPr>
              <w:pStyle w:val="yTableNAm"/>
              <w:tabs>
                <w:tab w:val="clear" w:pos="567"/>
                <w:tab w:val="left" w:pos="415"/>
              </w:tabs>
              <w:ind w:left="415" w:hanging="415"/>
            </w:pPr>
            <w:r>
              <w:t>•</w:t>
            </w:r>
            <w:r>
              <w:tab/>
              <w:t>if metering indicates usage of more than $7.87 in a day</w:t>
            </w:r>
          </w:p>
        </w:tc>
        <w:tc>
          <w:tcPr>
            <w:tcW w:w="992" w:type="dxa"/>
            <w:vAlign w:val="bottom"/>
          </w:tcPr>
          <w:p>
            <w:pPr>
              <w:pStyle w:val="yTableNAm"/>
              <w:jc w:val="right"/>
            </w:pPr>
            <w:r>
              <w:br/>
              <w:t>cost</w:t>
            </w:r>
          </w:p>
        </w:tc>
      </w:tr>
      <w:tr>
        <w:trPr>
          <w:cantSplit/>
        </w:trPr>
        <w:tc>
          <w:tcPr>
            <w:tcW w:w="567" w:type="dxa"/>
            <w:tcBorders>
              <w:bottom w:val="single" w:sz="4" w:space="0" w:color="auto"/>
            </w:tcBorders>
          </w:tcPr>
          <w:p>
            <w:pPr>
              <w:pStyle w:val="yTableNAm"/>
            </w:pPr>
          </w:p>
        </w:tc>
        <w:tc>
          <w:tcPr>
            <w:tcW w:w="4394" w:type="dxa"/>
            <w:gridSpan w:val="2"/>
            <w:tcBorders>
              <w:bottom w:val="single" w:sz="4" w:space="0" w:color="auto"/>
            </w:tcBorders>
          </w:tcPr>
          <w:p>
            <w:pPr>
              <w:pStyle w:val="yTableNAm"/>
              <w:tabs>
                <w:tab w:val="clear" w:pos="567"/>
                <w:tab w:val="left" w:pos="415"/>
              </w:tabs>
              <w:ind w:left="415" w:hanging="415"/>
            </w:pPr>
            <w:r>
              <w:t>•</w:t>
            </w:r>
            <w:r>
              <w:tab/>
              <w:t>otherwise, per day</w:t>
            </w:r>
          </w:p>
        </w:tc>
        <w:tc>
          <w:tcPr>
            <w:tcW w:w="992" w:type="dxa"/>
            <w:tcBorders>
              <w:bottom w:val="single" w:sz="4" w:space="0" w:color="auto"/>
            </w:tcBorders>
            <w:vAlign w:val="bottom"/>
          </w:tcPr>
          <w:p>
            <w:pPr>
              <w:pStyle w:val="yTableNAm"/>
              <w:jc w:val="right"/>
            </w:pPr>
            <w:r>
              <w:t>7.87</w:t>
            </w:r>
          </w:p>
        </w:tc>
      </w:tr>
    </w:tbl>
    <w:p>
      <w:pPr>
        <w:pStyle w:val="yFootnotesection"/>
      </w:pPr>
      <w:r>
        <w:tab/>
        <w:t>[Clause 28 inserted in Gazette 28 Jun 2013 p. 2877</w:t>
      </w:r>
      <w:r>
        <w:noBreakHyphen/>
        <w:t>8.]</w:t>
      </w:r>
    </w:p>
    <w:p>
      <w:pPr>
        <w:pStyle w:val="yScheduleHeading"/>
      </w:pPr>
      <w:bookmarkStart w:id="171" w:name="_Toc382380065"/>
      <w:r>
        <w:rPr>
          <w:rStyle w:val="CharSchNo"/>
        </w:rPr>
        <w:t>Schedule 1A</w:t>
      </w:r>
      <w:r>
        <w:rPr>
          <w:rStyle w:val="CharSDivNo"/>
        </w:rPr>
        <w:t> </w:t>
      </w:r>
      <w:r>
        <w:t>—</w:t>
      </w:r>
      <w:r>
        <w:rPr>
          <w:rStyle w:val="CharSDivText"/>
        </w:rPr>
        <w:t> </w:t>
      </w:r>
      <w:r>
        <w:rPr>
          <w:rStyle w:val="CharSchText"/>
        </w:rPr>
        <w:t>Fuel oil wharfage</w:t>
      </w:r>
      <w:bookmarkEnd w:id="171"/>
    </w:p>
    <w:p>
      <w:pPr>
        <w:pStyle w:val="yShoulderClause"/>
      </w:pPr>
      <w:r>
        <w:t>[r. 11B(2)]</w:t>
      </w:r>
    </w:p>
    <w:p>
      <w:pPr>
        <w:pStyle w:val="yFootnoteheading"/>
        <w:spacing w:after="60"/>
      </w:pPr>
      <w:r>
        <w:tab/>
        <w:t>[Heading inserted in Gazette 28 Jun 2013 p. 2878.]</w:t>
      </w:r>
    </w:p>
    <w:p>
      <w:pPr>
        <w:pStyle w:val="yHeading5"/>
      </w:pPr>
      <w:bookmarkStart w:id="172" w:name="_Toc382380066"/>
      <w:r>
        <w:rPr>
          <w:rStyle w:val="CharSClsNo"/>
        </w:rPr>
        <w:t>1</w:t>
      </w:r>
      <w:r>
        <w:t>.</w:t>
      </w:r>
      <w:r>
        <w:rPr>
          <w:b w:val="0"/>
        </w:rPr>
        <w:tab/>
      </w:r>
      <w:r>
        <w:t>Wharfage for fuel (r. 11B(2))</w:t>
      </w:r>
      <w:bookmarkEnd w:id="172"/>
    </w:p>
    <w:p>
      <w:pPr>
        <w:pStyle w:val="ySubsection"/>
      </w:pPr>
      <w:r>
        <w:tab/>
      </w:r>
      <w:r>
        <w:tab/>
        <w:t>The rate to be paid for fuel oil under regulation 11B(2) at a place listed in the Table is set out opposite the place.</w:t>
      </w:r>
    </w:p>
    <w:p>
      <w:pPr>
        <w:pStyle w:val="yTHeadingNAm"/>
      </w:pPr>
      <w:r>
        <w:t>Table (Wharfage for fuel oil)</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87"/>
        <w:gridCol w:w="999"/>
      </w:tblGrid>
      <w:tr>
        <w:trPr>
          <w:cantSplit/>
          <w:tblHeader/>
        </w:trPr>
        <w:tc>
          <w:tcPr>
            <w:tcW w:w="567" w:type="dxa"/>
            <w:tcBorders>
              <w:top w:val="single" w:sz="4" w:space="0" w:color="auto"/>
              <w:bottom w:val="single" w:sz="4" w:space="0" w:color="auto"/>
            </w:tcBorders>
          </w:tcPr>
          <w:p>
            <w:pPr>
              <w:pStyle w:val="yTableNAm"/>
              <w:spacing w:before="80"/>
              <w:rPr>
                <w:rFonts w:ascii="Arial" w:hAnsi="Arial"/>
                <w:b/>
              </w:rPr>
            </w:pPr>
            <w:r>
              <w:rPr>
                <w:b/>
              </w:rPr>
              <w:t>Item</w:t>
            </w:r>
          </w:p>
        </w:tc>
        <w:tc>
          <w:tcPr>
            <w:tcW w:w="4387" w:type="dxa"/>
            <w:tcBorders>
              <w:top w:val="single" w:sz="4" w:space="0" w:color="auto"/>
              <w:bottom w:val="single" w:sz="4" w:space="0" w:color="auto"/>
            </w:tcBorders>
          </w:tcPr>
          <w:p>
            <w:pPr>
              <w:pStyle w:val="yTableNAm"/>
              <w:spacing w:before="80"/>
              <w:rPr>
                <w:b/>
              </w:rPr>
            </w:pPr>
            <w:r>
              <w:rPr>
                <w:b/>
              </w:rPr>
              <w:t>Service</w:t>
            </w:r>
          </w:p>
        </w:tc>
        <w:tc>
          <w:tcPr>
            <w:tcW w:w="999" w:type="dxa"/>
            <w:tcBorders>
              <w:top w:val="single" w:sz="4" w:space="0" w:color="auto"/>
              <w:bottom w:val="single" w:sz="4" w:space="0" w:color="auto"/>
            </w:tcBorders>
          </w:tcPr>
          <w:p>
            <w:pPr>
              <w:pStyle w:val="yTableNAm"/>
              <w:tabs>
                <w:tab w:val="clear" w:pos="567"/>
              </w:tabs>
              <w:spacing w:before="80"/>
              <w:rPr>
                <w:b/>
              </w:rPr>
            </w:pPr>
            <w:r>
              <w:rPr>
                <w:b/>
              </w:rPr>
              <w:t>$/L</w:t>
            </w:r>
          </w:p>
        </w:tc>
      </w:tr>
      <w:tr>
        <w:trPr>
          <w:cantSplit/>
        </w:trPr>
        <w:tc>
          <w:tcPr>
            <w:tcW w:w="567" w:type="dxa"/>
          </w:tcPr>
          <w:p>
            <w:pPr>
              <w:pStyle w:val="yTableNAm"/>
              <w:spacing w:before="80"/>
            </w:pPr>
            <w:r>
              <w:t>1.</w:t>
            </w:r>
          </w:p>
        </w:tc>
        <w:tc>
          <w:tcPr>
            <w:tcW w:w="4387" w:type="dxa"/>
          </w:tcPr>
          <w:p>
            <w:pPr>
              <w:pStyle w:val="yTableNAm"/>
              <w:spacing w:before="80"/>
              <w:rPr>
                <w:rFonts w:ascii="Arial" w:hAnsi="Arial"/>
                <w:b/>
              </w:rPr>
            </w:pPr>
            <w:r>
              <w:t>Albany, at Albany Waterfront Marina</w:t>
            </w:r>
          </w:p>
        </w:tc>
        <w:tc>
          <w:tcPr>
            <w:tcW w:w="999" w:type="dxa"/>
          </w:tcPr>
          <w:p>
            <w:pPr>
              <w:pStyle w:val="yTableNAm"/>
              <w:spacing w:before="80"/>
              <w:rPr>
                <w:rFonts w:ascii="Arial" w:hAnsi="Arial"/>
                <w:b/>
              </w:rPr>
            </w:pPr>
            <w:r>
              <w:t>0.056</w:t>
            </w:r>
          </w:p>
        </w:tc>
      </w:tr>
      <w:tr>
        <w:trPr>
          <w:cantSplit/>
        </w:trPr>
        <w:tc>
          <w:tcPr>
            <w:tcW w:w="567" w:type="dxa"/>
          </w:tcPr>
          <w:p>
            <w:pPr>
              <w:pStyle w:val="yTableNAm"/>
              <w:spacing w:before="80"/>
              <w:rPr>
                <w:rFonts w:ascii="Arial" w:hAnsi="Arial"/>
                <w:b/>
              </w:rPr>
            </w:pPr>
            <w:r>
              <w:t>2.</w:t>
            </w:r>
          </w:p>
        </w:tc>
        <w:tc>
          <w:tcPr>
            <w:tcW w:w="4387" w:type="dxa"/>
          </w:tcPr>
          <w:p>
            <w:pPr>
              <w:pStyle w:val="yTableNAm"/>
              <w:spacing w:before="80"/>
              <w:rPr>
                <w:rFonts w:ascii="Arial" w:hAnsi="Arial"/>
                <w:b/>
              </w:rPr>
            </w:pPr>
            <w:r>
              <w:t>Albany, at Emu Point Boat Harbour</w:t>
            </w:r>
          </w:p>
        </w:tc>
        <w:tc>
          <w:tcPr>
            <w:tcW w:w="999" w:type="dxa"/>
          </w:tcPr>
          <w:p>
            <w:pPr>
              <w:pStyle w:val="yTableNAm"/>
              <w:spacing w:before="80"/>
              <w:rPr>
                <w:rFonts w:ascii="Arial" w:hAnsi="Arial"/>
                <w:b/>
              </w:rPr>
            </w:pPr>
            <w:r>
              <w:t>0.056</w:t>
            </w:r>
          </w:p>
        </w:tc>
      </w:tr>
      <w:tr>
        <w:trPr>
          <w:cantSplit/>
        </w:trPr>
        <w:tc>
          <w:tcPr>
            <w:tcW w:w="567" w:type="dxa"/>
          </w:tcPr>
          <w:p>
            <w:pPr>
              <w:pStyle w:val="yTableNAm"/>
              <w:spacing w:before="80"/>
              <w:rPr>
                <w:rFonts w:ascii="Arial" w:hAnsi="Arial"/>
                <w:b/>
              </w:rPr>
            </w:pPr>
            <w:r>
              <w:t>3.</w:t>
            </w:r>
          </w:p>
        </w:tc>
        <w:tc>
          <w:tcPr>
            <w:tcW w:w="4387" w:type="dxa"/>
          </w:tcPr>
          <w:p>
            <w:pPr>
              <w:pStyle w:val="yTableNAm"/>
              <w:spacing w:before="80"/>
              <w:rPr>
                <w:rFonts w:ascii="Arial" w:hAnsi="Arial"/>
                <w:b/>
              </w:rPr>
            </w:pPr>
            <w:r>
              <w:t>Augusta</w:t>
            </w:r>
          </w:p>
        </w:tc>
        <w:tc>
          <w:tcPr>
            <w:tcW w:w="999" w:type="dxa"/>
          </w:tcPr>
          <w:p>
            <w:pPr>
              <w:pStyle w:val="yTableNAm"/>
              <w:spacing w:before="80"/>
              <w:rPr>
                <w:rFonts w:ascii="Arial" w:hAnsi="Arial"/>
                <w:b/>
              </w:rPr>
            </w:pPr>
            <w:r>
              <w:t>0.028</w:t>
            </w:r>
          </w:p>
        </w:tc>
      </w:tr>
      <w:tr>
        <w:trPr>
          <w:cantSplit/>
        </w:trPr>
        <w:tc>
          <w:tcPr>
            <w:tcW w:w="567" w:type="dxa"/>
          </w:tcPr>
          <w:p>
            <w:pPr>
              <w:pStyle w:val="yTableNAm"/>
              <w:spacing w:before="80"/>
              <w:rPr>
                <w:rFonts w:ascii="Arial" w:hAnsi="Arial"/>
                <w:b/>
              </w:rPr>
            </w:pPr>
            <w:r>
              <w:t>4.</w:t>
            </w:r>
          </w:p>
        </w:tc>
        <w:tc>
          <w:tcPr>
            <w:tcW w:w="4387" w:type="dxa"/>
          </w:tcPr>
          <w:p>
            <w:pPr>
              <w:pStyle w:val="yTableNAm"/>
              <w:spacing w:before="80"/>
              <w:rPr>
                <w:rFonts w:ascii="Arial" w:hAnsi="Arial"/>
                <w:b/>
              </w:rPr>
            </w:pPr>
            <w:r>
              <w:t>Bremer Bay</w:t>
            </w:r>
          </w:p>
        </w:tc>
        <w:tc>
          <w:tcPr>
            <w:tcW w:w="999" w:type="dxa"/>
          </w:tcPr>
          <w:p>
            <w:pPr>
              <w:pStyle w:val="yTableNAm"/>
              <w:spacing w:before="80"/>
              <w:rPr>
                <w:rFonts w:ascii="Arial" w:hAnsi="Arial"/>
                <w:b/>
              </w:rPr>
            </w:pPr>
            <w:r>
              <w:t>0.043</w:t>
            </w:r>
          </w:p>
        </w:tc>
      </w:tr>
      <w:tr>
        <w:trPr>
          <w:cantSplit/>
        </w:trPr>
        <w:tc>
          <w:tcPr>
            <w:tcW w:w="567" w:type="dxa"/>
          </w:tcPr>
          <w:p>
            <w:pPr>
              <w:pStyle w:val="yTableNAm"/>
              <w:spacing w:before="80"/>
              <w:rPr>
                <w:rFonts w:ascii="Arial" w:hAnsi="Arial"/>
                <w:b/>
              </w:rPr>
            </w:pPr>
            <w:r>
              <w:t>5.</w:t>
            </w:r>
          </w:p>
        </w:tc>
        <w:tc>
          <w:tcPr>
            <w:tcW w:w="4387" w:type="dxa"/>
          </w:tcPr>
          <w:p>
            <w:pPr>
              <w:pStyle w:val="yTableNAm"/>
              <w:spacing w:before="80"/>
              <w:rPr>
                <w:rFonts w:ascii="Arial" w:hAnsi="Arial"/>
                <w:b/>
              </w:rPr>
            </w:pPr>
            <w:r>
              <w:t>Bunbury, at Casuarina Boat Harbour</w:t>
            </w:r>
          </w:p>
        </w:tc>
        <w:tc>
          <w:tcPr>
            <w:tcW w:w="999" w:type="dxa"/>
          </w:tcPr>
          <w:p>
            <w:pPr>
              <w:pStyle w:val="yTableNAm"/>
              <w:spacing w:before="80"/>
              <w:rPr>
                <w:rFonts w:ascii="Arial" w:hAnsi="Arial"/>
                <w:b/>
              </w:rPr>
            </w:pPr>
            <w:r>
              <w:t>0.043</w:t>
            </w:r>
          </w:p>
        </w:tc>
      </w:tr>
      <w:tr>
        <w:trPr>
          <w:cantSplit/>
        </w:trPr>
        <w:tc>
          <w:tcPr>
            <w:tcW w:w="567" w:type="dxa"/>
          </w:tcPr>
          <w:p>
            <w:pPr>
              <w:pStyle w:val="yTableNAm"/>
              <w:spacing w:before="80"/>
              <w:rPr>
                <w:rFonts w:ascii="Arial" w:hAnsi="Arial"/>
                <w:b/>
              </w:rPr>
            </w:pPr>
            <w:r>
              <w:t>6.</w:t>
            </w:r>
          </w:p>
        </w:tc>
        <w:tc>
          <w:tcPr>
            <w:tcW w:w="4387" w:type="dxa"/>
          </w:tcPr>
          <w:p>
            <w:pPr>
              <w:pStyle w:val="yTableNAm"/>
              <w:spacing w:before="80"/>
              <w:rPr>
                <w:rFonts w:ascii="Arial" w:hAnsi="Arial"/>
                <w:b/>
              </w:rPr>
            </w:pPr>
            <w:r>
              <w:t>Carnarvon</w:t>
            </w:r>
          </w:p>
        </w:tc>
        <w:tc>
          <w:tcPr>
            <w:tcW w:w="999" w:type="dxa"/>
          </w:tcPr>
          <w:p>
            <w:pPr>
              <w:pStyle w:val="yTableNAm"/>
              <w:spacing w:before="80"/>
              <w:rPr>
                <w:rFonts w:ascii="Arial" w:hAnsi="Arial"/>
                <w:b/>
              </w:rPr>
            </w:pPr>
            <w:r>
              <w:t>0.065</w:t>
            </w:r>
          </w:p>
        </w:tc>
      </w:tr>
      <w:tr>
        <w:trPr>
          <w:cantSplit/>
        </w:trPr>
        <w:tc>
          <w:tcPr>
            <w:tcW w:w="567" w:type="dxa"/>
          </w:tcPr>
          <w:p>
            <w:pPr>
              <w:pStyle w:val="yTableNAm"/>
              <w:spacing w:before="80"/>
              <w:rPr>
                <w:rFonts w:ascii="Arial" w:hAnsi="Arial"/>
                <w:b/>
              </w:rPr>
            </w:pPr>
            <w:r>
              <w:t>7.</w:t>
            </w:r>
          </w:p>
        </w:tc>
        <w:tc>
          <w:tcPr>
            <w:tcW w:w="4387" w:type="dxa"/>
          </w:tcPr>
          <w:p>
            <w:pPr>
              <w:pStyle w:val="yTableNAm"/>
              <w:spacing w:before="80"/>
              <w:rPr>
                <w:rFonts w:ascii="Arial" w:hAnsi="Arial"/>
                <w:b/>
              </w:rPr>
            </w:pPr>
            <w:r>
              <w:t>Exmouth</w:t>
            </w:r>
          </w:p>
        </w:tc>
        <w:tc>
          <w:tcPr>
            <w:tcW w:w="999" w:type="dxa"/>
          </w:tcPr>
          <w:p>
            <w:pPr>
              <w:pStyle w:val="yTableNAm"/>
              <w:spacing w:before="80"/>
              <w:rPr>
                <w:rFonts w:ascii="Arial" w:hAnsi="Arial"/>
                <w:b/>
              </w:rPr>
            </w:pPr>
            <w:r>
              <w:t>0.053</w:t>
            </w:r>
          </w:p>
        </w:tc>
      </w:tr>
      <w:tr>
        <w:trPr>
          <w:cantSplit/>
        </w:trPr>
        <w:tc>
          <w:tcPr>
            <w:tcW w:w="567" w:type="dxa"/>
          </w:tcPr>
          <w:p>
            <w:pPr>
              <w:pStyle w:val="yTableNAm"/>
              <w:spacing w:before="80"/>
              <w:rPr>
                <w:rFonts w:ascii="Arial" w:hAnsi="Arial"/>
                <w:b/>
              </w:rPr>
            </w:pPr>
            <w:r>
              <w:t>8.</w:t>
            </w:r>
          </w:p>
        </w:tc>
        <w:tc>
          <w:tcPr>
            <w:tcW w:w="4387" w:type="dxa"/>
          </w:tcPr>
          <w:p>
            <w:pPr>
              <w:pStyle w:val="yTableNAm"/>
              <w:spacing w:before="80"/>
              <w:rPr>
                <w:rFonts w:ascii="Arial" w:hAnsi="Arial"/>
                <w:b/>
              </w:rPr>
            </w:pPr>
            <w:r>
              <w:t>Fremantle, at Fremantle Fishing Boat Harbour</w:t>
            </w:r>
          </w:p>
        </w:tc>
        <w:tc>
          <w:tcPr>
            <w:tcW w:w="999" w:type="dxa"/>
          </w:tcPr>
          <w:p>
            <w:pPr>
              <w:pStyle w:val="yTableNAm"/>
              <w:spacing w:before="80"/>
              <w:rPr>
                <w:rFonts w:ascii="Arial" w:hAnsi="Arial"/>
                <w:b/>
              </w:rPr>
            </w:pPr>
            <w:r>
              <w:t>0.022</w:t>
            </w:r>
          </w:p>
        </w:tc>
      </w:tr>
      <w:tr>
        <w:trPr>
          <w:cantSplit/>
        </w:trPr>
        <w:tc>
          <w:tcPr>
            <w:tcW w:w="567" w:type="dxa"/>
          </w:tcPr>
          <w:p>
            <w:pPr>
              <w:pStyle w:val="yTableNAm"/>
              <w:spacing w:before="80"/>
              <w:rPr>
                <w:rFonts w:ascii="Arial" w:hAnsi="Arial"/>
                <w:b/>
              </w:rPr>
            </w:pPr>
            <w:r>
              <w:t>9.</w:t>
            </w:r>
          </w:p>
        </w:tc>
        <w:tc>
          <w:tcPr>
            <w:tcW w:w="4387" w:type="dxa"/>
          </w:tcPr>
          <w:p>
            <w:pPr>
              <w:pStyle w:val="yTableNAm"/>
              <w:spacing w:before="80"/>
              <w:rPr>
                <w:rFonts w:ascii="Arial" w:hAnsi="Arial"/>
                <w:b/>
              </w:rPr>
            </w:pPr>
            <w:r>
              <w:t>Green Head</w:t>
            </w:r>
          </w:p>
        </w:tc>
        <w:tc>
          <w:tcPr>
            <w:tcW w:w="999" w:type="dxa"/>
          </w:tcPr>
          <w:p>
            <w:pPr>
              <w:pStyle w:val="yTableNAm"/>
              <w:spacing w:before="80"/>
              <w:rPr>
                <w:rFonts w:ascii="Arial" w:hAnsi="Arial"/>
                <w:b/>
              </w:rPr>
            </w:pPr>
            <w:r>
              <w:t>0.081</w:t>
            </w:r>
          </w:p>
        </w:tc>
      </w:tr>
      <w:tr>
        <w:trPr>
          <w:cantSplit/>
        </w:trPr>
        <w:tc>
          <w:tcPr>
            <w:tcW w:w="567" w:type="dxa"/>
          </w:tcPr>
          <w:p>
            <w:pPr>
              <w:pStyle w:val="yTableNAm"/>
              <w:spacing w:before="80"/>
              <w:rPr>
                <w:rFonts w:ascii="Arial" w:hAnsi="Arial"/>
                <w:b/>
              </w:rPr>
            </w:pPr>
            <w:r>
              <w:t>10.</w:t>
            </w:r>
          </w:p>
        </w:tc>
        <w:tc>
          <w:tcPr>
            <w:tcW w:w="4387" w:type="dxa"/>
          </w:tcPr>
          <w:p>
            <w:pPr>
              <w:pStyle w:val="yTableNAm"/>
              <w:spacing w:before="80"/>
              <w:rPr>
                <w:rFonts w:ascii="Arial" w:hAnsi="Arial"/>
                <w:b/>
              </w:rPr>
            </w:pPr>
            <w:r>
              <w:t>Hopetoun</w:t>
            </w:r>
          </w:p>
        </w:tc>
        <w:tc>
          <w:tcPr>
            <w:tcW w:w="999" w:type="dxa"/>
          </w:tcPr>
          <w:p>
            <w:pPr>
              <w:pStyle w:val="yTableNAm"/>
              <w:spacing w:before="80"/>
              <w:rPr>
                <w:rFonts w:ascii="Arial" w:hAnsi="Arial"/>
                <w:b/>
              </w:rPr>
            </w:pPr>
            <w:r>
              <w:t>0.049</w:t>
            </w:r>
          </w:p>
        </w:tc>
      </w:tr>
      <w:tr>
        <w:trPr>
          <w:cantSplit/>
        </w:trPr>
        <w:tc>
          <w:tcPr>
            <w:tcW w:w="567" w:type="dxa"/>
          </w:tcPr>
          <w:p>
            <w:pPr>
              <w:pStyle w:val="yTableNAm"/>
              <w:spacing w:before="80"/>
              <w:rPr>
                <w:rFonts w:ascii="Arial" w:hAnsi="Arial"/>
                <w:b/>
              </w:rPr>
            </w:pPr>
            <w:r>
              <w:t>11.</w:t>
            </w:r>
          </w:p>
        </w:tc>
        <w:tc>
          <w:tcPr>
            <w:tcW w:w="4387" w:type="dxa"/>
          </w:tcPr>
          <w:p>
            <w:pPr>
              <w:pStyle w:val="yTableNAm"/>
              <w:spacing w:before="80"/>
              <w:rPr>
                <w:rFonts w:ascii="Arial" w:hAnsi="Arial"/>
                <w:b/>
              </w:rPr>
            </w:pPr>
            <w:r>
              <w:t>Kalbarri</w:t>
            </w:r>
          </w:p>
        </w:tc>
        <w:tc>
          <w:tcPr>
            <w:tcW w:w="999" w:type="dxa"/>
          </w:tcPr>
          <w:p>
            <w:pPr>
              <w:pStyle w:val="yTableNAm"/>
              <w:spacing w:before="80"/>
              <w:rPr>
                <w:rFonts w:ascii="Arial" w:hAnsi="Arial"/>
                <w:b/>
              </w:rPr>
            </w:pPr>
            <w:r>
              <w:t>0.053</w:t>
            </w:r>
          </w:p>
        </w:tc>
      </w:tr>
      <w:tr>
        <w:trPr>
          <w:cantSplit/>
        </w:trPr>
        <w:tc>
          <w:tcPr>
            <w:tcW w:w="567" w:type="dxa"/>
          </w:tcPr>
          <w:p>
            <w:pPr>
              <w:pStyle w:val="yTableNAm"/>
              <w:spacing w:before="80"/>
              <w:rPr>
                <w:rFonts w:ascii="Arial" w:hAnsi="Arial"/>
                <w:b/>
              </w:rPr>
            </w:pPr>
            <w:r>
              <w:t>12.</w:t>
            </w:r>
          </w:p>
        </w:tc>
        <w:tc>
          <w:tcPr>
            <w:tcW w:w="4387" w:type="dxa"/>
          </w:tcPr>
          <w:p>
            <w:pPr>
              <w:pStyle w:val="yTableNAm"/>
              <w:spacing w:before="80"/>
              <w:rPr>
                <w:rFonts w:ascii="Arial" w:hAnsi="Arial"/>
                <w:b/>
              </w:rPr>
            </w:pPr>
            <w:r>
              <w:t>Lancelin</w:t>
            </w:r>
          </w:p>
        </w:tc>
        <w:tc>
          <w:tcPr>
            <w:tcW w:w="999" w:type="dxa"/>
          </w:tcPr>
          <w:p>
            <w:pPr>
              <w:pStyle w:val="yTableNAm"/>
              <w:spacing w:before="80"/>
              <w:rPr>
                <w:rFonts w:ascii="Arial" w:hAnsi="Arial"/>
                <w:b/>
              </w:rPr>
            </w:pPr>
            <w:r>
              <w:t>0.032</w:t>
            </w:r>
          </w:p>
        </w:tc>
      </w:tr>
      <w:tr>
        <w:trPr>
          <w:cantSplit/>
        </w:trPr>
        <w:tc>
          <w:tcPr>
            <w:tcW w:w="567" w:type="dxa"/>
          </w:tcPr>
          <w:p>
            <w:pPr>
              <w:pStyle w:val="yTableNAm"/>
              <w:spacing w:before="80"/>
              <w:rPr>
                <w:rFonts w:ascii="Arial" w:hAnsi="Arial"/>
                <w:b/>
              </w:rPr>
            </w:pPr>
            <w:r>
              <w:t>13.</w:t>
            </w:r>
          </w:p>
        </w:tc>
        <w:tc>
          <w:tcPr>
            <w:tcW w:w="4387" w:type="dxa"/>
          </w:tcPr>
          <w:p>
            <w:pPr>
              <w:pStyle w:val="yTableNAm"/>
              <w:spacing w:before="80"/>
              <w:rPr>
                <w:rFonts w:ascii="Arial" w:hAnsi="Arial"/>
                <w:b/>
              </w:rPr>
            </w:pPr>
            <w:r>
              <w:t>Leeman</w:t>
            </w:r>
          </w:p>
        </w:tc>
        <w:tc>
          <w:tcPr>
            <w:tcW w:w="999" w:type="dxa"/>
          </w:tcPr>
          <w:p>
            <w:pPr>
              <w:pStyle w:val="yTableNAm"/>
              <w:spacing w:before="80"/>
              <w:rPr>
                <w:rFonts w:ascii="Arial" w:hAnsi="Arial"/>
                <w:b/>
              </w:rPr>
            </w:pPr>
            <w:r>
              <w:t>0.050</w:t>
            </w:r>
          </w:p>
        </w:tc>
      </w:tr>
      <w:tr>
        <w:trPr>
          <w:cantSplit/>
        </w:trPr>
        <w:tc>
          <w:tcPr>
            <w:tcW w:w="567" w:type="dxa"/>
          </w:tcPr>
          <w:p>
            <w:pPr>
              <w:pStyle w:val="yTableNAm"/>
              <w:spacing w:before="80"/>
              <w:rPr>
                <w:rFonts w:ascii="Arial" w:hAnsi="Arial"/>
                <w:b/>
              </w:rPr>
            </w:pPr>
            <w:r>
              <w:t>14.</w:t>
            </w:r>
          </w:p>
        </w:tc>
        <w:tc>
          <w:tcPr>
            <w:tcW w:w="4387" w:type="dxa"/>
          </w:tcPr>
          <w:p>
            <w:pPr>
              <w:pStyle w:val="yTableNAm"/>
              <w:spacing w:before="80"/>
              <w:rPr>
                <w:rFonts w:ascii="Arial" w:hAnsi="Arial"/>
                <w:b/>
              </w:rPr>
            </w:pPr>
            <w:r>
              <w:t>Onslow, at Beadon Creek Boat Harbour</w:t>
            </w:r>
          </w:p>
        </w:tc>
        <w:tc>
          <w:tcPr>
            <w:tcW w:w="999" w:type="dxa"/>
          </w:tcPr>
          <w:p>
            <w:pPr>
              <w:pStyle w:val="yTableNAm"/>
              <w:spacing w:before="80"/>
              <w:rPr>
                <w:rFonts w:ascii="Arial" w:hAnsi="Arial"/>
                <w:b/>
              </w:rPr>
            </w:pPr>
            <w:r>
              <w:t>0.053</w:t>
            </w:r>
          </w:p>
        </w:tc>
      </w:tr>
      <w:tr>
        <w:trPr>
          <w:cantSplit/>
        </w:trPr>
        <w:tc>
          <w:tcPr>
            <w:tcW w:w="567" w:type="dxa"/>
          </w:tcPr>
          <w:p>
            <w:pPr>
              <w:pStyle w:val="yTableNAm"/>
              <w:spacing w:before="80"/>
              <w:rPr>
                <w:rFonts w:ascii="Arial" w:hAnsi="Arial"/>
                <w:b/>
              </w:rPr>
            </w:pPr>
            <w:r>
              <w:t>15.</w:t>
            </w:r>
          </w:p>
        </w:tc>
        <w:tc>
          <w:tcPr>
            <w:tcW w:w="4387" w:type="dxa"/>
          </w:tcPr>
          <w:p>
            <w:pPr>
              <w:pStyle w:val="yTableNAm"/>
              <w:spacing w:before="80"/>
              <w:rPr>
                <w:rFonts w:ascii="Arial" w:hAnsi="Arial"/>
                <w:b/>
              </w:rPr>
            </w:pPr>
            <w:r>
              <w:t>Point Samson, at Johns Creek Boat Harbour</w:t>
            </w:r>
          </w:p>
        </w:tc>
        <w:tc>
          <w:tcPr>
            <w:tcW w:w="999" w:type="dxa"/>
          </w:tcPr>
          <w:p>
            <w:pPr>
              <w:pStyle w:val="yTableNAm"/>
              <w:spacing w:before="80"/>
              <w:rPr>
                <w:rFonts w:ascii="Arial" w:hAnsi="Arial"/>
                <w:b/>
              </w:rPr>
            </w:pPr>
            <w:r>
              <w:t>0.053</w:t>
            </w:r>
          </w:p>
        </w:tc>
      </w:tr>
      <w:tr>
        <w:trPr>
          <w:cantSplit/>
        </w:trPr>
        <w:tc>
          <w:tcPr>
            <w:tcW w:w="567" w:type="dxa"/>
          </w:tcPr>
          <w:p>
            <w:pPr>
              <w:pStyle w:val="yTableNAm"/>
              <w:spacing w:before="80"/>
              <w:rPr>
                <w:rFonts w:ascii="Arial" w:hAnsi="Arial"/>
                <w:b/>
              </w:rPr>
            </w:pPr>
            <w:r>
              <w:t>16.</w:t>
            </w:r>
          </w:p>
        </w:tc>
        <w:tc>
          <w:tcPr>
            <w:tcW w:w="4387" w:type="dxa"/>
          </w:tcPr>
          <w:p>
            <w:pPr>
              <w:pStyle w:val="yTableNAm"/>
              <w:spacing w:before="80"/>
              <w:rPr>
                <w:rFonts w:ascii="Arial" w:hAnsi="Arial"/>
                <w:b/>
              </w:rPr>
            </w:pPr>
            <w:r>
              <w:t>Port Gregory</w:t>
            </w:r>
          </w:p>
        </w:tc>
        <w:tc>
          <w:tcPr>
            <w:tcW w:w="999" w:type="dxa"/>
          </w:tcPr>
          <w:p>
            <w:pPr>
              <w:pStyle w:val="yTableNAm"/>
              <w:spacing w:before="80"/>
              <w:rPr>
                <w:rFonts w:ascii="Arial" w:hAnsi="Arial"/>
                <w:b/>
              </w:rPr>
            </w:pPr>
            <w:r>
              <w:t>0.070</w:t>
            </w:r>
          </w:p>
        </w:tc>
      </w:tr>
      <w:tr>
        <w:trPr>
          <w:cantSplit/>
        </w:trPr>
        <w:tc>
          <w:tcPr>
            <w:tcW w:w="567" w:type="dxa"/>
            <w:tcBorders>
              <w:bottom w:val="single" w:sz="4" w:space="0" w:color="auto"/>
            </w:tcBorders>
          </w:tcPr>
          <w:p>
            <w:pPr>
              <w:pStyle w:val="yTableNAm"/>
              <w:spacing w:before="80"/>
              <w:rPr>
                <w:rFonts w:ascii="Arial" w:hAnsi="Arial"/>
                <w:b/>
              </w:rPr>
            </w:pPr>
            <w:r>
              <w:t>17.</w:t>
            </w:r>
          </w:p>
        </w:tc>
        <w:tc>
          <w:tcPr>
            <w:tcW w:w="4387" w:type="dxa"/>
            <w:tcBorders>
              <w:bottom w:val="single" w:sz="4" w:space="0" w:color="auto"/>
            </w:tcBorders>
          </w:tcPr>
          <w:p>
            <w:pPr>
              <w:pStyle w:val="yTableNAm"/>
              <w:spacing w:before="80"/>
              <w:rPr>
                <w:rFonts w:ascii="Arial" w:hAnsi="Arial"/>
                <w:b/>
              </w:rPr>
            </w:pPr>
            <w:r>
              <w:t>Wyndham</w:t>
            </w:r>
          </w:p>
        </w:tc>
        <w:tc>
          <w:tcPr>
            <w:tcW w:w="999" w:type="dxa"/>
            <w:tcBorders>
              <w:bottom w:val="single" w:sz="4" w:space="0" w:color="auto"/>
            </w:tcBorders>
          </w:tcPr>
          <w:p>
            <w:pPr>
              <w:pStyle w:val="yTableNAm"/>
              <w:spacing w:before="80"/>
              <w:rPr>
                <w:rFonts w:ascii="Arial" w:hAnsi="Arial"/>
                <w:b/>
              </w:rPr>
            </w:pPr>
            <w:r>
              <w:t>0.01031</w:t>
            </w:r>
          </w:p>
        </w:tc>
      </w:tr>
    </w:tbl>
    <w:p>
      <w:pPr>
        <w:pStyle w:val="yFootnotesection"/>
      </w:pPr>
      <w:r>
        <w:tab/>
        <w:t>[Clause 1 inserted in Gazette 28 Jun 2013 p. 2878</w:t>
      </w:r>
      <w:r>
        <w:noBreakHyphen/>
        <w:t>9.]</w:t>
      </w:r>
    </w:p>
    <w:p>
      <w:pPr>
        <w:pStyle w:val="yScheduleHeading"/>
      </w:pPr>
      <w:bookmarkStart w:id="173" w:name="_Toc382380067"/>
      <w:r>
        <w:rPr>
          <w:rStyle w:val="CharSchNo"/>
        </w:rPr>
        <w:t>Schedule 2</w:t>
      </w:r>
      <w:r>
        <w:t> — </w:t>
      </w:r>
      <w:r>
        <w:rPr>
          <w:rStyle w:val="CharSchText"/>
        </w:rPr>
        <w:t>Port of Perth fees</w:t>
      </w:r>
      <w:bookmarkEnd w:id="173"/>
    </w:p>
    <w:p>
      <w:pPr>
        <w:pStyle w:val="yShoulderClause"/>
      </w:pPr>
      <w:r>
        <w:t>[r. 72]</w:t>
      </w:r>
    </w:p>
    <w:p>
      <w:pPr>
        <w:pStyle w:val="yFootnoteheading"/>
        <w:spacing w:after="60"/>
      </w:pPr>
      <w:r>
        <w:tab/>
        <w:t>[Heading inserted in Gazette 28 Jun 2013 p. 2879.]</w:t>
      </w:r>
    </w:p>
    <w:p>
      <w:pPr>
        <w:pStyle w:val="yHeading3"/>
      </w:pPr>
      <w:bookmarkStart w:id="174" w:name="_Toc382380068"/>
      <w:r>
        <w:rPr>
          <w:rStyle w:val="CharSDivNo"/>
        </w:rPr>
        <w:t>Division 1</w:t>
      </w:r>
      <w:r>
        <w:rPr>
          <w:bCs/>
        </w:rPr>
        <w:t> — </w:t>
      </w:r>
      <w:r>
        <w:rPr>
          <w:rStyle w:val="CharSDivText"/>
        </w:rPr>
        <w:t>Fees for jetties</w:t>
      </w:r>
      <w:bookmarkEnd w:id="174"/>
    </w:p>
    <w:p>
      <w:pPr>
        <w:pStyle w:val="yFootnoteheading"/>
        <w:spacing w:after="60"/>
      </w:pPr>
      <w:r>
        <w:tab/>
        <w:t>[Heading inserted in Gazette 28 Jun 2013 p. 2879.]</w:t>
      </w:r>
    </w:p>
    <w:p>
      <w:pPr>
        <w:pStyle w:val="yHeading5"/>
      </w:pPr>
      <w:bookmarkStart w:id="175" w:name="_Toc382380069"/>
      <w:r>
        <w:rPr>
          <w:rStyle w:val="CharSClsNo"/>
        </w:rPr>
        <w:t>1</w:t>
      </w:r>
      <w:r>
        <w:t>.</w:t>
      </w:r>
      <w:r>
        <w:tab/>
        <w:t xml:space="preserve">Barrack Street and </w:t>
      </w:r>
      <w:smartTag w:uri="urn:schemas-microsoft-com:office:smarttags" w:element="Street">
        <w:smartTag w:uri="urn:schemas-microsoft-com:office:smarttags" w:element="address">
          <w:r>
            <w:t>Mends Street</w:t>
          </w:r>
        </w:smartTag>
      </w:smartTag>
      <w:r>
        <w:t xml:space="preserve"> jetties</w:t>
      </w:r>
      <w:bookmarkEnd w:id="175"/>
    </w:p>
    <w:p>
      <w:pPr>
        <w:pStyle w:val="ySubsection"/>
      </w:pPr>
      <w:r>
        <w:tab/>
        <w:t>(1)</w:t>
      </w:r>
      <w:r>
        <w:tab/>
        <w:t xml:space="preserve">This clause applies to jetties at </w:t>
      </w:r>
      <w:smartTag w:uri="urn:schemas-microsoft-com:office:smarttags" w:element="Street">
        <w:smartTag w:uri="urn:schemas-microsoft-com:office:smarttags" w:element="address">
          <w:r>
            <w:t>Barrack Street</w:t>
          </w:r>
        </w:smartTag>
      </w:smartTag>
      <w:r>
        <w:t xml:space="preserve"> and </w:t>
      </w:r>
      <w:smartTag w:uri="urn:schemas-microsoft-com:office:smarttags" w:element="Street">
        <w:smartTag w:uri="urn:schemas-microsoft-com:office:smarttags" w:element="address">
          <w:r>
            <w:t>Mends Street</w:t>
          </w:r>
        </w:smartTag>
      </w:smartTag>
      <w:r>
        <w:t>.</w:t>
      </w:r>
    </w:p>
    <w:p>
      <w:pPr>
        <w:pStyle w:val="ySubsection"/>
      </w:pPr>
      <w:r>
        <w:tab/>
        <w:t>(2)</w:t>
      </w:r>
      <w:r>
        <w:tab/>
        <w:t>The fees to be paid under regulation 72 for a permit to use a jetty are set out in Table 1.1.</w:t>
      </w:r>
    </w:p>
    <w:p>
      <w:pPr>
        <w:pStyle w:val="yTHeadingNAm"/>
      </w:pPr>
      <w:r>
        <w:t>Table 1.1 (Jetty permits)</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5386"/>
      </w:tblGrid>
      <w:tr>
        <w:trPr>
          <w:cantSplit/>
          <w:tblHeader/>
        </w:trPr>
        <w:tc>
          <w:tcPr>
            <w:tcW w:w="567" w:type="dxa"/>
            <w:tcBorders>
              <w:top w:val="single" w:sz="4" w:space="0" w:color="auto"/>
              <w:bottom w:val="single" w:sz="4" w:space="0" w:color="auto"/>
            </w:tcBorders>
          </w:tcPr>
          <w:p>
            <w:pPr>
              <w:pStyle w:val="yTableNAm"/>
              <w:rPr>
                <w:b/>
              </w:rPr>
            </w:pPr>
            <w:r>
              <w:rPr>
                <w:b/>
              </w:rPr>
              <w:t>Item</w:t>
            </w:r>
          </w:p>
        </w:tc>
        <w:tc>
          <w:tcPr>
            <w:tcW w:w="5386" w:type="dxa"/>
            <w:tcBorders>
              <w:top w:val="single" w:sz="4" w:space="0" w:color="auto"/>
              <w:bottom w:val="single" w:sz="4" w:space="0" w:color="auto"/>
            </w:tcBorders>
          </w:tcPr>
          <w:p>
            <w:pPr>
              <w:pStyle w:val="yTableNAm"/>
              <w:rPr>
                <w:b/>
              </w:rPr>
            </w:pPr>
            <w:r>
              <w:rPr>
                <w:b/>
              </w:rPr>
              <w:t>Service and fee</w:t>
            </w:r>
          </w:p>
        </w:tc>
      </w:tr>
      <w:tr>
        <w:trPr>
          <w:cantSplit/>
        </w:trPr>
        <w:tc>
          <w:tcPr>
            <w:tcW w:w="567" w:type="dxa"/>
          </w:tcPr>
          <w:p>
            <w:pPr>
              <w:pStyle w:val="yTableNAm"/>
            </w:pPr>
            <w:r>
              <w:t>1.</w:t>
            </w:r>
          </w:p>
        </w:tc>
        <w:tc>
          <w:tcPr>
            <w:tcW w:w="5386" w:type="dxa"/>
          </w:tcPr>
          <w:p>
            <w:pPr>
              <w:pStyle w:val="yTableNAm"/>
            </w:pPr>
            <w:r>
              <w:t>For vessel for 12 months — the higher of $4 321.67 and the result of the following calculation —</w:t>
            </w:r>
          </w:p>
        </w:tc>
      </w:tr>
      <w:tr>
        <w:trPr>
          <w:cantSplit/>
        </w:trPr>
        <w:tc>
          <w:tcPr>
            <w:tcW w:w="567" w:type="dxa"/>
          </w:tcPr>
          <w:p>
            <w:pPr>
              <w:pStyle w:val="yTableNAm"/>
            </w:pPr>
          </w:p>
        </w:tc>
        <w:tc>
          <w:tcPr>
            <w:tcW w:w="5386" w:type="dxa"/>
          </w:tcPr>
          <w:p>
            <w:pPr>
              <w:pStyle w:val="yTableNAm"/>
              <w:tabs>
                <w:tab w:val="clear" w:pos="567"/>
                <w:tab w:val="left" w:pos="415"/>
              </w:tabs>
              <w:ind w:left="415" w:hanging="415"/>
            </w:pPr>
            <w:r>
              <w:t>•</w:t>
            </w:r>
            <w:r>
              <w:tab/>
              <w:t>$60.50 per passenger calculated on the vessel’s passenger carrying capacity under its highest class of survey</w:t>
            </w:r>
          </w:p>
        </w:tc>
      </w:tr>
      <w:tr>
        <w:trPr>
          <w:cantSplit/>
        </w:trPr>
        <w:tc>
          <w:tcPr>
            <w:tcW w:w="567" w:type="dxa"/>
          </w:tcPr>
          <w:p>
            <w:pPr>
              <w:pStyle w:val="yTableNAm"/>
            </w:pPr>
          </w:p>
        </w:tc>
        <w:tc>
          <w:tcPr>
            <w:tcW w:w="5386" w:type="dxa"/>
          </w:tcPr>
          <w:p>
            <w:pPr>
              <w:pStyle w:val="yTableNAm"/>
              <w:tabs>
                <w:tab w:val="clear" w:pos="567"/>
                <w:tab w:val="left" w:pos="415"/>
              </w:tabs>
              <w:ind w:left="415" w:hanging="415"/>
            </w:pPr>
            <w:r>
              <w:t>•</w:t>
            </w:r>
            <w:r>
              <w:tab/>
              <w:t>plus —</w:t>
            </w:r>
          </w:p>
        </w:tc>
      </w:tr>
      <w:tr>
        <w:trPr>
          <w:cantSplit/>
        </w:trPr>
        <w:tc>
          <w:tcPr>
            <w:tcW w:w="567" w:type="dxa"/>
          </w:tcPr>
          <w:p>
            <w:pPr>
              <w:pStyle w:val="yTableNAm"/>
            </w:pPr>
          </w:p>
        </w:tc>
        <w:tc>
          <w:tcPr>
            <w:tcW w:w="5386" w:type="dxa"/>
          </w:tcPr>
          <w:p>
            <w:pPr>
              <w:pStyle w:val="yTableNAm"/>
              <w:tabs>
                <w:tab w:val="clear" w:pos="567"/>
                <w:tab w:val="left" w:pos="510"/>
                <w:tab w:val="left" w:pos="875"/>
              </w:tabs>
              <w:ind w:left="891" w:hanging="891"/>
            </w:pPr>
            <w:r>
              <w:tab/>
              <w:t>•</w:t>
            </w:r>
            <w:r>
              <w:tab/>
              <w:t>for vessel up to 35 m long, the higher of $7 778.98 and $432.17 per m of the vessel’s length; or</w:t>
            </w:r>
          </w:p>
        </w:tc>
      </w:tr>
      <w:tr>
        <w:trPr>
          <w:cantSplit/>
        </w:trPr>
        <w:tc>
          <w:tcPr>
            <w:tcW w:w="567" w:type="dxa"/>
          </w:tcPr>
          <w:p>
            <w:pPr>
              <w:pStyle w:val="yTableNAm"/>
            </w:pPr>
          </w:p>
        </w:tc>
        <w:tc>
          <w:tcPr>
            <w:tcW w:w="5386" w:type="dxa"/>
          </w:tcPr>
          <w:p>
            <w:pPr>
              <w:pStyle w:val="yTableNAm"/>
              <w:tabs>
                <w:tab w:val="clear" w:pos="567"/>
                <w:tab w:val="left" w:pos="510"/>
                <w:tab w:val="left" w:pos="875"/>
              </w:tabs>
              <w:ind w:left="891" w:hanging="891"/>
            </w:pPr>
            <w:r>
              <w:tab/>
              <w:t>•</w:t>
            </w:r>
            <w:r>
              <w:tab/>
              <w:t>for vessel 35 m long or over, $691.47 per m of the vessel’s length</w:t>
            </w:r>
          </w:p>
        </w:tc>
      </w:tr>
      <w:tr>
        <w:trPr>
          <w:cantSplit/>
        </w:trPr>
        <w:tc>
          <w:tcPr>
            <w:tcW w:w="567" w:type="dxa"/>
          </w:tcPr>
          <w:p>
            <w:pPr>
              <w:pStyle w:val="yTableNAm"/>
            </w:pPr>
          </w:p>
        </w:tc>
        <w:tc>
          <w:tcPr>
            <w:tcW w:w="5386" w:type="dxa"/>
          </w:tcPr>
          <w:p>
            <w:pPr>
              <w:pStyle w:val="yTableNAm"/>
              <w:tabs>
                <w:tab w:val="clear" w:pos="567"/>
                <w:tab w:val="left" w:pos="415"/>
              </w:tabs>
              <w:ind w:left="415" w:hanging="415"/>
            </w:pPr>
            <w:r>
              <w:t>•</w:t>
            </w:r>
            <w:r>
              <w:tab/>
              <w:t>minus — $6 050.35</w:t>
            </w:r>
          </w:p>
        </w:tc>
      </w:tr>
      <w:tr>
        <w:trPr>
          <w:cantSplit/>
        </w:trPr>
        <w:tc>
          <w:tcPr>
            <w:tcW w:w="567" w:type="dxa"/>
            <w:tcBorders>
              <w:bottom w:val="single" w:sz="4" w:space="0" w:color="auto"/>
            </w:tcBorders>
          </w:tcPr>
          <w:p>
            <w:pPr>
              <w:pStyle w:val="yTableNAm"/>
            </w:pPr>
            <w:r>
              <w:t>2.</w:t>
            </w:r>
          </w:p>
        </w:tc>
        <w:tc>
          <w:tcPr>
            <w:tcW w:w="5386" w:type="dxa"/>
            <w:tcBorders>
              <w:bottom w:val="single" w:sz="4" w:space="0" w:color="auto"/>
            </w:tcBorders>
          </w:tcPr>
          <w:p>
            <w:pPr>
              <w:pStyle w:val="yTableNAm"/>
            </w:pPr>
            <w:r>
              <w:t>Sullage fee for vessel for which the item 1 fee has not been paid, per pump out — $86.44</w:t>
            </w:r>
          </w:p>
        </w:tc>
      </w:tr>
    </w:tbl>
    <w:p>
      <w:pPr>
        <w:pStyle w:val="yFootnotesection"/>
      </w:pPr>
      <w:r>
        <w:tab/>
        <w:t>[Clause 1 inserted in Gazette 28 Jun 2013 p. 2879</w:t>
      </w:r>
      <w:r>
        <w:noBreakHyphen/>
        <w:t>80.]</w:t>
      </w:r>
    </w:p>
    <w:p>
      <w:pPr>
        <w:pStyle w:val="yHeading5"/>
      </w:pPr>
      <w:bookmarkStart w:id="176" w:name="_Toc382380070"/>
      <w:r>
        <w:rPr>
          <w:rStyle w:val="CharSClsNo"/>
        </w:rPr>
        <w:t>2</w:t>
      </w:r>
      <w:r>
        <w:t>.</w:t>
      </w:r>
      <w:r>
        <w:rPr>
          <w:b w:val="0"/>
        </w:rPr>
        <w:tab/>
      </w:r>
      <w:r>
        <w:t xml:space="preserve">Other jetties in Swan and </w:t>
      </w:r>
      <w:smartTag w:uri="urn:schemas-microsoft-com:office:smarttags" w:element="place">
        <w:smartTag w:uri="urn:schemas-microsoft-com:office:smarttags" w:element="PlaceName">
          <w:r>
            <w:t>Canning</w:t>
          </w:r>
        </w:smartTag>
        <w:r>
          <w:t xml:space="preserve"> </w:t>
        </w:r>
        <w:smartTag w:uri="urn:schemas-microsoft-com:office:smarttags" w:element="PlaceType">
          <w:r>
            <w:t>Rivers</w:t>
          </w:r>
        </w:smartTag>
      </w:smartTag>
      <w:bookmarkEnd w:id="176"/>
    </w:p>
    <w:p>
      <w:pPr>
        <w:pStyle w:val="ySubsection"/>
      </w:pPr>
      <w:r>
        <w:tab/>
        <w:t>(1)</w:t>
      </w:r>
      <w:r>
        <w:tab/>
        <w:t xml:space="preserve">This clause applies to jetties in the Swan and </w:t>
      </w:r>
      <w:smartTag w:uri="urn:schemas-microsoft-com:office:smarttags" w:element="place">
        <w:smartTag w:uri="urn:schemas-microsoft-com:office:smarttags" w:element="PlaceName">
          <w:r>
            <w:t>Canning</w:t>
          </w:r>
        </w:smartTag>
        <w:r>
          <w:t xml:space="preserve"> </w:t>
        </w:r>
        <w:smartTag w:uri="urn:schemas-microsoft-com:office:smarttags" w:element="PlaceType">
          <w:r>
            <w:t>Rivers</w:t>
          </w:r>
        </w:smartTag>
      </w:smartTag>
      <w:r>
        <w:t xml:space="preserve">, other than at </w:t>
      </w:r>
      <w:smartTag w:uri="urn:schemas-microsoft-com:office:smarttags" w:element="Street">
        <w:smartTag w:uri="urn:schemas-microsoft-com:office:smarttags" w:element="address">
          <w:r>
            <w:t>Barrack Street</w:t>
          </w:r>
        </w:smartTag>
      </w:smartTag>
      <w:r>
        <w:t xml:space="preserve"> or </w:t>
      </w:r>
      <w:smartTag w:uri="urn:schemas-microsoft-com:office:smarttags" w:element="Street">
        <w:smartTag w:uri="urn:schemas-microsoft-com:office:smarttags" w:element="address">
          <w:r>
            <w:t>Mends Street</w:t>
          </w:r>
        </w:smartTag>
      </w:smartTag>
      <w:r>
        <w:t>.</w:t>
      </w:r>
    </w:p>
    <w:p>
      <w:pPr>
        <w:pStyle w:val="ySubsection"/>
      </w:pPr>
      <w:r>
        <w:tab/>
        <w:t>(2)</w:t>
      </w:r>
      <w:r>
        <w:tab/>
        <w:t>The fees to be paid under regulation 72 for a permit to use a jetty are set out in Table 2.1.</w:t>
      </w:r>
    </w:p>
    <w:p>
      <w:pPr>
        <w:pStyle w:val="yTHeadingNAm"/>
      </w:pPr>
      <w:r>
        <w:t>Table 2.1 (Jetty permits)</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87"/>
        <w:gridCol w:w="999"/>
      </w:tblGrid>
      <w:tr>
        <w:trPr>
          <w:cantSplit/>
          <w:tblHeader/>
        </w:trPr>
        <w:tc>
          <w:tcPr>
            <w:tcW w:w="567" w:type="dxa"/>
            <w:tcBorders>
              <w:top w:val="single" w:sz="4" w:space="0" w:color="auto"/>
              <w:bottom w:val="single" w:sz="4" w:space="0" w:color="auto"/>
            </w:tcBorders>
          </w:tcPr>
          <w:p>
            <w:pPr>
              <w:pStyle w:val="yTableNAm"/>
              <w:rPr>
                <w:b/>
              </w:rPr>
            </w:pPr>
            <w:r>
              <w:rPr>
                <w:b/>
              </w:rPr>
              <w:t>Item</w:t>
            </w:r>
          </w:p>
        </w:tc>
        <w:tc>
          <w:tcPr>
            <w:tcW w:w="4387" w:type="dxa"/>
            <w:tcBorders>
              <w:top w:val="single" w:sz="4" w:space="0" w:color="auto"/>
              <w:bottom w:val="single" w:sz="4" w:space="0" w:color="auto"/>
            </w:tcBorders>
          </w:tcPr>
          <w:p>
            <w:pPr>
              <w:pStyle w:val="yTableNAm"/>
              <w:rPr>
                <w:b/>
              </w:rPr>
            </w:pPr>
            <w:r>
              <w:rPr>
                <w:b/>
              </w:rPr>
              <w:t>Service</w:t>
            </w:r>
          </w:p>
        </w:tc>
        <w:tc>
          <w:tcPr>
            <w:tcW w:w="999" w:type="dxa"/>
            <w:tcBorders>
              <w:top w:val="single" w:sz="4" w:space="0" w:color="auto"/>
              <w:bottom w:val="single" w:sz="4" w:space="0" w:color="auto"/>
            </w:tcBorders>
          </w:tcPr>
          <w:p>
            <w:pPr>
              <w:pStyle w:val="yTableNAm"/>
              <w:jc w:val="center"/>
              <w:rPr>
                <w:b/>
              </w:rPr>
            </w:pPr>
            <w:r>
              <w:rPr>
                <w:b/>
              </w:rPr>
              <w:t>$</w:t>
            </w:r>
          </w:p>
        </w:tc>
      </w:tr>
      <w:tr>
        <w:trPr>
          <w:cantSplit/>
        </w:trPr>
        <w:tc>
          <w:tcPr>
            <w:tcW w:w="567" w:type="dxa"/>
          </w:tcPr>
          <w:p>
            <w:pPr>
              <w:pStyle w:val="yTableNAm"/>
            </w:pPr>
            <w:r>
              <w:t>1.</w:t>
            </w:r>
          </w:p>
        </w:tc>
        <w:tc>
          <w:tcPr>
            <w:tcW w:w="4387" w:type="dxa"/>
          </w:tcPr>
          <w:p>
            <w:pPr>
              <w:pStyle w:val="yTableNAm"/>
            </w:pPr>
            <w:r>
              <w:t>For commercial or charter vessel —</w:t>
            </w:r>
          </w:p>
        </w:tc>
        <w:tc>
          <w:tcPr>
            <w:tcW w:w="999" w:type="dxa"/>
          </w:tcPr>
          <w:p>
            <w:pPr>
              <w:pStyle w:val="yTableNAm"/>
              <w:jc w:val="right"/>
            </w:pPr>
          </w:p>
        </w:tc>
      </w:tr>
      <w:tr>
        <w:trPr>
          <w:cantSplit/>
        </w:trPr>
        <w:tc>
          <w:tcPr>
            <w:tcW w:w="567" w:type="dxa"/>
            <w:tcBorders>
              <w:bottom w:val="single" w:sz="4" w:space="0" w:color="auto"/>
            </w:tcBorders>
          </w:tcPr>
          <w:p>
            <w:pPr>
              <w:pStyle w:val="yTableNAm"/>
            </w:pPr>
          </w:p>
        </w:tc>
        <w:tc>
          <w:tcPr>
            <w:tcW w:w="4387" w:type="dxa"/>
            <w:tcBorders>
              <w:bottom w:val="single" w:sz="4" w:space="0" w:color="auto"/>
            </w:tcBorders>
          </w:tcPr>
          <w:p>
            <w:pPr>
              <w:pStyle w:val="yTableNAm"/>
              <w:tabs>
                <w:tab w:val="clear" w:pos="567"/>
                <w:tab w:val="left" w:pos="415"/>
              </w:tabs>
              <w:ind w:left="415" w:hanging="415"/>
            </w:pPr>
            <w:r>
              <w:t>•</w:t>
            </w:r>
            <w:r>
              <w:tab/>
              <w:t>for 12 months, per m of the vessel’s length</w:t>
            </w:r>
          </w:p>
        </w:tc>
        <w:tc>
          <w:tcPr>
            <w:tcW w:w="999" w:type="dxa"/>
            <w:tcBorders>
              <w:bottom w:val="single" w:sz="4" w:space="0" w:color="auto"/>
            </w:tcBorders>
            <w:vAlign w:val="bottom"/>
          </w:tcPr>
          <w:p>
            <w:pPr>
              <w:pStyle w:val="yTableNAm"/>
              <w:jc w:val="right"/>
            </w:pPr>
            <w:r>
              <w:t>80.50</w:t>
            </w:r>
          </w:p>
        </w:tc>
      </w:tr>
    </w:tbl>
    <w:p>
      <w:pPr>
        <w:pStyle w:val="yFootnotesection"/>
      </w:pPr>
      <w:r>
        <w:tab/>
        <w:t>[Clause 2 inserted in Gazette 28 Jun 2013 p. 2880.]</w:t>
      </w:r>
    </w:p>
    <w:p>
      <w:pPr>
        <w:pStyle w:val="yHeading3"/>
      </w:pPr>
      <w:bookmarkStart w:id="177" w:name="_Toc382380071"/>
      <w:r>
        <w:rPr>
          <w:rStyle w:val="CharSDivNo"/>
        </w:rPr>
        <w:t>Division 2</w:t>
      </w:r>
      <w:r>
        <w:rPr>
          <w:bCs/>
        </w:rPr>
        <w:t> — </w:t>
      </w:r>
      <w:r>
        <w:rPr>
          <w:rStyle w:val="CharSDivText"/>
        </w:rPr>
        <w:t>Fees for boat pens</w:t>
      </w:r>
      <w:bookmarkEnd w:id="177"/>
    </w:p>
    <w:p>
      <w:pPr>
        <w:pStyle w:val="yFootnoteheading"/>
        <w:spacing w:after="60"/>
      </w:pPr>
      <w:r>
        <w:tab/>
        <w:t>[Heading inserted in Gazette 28 Jun 2013 p. 2881.]</w:t>
      </w:r>
    </w:p>
    <w:p>
      <w:pPr>
        <w:pStyle w:val="yHeading5"/>
      </w:pPr>
      <w:bookmarkStart w:id="178" w:name="_Toc382380072"/>
      <w:r>
        <w:rPr>
          <w:rStyle w:val="CharSClsNo"/>
        </w:rPr>
        <w:t>3</w:t>
      </w:r>
      <w:r>
        <w:t>.</w:t>
      </w:r>
      <w:r>
        <w:rPr>
          <w:b w:val="0"/>
        </w:rPr>
        <w:tab/>
      </w:r>
      <w:r>
        <w:t xml:space="preserve">Fremantle, </w:t>
      </w:r>
      <w:smartTag w:uri="urn:schemas-microsoft-com:office:smarttags" w:element="place">
        <w:smartTag w:uri="urn:schemas-microsoft-com:office:smarttags" w:element="PlaceName">
          <w:r>
            <w:t>Challenger</w:t>
          </w:r>
        </w:smartTag>
        <w:r>
          <w:t xml:space="preserve"> </w:t>
        </w:r>
        <w:smartTag w:uri="urn:schemas-microsoft-com:office:smarttags" w:element="PlaceName">
          <w:r>
            <w:t>Boat</w:t>
          </w:r>
        </w:smartTag>
        <w:r>
          <w:t xml:space="preserve"> </w:t>
        </w:r>
        <w:smartTag w:uri="urn:schemas-microsoft-com:office:smarttags" w:element="PlaceType">
          <w:r>
            <w:t>Harbour</w:t>
          </w:r>
        </w:smartTag>
      </w:smartTag>
      <w:bookmarkEnd w:id="178"/>
    </w:p>
    <w:p>
      <w:pPr>
        <w:pStyle w:val="ySubsection"/>
      </w:pPr>
      <w:r>
        <w:tab/>
        <w:t>(1)</w:t>
      </w:r>
      <w:r>
        <w:tab/>
        <w:t xml:space="preserve">This clause applies to </w:t>
      </w:r>
      <w:smartTag w:uri="urn:schemas-microsoft-com:office:smarttags" w:element="place">
        <w:smartTag w:uri="urn:schemas-microsoft-com:office:smarttags" w:element="PlaceName">
          <w:r>
            <w:t>Challenger</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 xml:space="preserve"> at Fremantle.</w:t>
      </w:r>
    </w:p>
    <w:p>
      <w:pPr>
        <w:pStyle w:val="ySubsection"/>
      </w:pPr>
      <w:r>
        <w:tab/>
        <w:t>(2)</w:t>
      </w:r>
      <w:r>
        <w:tab/>
        <w:t>The fees to be paid under regulation 72 for a permit to use a boat pen are set out in Table 3.1.</w:t>
      </w:r>
    </w:p>
    <w:p>
      <w:pPr>
        <w:pStyle w:val="yTHeadingNAm"/>
      </w:pPr>
      <w:r>
        <w:t>Table 3.1 (Pen permits)</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94"/>
        <w:gridCol w:w="992"/>
      </w:tblGrid>
      <w:tr>
        <w:trPr>
          <w:cantSplit/>
          <w:tblHeader/>
        </w:trPr>
        <w:tc>
          <w:tcPr>
            <w:tcW w:w="567" w:type="dxa"/>
            <w:tcBorders>
              <w:top w:val="single" w:sz="4" w:space="0" w:color="auto"/>
              <w:bottom w:val="single" w:sz="4" w:space="0" w:color="auto"/>
            </w:tcBorders>
          </w:tcPr>
          <w:p>
            <w:pPr>
              <w:pStyle w:val="yTableNAm"/>
              <w:rPr>
                <w:b/>
              </w:rPr>
            </w:pPr>
            <w:r>
              <w:rPr>
                <w:b/>
              </w:rPr>
              <w:t>Item</w:t>
            </w:r>
          </w:p>
        </w:tc>
        <w:tc>
          <w:tcPr>
            <w:tcW w:w="4394" w:type="dxa"/>
            <w:tcBorders>
              <w:top w:val="single" w:sz="4" w:space="0" w:color="auto"/>
              <w:bottom w:val="single" w:sz="4" w:space="0" w:color="auto"/>
            </w:tcBorders>
          </w:tcPr>
          <w:p>
            <w:pPr>
              <w:pStyle w:val="yTableNAm"/>
              <w:rPr>
                <w:b/>
              </w:rPr>
            </w:pPr>
            <w:r>
              <w:rPr>
                <w:b/>
              </w:rPr>
              <w:t>Service</w:t>
            </w:r>
          </w:p>
        </w:tc>
        <w:tc>
          <w:tcPr>
            <w:tcW w:w="992" w:type="dxa"/>
            <w:tcBorders>
              <w:top w:val="single" w:sz="4" w:space="0" w:color="auto"/>
              <w:bottom w:val="single" w:sz="4" w:space="0" w:color="auto"/>
            </w:tcBorders>
          </w:tcPr>
          <w:p>
            <w:pPr>
              <w:pStyle w:val="yTableNAm"/>
              <w:jc w:val="center"/>
              <w:rPr>
                <w:b/>
              </w:rPr>
            </w:pPr>
            <w:r>
              <w:rPr>
                <w:b/>
              </w:rPr>
              <w:t>$</w:t>
            </w:r>
          </w:p>
        </w:tc>
      </w:tr>
      <w:tr>
        <w:trPr>
          <w:cantSplit/>
        </w:trPr>
        <w:tc>
          <w:tcPr>
            <w:tcW w:w="567" w:type="dxa"/>
          </w:tcPr>
          <w:p>
            <w:pPr>
              <w:pStyle w:val="yTableNAm"/>
            </w:pPr>
            <w:r>
              <w:t>1.</w:t>
            </w:r>
          </w:p>
        </w:tc>
        <w:tc>
          <w:tcPr>
            <w:tcW w:w="4394" w:type="dxa"/>
          </w:tcPr>
          <w:p>
            <w:pPr>
              <w:pStyle w:val="yTableNAm"/>
            </w:pPr>
            <w:r>
              <w:t>For catamaran pen with walkways, per m of the longer of the vessel’s length and the pen’s length —</w:t>
            </w:r>
          </w:p>
        </w:tc>
        <w:tc>
          <w:tcPr>
            <w:tcW w:w="992" w:type="dxa"/>
          </w:tcPr>
          <w:p>
            <w:pPr>
              <w:pStyle w:val="yTableNAm"/>
              <w:jc w:val="right"/>
            </w:pPr>
          </w:p>
        </w:tc>
      </w:tr>
      <w:tr>
        <w:trPr>
          <w:cantSplit/>
        </w:trPr>
        <w:tc>
          <w:tcPr>
            <w:tcW w:w="567" w:type="dxa"/>
          </w:tcPr>
          <w:p>
            <w:pPr>
              <w:pStyle w:val="yTableNAm"/>
            </w:pPr>
          </w:p>
        </w:tc>
        <w:tc>
          <w:tcPr>
            <w:tcW w:w="4394" w:type="dxa"/>
          </w:tcPr>
          <w:p>
            <w:pPr>
              <w:pStyle w:val="yTableNAm"/>
              <w:tabs>
                <w:tab w:val="clear" w:pos="567"/>
                <w:tab w:val="left" w:pos="415"/>
              </w:tabs>
              <w:ind w:left="415" w:hanging="415"/>
            </w:pPr>
            <w:r>
              <w:t>•</w:t>
            </w:r>
            <w:r>
              <w:tab/>
              <w:t>for 12 months paid in advance</w:t>
            </w:r>
          </w:p>
        </w:tc>
        <w:tc>
          <w:tcPr>
            <w:tcW w:w="992" w:type="dxa"/>
            <w:vAlign w:val="bottom"/>
          </w:tcPr>
          <w:p>
            <w:pPr>
              <w:pStyle w:val="yTableNAm"/>
              <w:jc w:val="right"/>
              <w:rPr>
                <w:szCs w:val="22"/>
              </w:rPr>
            </w:pPr>
            <w:r>
              <w:rPr>
                <w:szCs w:val="22"/>
              </w:rPr>
              <w:t>811.14</w:t>
            </w:r>
          </w:p>
        </w:tc>
      </w:tr>
      <w:tr>
        <w:trPr>
          <w:cantSplit/>
        </w:trPr>
        <w:tc>
          <w:tcPr>
            <w:tcW w:w="567" w:type="dxa"/>
          </w:tcPr>
          <w:p>
            <w:pPr>
              <w:pStyle w:val="yTableNAm"/>
            </w:pPr>
          </w:p>
        </w:tc>
        <w:tc>
          <w:tcPr>
            <w:tcW w:w="4394" w:type="dxa"/>
          </w:tcPr>
          <w:p>
            <w:pPr>
              <w:pStyle w:val="yTableNAm"/>
              <w:tabs>
                <w:tab w:val="clear" w:pos="567"/>
                <w:tab w:val="left" w:pos="415"/>
              </w:tabs>
              <w:ind w:left="415" w:hanging="415"/>
            </w:pPr>
            <w:r>
              <w:t>•</w:t>
            </w:r>
            <w:r>
              <w:tab/>
              <w:t>for 3 months or more, per month, paid in advance</w:t>
            </w:r>
          </w:p>
        </w:tc>
        <w:tc>
          <w:tcPr>
            <w:tcW w:w="992" w:type="dxa"/>
            <w:vAlign w:val="bottom"/>
          </w:tcPr>
          <w:p>
            <w:pPr>
              <w:pStyle w:val="yTableNAm"/>
              <w:jc w:val="right"/>
              <w:rPr>
                <w:szCs w:val="22"/>
              </w:rPr>
            </w:pPr>
            <w:r>
              <w:rPr>
                <w:szCs w:val="22"/>
              </w:rPr>
              <w:t>81.15</w:t>
            </w:r>
          </w:p>
        </w:tc>
      </w:tr>
      <w:tr>
        <w:trPr>
          <w:cantSplit/>
        </w:trPr>
        <w:tc>
          <w:tcPr>
            <w:tcW w:w="567" w:type="dxa"/>
          </w:tcPr>
          <w:p>
            <w:pPr>
              <w:pStyle w:val="yTableNAm"/>
            </w:pPr>
          </w:p>
        </w:tc>
        <w:tc>
          <w:tcPr>
            <w:tcW w:w="4394" w:type="dxa"/>
          </w:tcPr>
          <w:p>
            <w:pPr>
              <w:pStyle w:val="yTableNAm"/>
              <w:tabs>
                <w:tab w:val="clear" w:pos="567"/>
                <w:tab w:val="left" w:pos="415"/>
              </w:tabs>
              <w:ind w:left="415" w:hanging="415"/>
            </w:pPr>
            <w:r>
              <w:t>•</w:t>
            </w:r>
            <w:r>
              <w:tab/>
              <w:t>for one month or more, per month, paid in advance</w:t>
            </w:r>
          </w:p>
        </w:tc>
        <w:tc>
          <w:tcPr>
            <w:tcW w:w="992" w:type="dxa"/>
            <w:vAlign w:val="bottom"/>
          </w:tcPr>
          <w:p>
            <w:pPr>
              <w:pStyle w:val="yTableNAm"/>
              <w:jc w:val="right"/>
              <w:rPr>
                <w:szCs w:val="22"/>
              </w:rPr>
            </w:pPr>
            <w:r>
              <w:rPr>
                <w:szCs w:val="22"/>
              </w:rPr>
              <w:t>121.67</w:t>
            </w:r>
          </w:p>
        </w:tc>
      </w:tr>
      <w:tr>
        <w:trPr>
          <w:cantSplit/>
        </w:trPr>
        <w:tc>
          <w:tcPr>
            <w:tcW w:w="567" w:type="dxa"/>
          </w:tcPr>
          <w:p>
            <w:pPr>
              <w:pStyle w:val="yTableNAm"/>
            </w:pPr>
            <w:r>
              <w:t>2.</w:t>
            </w:r>
          </w:p>
        </w:tc>
        <w:tc>
          <w:tcPr>
            <w:tcW w:w="4394" w:type="dxa"/>
          </w:tcPr>
          <w:p>
            <w:pPr>
              <w:pStyle w:val="yTableNAm"/>
            </w:pPr>
            <w:r>
              <w:t>For other pen with walkways, per m of the longer of the vessel’s length and the pen’s length —</w:t>
            </w:r>
          </w:p>
        </w:tc>
        <w:tc>
          <w:tcPr>
            <w:tcW w:w="992" w:type="dxa"/>
            <w:vAlign w:val="bottom"/>
          </w:tcPr>
          <w:p>
            <w:pPr>
              <w:pStyle w:val="yTableNAm"/>
              <w:jc w:val="right"/>
              <w:rPr>
                <w:szCs w:val="22"/>
              </w:rPr>
            </w:pPr>
          </w:p>
        </w:tc>
      </w:tr>
      <w:tr>
        <w:trPr>
          <w:cantSplit/>
        </w:trPr>
        <w:tc>
          <w:tcPr>
            <w:tcW w:w="567" w:type="dxa"/>
          </w:tcPr>
          <w:p>
            <w:pPr>
              <w:pStyle w:val="yTableNAm"/>
            </w:pPr>
          </w:p>
        </w:tc>
        <w:tc>
          <w:tcPr>
            <w:tcW w:w="4394" w:type="dxa"/>
          </w:tcPr>
          <w:p>
            <w:pPr>
              <w:pStyle w:val="yTableNAm"/>
              <w:tabs>
                <w:tab w:val="clear" w:pos="567"/>
                <w:tab w:val="left" w:pos="415"/>
              </w:tabs>
              <w:ind w:left="415" w:hanging="415"/>
            </w:pPr>
            <w:r>
              <w:t>•</w:t>
            </w:r>
            <w:r>
              <w:tab/>
              <w:t>for 12 months paid in advance</w:t>
            </w:r>
          </w:p>
        </w:tc>
        <w:tc>
          <w:tcPr>
            <w:tcW w:w="992" w:type="dxa"/>
            <w:vAlign w:val="bottom"/>
          </w:tcPr>
          <w:p>
            <w:pPr>
              <w:pStyle w:val="yTableNAm"/>
              <w:jc w:val="right"/>
              <w:rPr>
                <w:szCs w:val="22"/>
              </w:rPr>
            </w:pPr>
            <w:r>
              <w:rPr>
                <w:szCs w:val="22"/>
              </w:rPr>
              <w:t>558.90</w:t>
            </w:r>
          </w:p>
        </w:tc>
      </w:tr>
      <w:tr>
        <w:trPr>
          <w:cantSplit/>
        </w:trPr>
        <w:tc>
          <w:tcPr>
            <w:tcW w:w="567" w:type="dxa"/>
          </w:tcPr>
          <w:p>
            <w:pPr>
              <w:pStyle w:val="yTableNAm"/>
            </w:pPr>
          </w:p>
        </w:tc>
        <w:tc>
          <w:tcPr>
            <w:tcW w:w="4394" w:type="dxa"/>
          </w:tcPr>
          <w:p>
            <w:pPr>
              <w:pStyle w:val="yTableNAm"/>
              <w:tabs>
                <w:tab w:val="clear" w:pos="567"/>
                <w:tab w:val="left" w:pos="415"/>
              </w:tabs>
              <w:ind w:left="415" w:hanging="415"/>
            </w:pPr>
            <w:r>
              <w:t>•</w:t>
            </w:r>
            <w:r>
              <w:tab/>
              <w:t>for 3 months or more, per month, paid in advance</w:t>
            </w:r>
          </w:p>
        </w:tc>
        <w:tc>
          <w:tcPr>
            <w:tcW w:w="992" w:type="dxa"/>
            <w:vAlign w:val="bottom"/>
          </w:tcPr>
          <w:p>
            <w:pPr>
              <w:pStyle w:val="yTableNAm"/>
              <w:jc w:val="right"/>
              <w:rPr>
                <w:szCs w:val="22"/>
              </w:rPr>
            </w:pPr>
            <w:r>
              <w:rPr>
                <w:szCs w:val="22"/>
              </w:rPr>
              <w:t>55.89</w:t>
            </w:r>
          </w:p>
        </w:tc>
      </w:tr>
      <w:tr>
        <w:trPr>
          <w:cantSplit/>
        </w:trPr>
        <w:tc>
          <w:tcPr>
            <w:tcW w:w="567" w:type="dxa"/>
          </w:tcPr>
          <w:p>
            <w:pPr>
              <w:pStyle w:val="yTableNAm"/>
            </w:pPr>
          </w:p>
        </w:tc>
        <w:tc>
          <w:tcPr>
            <w:tcW w:w="4394" w:type="dxa"/>
          </w:tcPr>
          <w:p>
            <w:pPr>
              <w:pStyle w:val="yTableNAm"/>
              <w:tabs>
                <w:tab w:val="clear" w:pos="567"/>
                <w:tab w:val="left" w:pos="415"/>
              </w:tabs>
              <w:ind w:left="415" w:hanging="415"/>
            </w:pPr>
            <w:r>
              <w:t>•</w:t>
            </w:r>
            <w:r>
              <w:tab/>
              <w:t>for one month or more, per month, paid in advance</w:t>
            </w:r>
          </w:p>
        </w:tc>
        <w:tc>
          <w:tcPr>
            <w:tcW w:w="992" w:type="dxa"/>
            <w:vAlign w:val="bottom"/>
          </w:tcPr>
          <w:p>
            <w:pPr>
              <w:pStyle w:val="yTableNAm"/>
              <w:jc w:val="right"/>
              <w:rPr>
                <w:szCs w:val="22"/>
              </w:rPr>
            </w:pPr>
            <w:r>
              <w:rPr>
                <w:szCs w:val="22"/>
              </w:rPr>
              <w:t>83.83</w:t>
            </w:r>
          </w:p>
        </w:tc>
      </w:tr>
      <w:tr>
        <w:trPr>
          <w:cantSplit/>
        </w:trPr>
        <w:tc>
          <w:tcPr>
            <w:tcW w:w="567" w:type="dxa"/>
          </w:tcPr>
          <w:p>
            <w:pPr>
              <w:pStyle w:val="yTableNAm"/>
            </w:pPr>
            <w:r>
              <w:t>3.</w:t>
            </w:r>
          </w:p>
        </w:tc>
        <w:tc>
          <w:tcPr>
            <w:tcW w:w="4394" w:type="dxa"/>
          </w:tcPr>
          <w:p>
            <w:pPr>
              <w:pStyle w:val="yTableNAm"/>
            </w:pPr>
            <w:r>
              <w:t>For pen without walkways, per m of the longer of the vessel’s length and the pen’s length —</w:t>
            </w:r>
          </w:p>
        </w:tc>
        <w:tc>
          <w:tcPr>
            <w:tcW w:w="992" w:type="dxa"/>
            <w:vAlign w:val="bottom"/>
          </w:tcPr>
          <w:p>
            <w:pPr>
              <w:pStyle w:val="yTableNAm"/>
              <w:jc w:val="right"/>
              <w:rPr>
                <w:szCs w:val="22"/>
              </w:rPr>
            </w:pPr>
          </w:p>
        </w:tc>
      </w:tr>
      <w:tr>
        <w:trPr>
          <w:cantSplit/>
        </w:trPr>
        <w:tc>
          <w:tcPr>
            <w:tcW w:w="567" w:type="dxa"/>
          </w:tcPr>
          <w:p>
            <w:pPr>
              <w:pStyle w:val="yTableNAm"/>
            </w:pPr>
          </w:p>
        </w:tc>
        <w:tc>
          <w:tcPr>
            <w:tcW w:w="4394" w:type="dxa"/>
          </w:tcPr>
          <w:p>
            <w:pPr>
              <w:pStyle w:val="yTableNAm"/>
              <w:tabs>
                <w:tab w:val="clear" w:pos="567"/>
                <w:tab w:val="left" w:pos="415"/>
              </w:tabs>
              <w:ind w:left="415" w:hanging="415"/>
            </w:pPr>
            <w:r>
              <w:t>•</w:t>
            </w:r>
            <w:r>
              <w:tab/>
              <w:t>for 12 months paid in advance</w:t>
            </w:r>
          </w:p>
        </w:tc>
        <w:tc>
          <w:tcPr>
            <w:tcW w:w="992" w:type="dxa"/>
            <w:vAlign w:val="bottom"/>
          </w:tcPr>
          <w:p>
            <w:pPr>
              <w:pStyle w:val="yTableNAm"/>
              <w:jc w:val="right"/>
              <w:rPr>
                <w:szCs w:val="22"/>
              </w:rPr>
            </w:pPr>
            <w:r>
              <w:rPr>
                <w:szCs w:val="22"/>
              </w:rPr>
              <w:t>504.81</w:t>
            </w:r>
          </w:p>
        </w:tc>
      </w:tr>
      <w:tr>
        <w:trPr>
          <w:cantSplit/>
        </w:trPr>
        <w:tc>
          <w:tcPr>
            <w:tcW w:w="567" w:type="dxa"/>
          </w:tcPr>
          <w:p>
            <w:pPr>
              <w:pStyle w:val="yTableNAm"/>
            </w:pPr>
          </w:p>
        </w:tc>
        <w:tc>
          <w:tcPr>
            <w:tcW w:w="4394" w:type="dxa"/>
          </w:tcPr>
          <w:p>
            <w:pPr>
              <w:pStyle w:val="yTableNAm"/>
              <w:tabs>
                <w:tab w:val="clear" w:pos="567"/>
                <w:tab w:val="left" w:pos="415"/>
              </w:tabs>
              <w:ind w:left="415" w:hanging="415"/>
            </w:pPr>
            <w:r>
              <w:t>•</w:t>
            </w:r>
            <w:r>
              <w:tab/>
              <w:t>for 3 months or more, per month, paid in advance</w:t>
            </w:r>
          </w:p>
        </w:tc>
        <w:tc>
          <w:tcPr>
            <w:tcW w:w="992" w:type="dxa"/>
            <w:vAlign w:val="bottom"/>
          </w:tcPr>
          <w:p>
            <w:pPr>
              <w:pStyle w:val="yTableNAm"/>
              <w:jc w:val="right"/>
              <w:rPr>
                <w:szCs w:val="22"/>
              </w:rPr>
            </w:pPr>
            <w:r>
              <w:rPr>
                <w:szCs w:val="22"/>
              </w:rPr>
              <w:t>50.49</w:t>
            </w:r>
          </w:p>
        </w:tc>
      </w:tr>
      <w:tr>
        <w:trPr>
          <w:cantSplit/>
        </w:trPr>
        <w:tc>
          <w:tcPr>
            <w:tcW w:w="567" w:type="dxa"/>
          </w:tcPr>
          <w:p>
            <w:pPr>
              <w:pStyle w:val="yTableNAm"/>
            </w:pPr>
          </w:p>
        </w:tc>
        <w:tc>
          <w:tcPr>
            <w:tcW w:w="4394" w:type="dxa"/>
          </w:tcPr>
          <w:p>
            <w:pPr>
              <w:pStyle w:val="yTableNAm"/>
              <w:tabs>
                <w:tab w:val="clear" w:pos="567"/>
                <w:tab w:val="left" w:pos="415"/>
              </w:tabs>
              <w:ind w:left="415" w:hanging="415"/>
            </w:pPr>
            <w:r>
              <w:t>•</w:t>
            </w:r>
            <w:r>
              <w:tab/>
              <w:t>for one month or more, per month, paid in advance</w:t>
            </w:r>
          </w:p>
        </w:tc>
        <w:tc>
          <w:tcPr>
            <w:tcW w:w="992" w:type="dxa"/>
            <w:vAlign w:val="bottom"/>
          </w:tcPr>
          <w:p>
            <w:pPr>
              <w:pStyle w:val="yTableNAm"/>
              <w:jc w:val="right"/>
              <w:rPr>
                <w:szCs w:val="22"/>
              </w:rPr>
            </w:pPr>
            <w:r>
              <w:rPr>
                <w:szCs w:val="22"/>
              </w:rPr>
              <w:t>75.72</w:t>
            </w:r>
          </w:p>
        </w:tc>
      </w:tr>
      <w:tr>
        <w:trPr>
          <w:cantSplit/>
        </w:trPr>
        <w:tc>
          <w:tcPr>
            <w:tcW w:w="567" w:type="dxa"/>
          </w:tcPr>
          <w:p>
            <w:pPr>
              <w:pStyle w:val="yTableNAm"/>
            </w:pPr>
            <w:r>
              <w:t>4.</w:t>
            </w:r>
          </w:p>
        </w:tc>
        <w:tc>
          <w:tcPr>
            <w:tcW w:w="4394" w:type="dxa"/>
          </w:tcPr>
          <w:p>
            <w:pPr>
              <w:pStyle w:val="yTableNAm"/>
            </w:pPr>
            <w:r>
              <w:t>For casual use of pen —</w:t>
            </w:r>
          </w:p>
        </w:tc>
        <w:tc>
          <w:tcPr>
            <w:tcW w:w="992" w:type="dxa"/>
            <w:vAlign w:val="bottom"/>
          </w:tcPr>
          <w:p>
            <w:pPr>
              <w:pStyle w:val="yTableNAm"/>
              <w:jc w:val="right"/>
              <w:rPr>
                <w:szCs w:val="22"/>
              </w:rPr>
            </w:pPr>
          </w:p>
        </w:tc>
      </w:tr>
      <w:tr>
        <w:trPr>
          <w:cantSplit/>
        </w:trPr>
        <w:tc>
          <w:tcPr>
            <w:tcW w:w="567" w:type="dxa"/>
          </w:tcPr>
          <w:p>
            <w:pPr>
              <w:pStyle w:val="yTableNAm"/>
            </w:pPr>
          </w:p>
        </w:tc>
        <w:tc>
          <w:tcPr>
            <w:tcW w:w="4394" w:type="dxa"/>
          </w:tcPr>
          <w:p>
            <w:pPr>
              <w:pStyle w:val="yTableNAm"/>
              <w:tabs>
                <w:tab w:val="clear" w:pos="567"/>
                <w:tab w:val="left" w:pos="415"/>
              </w:tabs>
              <w:ind w:left="415" w:hanging="415"/>
            </w:pPr>
            <w:r>
              <w:t>•</w:t>
            </w:r>
            <w:r>
              <w:tab/>
              <w:t>for one week or more, per week, paid in advance</w:t>
            </w:r>
          </w:p>
        </w:tc>
        <w:tc>
          <w:tcPr>
            <w:tcW w:w="992" w:type="dxa"/>
            <w:vAlign w:val="bottom"/>
          </w:tcPr>
          <w:p>
            <w:pPr>
              <w:pStyle w:val="yTableNAm"/>
              <w:jc w:val="right"/>
              <w:rPr>
                <w:szCs w:val="22"/>
              </w:rPr>
            </w:pPr>
            <w:r>
              <w:rPr>
                <w:szCs w:val="22"/>
              </w:rPr>
              <w:t>225.37</w:t>
            </w:r>
          </w:p>
        </w:tc>
      </w:tr>
      <w:tr>
        <w:tc>
          <w:tcPr>
            <w:tcW w:w="567" w:type="dxa"/>
          </w:tcPr>
          <w:p>
            <w:pPr>
              <w:pStyle w:val="yTableNAm"/>
            </w:pPr>
          </w:p>
        </w:tc>
        <w:tc>
          <w:tcPr>
            <w:tcW w:w="4394" w:type="dxa"/>
          </w:tcPr>
          <w:p>
            <w:pPr>
              <w:pStyle w:val="yTableNAm"/>
              <w:tabs>
                <w:tab w:val="clear" w:pos="567"/>
                <w:tab w:val="left" w:pos="415"/>
              </w:tabs>
              <w:ind w:left="415" w:hanging="415"/>
            </w:pPr>
            <w:r>
              <w:t>•</w:t>
            </w:r>
            <w:r>
              <w:tab/>
              <w:t>otherwise, per day</w:t>
            </w:r>
          </w:p>
        </w:tc>
        <w:tc>
          <w:tcPr>
            <w:tcW w:w="992" w:type="dxa"/>
            <w:vAlign w:val="bottom"/>
          </w:tcPr>
          <w:p>
            <w:pPr>
              <w:pStyle w:val="yTableNAm"/>
              <w:jc w:val="right"/>
              <w:rPr>
                <w:szCs w:val="22"/>
              </w:rPr>
            </w:pPr>
            <w:r>
              <w:rPr>
                <w:szCs w:val="22"/>
              </w:rPr>
              <w:t>45.07</w:t>
            </w:r>
          </w:p>
        </w:tc>
      </w:tr>
      <w:tr>
        <w:tc>
          <w:tcPr>
            <w:tcW w:w="567" w:type="dxa"/>
            <w:tcBorders>
              <w:bottom w:val="single" w:sz="4" w:space="0" w:color="auto"/>
            </w:tcBorders>
          </w:tcPr>
          <w:p>
            <w:pPr>
              <w:pStyle w:val="yTableNAm"/>
            </w:pPr>
            <w:r>
              <w:t>5.</w:t>
            </w:r>
          </w:p>
        </w:tc>
        <w:tc>
          <w:tcPr>
            <w:tcW w:w="4394" w:type="dxa"/>
            <w:tcBorders>
              <w:bottom w:val="single" w:sz="4" w:space="0" w:color="auto"/>
            </w:tcBorders>
          </w:tcPr>
          <w:p>
            <w:pPr>
              <w:pStyle w:val="yTableNAm"/>
            </w:pPr>
            <w:r>
              <w:t>For living on board a vessel, per vessel, per month</w:t>
            </w:r>
          </w:p>
        </w:tc>
        <w:tc>
          <w:tcPr>
            <w:tcW w:w="992" w:type="dxa"/>
            <w:tcBorders>
              <w:bottom w:val="single" w:sz="4" w:space="0" w:color="auto"/>
            </w:tcBorders>
            <w:vAlign w:val="bottom"/>
          </w:tcPr>
          <w:p>
            <w:pPr>
              <w:pStyle w:val="yTableNAm"/>
              <w:jc w:val="right"/>
              <w:rPr>
                <w:szCs w:val="22"/>
              </w:rPr>
            </w:pPr>
            <w:r>
              <w:rPr>
                <w:szCs w:val="22"/>
              </w:rPr>
              <w:t>130.69</w:t>
            </w:r>
          </w:p>
        </w:tc>
      </w:tr>
    </w:tbl>
    <w:p>
      <w:pPr>
        <w:pStyle w:val="yFootnotesection"/>
      </w:pPr>
      <w:r>
        <w:tab/>
        <w:t>[Clause 3 inserted in Gazette 28 Jun 2013 p. 2881</w:t>
      </w:r>
      <w:r>
        <w:noBreakHyphen/>
        <w:t>2.]</w:t>
      </w:r>
    </w:p>
    <w:p>
      <w:pPr>
        <w:pStyle w:val="yHeading5"/>
      </w:pPr>
      <w:bookmarkStart w:id="179" w:name="_Toc382380073"/>
      <w:r>
        <w:rPr>
          <w:rStyle w:val="CharSClsNo"/>
        </w:rPr>
        <w:t>4</w:t>
      </w:r>
      <w:r>
        <w:t>.</w:t>
      </w:r>
      <w:r>
        <w:rPr>
          <w:b w:val="0"/>
        </w:rPr>
        <w:tab/>
      </w:r>
      <w:smartTag w:uri="urn:schemas-microsoft-com:office:smarttags" w:element="place">
        <w:smartTag w:uri="urn:schemas-microsoft-com:office:smarttags" w:element="PlaceName">
          <w:r>
            <w:t>Hillarys</w:t>
          </w:r>
        </w:smartTag>
        <w:r>
          <w:t xml:space="preserve"> </w:t>
        </w:r>
        <w:smartTag w:uri="urn:schemas-microsoft-com:office:smarttags" w:element="PlaceName">
          <w:r>
            <w:t>Boat</w:t>
          </w:r>
        </w:smartTag>
        <w:r>
          <w:t xml:space="preserve"> </w:t>
        </w:r>
        <w:smartTag w:uri="urn:schemas-microsoft-com:office:smarttags" w:element="PlaceType">
          <w:r>
            <w:t>Harbour</w:t>
          </w:r>
        </w:smartTag>
      </w:smartTag>
      <w:bookmarkEnd w:id="179"/>
    </w:p>
    <w:p>
      <w:pPr>
        <w:pStyle w:val="ySubsection"/>
      </w:pPr>
      <w:r>
        <w:tab/>
        <w:t>(1)</w:t>
      </w:r>
      <w:r>
        <w:tab/>
        <w:t xml:space="preserve">This clause applies to </w:t>
      </w:r>
      <w:smartTag w:uri="urn:schemas-microsoft-com:office:smarttags" w:element="place">
        <w:smartTag w:uri="urn:schemas-microsoft-com:office:smarttags" w:element="PlaceName">
          <w:r>
            <w:t>Hillarys</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w:t>
      </w:r>
    </w:p>
    <w:p>
      <w:pPr>
        <w:pStyle w:val="ySubsection"/>
      </w:pPr>
      <w:r>
        <w:tab/>
        <w:t>(2)</w:t>
      </w:r>
      <w:r>
        <w:tab/>
        <w:t>The fees to be paid under regulation 72 for a permit to use a jetty or boat pen are set out in Table 4.1.</w:t>
      </w:r>
    </w:p>
    <w:p>
      <w:pPr>
        <w:pStyle w:val="ySubsection"/>
        <w:keepNext/>
      </w:pPr>
      <w:r>
        <w:tab/>
        <w:t>(3)</w:t>
      </w:r>
      <w:r>
        <w:tab/>
        <w:t>In Table 4.1, the chargeable length for a pen is —</w:t>
      </w:r>
    </w:p>
    <w:p>
      <w:pPr>
        <w:pStyle w:val="yIndenta"/>
      </w:pPr>
      <w:r>
        <w:tab/>
        <w:t>(a)</w:t>
      </w:r>
      <w:r>
        <w:tab/>
        <w:t>if the pen is 10 m long, 8 m;</w:t>
      </w:r>
    </w:p>
    <w:p>
      <w:pPr>
        <w:pStyle w:val="yIndenta"/>
      </w:pPr>
      <w:r>
        <w:tab/>
        <w:t>(b)</w:t>
      </w:r>
      <w:r>
        <w:tab/>
        <w:t>if the pen is 12 m long, 9.6 m;</w:t>
      </w:r>
    </w:p>
    <w:p>
      <w:pPr>
        <w:pStyle w:val="yIndenta"/>
      </w:pPr>
      <w:r>
        <w:tab/>
        <w:t>(c)</w:t>
      </w:r>
      <w:r>
        <w:tab/>
        <w:t>if the pen is 13 m long, 10.4 m;</w:t>
      </w:r>
    </w:p>
    <w:p>
      <w:pPr>
        <w:pStyle w:val="yIndenta"/>
      </w:pPr>
      <w:r>
        <w:tab/>
        <w:t>(d)</w:t>
      </w:r>
      <w:r>
        <w:tab/>
        <w:t>if the pen is 15 m long, 12 m;</w:t>
      </w:r>
    </w:p>
    <w:p>
      <w:pPr>
        <w:pStyle w:val="yIndenta"/>
      </w:pPr>
      <w:r>
        <w:tab/>
        <w:t>(e)</w:t>
      </w:r>
      <w:r>
        <w:tab/>
        <w:t>if the pen is 18 m long, 14.4 m;</w:t>
      </w:r>
    </w:p>
    <w:p>
      <w:pPr>
        <w:pStyle w:val="yIndenta"/>
      </w:pPr>
      <w:r>
        <w:tab/>
        <w:t>(f)</w:t>
      </w:r>
      <w:r>
        <w:tab/>
        <w:t>if the pen is 20 m long, 16 m;</w:t>
      </w:r>
    </w:p>
    <w:p>
      <w:pPr>
        <w:pStyle w:val="yIndenta"/>
      </w:pPr>
      <w:r>
        <w:tab/>
        <w:t>(g)</w:t>
      </w:r>
      <w:r>
        <w:tab/>
        <w:t>if the pen is 22 m long, 17.6 m;</w:t>
      </w:r>
    </w:p>
    <w:p>
      <w:pPr>
        <w:pStyle w:val="yIndenta"/>
      </w:pPr>
      <w:r>
        <w:tab/>
        <w:t>(h)</w:t>
      </w:r>
      <w:r>
        <w:tab/>
        <w:t>if the pen is 25 m long, 20 m.</w:t>
      </w:r>
    </w:p>
    <w:p>
      <w:pPr>
        <w:pStyle w:val="yTHeadingNAm"/>
      </w:pPr>
      <w:r>
        <w:t>Table 4.1 (Jetty and pen permits)</w:t>
      </w:r>
    </w:p>
    <w:tbl>
      <w:tblPr>
        <w:tblW w:w="0" w:type="auto"/>
        <w:tblInd w:w="908" w:type="dxa"/>
        <w:tblLayout w:type="fixed"/>
        <w:tblCellMar>
          <w:top w:w="57" w:type="dxa"/>
          <w:left w:w="57" w:type="dxa"/>
          <w:right w:w="57" w:type="dxa"/>
        </w:tblCellMar>
        <w:tblLook w:val="0000" w:firstRow="0" w:lastRow="0" w:firstColumn="0" w:lastColumn="0" w:noHBand="0" w:noVBand="0"/>
      </w:tblPr>
      <w:tblGrid>
        <w:gridCol w:w="567"/>
        <w:gridCol w:w="4394"/>
        <w:gridCol w:w="992"/>
      </w:tblGrid>
      <w:tr>
        <w:trPr>
          <w:tblHeader/>
        </w:trPr>
        <w:tc>
          <w:tcPr>
            <w:tcW w:w="567" w:type="dxa"/>
            <w:tcBorders>
              <w:top w:val="single" w:sz="4" w:space="0" w:color="auto"/>
              <w:bottom w:val="single" w:sz="4" w:space="0" w:color="auto"/>
            </w:tcBorders>
          </w:tcPr>
          <w:p>
            <w:pPr>
              <w:pStyle w:val="yTableNAm"/>
              <w:rPr>
                <w:b/>
              </w:rPr>
            </w:pPr>
            <w:r>
              <w:rPr>
                <w:b/>
              </w:rPr>
              <w:t>Item</w:t>
            </w:r>
          </w:p>
        </w:tc>
        <w:tc>
          <w:tcPr>
            <w:tcW w:w="4394" w:type="dxa"/>
            <w:tcBorders>
              <w:top w:val="single" w:sz="4" w:space="0" w:color="auto"/>
              <w:bottom w:val="single" w:sz="4" w:space="0" w:color="auto"/>
            </w:tcBorders>
          </w:tcPr>
          <w:p>
            <w:pPr>
              <w:pStyle w:val="yTableNAm"/>
              <w:rPr>
                <w:b/>
              </w:rPr>
            </w:pPr>
            <w:r>
              <w:rPr>
                <w:b/>
              </w:rPr>
              <w:t>Service</w:t>
            </w:r>
          </w:p>
        </w:tc>
        <w:tc>
          <w:tcPr>
            <w:tcW w:w="992" w:type="dxa"/>
            <w:tcBorders>
              <w:top w:val="single" w:sz="4" w:space="0" w:color="auto"/>
              <w:bottom w:val="single" w:sz="4" w:space="0" w:color="auto"/>
            </w:tcBorders>
          </w:tcPr>
          <w:p>
            <w:pPr>
              <w:pStyle w:val="yTableNAm"/>
              <w:jc w:val="center"/>
              <w:rPr>
                <w:b/>
              </w:rPr>
            </w:pPr>
            <w:r>
              <w:rPr>
                <w:b/>
              </w:rPr>
              <w:t>$</w:t>
            </w:r>
          </w:p>
        </w:tc>
      </w:tr>
      <w:tr>
        <w:tc>
          <w:tcPr>
            <w:tcW w:w="567" w:type="dxa"/>
            <w:tcBorders>
              <w:top w:val="single" w:sz="4" w:space="0" w:color="auto"/>
            </w:tcBorders>
          </w:tcPr>
          <w:p>
            <w:pPr>
              <w:pStyle w:val="yTableNAm"/>
            </w:pPr>
            <w:r>
              <w:t>1.</w:t>
            </w:r>
          </w:p>
        </w:tc>
        <w:tc>
          <w:tcPr>
            <w:tcW w:w="4394" w:type="dxa"/>
            <w:tcBorders>
              <w:top w:val="single" w:sz="4" w:space="0" w:color="auto"/>
            </w:tcBorders>
          </w:tcPr>
          <w:p>
            <w:pPr>
              <w:pStyle w:val="yTableNAm"/>
            </w:pPr>
            <w:r>
              <w:t xml:space="preserve">For fixed pen in pen sets A to L2 for commercial vessel, per m of the longer of the vessel’s length and the chargeable length of the pen — </w:t>
            </w:r>
          </w:p>
        </w:tc>
        <w:tc>
          <w:tcPr>
            <w:tcW w:w="992" w:type="dxa"/>
            <w:tcBorders>
              <w:top w:val="single" w:sz="4" w:space="0" w:color="auto"/>
            </w:tcBorders>
          </w:tcPr>
          <w:p>
            <w:pPr>
              <w:pStyle w:val="yTableNAm"/>
              <w:jc w:val="right"/>
            </w:pPr>
          </w:p>
        </w:tc>
      </w:tr>
      <w:tr>
        <w:tc>
          <w:tcPr>
            <w:tcW w:w="567" w:type="dxa"/>
          </w:tcPr>
          <w:p>
            <w:pPr>
              <w:pStyle w:val="yTableNAm"/>
            </w:pPr>
          </w:p>
        </w:tc>
        <w:tc>
          <w:tcPr>
            <w:tcW w:w="4394" w:type="dxa"/>
          </w:tcPr>
          <w:p>
            <w:pPr>
              <w:pStyle w:val="yTableNAm"/>
              <w:tabs>
                <w:tab w:val="clear" w:pos="567"/>
                <w:tab w:val="left" w:pos="415"/>
              </w:tabs>
              <w:ind w:left="415" w:hanging="415"/>
            </w:pPr>
            <w:r>
              <w:t>•</w:t>
            </w:r>
            <w:r>
              <w:tab/>
              <w:t>for 12 months paid in advance</w:t>
            </w:r>
          </w:p>
        </w:tc>
        <w:tc>
          <w:tcPr>
            <w:tcW w:w="992" w:type="dxa"/>
            <w:vAlign w:val="bottom"/>
          </w:tcPr>
          <w:p>
            <w:pPr>
              <w:pStyle w:val="yTableNAm"/>
              <w:jc w:val="right"/>
              <w:rPr>
                <w:szCs w:val="22"/>
              </w:rPr>
            </w:pPr>
            <w:r>
              <w:rPr>
                <w:szCs w:val="22"/>
              </w:rPr>
              <w:t>552.87</w:t>
            </w:r>
          </w:p>
        </w:tc>
      </w:tr>
      <w:tr>
        <w:tc>
          <w:tcPr>
            <w:tcW w:w="567" w:type="dxa"/>
          </w:tcPr>
          <w:p>
            <w:pPr>
              <w:pStyle w:val="yTableNAm"/>
            </w:pPr>
          </w:p>
        </w:tc>
        <w:tc>
          <w:tcPr>
            <w:tcW w:w="4394" w:type="dxa"/>
          </w:tcPr>
          <w:p>
            <w:pPr>
              <w:pStyle w:val="yTableNAm"/>
              <w:tabs>
                <w:tab w:val="clear" w:pos="567"/>
                <w:tab w:val="left" w:pos="415"/>
              </w:tabs>
              <w:ind w:left="415" w:hanging="415"/>
            </w:pPr>
            <w:r>
              <w:t>•</w:t>
            </w:r>
            <w:r>
              <w:tab/>
              <w:t>for 3 months or more, per month, paid in advance</w:t>
            </w:r>
          </w:p>
        </w:tc>
        <w:tc>
          <w:tcPr>
            <w:tcW w:w="992" w:type="dxa"/>
            <w:vAlign w:val="bottom"/>
          </w:tcPr>
          <w:p>
            <w:pPr>
              <w:pStyle w:val="yTableNAm"/>
              <w:jc w:val="right"/>
              <w:rPr>
                <w:szCs w:val="22"/>
              </w:rPr>
            </w:pPr>
            <w:r>
              <w:rPr>
                <w:szCs w:val="22"/>
              </w:rPr>
              <w:t>55.31</w:t>
            </w:r>
          </w:p>
        </w:tc>
      </w:tr>
      <w:tr>
        <w:tc>
          <w:tcPr>
            <w:tcW w:w="567" w:type="dxa"/>
          </w:tcPr>
          <w:p>
            <w:pPr>
              <w:pStyle w:val="yTableNAm"/>
            </w:pPr>
          </w:p>
        </w:tc>
        <w:tc>
          <w:tcPr>
            <w:tcW w:w="4394" w:type="dxa"/>
          </w:tcPr>
          <w:p>
            <w:pPr>
              <w:pStyle w:val="yTableNAm"/>
              <w:tabs>
                <w:tab w:val="clear" w:pos="567"/>
                <w:tab w:val="left" w:pos="415"/>
              </w:tabs>
              <w:ind w:left="415" w:hanging="415"/>
            </w:pPr>
            <w:r>
              <w:t>•</w:t>
            </w:r>
            <w:r>
              <w:tab/>
              <w:t>for one month or more, per month, paid in advance</w:t>
            </w:r>
          </w:p>
        </w:tc>
        <w:tc>
          <w:tcPr>
            <w:tcW w:w="992" w:type="dxa"/>
            <w:vAlign w:val="bottom"/>
          </w:tcPr>
          <w:p>
            <w:pPr>
              <w:pStyle w:val="yTableNAm"/>
              <w:jc w:val="right"/>
              <w:rPr>
                <w:szCs w:val="22"/>
              </w:rPr>
            </w:pPr>
            <w:r>
              <w:rPr>
                <w:szCs w:val="22"/>
              </w:rPr>
              <w:t>82.93</w:t>
            </w:r>
          </w:p>
        </w:tc>
      </w:tr>
      <w:tr>
        <w:tc>
          <w:tcPr>
            <w:tcW w:w="567" w:type="dxa"/>
          </w:tcPr>
          <w:p>
            <w:pPr>
              <w:pStyle w:val="yTableNAm"/>
            </w:pPr>
            <w:r>
              <w:t>2.</w:t>
            </w:r>
          </w:p>
        </w:tc>
        <w:tc>
          <w:tcPr>
            <w:tcW w:w="4394" w:type="dxa"/>
          </w:tcPr>
          <w:p>
            <w:pPr>
              <w:pStyle w:val="yTableNAm"/>
            </w:pPr>
            <w:r>
              <w:t xml:space="preserve">For floating pen in pen sets A to L2 for commercial vessel, per m of the longer of the vessel’s length and the chargeable length of the pen — </w:t>
            </w:r>
          </w:p>
        </w:tc>
        <w:tc>
          <w:tcPr>
            <w:tcW w:w="992" w:type="dxa"/>
            <w:vAlign w:val="bottom"/>
          </w:tcPr>
          <w:p>
            <w:pPr>
              <w:pStyle w:val="yTableNAm"/>
              <w:jc w:val="right"/>
              <w:rPr>
                <w:szCs w:val="22"/>
              </w:rPr>
            </w:pPr>
          </w:p>
        </w:tc>
      </w:tr>
      <w:tr>
        <w:tc>
          <w:tcPr>
            <w:tcW w:w="567" w:type="dxa"/>
          </w:tcPr>
          <w:p>
            <w:pPr>
              <w:pStyle w:val="yTableNAm"/>
            </w:pPr>
          </w:p>
        </w:tc>
        <w:tc>
          <w:tcPr>
            <w:tcW w:w="4394" w:type="dxa"/>
          </w:tcPr>
          <w:p>
            <w:pPr>
              <w:pStyle w:val="yTableNAm"/>
              <w:tabs>
                <w:tab w:val="clear" w:pos="567"/>
                <w:tab w:val="left" w:pos="415"/>
              </w:tabs>
              <w:ind w:left="415" w:hanging="415"/>
            </w:pPr>
            <w:r>
              <w:t>•</w:t>
            </w:r>
            <w:r>
              <w:tab/>
              <w:t>for 12 months paid in advance</w:t>
            </w:r>
          </w:p>
        </w:tc>
        <w:tc>
          <w:tcPr>
            <w:tcW w:w="992" w:type="dxa"/>
            <w:vAlign w:val="bottom"/>
          </w:tcPr>
          <w:p>
            <w:pPr>
              <w:pStyle w:val="yTableNAm"/>
              <w:jc w:val="right"/>
              <w:rPr>
                <w:szCs w:val="22"/>
              </w:rPr>
            </w:pPr>
            <w:r>
              <w:rPr>
                <w:szCs w:val="22"/>
              </w:rPr>
              <w:t>589.19</w:t>
            </w:r>
          </w:p>
        </w:tc>
      </w:tr>
      <w:tr>
        <w:tc>
          <w:tcPr>
            <w:tcW w:w="567" w:type="dxa"/>
          </w:tcPr>
          <w:p>
            <w:pPr>
              <w:pStyle w:val="yTableNAm"/>
            </w:pPr>
          </w:p>
        </w:tc>
        <w:tc>
          <w:tcPr>
            <w:tcW w:w="4394" w:type="dxa"/>
          </w:tcPr>
          <w:p>
            <w:pPr>
              <w:pStyle w:val="yTableNAm"/>
              <w:tabs>
                <w:tab w:val="clear" w:pos="567"/>
                <w:tab w:val="left" w:pos="415"/>
              </w:tabs>
              <w:ind w:left="415" w:hanging="415"/>
            </w:pPr>
            <w:r>
              <w:t>•</w:t>
            </w:r>
            <w:r>
              <w:tab/>
              <w:t>for 3 months or more, per month, paid in advance</w:t>
            </w:r>
          </w:p>
        </w:tc>
        <w:tc>
          <w:tcPr>
            <w:tcW w:w="992" w:type="dxa"/>
            <w:vAlign w:val="bottom"/>
          </w:tcPr>
          <w:p>
            <w:pPr>
              <w:pStyle w:val="yTableNAm"/>
              <w:jc w:val="right"/>
              <w:rPr>
                <w:szCs w:val="22"/>
              </w:rPr>
            </w:pPr>
            <w:r>
              <w:rPr>
                <w:szCs w:val="22"/>
              </w:rPr>
              <w:t>58.92</w:t>
            </w:r>
          </w:p>
        </w:tc>
      </w:tr>
      <w:tr>
        <w:tc>
          <w:tcPr>
            <w:tcW w:w="567" w:type="dxa"/>
          </w:tcPr>
          <w:p>
            <w:pPr>
              <w:pStyle w:val="yTableNAm"/>
            </w:pPr>
          </w:p>
        </w:tc>
        <w:tc>
          <w:tcPr>
            <w:tcW w:w="4394" w:type="dxa"/>
          </w:tcPr>
          <w:p>
            <w:pPr>
              <w:pStyle w:val="yTableNAm"/>
              <w:tabs>
                <w:tab w:val="clear" w:pos="567"/>
                <w:tab w:val="left" w:pos="415"/>
              </w:tabs>
              <w:ind w:left="415" w:hanging="415"/>
            </w:pPr>
            <w:r>
              <w:t>•</w:t>
            </w:r>
            <w:r>
              <w:tab/>
              <w:t>for one month or more, per month, paid in advance</w:t>
            </w:r>
          </w:p>
        </w:tc>
        <w:tc>
          <w:tcPr>
            <w:tcW w:w="992" w:type="dxa"/>
            <w:vAlign w:val="bottom"/>
          </w:tcPr>
          <w:p>
            <w:pPr>
              <w:pStyle w:val="yTableNAm"/>
              <w:jc w:val="right"/>
              <w:rPr>
                <w:szCs w:val="22"/>
              </w:rPr>
            </w:pPr>
            <w:r>
              <w:rPr>
                <w:szCs w:val="22"/>
              </w:rPr>
              <w:t>88.37</w:t>
            </w:r>
          </w:p>
        </w:tc>
      </w:tr>
      <w:tr>
        <w:tc>
          <w:tcPr>
            <w:tcW w:w="567" w:type="dxa"/>
          </w:tcPr>
          <w:p>
            <w:pPr>
              <w:pStyle w:val="yTableNAm"/>
              <w:keepNext/>
            </w:pPr>
            <w:r>
              <w:t>3.</w:t>
            </w:r>
          </w:p>
        </w:tc>
        <w:tc>
          <w:tcPr>
            <w:tcW w:w="4394" w:type="dxa"/>
          </w:tcPr>
          <w:p>
            <w:pPr>
              <w:pStyle w:val="yTableNAm"/>
              <w:keepNext/>
            </w:pPr>
            <w:r>
              <w:t>For fixed pen in pen sets A to L2 for recreational vessel, per m of the longer of the vessel’s length and the chargeable length of the pen —</w:t>
            </w:r>
          </w:p>
        </w:tc>
        <w:tc>
          <w:tcPr>
            <w:tcW w:w="992" w:type="dxa"/>
            <w:vAlign w:val="bottom"/>
          </w:tcPr>
          <w:p>
            <w:pPr>
              <w:pStyle w:val="yTableNAm"/>
              <w:keepNext/>
              <w:jc w:val="right"/>
              <w:rPr>
                <w:szCs w:val="22"/>
              </w:rPr>
            </w:pPr>
          </w:p>
        </w:tc>
      </w:tr>
      <w:tr>
        <w:tc>
          <w:tcPr>
            <w:tcW w:w="567" w:type="dxa"/>
          </w:tcPr>
          <w:p>
            <w:pPr>
              <w:pStyle w:val="yTableNAm"/>
            </w:pPr>
          </w:p>
        </w:tc>
        <w:tc>
          <w:tcPr>
            <w:tcW w:w="4394" w:type="dxa"/>
          </w:tcPr>
          <w:p>
            <w:pPr>
              <w:pStyle w:val="yTableNAm"/>
              <w:tabs>
                <w:tab w:val="clear" w:pos="567"/>
                <w:tab w:val="left" w:pos="415"/>
              </w:tabs>
              <w:ind w:left="415" w:hanging="415"/>
            </w:pPr>
            <w:r>
              <w:t>•</w:t>
            </w:r>
            <w:r>
              <w:tab/>
              <w:t>for 12 months paid in advance</w:t>
            </w:r>
          </w:p>
        </w:tc>
        <w:tc>
          <w:tcPr>
            <w:tcW w:w="992" w:type="dxa"/>
            <w:vAlign w:val="bottom"/>
          </w:tcPr>
          <w:p>
            <w:pPr>
              <w:pStyle w:val="yTableNAm"/>
              <w:jc w:val="right"/>
              <w:rPr>
                <w:szCs w:val="22"/>
              </w:rPr>
            </w:pPr>
            <w:r>
              <w:rPr>
                <w:szCs w:val="22"/>
              </w:rPr>
              <w:t>508.76</w:t>
            </w:r>
          </w:p>
        </w:tc>
      </w:tr>
      <w:tr>
        <w:tc>
          <w:tcPr>
            <w:tcW w:w="567" w:type="dxa"/>
          </w:tcPr>
          <w:p>
            <w:pPr>
              <w:pStyle w:val="yTableNAm"/>
            </w:pPr>
          </w:p>
        </w:tc>
        <w:tc>
          <w:tcPr>
            <w:tcW w:w="4394" w:type="dxa"/>
          </w:tcPr>
          <w:p>
            <w:pPr>
              <w:pStyle w:val="yTableNAm"/>
              <w:tabs>
                <w:tab w:val="clear" w:pos="567"/>
                <w:tab w:val="left" w:pos="415"/>
              </w:tabs>
              <w:ind w:left="415" w:hanging="415"/>
            </w:pPr>
            <w:r>
              <w:t>•</w:t>
            </w:r>
            <w:r>
              <w:tab/>
              <w:t>for 3 months or more, per month, paid in advance</w:t>
            </w:r>
          </w:p>
        </w:tc>
        <w:tc>
          <w:tcPr>
            <w:tcW w:w="992" w:type="dxa"/>
            <w:vAlign w:val="bottom"/>
          </w:tcPr>
          <w:p>
            <w:pPr>
              <w:pStyle w:val="yTableNAm"/>
              <w:jc w:val="right"/>
              <w:rPr>
                <w:szCs w:val="22"/>
              </w:rPr>
            </w:pPr>
            <w:r>
              <w:rPr>
                <w:szCs w:val="22"/>
              </w:rPr>
              <w:t>50.85</w:t>
            </w:r>
          </w:p>
        </w:tc>
      </w:tr>
      <w:tr>
        <w:tc>
          <w:tcPr>
            <w:tcW w:w="567" w:type="dxa"/>
          </w:tcPr>
          <w:p>
            <w:pPr>
              <w:pStyle w:val="yTableNAm"/>
            </w:pPr>
          </w:p>
        </w:tc>
        <w:tc>
          <w:tcPr>
            <w:tcW w:w="4394" w:type="dxa"/>
          </w:tcPr>
          <w:p>
            <w:pPr>
              <w:pStyle w:val="yTableNAm"/>
              <w:tabs>
                <w:tab w:val="clear" w:pos="567"/>
                <w:tab w:val="left" w:pos="415"/>
              </w:tabs>
              <w:ind w:left="415" w:hanging="415"/>
            </w:pPr>
            <w:r>
              <w:t>•</w:t>
            </w:r>
            <w:r>
              <w:tab/>
              <w:t>for one month or more, per month, paid in advance</w:t>
            </w:r>
          </w:p>
        </w:tc>
        <w:tc>
          <w:tcPr>
            <w:tcW w:w="992" w:type="dxa"/>
            <w:vAlign w:val="bottom"/>
          </w:tcPr>
          <w:p>
            <w:pPr>
              <w:pStyle w:val="yTableNAm"/>
              <w:jc w:val="right"/>
              <w:rPr>
                <w:szCs w:val="22"/>
              </w:rPr>
            </w:pPr>
            <w:r>
              <w:rPr>
                <w:szCs w:val="22"/>
              </w:rPr>
              <w:t>76.32</w:t>
            </w:r>
          </w:p>
        </w:tc>
      </w:tr>
      <w:tr>
        <w:tc>
          <w:tcPr>
            <w:tcW w:w="567" w:type="dxa"/>
          </w:tcPr>
          <w:p>
            <w:pPr>
              <w:pStyle w:val="yTableNAm"/>
            </w:pPr>
            <w:r>
              <w:t>4.</w:t>
            </w:r>
          </w:p>
        </w:tc>
        <w:tc>
          <w:tcPr>
            <w:tcW w:w="4394" w:type="dxa"/>
          </w:tcPr>
          <w:p>
            <w:pPr>
              <w:pStyle w:val="yTableNAm"/>
            </w:pPr>
            <w:r>
              <w:t xml:space="preserve">For floating pen in pen sets A to L2 for recreational vessel — </w:t>
            </w:r>
          </w:p>
        </w:tc>
        <w:tc>
          <w:tcPr>
            <w:tcW w:w="992" w:type="dxa"/>
            <w:vAlign w:val="bottom"/>
          </w:tcPr>
          <w:p>
            <w:pPr>
              <w:pStyle w:val="yTableNAm"/>
              <w:jc w:val="right"/>
              <w:rPr>
                <w:szCs w:val="22"/>
              </w:rPr>
            </w:pPr>
          </w:p>
        </w:tc>
      </w:tr>
      <w:tr>
        <w:tc>
          <w:tcPr>
            <w:tcW w:w="567" w:type="dxa"/>
          </w:tcPr>
          <w:p>
            <w:pPr>
              <w:pStyle w:val="yTableNAm"/>
            </w:pPr>
          </w:p>
        </w:tc>
        <w:tc>
          <w:tcPr>
            <w:tcW w:w="4394" w:type="dxa"/>
          </w:tcPr>
          <w:p>
            <w:pPr>
              <w:pStyle w:val="yTableNAm"/>
              <w:tabs>
                <w:tab w:val="clear" w:pos="567"/>
                <w:tab w:val="left" w:pos="415"/>
              </w:tabs>
              <w:ind w:left="415" w:hanging="415"/>
            </w:pPr>
            <w:r>
              <w:t>•</w:t>
            </w:r>
            <w:r>
              <w:tab/>
              <w:t>for 12 months paid in advance</w:t>
            </w:r>
          </w:p>
        </w:tc>
        <w:tc>
          <w:tcPr>
            <w:tcW w:w="992" w:type="dxa"/>
            <w:vAlign w:val="bottom"/>
          </w:tcPr>
          <w:p>
            <w:pPr>
              <w:pStyle w:val="yTableNAm"/>
              <w:jc w:val="right"/>
              <w:rPr>
                <w:szCs w:val="22"/>
              </w:rPr>
            </w:pPr>
            <w:r>
              <w:rPr>
                <w:szCs w:val="22"/>
              </w:rPr>
              <w:t>545.12</w:t>
            </w:r>
          </w:p>
        </w:tc>
      </w:tr>
      <w:tr>
        <w:tc>
          <w:tcPr>
            <w:tcW w:w="567" w:type="dxa"/>
          </w:tcPr>
          <w:p>
            <w:pPr>
              <w:pStyle w:val="yTableNAm"/>
            </w:pPr>
          </w:p>
        </w:tc>
        <w:tc>
          <w:tcPr>
            <w:tcW w:w="4394" w:type="dxa"/>
          </w:tcPr>
          <w:p>
            <w:pPr>
              <w:pStyle w:val="yTableNAm"/>
              <w:tabs>
                <w:tab w:val="clear" w:pos="567"/>
                <w:tab w:val="left" w:pos="415"/>
              </w:tabs>
              <w:ind w:left="415" w:hanging="415"/>
            </w:pPr>
            <w:r>
              <w:t>•</w:t>
            </w:r>
            <w:r>
              <w:tab/>
              <w:t>for 3 months or more, per month, paid in advance</w:t>
            </w:r>
          </w:p>
        </w:tc>
        <w:tc>
          <w:tcPr>
            <w:tcW w:w="992" w:type="dxa"/>
            <w:vAlign w:val="bottom"/>
          </w:tcPr>
          <w:p>
            <w:pPr>
              <w:pStyle w:val="yTableNAm"/>
              <w:jc w:val="right"/>
              <w:rPr>
                <w:szCs w:val="22"/>
              </w:rPr>
            </w:pPr>
            <w:r>
              <w:rPr>
                <w:szCs w:val="22"/>
              </w:rPr>
              <w:t>54.53</w:t>
            </w:r>
          </w:p>
        </w:tc>
      </w:tr>
      <w:tr>
        <w:tc>
          <w:tcPr>
            <w:tcW w:w="567" w:type="dxa"/>
          </w:tcPr>
          <w:p>
            <w:pPr>
              <w:pStyle w:val="yTableNAm"/>
            </w:pPr>
          </w:p>
        </w:tc>
        <w:tc>
          <w:tcPr>
            <w:tcW w:w="4394" w:type="dxa"/>
          </w:tcPr>
          <w:p>
            <w:pPr>
              <w:pStyle w:val="yTableNAm"/>
              <w:tabs>
                <w:tab w:val="clear" w:pos="567"/>
                <w:tab w:val="left" w:pos="415"/>
              </w:tabs>
              <w:ind w:left="415" w:hanging="415"/>
            </w:pPr>
            <w:r>
              <w:t>•</w:t>
            </w:r>
            <w:r>
              <w:tab/>
              <w:t>for one month or more, per month, paid in advance</w:t>
            </w:r>
          </w:p>
        </w:tc>
        <w:tc>
          <w:tcPr>
            <w:tcW w:w="992" w:type="dxa"/>
            <w:vAlign w:val="bottom"/>
          </w:tcPr>
          <w:p>
            <w:pPr>
              <w:pStyle w:val="yTableNAm"/>
              <w:jc w:val="right"/>
              <w:rPr>
                <w:szCs w:val="22"/>
              </w:rPr>
            </w:pPr>
            <w:r>
              <w:rPr>
                <w:szCs w:val="22"/>
              </w:rPr>
              <w:t>81.77</w:t>
            </w:r>
          </w:p>
        </w:tc>
      </w:tr>
      <w:tr>
        <w:tc>
          <w:tcPr>
            <w:tcW w:w="567" w:type="dxa"/>
          </w:tcPr>
          <w:p>
            <w:pPr>
              <w:pStyle w:val="yTableNAm"/>
            </w:pPr>
            <w:r>
              <w:t>5.</w:t>
            </w:r>
          </w:p>
        </w:tc>
        <w:tc>
          <w:tcPr>
            <w:tcW w:w="4394" w:type="dxa"/>
          </w:tcPr>
          <w:p>
            <w:pPr>
              <w:pStyle w:val="yTableNAm"/>
            </w:pPr>
            <w:r>
              <w:t>For pen for one week or more, per week —</w:t>
            </w:r>
          </w:p>
        </w:tc>
        <w:tc>
          <w:tcPr>
            <w:tcW w:w="992" w:type="dxa"/>
            <w:vAlign w:val="bottom"/>
          </w:tcPr>
          <w:p>
            <w:pPr>
              <w:pStyle w:val="yTableNAm"/>
              <w:jc w:val="right"/>
              <w:rPr>
                <w:szCs w:val="22"/>
              </w:rPr>
            </w:pPr>
          </w:p>
        </w:tc>
      </w:tr>
      <w:tr>
        <w:tc>
          <w:tcPr>
            <w:tcW w:w="567" w:type="dxa"/>
          </w:tcPr>
          <w:p>
            <w:pPr>
              <w:pStyle w:val="yTableNAm"/>
            </w:pPr>
          </w:p>
        </w:tc>
        <w:tc>
          <w:tcPr>
            <w:tcW w:w="4394" w:type="dxa"/>
          </w:tcPr>
          <w:p>
            <w:pPr>
              <w:pStyle w:val="yTableNAm"/>
              <w:tabs>
                <w:tab w:val="clear" w:pos="567"/>
                <w:tab w:val="left" w:pos="415"/>
                <w:tab w:val="left" w:pos="793"/>
              </w:tabs>
              <w:ind w:left="415" w:hanging="415"/>
            </w:pPr>
            <w:r>
              <w:t>•</w:t>
            </w:r>
            <w:r>
              <w:tab/>
              <w:t xml:space="preserve">for commercial vessel — </w:t>
            </w:r>
          </w:p>
          <w:p>
            <w:pPr>
              <w:pStyle w:val="yTableNAm"/>
              <w:tabs>
                <w:tab w:val="clear" w:pos="567"/>
                <w:tab w:val="left" w:pos="415"/>
                <w:tab w:val="left" w:pos="793"/>
              </w:tabs>
              <w:ind w:left="415" w:hanging="415"/>
            </w:pPr>
            <w:r>
              <w:tab/>
              <w:t>•</w:t>
            </w:r>
            <w:r>
              <w:tab/>
              <w:t>per m of the vessel’s length</w:t>
            </w:r>
          </w:p>
          <w:p>
            <w:pPr>
              <w:pStyle w:val="yTableNAm"/>
              <w:tabs>
                <w:tab w:val="clear" w:pos="567"/>
                <w:tab w:val="left" w:pos="415"/>
                <w:tab w:val="left" w:pos="793"/>
              </w:tabs>
              <w:ind w:left="415" w:hanging="415"/>
            </w:pPr>
            <w:r>
              <w:tab/>
              <w:t>•</w:t>
            </w:r>
            <w:r>
              <w:tab/>
              <w:t xml:space="preserve">minimum fee </w:t>
            </w:r>
          </w:p>
        </w:tc>
        <w:tc>
          <w:tcPr>
            <w:tcW w:w="992" w:type="dxa"/>
            <w:vAlign w:val="bottom"/>
          </w:tcPr>
          <w:p>
            <w:pPr>
              <w:pStyle w:val="yTableNAm"/>
              <w:jc w:val="right"/>
              <w:rPr>
                <w:szCs w:val="22"/>
              </w:rPr>
            </w:pPr>
          </w:p>
          <w:p>
            <w:pPr>
              <w:pStyle w:val="yTableNAm"/>
              <w:jc w:val="right"/>
              <w:rPr>
                <w:szCs w:val="22"/>
              </w:rPr>
            </w:pPr>
            <w:r>
              <w:rPr>
                <w:szCs w:val="22"/>
              </w:rPr>
              <w:t>29.45</w:t>
            </w:r>
          </w:p>
          <w:p>
            <w:pPr>
              <w:pStyle w:val="yTableNAm"/>
              <w:jc w:val="right"/>
              <w:rPr>
                <w:szCs w:val="22"/>
              </w:rPr>
            </w:pPr>
            <w:r>
              <w:rPr>
                <w:szCs w:val="22"/>
              </w:rPr>
              <w:t>239.94</w:t>
            </w:r>
          </w:p>
        </w:tc>
      </w:tr>
      <w:tr>
        <w:tc>
          <w:tcPr>
            <w:tcW w:w="567" w:type="dxa"/>
          </w:tcPr>
          <w:p>
            <w:pPr>
              <w:pStyle w:val="yTableNAm"/>
            </w:pPr>
          </w:p>
        </w:tc>
        <w:tc>
          <w:tcPr>
            <w:tcW w:w="4394" w:type="dxa"/>
          </w:tcPr>
          <w:p>
            <w:pPr>
              <w:pStyle w:val="yTableNAm"/>
              <w:tabs>
                <w:tab w:val="clear" w:pos="567"/>
                <w:tab w:val="left" w:pos="415"/>
                <w:tab w:val="left" w:pos="793"/>
              </w:tabs>
              <w:ind w:left="415" w:hanging="415"/>
            </w:pPr>
            <w:r>
              <w:t>•</w:t>
            </w:r>
            <w:r>
              <w:tab/>
              <w:t xml:space="preserve">for recreational vessel — </w:t>
            </w:r>
          </w:p>
          <w:p>
            <w:pPr>
              <w:pStyle w:val="yTableNAm"/>
              <w:tabs>
                <w:tab w:val="clear" w:pos="567"/>
                <w:tab w:val="left" w:pos="415"/>
                <w:tab w:val="left" w:pos="793"/>
              </w:tabs>
              <w:ind w:left="415" w:hanging="415"/>
            </w:pPr>
            <w:r>
              <w:tab/>
              <w:t>•</w:t>
            </w:r>
            <w:r>
              <w:tab/>
              <w:t>per m of the vessel’s length</w:t>
            </w:r>
          </w:p>
          <w:p>
            <w:pPr>
              <w:pStyle w:val="yTableNAm"/>
              <w:tabs>
                <w:tab w:val="clear" w:pos="567"/>
                <w:tab w:val="left" w:pos="415"/>
                <w:tab w:val="left" w:pos="793"/>
              </w:tabs>
              <w:ind w:left="415" w:hanging="415"/>
            </w:pPr>
            <w:r>
              <w:tab/>
              <w:t>•</w:t>
            </w:r>
            <w:r>
              <w:tab/>
              <w:t xml:space="preserve">minimum fee </w:t>
            </w:r>
          </w:p>
        </w:tc>
        <w:tc>
          <w:tcPr>
            <w:tcW w:w="992" w:type="dxa"/>
            <w:vAlign w:val="bottom"/>
          </w:tcPr>
          <w:p>
            <w:pPr>
              <w:pStyle w:val="yTableNAm"/>
              <w:jc w:val="right"/>
              <w:rPr>
                <w:szCs w:val="22"/>
              </w:rPr>
            </w:pPr>
          </w:p>
          <w:p>
            <w:pPr>
              <w:pStyle w:val="yTableNAm"/>
              <w:jc w:val="right"/>
              <w:rPr>
                <w:szCs w:val="22"/>
              </w:rPr>
            </w:pPr>
            <w:r>
              <w:rPr>
                <w:szCs w:val="22"/>
              </w:rPr>
              <w:t>27.26</w:t>
            </w:r>
          </w:p>
          <w:p>
            <w:pPr>
              <w:pStyle w:val="yTableNAm"/>
              <w:jc w:val="right"/>
              <w:rPr>
                <w:szCs w:val="22"/>
              </w:rPr>
            </w:pPr>
            <w:r>
              <w:rPr>
                <w:szCs w:val="22"/>
              </w:rPr>
              <w:t>239.94</w:t>
            </w:r>
          </w:p>
        </w:tc>
      </w:tr>
      <w:tr>
        <w:tc>
          <w:tcPr>
            <w:tcW w:w="567" w:type="dxa"/>
          </w:tcPr>
          <w:p>
            <w:pPr>
              <w:pStyle w:val="yTableNAm"/>
            </w:pPr>
            <w:r>
              <w:t>6.</w:t>
            </w:r>
          </w:p>
        </w:tc>
        <w:tc>
          <w:tcPr>
            <w:tcW w:w="4394" w:type="dxa"/>
          </w:tcPr>
          <w:p>
            <w:pPr>
              <w:pStyle w:val="yTableNAm"/>
            </w:pPr>
            <w:r>
              <w:t xml:space="preserve">For pen, per day — </w:t>
            </w:r>
          </w:p>
        </w:tc>
        <w:tc>
          <w:tcPr>
            <w:tcW w:w="992" w:type="dxa"/>
            <w:vAlign w:val="bottom"/>
          </w:tcPr>
          <w:p>
            <w:pPr>
              <w:pStyle w:val="yTableNAm"/>
              <w:jc w:val="right"/>
              <w:rPr>
                <w:szCs w:val="22"/>
              </w:rPr>
            </w:pPr>
          </w:p>
        </w:tc>
      </w:tr>
      <w:tr>
        <w:tc>
          <w:tcPr>
            <w:tcW w:w="567" w:type="dxa"/>
          </w:tcPr>
          <w:p>
            <w:pPr>
              <w:pStyle w:val="yTableNAm"/>
            </w:pPr>
          </w:p>
        </w:tc>
        <w:tc>
          <w:tcPr>
            <w:tcW w:w="4394" w:type="dxa"/>
          </w:tcPr>
          <w:p>
            <w:pPr>
              <w:pStyle w:val="yTableNAm"/>
              <w:tabs>
                <w:tab w:val="clear" w:pos="567"/>
                <w:tab w:val="left" w:pos="415"/>
                <w:tab w:val="left" w:pos="793"/>
              </w:tabs>
              <w:ind w:left="415" w:hanging="415"/>
            </w:pPr>
            <w:r>
              <w:t>•</w:t>
            </w:r>
            <w:r>
              <w:tab/>
              <w:t>for commercial vessel —</w:t>
            </w:r>
          </w:p>
          <w:p>
            <w:pPr>
              <w:pStyle w:val="yTableNAm"/>
              <w:tabs>
                <w:tab w:val="clear" w:pos="567"/>
                <w:tab w:val="left" w:pos="415"/>
                <w:tab w:val="left" w:pos="793"/>
              </w:tabs>
              <w:ind w:left="415" w:hanging="415"/>
            </w:pPr>
            <w:r>
              <w:tab/>
              <w:t>•</w:t>
            </w:r>
            <w:r>
              <w:tab/>
              <w:t>per m of the vessel’s length</w:t>
            </w:r>
          </w:p>
          <w:p>
            <w:pPr>
              <w:pStyle w:val="yTableNAm"/>
              <w:tabs>
                <w:tab w:val="clear" w:pos="567"/>
                <w:tab w:val="left" w:pos="415"/>
                <w:tab w:val="left" w:pos="793"/>
              </w:tabs>
              <w:ind w:left="415" w:hanging="415"/>
            </w:pPr>
            <w:r>
              <w:tab/>
              <w:t>•</w:t>
            </w:r>
            <w:r>
              <w:tab/>
              <w:t>minimum fee for overnight use</w:t>
            </w:r>
          </w:p>
        </w:tc>
        <w:tc>
          <w:tcPr>
            <w:tcW w:w="992" w:type="dxa"/>
            <w:vAlign w:val="bottom"/>
          </w:tcPr>
          <w:p>
            <w:pPr>
              <w:pStyle w:val="yTableNAm"/>
              <w:jc w:val="right"/>
              <w:rPr>
                <w:szCs w:val="22"/>
              </w:rPr>
            </w:pPr>
          </w:p>
          <w:p>
            <w:pPr>
              <w:pStyle w:val="yTableNAm"/>
              <w:jc w:val="right"/>
              <w:rPr>
                <w:szCs w:val="22"/>
              </w:rPr>
            </w:pPr>
            <w:r>
              <w:rPr>
                <w:szCs w:val="22"/>
              </w:rPr>
              <w:t>5.90</w:t>
            </w:r>
          </w:p>
          <w:p>
            <w:pPr>
              <w:pStyle w:val="yTableNAm"/>
              <w:jc w:val="right"/>
              <w:rPr>
                <w:szCs w:val="22"/>
              </w:rPr>
            </w:pPr>
            <w:r>
              <w:rPr>
                <w:szCs w:val="22"/>
              </w:rPr>
              <w:t>47.96</w:t>
            </w:r>
          </w:p>
        </w:tc>
      </w:tr>
      <w:tr>
        <w:tc>
          <w:tcPr>
            <w:tcW w:w="567" w:type="dxa"/>
          </w:tcPr>
          <w:p>
            <w:pPr>
              <w:pStyle w:val="yTableNAm"/>
            </w:pPr>
          </w:p>
        </w:tc>
        <w:tc>
          <w:tcPr>
            <w:tcW w:w="4394" w:type="dxa"/>
          </w:tcPr>
          <w:p>
            <w:pPr>
              <w:pStyle w:val="yTableNAm"/>
              <w:tabs>
                <w:tab w:val="clear" w:pos="567"/>
                <w:tab w:val="left" w:pos="415"/>
                <w:tab w:val="left" w:pos="793"/>
              </w:tabs>
              <w:ind w:left="415" w:hanging="415"/>
            </w:pPr>
            <w:r>
              <w:t>•</w:t>
            </w:r>
            <w:r>
              <w:tab/>
              <w:t xml:space="preserve">for recreational vessel — </w:t>
            </w:r>
          </w:p>
          <w:p>
            <w:pPr>
              <w:pStyle w:val="yTableNAm"/>
              <w:tabs>
                <w:tab w:val="clear" w:pos="567"/>
                <w:tab w:val="left" w:pos="415"/>
                <w:tab w:val="left" w:pos="793"/>
              </w:tabs>
              <w:ind w:left="415" w:hanging="415"/>
            </w:pPr>
            <w:r>
              <w:tab/>
              <w:t>•</w:t>
            </w:r>
            <w:r>
              <w:tab/>
              <w:t>per m of the vessel’s length</w:t>
            </w:r>
          </w:p>
          <w:p>
            <w:pPr>
              <w:pStyle w:val="yTableNAm"/>
              <w:tabs>
                <w:tab w:val="clear" w:pos="567"/>
                <w:tab w:val="left" w:pos="415"/>
                <w:tab w:val="left" w:pos="793"/>
              </w:tabs>
              <w:ind w:left="415" w:hanging="415"/>
            </w:pPr>
            <w:r>
              <w:tab/>
              <w:t>•</w:t>
            </w:r>
            <w:r>
              <w:tab/>
              <w:t>minimum fee for overnight use</w:t>
            </w:r>
          </w:p>
        </w:tc>
        <w:tc>
          <w:tcPr>
            <w:tcW w:w="992" w:type="dxa"/>
            <w:vAlign w:val="bottom"/>
          </w:tcPr>
          <w:p>
            <w:pPr>
              <w:pStyle w:val="yTableNAm"/>
              <w:jc w:val="right"/>
              <w:rPr>
                <w:szCs w:val="22"/>
              </w:rPr>
            </w:pPr>
          </w:p>
          <w:p>
            <w:pPr>
              <w:pStyle w:val="yTableNAm"/>
              <w:jc w:val="right"/>
              <w:rPr>
                <w:szCs w:val="22"/>
              </w:rPr>
            </w:pPr>
            <w:r>
              <w:rPr>
                <w:szCs w:val="22"/>
              </w:rPr>
              <w:t>5.45</w:t>
            </w:r>
          </w:p>
          <w:p>
            <w:pPr>
              <w:pStyle w:val="yTableNAm"/>
              <w:jc w:val="right"/>
              <w:rPr>
                <w:szCs w:val="22"/>
              </w:rPr>
            </w:pPr>
            <w:r>
              <w:rPr>
                <w:szCs w:val="22"/>
              </w:rPr>
              <w:t>47.96</w:t>
            </w:r>
          </w:p>
        </w:tc>
      </w:tr>
      <w:tr>
        <w:tc>
          <w:tcPr>
            <w:tcW w:w="567" w:type="dxa"/>
          </w:tcPr>
          <w:p>
            <w:pPr>
              <w:pStyle w:val="yTableNAm"/>
            </w:pPr>
            <w:r>
              <w:t>7.</w:t>
            </w:r>
          </w:p>
        </w:tc>
        <w:tc>
          <w:tcPr>
            <w:tcW w:w="4394" w:type="dxa"/>
          </w:tcPr>
          <w:p>
            <w:pPr>
              <w:pStyle w:val="yTableNAm"/>
            </w:pPr>
            <w:r>
              <w:t xml:space="preserve">For use of service jetty, per m of the vessel’s length — </w:t>
            </w:r>
          </w:p>
        </w:tc>
        <w:tc>
          <w:tcPr>
            <w:tcW w:w="992" w:type="dxa"/>
            <w:vAlign w:val="bottom"/>
          </w:tcPr>
          <w:p>
            <w:pPr>
              <w:pStyle w:val="yTableNAm"/>
              <w:jc w:val="right"/>
              <w:rPr>
                <w:szCs w:val="22"/>
              </w:rPr>
            </w:pPr>
          </w:p>
        </w:tc>
      </w:tr>
      <w:tr>
        <w:tc>
          <w:tcPr>
            <w:tcW w:w="567" w:type="dxa"/>
          </w:tcPr>
          <w:p>
            <w:pPr>
              <w:pStyle w:val="yTableNAm"/>
            </w:pPr>
          </w:p>
        </w:tc>
        <w:tc>
          <w:tcPr>
            <w:tcW w:w="4394" w:type="dxa"/>
          </w:tcPr>
          <w:p>
            <w:pPr>
              <w:pStyle w:val="yTableNAm"/>
              <w:tabs>
                <w:tab w:val="clear" w:pos="567"/>
                <w:tab w:val="left" w:pos="415"/>
                <w:tab w:val="left" w:pos="793"/>
              </w:tabs>
              <w:ind w:left="415" w:hanging="415"/>
            </w:pPr>
            <w:r>
              <w:t>•</w:t>
            </w:r>
            <w:r>
              <w:tab/>
              <w:t>for commercial vessel</w:t>
            </w:r>
          </w:p>
        </w:tc>
        <w:tc>
          <w:tcPr>
            <w:tcW w:w="992" w:type="dxa"/>
            <w:vAlign w:val="bottom"/>
          </w:tcPr>
          <w:p>
            <w:pPr>
              <w:pStyle w:val="yTableNAm"/>
              <w:jc w:val="right"/>
              <w:rPr>
                <w:szCs w:val="22"/>
              </w:rPr>
            </w:pPr>
            <w:r>
              <w:rPr>
                <w:szCs w:val="22"/>
              </w:rPr>
              <w:t>5.90</w:t>
            </w:r>
          </w:p>
        </w:tc>
      </w:tr>
      <w:tr>
        <w:tc>
          <w:tcPr>
            <w:tcW w:w="567" w:type="dxa"/>
          </w:tcPr>
          <w:p>
            <w:pPr>
              <w:pStyle w:val="yTableNAm"/>
            </w:pPr>
          </w:p>
        </w:tc>
        <w:tc>
          <w:tcPr>
            <w:tcW w:w="4394" w:type="dxa"/>
          </w:tcPr>
          <w:p>
            <w:pPr>
              <w:pStyle w:val="yTableNAm"/>
              <w:tabs>
                <w:tab w:val="clear" w:pos="567"/>
                <w:tab w:val="left" w:pos="415"/>
                <w:tab w:val="left" w:pos="793"/>
              </w:tabs>
              <w:ind w:left="415" w:hanging="415"/>
            </w:pPr>
            <w:r>
              <w:t>•</w:t>
            </w:r>
            <w:r>
              <w:tab/>
              <w:t>for recreational vessel</w:t>
            </w:r>
          </w:p>
        </w:tc>
        <w:tc>
          <w:tcPr>
            <w:tcW w:w="992" w:type="dxa"/>
            <w:vAlign w:val="bottom"/>
          </w:tcPr>
          <w:p>
            <w:pPr>
              <w:pStyle w:val="yTableNAm"/>
              <w:jc w:val="right"/>
              <w:rPr>
                <w:szCs w:val="22"/>
              </w:rPr>
            </w:pPr>
            <w:r>
              <w:rPr>
                <w:szCs w:val="22"/>
              </w:rPr>
              <w:t>5.45</w:t>
            </w:r>
          </w:p>
        </w:tc>
      </w:tr>
      <w:tr>
        <w:tc>
          <w:tcPr>
            <w:tcW w:w="567" w:type="dxa"/>
          </w:tcPr>
          <w:p>
            <w:pPr>
              <w:pStyle w:val="yTableNAm"/>
            </w:pPr>
            <w:r>
              <w:t>8.</w:t>
            </w:r>
          </w:p>
        </w:tc>
        <w:tc>
          <w:tcPr>
            <w:tcW w:w="4394" w:type="dxa"/>
          </w:tcPr>
          <w:p>
            <w:pPr>
              <w:pStyle w:val="yTableNAm"/>
            </w:pPr>
            <w:r>
              <w:t>For use of service jetty for up to 3 hours by recreational vessel, per vessel</w:t>
            </w:r>
          </w:p>
        </w:tc>
        <w:tc>
          <w:tcPr>
            <w:tcW w:w="992" w:type="dxa"/>
            <w:vAlign w:val="bottom"/>
          </w:tcPr>
          <w:p>
            <w:pPr>
              <w:pStyle w:val="yTableNAm"/>
              <w:jc w:val="right"/>
              <w:rPr>
                <w:szCs w:val="22"/>
              </w:rPr>
            </w:pPr>
            <w:r>
              <w:rPr>
                <w:szCs w:val="22"/>
              </w:rPr>
              <w:t>35.28</w:t>
            </w:r>
          </w:p>
        </w:tc>
      </w:tr>
      <w:tr>
        <w:tc>
          <w:tcPr>
            <w:tcW w:w="567" w:type="dxa"/>
            <w:tcBorders>
              <w:bottom w:val="single" w:sz="4" w:space="0" w:color="auto"/>
            </w:tcBorders>
          </w:tcPr>
          <w:p>
            <w:pPr>
              <w:pStyle w:val="yTableNAm"/>
            </w:pPr>
            <w:r>
              <w:t>9.</w:t>
            </w:r>
          </w:p>
        </w:tc>
        <w:tc>
          <w:tcPr>
            <w:tcW w:w="4394" w:type="dxa"/>
            <w:tcBorders>
              <w:bottom w:val="single" w:sz="4" w:space="0" w:color="auto"/>
            </w:tcBorders>
          </w:tcPr>
          <w:p>
            <w:pPr>
              <w:pStyle w:val="yTableNAm"/>
            </w:pPr>
            <w:r>
              <w:t>For living on board a vessel, per vessel, per month</w:t>
            </w:r>
          </w:p>
        </w:tc>
        <w:tc>
          <w:tcPr>
            <w:tcW w:w="992" w:type="dxa"/>
            <w:tcBorders>
              <w:bottom w:val="single" w:sz="4" w:space="0" w:color="auto"/>
            </w:tcBorders>
            <w:vAlign w:val="bottom"/>
          </w:tcPr>
          <w:p>
            <w:pPr>
              <w:pStyle w:val="yTableNAm"/>
              <w:jc w:val="right"/>
              <w:rPr>
                <w:szCs w:val="22"/>
              </w:rPr>
            </w:pPr>
            <w:r>
              <w:rPr>
                <w:szCs w:val="22"/>
              </w:rPr>
              <w:t>130.69</w:t>
            </w:r>
          </w:p>
        </w:tc>
      </w:tr>
    </w:tbl>
    <w:p>
      <w:pPr>
        <w:pStyle w:val="yFootnotesection"/>
      </w:pPr>
      <w:r>
        <w:tab/>
        <w:t>[Clause 4 inserted in Gazette 28 Jun 2013 p. 2882</w:t>
      </w:r>
      <w:r>
        <w:noBreakHyphen/>
        <w:t>5.]</w:t>
      </w:r>
    </w:p>
    <w:p>
      <w:pPr>
        <w:tabs>
          <w:tab w:val="left" w:pos="423"/>
        </w:tabs>
        <w:ind w:left="423" w:hanging="423"/>
        <w:sectPr>
          <w:headerReference w:type="even" r:id="rId30"/>
          <w:headerReference w:type="default" r:id="rId31"/>
          <w:pgSz w:w="11906" w:h="16838" w:code="9"/>
          <w:pgMar w:top="2376" w:right="2404" w:bottom="3544" w:left="2404" w:header="709" w:footer="3379" w:gutter="0"/>
          <w:cols w:space="720"/>
          <w:noEndnote/>
          <w:docGrid w:linePitch="326"/>
        </w:sectPr>
      </w:pPr>
    </w:p>
    <w:p>
      <w:pPr>
        <w:pStyle w:val="yScheduleHeading"/>
        <w:outlineLvl w:val="0"/>
      </w:pPr>
      <w:bookmarkStart w:id="180" w:name="_Toc382380074"/>
      <w:r>
        <w:rPr>
          <w:rStyle w:val="CharSchNo"/>
        </w:rPr>
        <w:t>Schedule 3</w:t>
      </w:r>
      <w:r>
        <w:rPr>
          <w:rStyle w:val="CharSDivNo"/>
        </w:rPr>
        <w:t> </w:t>
      </w:r>
      <w:r>
        <w:t>—</w:t>
      </w:r>
      <w:r>
        <w:rPr>
          <w:rStyle w:val="CharSDivText"/>
        </w:rPr>
        <w:t> </w:t>
      </w:r>
      <w:r>
        <w:rPr>
          <w:rStyle w:val="CharSchText"/>
        </w:rPr>
        <w:t>Forms</w:t>
      </w:r>
      <w:bookmarkEnd w:id="180"/>
    </w:p>
    <w:p>
      <w:pPr>
        <w:pStyle w:val="yFootnoteheading"/>
      </w:pPr>
      <w:r>
        <w:tab/>
        <w:t>[Heading inserted in Gazette 24 Jun 2005 p. 2829.]</w:t>
      </w:r>
    </w:p>
    <w:p>
      <w:pPr>
        <w:pStyle w:val="yFootnotesection"/>
      </w:pPr>
      <w:r>
        <w:tab/>
        <w:t>[Forms 1 and 2 deleted in Gazette 24 Nov 1972 p. 4491.]</w:t>
      </w:r>
    </w:p>
    <w:p>
      <w:pPr>
        <w:pStyle w:val="yTable"/>
        <w:jc w:val="center"/>
        <w:outlineLvl w:val="0"/>
        <w:rPr>
          <w:b/>
        </w:rPr>
      </w:pPr>
      <w:r>
        <w:rPr>
          <w:b/>
        </w:rPr>
        <w:t>Form 3</w:t>
      </w:r>
    </w:p>
    <w:p>
      <w:pPr>
        <w:pStyle w:val="yTable"/>
        <w:jc w:val="center"/>
      </w:pPr>
      <w:smartTag w:uri="urn:schemas-microsoft-com:office:smarttags" w:element="place">
        <w:smartTag w:uri="urn:schemas-microsoft-com:office:smarttags" w:element="State">
          <w:r>
            <w:t>Western Australia</w:t>
          </w:r>
        </w:smartTag>
      </w:smartTag>
    </w:p>
    <w:p>
      <w:pPr>
        <w:pStyle w:val="yTable"/>
        <w:jc w:val="center"/>
      </w:pPr>
      <w:r>
        <w:t>Department of Marine and Harbours</w:t>
      </w:r>
      <w:r>
        <w:rPr>
          <w:vertAlign w:val="superscript"/>
        </w:rPr>
        <w:t> 7</w:t>
      </w:r>
    </w:p>
    <w:p>
      <w:pPr>
        <w:pStyle w:val="yTable"/>
        <w:jc w:val="center"/>
      </w:pPr>
      <w:r>
        <w:rPr>
          <w:i/>
        </w:rPr>
        <w:t>Jetties Act 1926</w:t>
      </w:r>
    </w:p>
    <w:p>
      <w:pPr>
        <w:pStyle w:val="yTable"/>
        <w:jc w:val="center"/>
        <w:rPr>
          <w:b/>
        </w:rPr>
      </w:pPr>
      <w:r>
        <w:rPr>
          <w:b/>
        </w:rPr>
        <w:t>APPLICATION FOR USE OF SLIPWAY</w:t>
      </w:r>
    </w:p>
    <w:p>
      <w:pPr>
        <w:pStyle w:val="yTable"/>
      </w:pPr>
      <w:r>
        <w:t>The Harbour Master or Officer in Charge,</w:t>
      </w:r>
    </w:p>
    <w:p>
      <w:pPr>
        <w:pStyle w:val="yTable"/>
        <w:tabs>
          <w:tab w:val="right" w:leader="dot" w:pos="3261"/>
        </w:tabs>
      </w:pPr>
      <w:r>
        <w:t>.............................................. Slipway</w:t>
      </w:r>
    </w:p>
    <w:p>
      <w:pPr>
        <w:pStyle w:val="yTable"/>
        <w:tabs>
          <w:tab w:val="right" w:leader="dot" w:pos="7088"/>
        </w:tabs>
      </w:pPr>
      <w:r>
        <w:t>Application is hereby made for the use of slipway for the purpose of slipping</w:t>
      </w:r>
    </w:p>
    <w:p>
      <w:pPr>
        <w:pStyle w:val="yTable"/>
        <w:tabs>
          <w:tab w:val="right" w:leader="dot" w:pos="7088"/>
        </w:tabs>
        <w:spacing w:before="0"/>
      </w:pPr>
      <w:r>
        <w:t>............................................................................., the particulars of which are:</w:t>
      </w:r>
      <w:r>
        <w:rPr>
          <w:i/>
          <w:snapToGrid w:val="0"/>
        </w:rPr>
        <w:t xml:space="preserve"> —</w:t>
      </w:r>
    </w:p>
    <w:p>
      <w:pPr>
        <w:pStyle w:val="yTable"/>
        <w:tabs>
          <w:tab w:val="left" w:pos="3686"/>
        </w:tabs>
        <w:ind w:right="8"/>
      </w:pPr>
      <w:r>
        <w:t xml:space="preserve">Length overall .................................... </w:t>
      </w:r>
      <w:r>
        <w:tab/>
        <w:t>........................................... metres</w:t>
      </w:r>
    </w:p>
    <w:p>
      <w:pPr>
        <w:pStyle w:val="yTable"/>
        <w:tabs>
          <w:tab w:val="left" w:pos="3686"/>
        </w:tabs>
        <w:spacing w:before="0"/>
        <w:ind w:right="8"/>
      </w:pPr>
      <w:r>
        <w:t xml:space="preserve">Beam (extreme) ................................. </w:t>
      </w:r>
      <w:r>
        <w:tab/>
        <w:t>........................................... metres</w:t>
      </w:r>
    </w:p>
    <w:p>
      <w:pPr>
        <w:pStyle w:val="yTable"/>
        <w:tabs>
          <w:tab w:val="left" w:pos="3686"/>
        </w:tabs>
        <w:spacing w:before="0"/>
        <w:ind w:right="8"/>
      </w:pPr>
      <w:r>
        <w:t>Draught </w:t>
      </w:r>
      <w:r>
        <w:rPr>
          <w:i/>
          <w:snapToGrid w:val="0"/>
        </w:rPr>
        <w:t>—</w:t>
      </w:r>
      <w:r>
        <w:t xml:space="preserve"> Forward ........................... </w:t>
      </w:r>
      <w:r>
        <w:tab/>
        <w:t>........................................... metres</w:t>
      </w:r>
    </w:p>
    <w:p>
      <w:pPr>
        <w:pStyle w:val="yTable"/>
        <w:tabs>
          <w:tab w:val="left" w:pos="3686"/>
        </w:tabs>
        <w:spacing w:before="0"/>
        <w:ind w:right="8"/>
      </w:pPr>
      <w:r>
        <w:t xml:space="preserve">              </w:t>
      </w:r>
      <w:r>
        <w:rPr>
          <w:i/>
          <w:snapToGrid w:val="0"/>
        </w:rPr>
        <w:t>—</w:t>
      </w:r>
      <w:r>
        <w:t xml:space="preserve"> Aft ..................................... </w:t>
      </w:r>
      <w:r>
        <w:tab/>
        <w:t>........................................... metres</w:t>
      </w:r>
    </w:p>
    <w:p>
      <w:pPr>
        <w:pStyle w:val="yTable"/>
        <w:tabs>
          <w:tab w:val="left" w:pos="3686"/>
        </w:tabs>
        <w:spacing w:before="0"/>
        <w:ind w:right="8"/>
      </w:pPr>
      <w:r>
        <w:t xml:space="preserve">Deadweight ........................................ </w:t>
      </w:r>
      <w:r>
        <w:tab/>
        <w:t>........................................... tonnes</w:t>
      </w:r>
    </w:p>
    <w:p>
      <w:pPr>
        <w:pStyle w:val="yTable"/>
        <w:tabs>
          <w:tab w:val="left" w:pos="3686"/>
        </w:tabs>
        <w:spacing w:before="0"/>
        <w:ind w:right="8"/>
      </w:pPr>
      <w:r>
        <w:t xml:space="preserve">Gross tonnage .................................... </w:t>
      </w:r>
      <w:r>
        <w:tab/>
        <w:t>............................................... tons</w:t>
      </w:r>
    </w:p>
    <w:p>
      <w:pPr>
        <w:pStyle w:val="yTable"/>
        <w:tabs>
          <w:tab w:val="right" w:leader="dot" w:pos="7088"/>
        </w:tabs>
        <w:spacing w:before="0"/>
        <w:ind w:right="8"/>
      </w:pPr>
      <w:r>
        <w:t>Particulars of keel or any peculiarity in construction to be given here</w:t>
      </w:r>
    </w:p>
    <w:p>
      <w:pPr>
        <w:pStyle w:val="yTable"/>
        <w:tabs>
          <w:tab w:val="right" w:leader="dot" w:pos="7088"/>
        </w:tabs>
        <w:spacing w:before="0"/>
      </w:pPr>
      <w:r>
        <w:t>.................................................................................................................................</w:t>
      </w:r>
    </w:p>
    <w:p>
      <w:pPr>
        <w:pStyle w:val="yTable"/>
        <w:tabs>
          <w:tab w:val="right" w:leader="dot" w:pos="7088"/>
        </w:tabs>
        <w:spacing w:before="0"/>
      </w:pPr>
      <w:r>
        <w:t>.................................................................................................................................</w:t>
      </w:r>
    </w:p>
    <w:p>
      <w:pPr>
        <w:pStyle w:val="yTable"/>
        <w:tabs>
          <w:tab w:val="left" w:leader="dot" w:pos="2835"/>
          <w:tab w:val="left" w:leader="dot" w:pos="3969"/>
          <w:tab w:val="left" w:leader="dot" w:pos="5670"/>
          <w:tab w:val="right" w:leader="dot" w:pos="7088"/>
        </w:tabs>
        <w:spacing w:before="0"/>
      </w:pPr>
      <w:r>
        <w:t>Date slip required ....................... 20............... Time ............................. a.m./p.m.</w:t>
      </w:r>
    </w:p>
    <w:p>
      <w:pPr>
        <w:pStyle w:val="yTable"/>
        <w:tabs>
          <w:tab w:val="left" w:leader="dot" w:pos="2835"/>
          <w:tab w:val="left" w:leader="dot" w:pos="3969"/>
          <w:tab w:val="left" w:leader="dot" w:pos="5670"/>
          <w:tab w:val="right" w:leader="dot" w:pos="7088"/>
        </w:tabs>
        <w:spacing w:before="0"/>
      </w:pPr>
      <w:r>
        <w:t>Date launching required ............. 20............... Time ............................. a.m./p.m.</w:t>
      </w:r>
    </w:p>
    <w:p>
      <w:pPr>
        <w:pStyle w:val="yTable"/>
        <w:tabs>
          <w:tab w:val="right" w:leader="dot" w:pos="7088"/>
        </w:tabs>
        <w:spacing w:before="0"/>
      </w:pPr>
      <w:r>
        <w:t>State work to be done when vessel is on slip .........................................................</w:t>
      </w:r>
    </w:p>
    <w:p>
      <w:pPr>
        <w:pStyle w:val="yTable"/>
        <w:tabs>
          <w:tab w:val="right" w:leader="dot" w:pos="7088"/>
        </w:tabs>
        <w:spacing w:before="0"/>
      </w:pPr>
      <w:r>
        <w:t>.................................................................................................................................</w:t>
      </w:r>
    </w:p>
    <w:p>
      <w:pPr>
        <w:pStyle w:val="yTable"/>
        <w:tabs>
          <w:tab w:val="right" w:leader="dot" w:pos="7088"/>
        </w:tabs>
        <w:spacing w:before="0"/>
      </w:pPr>
      <w:r>
        <w:t>.................................................................................................................................</w:t>
      </w:r>
    </w:p>
    <w:p>
      <w:pPr>
        <w:pStyle w:val="yTable"/>
        <w:tabs>
          <w:tab w:val="right" w:leader="dot" w:pos="7088"/>
        </w:tabs>
        <w:spacing w:before="0"/>
      </w:pPr>
      <w:r>
        <w:t>.................................................................................................................................</w:t>
      </w:r>
    </w:p>
    <w:p>
      <w:pPr>
        <w:pStyle w:val="yTable"/>
        <w:tabs>
          <w:tab w:val="right" w:leader="dot" w:pos="7088"/>
        </w:tabs>
        <w:spacing w:before="0"/>
      </w:pPr>
      <w:r>
        <w:t>.................................................................................................................................</w:t>
      </w:r>
    </w:p>
    <w:p>
      <w:pPr>
        <w:pStyle w:val="yTable"/>
        <w:tabs>
          <w:tab w:val="right" w:leader="dot" w:pos="7088"/>
        </w:tabs>
      </w:pPr>
      <w:r>
        <w:fldChar w:fldCharType="begin"/>
      </w:r>
      <w:r>
        <w:instrText>ADVANCE \R 654.15</w:instrText>
      </w:r>
      <w:r>
        <w:fldChar w:fldCharType="end"/>
      </w:r>
      <w:r>
        <w:t xml:space="preserve">I hereby agree that in the event of the use of the slip being granted, I shall accept and be bound by the conditions and scale of charges prescribed in the </w:t>
      </w:r>
      <w:r>
        <w:rPr>
          <w:i/>
        </w:rPr>
        <w:t>Jetties Regulations 1940</w:t>
      </w:r>
      <w:r>
        <w:rPr>
          <w:vertAlign w:val="superscript"/>
        </w:rPr>
        <w:t> 8</w:t>
      </w:r>
      <w:r>
        <w:t>.</w:t>
      </w:r>
    </w:p>
    <w:p>
      <w:pPr>
        <w:pStyle w:val="yTable"/>
        <w:tabs>
          <w:tab w:val="left" w:pos="4253"/>
        </w:tabs>
        <w:spacing w:before="240"/>
      </w:pPr>
      <w:r>
        <w:t>Date ...................................................</w:t>
      </w:r>
      <w:r>
        <w:tab/>
        <w:t>...................................................</w:t>
      </w:r>
    </w:p>
    <w:p>
      <w:pPr>
        <w:pStyle w:val="yTable"/>
        <w:tabs>
          <w:tab w:val="right" w:leader="dot" w:pos="7088"/>
        </w:tabs>
        <w:spacing w:before="0"/>
        <w:ind w:left="4253"/>
        <w:jc w:val="center"/>
      </w:pPr>
      <w:r>
        <w:t>Master or Owner</w:t>
      </w:r>
    </w:p>
    <w:p>
      <w:pPr>
        <w:pStyle w:val="yTable"/>
        <w:keepNext/>
        <w:keepLines/>
        <w:tabs>
          <w:tab w:val="right" w:leader="dot" w:pos="7088"/>
        </w:tabs>
        <w:spacing w:before="0" w:after="120"/>
      </w:pPr>
      <w:r>
        <w:t>THE TREASURY CASHIER,</w:t>
      </w:r>
    </w:p>
    <w:p>
      <w:pPr>
        <w:pStyle w:val="yTable"/>
        <w:keepNext/>
        <w:keepLines/>
        <w:tabs>
          <w:tab w:val="right" w:leader="dot" w:pos="7088"/>
        </w:tabs>
        <w:spacing w:before="240"/>
      </w:pPr>
      <w:r>
        <w:fldChar w:fldCharType="begin"/>
      </w:r>
      <w:r>
        <w:instrText>ADVANCE \R 994.20</w:instrText>
      </w:r>
      <w:r>
        <w:fldChar w:fldCharType="end"/>
      </w:r>
      <w:r>
        <w:t>The above vessel occupied the slip from ............................................ a.m./p.m.</w:t>
      </w:r>
    </w:p>
    <w:p>
      <w:pPr>
        <w:pStyle w:val="yTable"/>
        <w:keepNext/>
        <w:keepLines/>
        <w:tabs>
          <w:tab w:val="left" w:leader="dot" w:pos="1560"/>
          <w:tab w:val="left" w:leader="dot" w:pos="3261"/>
          <w:tab w:val="right" w:leader="dot" w:pos="7088"/>
        </w:tabs>
        <w:spacing w:before="0"/>
      </w:pPr>
      <w:r>
        <w:t>on ........................ to .......................... a.m./p.m. on ..............................................</w:t>
      </w:r>
    </w:p>
    <w:p>
      <w:pPr>
        <w:pStyle w:val="yTable"/>
        <w:tabs>
          <w:tab w:val="right" w:leader="dot" w:pos="7088"/>
        </w:tabs>
        <w:spacing w:before="0"/>
      </w:pPr>
      <w:r>
        <w:t>The fee payable is $ ......................................... Details are shown on Docket No.</w:t>
      </w:r>
    </w:p>
    <w:p>
      <w:pPr>
        <w:pStyle w:val="yTable"/>
        <w:tabs>
          <w:tab w:val="right" w:leader="dot" w:pos="3686"/>
        </w:tabs>
        <w:spacing w:before="0"/>
      </w:pPr>
      <w:r>
        <w:t xml:space="preserve">.................................................................... </w:t>
      </w:r>
    </w:p>
    <w:p>
      <w:pPr>
        <w:pStyle w:val="yTable"/>
        <w:tabs>
          <w:tab w:val="right" w:leader="dot" w:pos="7088"/>
        </w:tabs>
        <w:ind w:left="3969"/>
      </w:pPr>
      <w:r>
        <w:t>........................................................</w:t>
      </w:r>
    </w:p>
    <w:p>
      <w:pPr>
        <w:pStyle w:val="yTable"/>
        <w:tabs>
          <w:tab w:val="right" w:leader="dot" w:pos="7088"/>
        </w:tabs>
        <w:spacing w:before="0"/>
        <w:ind w:left="3969"/>
        <w:jc w:val="center"/>
      </w:pPr>
      <w:r>
        <w:t>Officer in Charge of Slip</w:t>
      </w:r>
    </w:p>
    <w:p>
      <w:pPr>
        <w:pStyle w:val="yFootnotesection"/>
      </w:pPr>
      <w:r>
        <w:tab/>
        <w:t>[Form 3 inserted in Gazette 6 Jul 1984 p. 2029.]</w:t>
      </w:r>
    </w:p>
    <w:p>
      <w:pPr>
        <w:pStyle w:val="yEdnoteschedule"/>
        <w:outlineLvl w:val="9"/>
      </w:pPr>
      <w:r>
        <w:t>[Schedule 4 deleted in Gazette 22 Jun 2007 p. 2940.]</w:t>
      </w:r>
    </w:p>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3"/>
          <w:headerReference w:type="default" r:id="rId34"/>
          <w:pgSz w:w="11906" w:h="16838" w:code="9"/>
          <w:pgMar w:top="2376" w:right="2405" w:bottom="3542" w:left="2405" w:header="706" w:footer="3380" w:gutter="0"/>
          <w:cols w:space="720"/>
          <w:noEndnote/>
          <w:docGrid w:linePitch="326"/>
        </w:sectPr>
      </w:pPr>
    </w:p>
    <w:p>
      <w:pPr>
        <w:pStyle w:val="nHeading2"/>
        <w:outlineLvl w:val="0"/>
      </w:pPr>
      <w:bookmarkStart w:id="181" w:name="_Toc382380075"/>
      <w:r>
        <w:t>Notes</w:t>
      </w:r>
      <w:bookmarkEnd w:id="181"/>
    </w:p>
    <w:p>
      <w:pPr>
        <w:pStyle w:val="nSubsection"/>
        <w:rPr>
          <w:snapToGrid w:val="0"/>
        </w:rPr>
      </w:pPr>
      <w:r>
        <w:rPr>
          <w:snapToGrid w:val="0"/>
          <w:vertAlign w:val="superscript"/>
        </w:rPr>
        <w:t>1</w:t>
      </w:r>
      <w:r>
        <w:rPr>
          <w:snapToGrid w:val="0"/>
        </w:rPr>
        <w:tab/>
        <w:t xml:space="preserve">This reprint is a compilation as at 11 October 2013 of the </w:t>
      </w:r>
      <w:r>
        <w:rPr>
          <w:i/>
          <w:snapToGrid w:val="0"/>
        </w:rPr>
        <w:t>Jetties Regulations 1940</w:t>
      </w:r>
      <w:r>
        <w:rPr>
          <w:snapToGrid w:val="0"/>
        </w:rPr>
        <w:t xml:space="preserve"> and includes the amendments made by the other written laws referred to in the following table.  The table also contains information about any reprint.</w:t>
      </w:r>
    </w:p>
    <w:p>
      <w:pPr>
        <w:pStyle w:val="nHeading3"/>
      </w:pPr>
      <w:bookmarkStart w:id="182" w:name="_Toc382380076"/>
      <w:r>
        <w:t>Compilation table</w:t>
      </w:r>
      <w:bookmarkEnd w:id="182"/>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70"/>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3118" w:type="dxa"/>
          </w:tcPr>
          <w:p>
            <w:pPr>
              <w:pStyle w:val="nTable"/>
              <w:spacing w:after="40"/>
              <w:ind w:right="170"/>
              <w:rPr>
                <w:sz w:val="19"/>
              </w:rPr>
            </w:pPr>
            <w:r>
              <w:rPr>
                <w:i/>
                <w:sz w:val="19"/>
              </w:rPr>
              <w:t>Jetties Act Regulations 1940 </w:t>
            </w:r>
            <w:r>
              <w:rPr>
                <w:sz w:val="19"/>
                <w:vertAlign w:val="superscript"/>
              </w:rPr>
              <w:t>9, 10</w:t>
            </w:r>
          </w:p>
        </w:tc>
        <w:tc>
          <w:tcPr>
            <w:tcW w:w="1276" w:type="dxa"/>
          </w:tcPr>
          <w:p>
            <w:pPr>
              <w:pStyle w:val="nTable"/>
              <w:spacing w:after="40"/>
              <w:rPr>
                <w:sz w:val="19"/>
              </w:rPr>
            </w:pPr>
            <w:r>
              <w:rPr>
                <w:sz w:val="19"/>
              </w:rPr>
              <w:t>6 Sep 1940 p. 1622</w:t>
            </w:r>
            <w:r>
              <w:rPr>
                <w:sz w:val="19"/>
              </w:rPr>
              <w:noBreakHyphen/>
              <w:t xml:space="preserve">40 </w:t>
            </w:r>
          </w:p>
        </w:tc>
        <w:tc>
          <w:tcPr>
            <w:tcW w:w="2693" w:type="dxa"/>
          </w:tcPr>
          <w:p>
            <w:pPr>
              <w:pStyle w:val="nTable"/>
              <w:spacing w:after="40"/>
              <w:rPr>
                <w:sz w:val="19"/>
              </w:rPr>
            </w:pPr>
            <w:r>
              <w:rPr>
                <w:sz w:val="19"/>
              </w:rPr>
              <w:t xml:space="preserve">6 Sep 1940 (see direction preceding regulations in </w:t>
            </w:r>
            <w:r>
              <w:rPr>
                <w:i/>
                <w:sz w:val="19"/>
              </w:rPr>
              <w:t>Gazette</w:t>
            </w:r>
            <w:r>
              <w:rPr>
                <w:sz w:val="19"/>
              </w:rPr>
              <w:t xml:space="preserve"> 6 Sep 1940 p. 1622)</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1 Aug 1941 p. 1073</w:t>
            </w:r>
          </w:p>
        </w:tc>
        <w:tc>
          <w:tcPr>
            <w:tcW w:w="2693" w:type="dxa"/>
          </w:tcPr>
          <w:p>
            <w:pPr>
              <w:pStyle w:val="nTable"/>
              <w:spacing w:after="40"/>
              <w:rPr>
                <w:sz w:val="19"/>
              </w:rPr>
            </w:pPr>
            <w:r>
              <w:rPr>
                <w:sz w:val="19"/>
              </w:rPr>
              <w:t>1 Aug 1941</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rFonts w:ascii="Arial" w:hAnsi="Arial"/>
                <w:b/>
                <w:sz w:val="19"/>
              </w:rPr>
            </w:pPr>
            <w:r>
              <w:rPr>
                <w:sz w:val="19"/>
              </w:rPr>
              <w:t>5 Sep 1941 p. 1244</w:t>
            </w:r>
          </w:p>
        </w:tc>
        <w:tc>
          <w:tcPr>
            <w:tcW w:w="2693" w:type="dxa"/>
          </w:tcPr>
          <w:p>
            <w:pPr>
              <w:pStyle w:val="nTable"/>
              <w:spacing w:after="40"/>
              <w:rPr>
                <w:sz w:val="19"/>
              </w:rPr>
            </w:pPr>
            <w:r>
              <w:rPr>
                <w:sz w:val="19"/>
              </w:rPr>
              <w:t>5 Sep 1941</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 xml:space="preserve">21 Jan 1944 p. 26 </w:t>
            </w:r>
          </w:p>
        </w:tc>
        <w:tc>
          <w:tcPr>
            <w:tcW w:w="2693" w:type="dxa"/>
          </w:tcPr>
          <w:p>
            <w:pPr>
              <w:pStyle w:val="nTable"/>
              <w:spacing w:after="40"/>
              <w:rPr>
                <w:sz w:val="19"/>
              </w:rPr>
            </w:pPr>
            <w:r>
              <w:rPr>
                <w:sz w:val="19"/>
              </w:rPr>
              <w:t>21 Jan 1944</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10 Mar 1944 p. 154</w:t>
            </w:r>
          </w:p>
        </w:tc>
        <w:tc>
          <w:tcPr>
            <w:tcW w:w="2693" w:type="dxa"/>
          </w:tcPr>
          <w:p>
            <w:pPr>
              <w:pStyle w:val="nTable"/>
              <w:spacing w:after="40"/>
              <w:rPr>
                <w:sz w:val="19"/>
              </w:rPr>
            </w:pPr>
            <w:r>
              <w:rPr>
                <w:sz w:val="19"/>
              </w:rPr>
              <w:t>10 Mar 1944</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rFonts w:ascii="Arial" w:hAnsi="Arial"/>
                <w:b/>
                <w:sz w:val="19"/>
              </w:rPr>
            </w:pPr>
            <w:r>
              <w:rPr>
                <w:sz w:val="19"/>
              </w:rPr>
              <w:t>20 Oct 1944 p. 893</w:t>
            </w:r>
          </w:p>
        </w:tc>
        <w:tc>
          <w:tcPr>
            <w:tcW w:w="2693" w:type="dxa"/>
          </w:tcPr>
          <w:p>
            <w:pPr>
              <w:pStyle w:val="nTable"/>
              <w:spacing w:after="40"/>
              <w:rPr>
                <w:sz w:val="19"/>
              </w:rPr>
            </w:pPr>
            <w:r>
              <w:rPr>
                <w:sz w:val="19"/>
              </w:rPr>
              <w:t>20 Oct 1944</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11 Jan 1946 p. 13</w:t>
            </w:r>
          </w:p>
        </w:tc>
        <w:tc>
          <w:tcPr>
            <w:tcW w:w="2693" w:type="dxa"/>
          </w:tcPr>
          <w:p>
            <w:pPr>
              <w:pStyle w:val="nTable"/>
              <w:spacing w:after="40"/>
              <w:rPr>
                <w:rFonts w:ascii="Arial" w:hAnsi="Arial"/>
                <w:b/>
                <w:sz w:val="19"/>
              </w:rPr>
            </w:pPr>
            <w:r>
              <w:rPr>
                <w:sz w:val="19"/>
              </w:rPr>
              <w:t>11 Jan 1946</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rFonts w:ascii="Arial" w:hAnsi="Arial"/>
                <w:b/>
                <w:sz w:val="19"/>
              </w:rPr>
            </w:pPr>
            <w:r>
              <w:rPr>
                <w:sz w:val="19"/>
              </w:rPr>
              <w:t>3 Jan 1947</w:t>
            </w:r>
            <w:r>
              <w:rPr>
                <w:sz w:val="19"/>
              </w:rPr>
              <w:br/>
              <w:t>p. 7</w:t>
            </w:r>
          </w:p>
        </w:tc>
        <w:tc>
          <w:tcPr>
            <w:tcW w:w="2693" w:type="dxa"/>
          </w:tcPr>
          <w:p>
            <w:pPr>
              <w:pStyle w:val="nTable"/>
              <w:spacing w:after="40"/>
              <w:rPr>
                <w:sz w:val="19"/>
              </w:rPr>
            </w:pPr>
            <w:r>
              <w:rPr>
                <w:sz w:val="19"/>
              </w:rPr>
              <w:t>3 Jan 1947</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rFonts w:ascii="Arial" w:hAnsi="Arial"/>
                <w:b/>
                <w:sz w:val="19"/>
              </w:rPr>
            </w:pPr>
            <w:r>
              <w:rPr>
                <w:sz w:val="19"/>
              </w:rPr>
              <w:t>31 Jan 1947 p. 182</w:t>
            </w:r>
          </w:p>
        </w:tc>
        <w:tc>
          <w:tcPr>
            <w:tcW w:w="2693" w:type="dxa"/>
          </w:tcPr>
          <w:p>
            <w:pPr>
              <w:pStyle w:val="nTable"/>
              <w:spacing w:after="40"/>
              <w:rPr>
                <w:sz w:val="19"/>
              </w:rPr>
            </w:pPr>
            <w:r>
              <w:rPr>
                <w:sz w:val="19"/>
              </w:rPr>
              <w:t>31 Jan 1947</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23 May 1947 p. 885</w:t>
            </w:r>
          </w:p>
        </w:tc>
        <w:tc>
          <w:tcPr>
            <w:tcW w:w="2693" w:type="dxa"/>
          </w:tcPr>
          <w:p>
            <w:pPr>
              <w:pStyle w:val="nTable"/>
              <w:spacing w:after="40"/>
              <w:rPr>
                <w:sz w:val="19"/>
              </w:rPr>
            </w:pPr>
            <w:r>
              <w:rPr>
                <w:sz w:val="19"/>
              </w:rPr>
              <w:t>23 May 1947</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rFonts w:ascii="Arial" w:hAnsi="Arial"/>
                <w:b/>
                <w:sz w:val="19"/>
              </w:rPr>
            </w:pPr>
            <w:r>
              <w:rPr>
                <w:sz w:val="19"/>
              </w:rPr>
              <w:t>29 Oct 1948 p. 2579</w:t>
            </w:r>
          </w:p>
        </w:tc>
        <w:tc>
          <w:tcPr>
            <w:tcW w:w="2693" w:type="dxa"/>
          </w:tcPr>
          <w:p>
            <w:pPr>
              <w:pStyle w:val="nTable"/>
              <w:spacing w:after="40"/>
              <w:rPr>
                <w:rFonts w:ascii="Arial" w:hAnsi="Arial"/>
                <w:b/>
                <w:sz w:val="19"/>
              </w:rPr>
            </w:pPr>
            <w:r>
              <w:rPr>
                <w:sz w:val="19"/>
              </w:rPr>
              <w:t>29 Oct 1948</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rFonts w:ascii="Arial" w:hAnsi="Arial"/>
                <w:b/>
                <w:sz w:val="19"/>
              </w:rPr>
            </w:pPr>
            <w:r>
              <w:rPr>
                <w:sz w:val="19"/>
              </w:rPr>
              <w:t>31 Dec 1948 p. 3114</w:t>
            </w:r>
          </w:p>
        </w:tc>
        <w:tc>
          <w:tcPr>
            <w:tcW w:w="2693" w:type="dxa"/>
          </w:tcPr>
          <w:p>
            <w:pPr>
              <w:pStyle w:val="nTable"/>
              <w:spacing w:after="40"/>
              <w:rPr>
                <w:sz w:val="19"/>
              </w:rPr>
            </w:pPr>
            <w:r>
              <w:rPr>
                <w:sz w:val="19"/>
              </w:rPr>
              <w:t>31 Dec 1948</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3 Nov 1950 p. 2461</w:t>
            </w:r>
          </w:p>
        </w:tc>
        <w:tc>
          <w:tcPr>
            <w:tcW w:w="2693" w:type="dxa"/>
          </w:tcPr>
          <w:p>
            <w:pPr>
              <w:pStyle w:val="nTable"/>
              <w:spacing w:after="40"/>
              <w:rPr>
                <w:sz w:val="19"/>
              </w:rPr>
            </w:pPr>
            <w:r>
              <w:rPr>
                <w:sz w:val="19"/>
              </w:rPr>
              <w:t>3 Nov 1950</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rFonts w:ascii="Arial" w:hAnsi="Arial"/>
                <w:b/>
                <w:sz w:val="19"/>
              </w:rPr>
            </w:pPr>
            <w:r>
              <w:rPr>
                <w:sz w:val="19"/>
              </w:rPr>
              <w:t>2 Mar 1951 p. 470</w:t>
            </w:r>
          </w:p>
        </w:tc>
        <w:tc>
          <w:tcPr>
            <w:tcW w:w="2693" w:type="dxa"/>
          </w:tcPr>
          <w:p>
            <w:pPr>
              <w:pStyle w:val="nTable"/>
              <w:spacing w:after="40"/>
              <w:rPr>
                <w:sz w:val="19"/>
              </w:rPr>
            </w:pPr>
            <w:r>
              <w:rPr>
                <w:sz w:val="19"/>
              </w:rPr>
              <w:t>2 Mar 1951</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 xml:space="preserve">28 Sep 1951 p. 2575 </w:t>
            </w:r>
          </w:p>
        </w:tc>
        <w:tc>
          <w:tcPr>
            <w:tcW w:w="2693" w:type="dxa"/>
          </w:tcPr>
          <w:p>
            <w:pPr>
              <w:pStyle w:val="nTable"/>
              <w:spacing w:after="40"/>
              <w:rPr>
                <w:sz w:val="19"/>
              </w:rPr>
            </w:pPr>
            <w:r>
              <w:rPr>
                <w:sz w:val="19"/>
              </w:rPr>
              <w:t>28 Sep 1951</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2 Nov 1951 p. 3021</w:t>
            </w:r>
          </w:p>
        </w:tc>
        <w:tc>
          <w:tcPr>
            <w:tcW w:w="2693" w:type="dxa"/>
          </w:tcPr>
          <w:p>
            <w:pPr>
              <w:pStyle w:val="nTable"/>
              <w:spacing w:after="40"/>
              <w:rPr>
                <w:sz w:val="19"/>
              </w:rPr>
            </w:pPr>
            <w:r>
              <w:rPr>
                <w:sz w:val="19"/>
              </w:rPr>
              <w:t>2 Nov 1951</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2 May 1952 p. 1106</w:t>
            </w:r>
          </w:p>
        </w:tc>
        <w:tc>
          <w:tcPr>
            <w:tcW w:w="2693" w:type="dxa"/>
          </w:tcPr>
          <w:p>
            <w:pPr>
              <w:pStyle w:val="nTable"/>
              <w:spacing w:after="40"/>
              <w:rPr>
                <w:rFonts w:ascii="Arial" w:hAnsi="Arial"/>
                <w:b/>
                <w:sz w:val="19"/>
              </w:rPr>
            </w:pPr>
            <w:r>
              <w:rPr>
                <w:sz w:val="19"/>
              </w:rPr>
              <w:t>2 May 1952</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30 May 1952 p. 1335</w:t>
            </w:r>
          </w:p>
        </w:tc>
        <w:tc>
          <w:tcPr>
            <w:tcW w:w="2693" w:type="dxa"/>
          </w:tcPr>
          <w:p>
            <w:pPr>
              <w:pStyle w:val="nTable"/>
              <w:spacing w:after="40"/>
              <w:rPr>
                <w:sz w:val="19"/>
              </w:rPr>
            </w:pPr>
            <w:r>
              <w:rPr>
                <w:sz w:val="19"/>
              </w:rPr>
              <w:t>30 May 1952</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5 Dec 1952 p. 2867</w:t>
            </w:r>
          </w:p>
        </w:tc>
        <w:tc>
          <w:tcPr>
            <w:tcW w:w="2693" w:type="dxa"/>
          </w:tcPr>
          <w:p>
            <w:pPr>
              <w:pStyle w:val="nTable"/>
              <w:spacing w:after="40"/>
              <w:rPr>
                <w:sz w:val="19"/>
              </w:rPr>
            </w:pPr>
            <w:r>
              <w:rPr>
                <w:sz w:val="19"/>
              </w:rPr>
              <w:t>5 Dec 1952</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22 May 1953 p. 987</w:t>
            </w:r>
          </w:p>
        </w:tc>
        <w:tc>
          <w:tcPr>
            <w:tcW w:w="2693" w:type="dxa"/>
          </w:tcPr>
          <w:p>
            <w:pPr>
              <w:pStyle w:val="nTable"/>
              <w:spacing w:after="40"/>
              <w:rPr>
                <w:sz w:val="19"/>
              </w:rPr>
            </w:pPr>
            <w:r>
              <w:rPr>
                <w:sz w:val="19"/>
              </w:rPr>
              <w:t>22 May 1953</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23 Jul 1954 p. 1291</w:t>
            </w:r>
          </w:p>
        </w:tc>
        <w:tc>
          <w:tcPr>
            <w:tcW w:w="2693" w:type="dxa"/>
          </w:tcPr>
          <w:p>
            <w:pPr>
              <w:pStyle w:val="nTable"/>
              <w:spacing w:after="40"/>
              <w:rPr>
                <w:sz w:val="19"/>
              </w:rPr>
            </w:pPr>
            <w:r>
              <w:rPr>
                <w:sz w:val="19"/>
              </w:rPr>
              <w:t>23 Jul 1954</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19 Jul 1956 p. 1781</w:t>
            </w:r>
          </w:p>
        </w:tc>
        <w:tc>
          <w:tcPr>
            <w:tcW w:w="2693" w:type="dxa"/>
          </w:tcPr>
          <w:p>
            <w:pPr>
              <w:pStyle w:val="nTable"/>
              <w:spacing w:after="40"/>
              <w:rPr>
                <w:sz w:val="19"/>
              </w:rPr>
            </w:pPr>
            <w:r>
              <w:rPr>
                <w:sz w:val="19"/>
              </w:rPr>
              <w:t>19 Jul 1956</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16 Apr 1957 p. 1127</w:t>
            </w:r>
          </w:p>
        </w:tc>
        <w:tc>
          <w:tcPr>
            <w:tcW w:w="2693" w:type="dxa"/>
          </w:tcPr>
          <w:p>
            <w:pPr>
              <w:pStyle w:val="nTable"/>
              <w:spacing w:after="40"/>
              <w:rPr>
                <w:sz w:val="19"/>
              </w:rPr>
            </w:pPr>
            <w:r>
              <w:rPr>
                <w:sz w:val="19"/>
              </w:rPr>
              <w:t>16 Apr 1957</w:t>
            </w:r>
          </w:p>
        </w:tc>
      </w:tr>
      <w:tr>
        <w:trPr>
          <w:cantSplit/>
        </w:trPr>
        <w:tc>
          <w:tcPr>
            <w:tcW w:w="3118" w:type="dxa"/>
          </w:tcPr>
          <w:p>
            <w:pPr>
              <w:pStyle w:val="nTable"/>
              <w:spacing w:after="40"/>
              <w:ind w:right="170"/>
              <w:rPr>
                <w:i/>
                <w:sz w:val="19"/>
              </w:rPr>
            </w:pPr>
            <w:r>
              <w:rPr>
                <w:sz w:val="19"/>
              </w:rPr>
              <w:t>Untitled regulations</w:t>
            </w:r>
          </w:p>
        </w:tc>
        <w:tc>
          <w:tcPr>
            <w:tcW w:w="1276" w:type="dxa"/>
          </w:tcPr>
          <w:p>
            <w:pPr>
              <w:pStyle w:val="nTable"/>
              <w:spacing w:after="40"/>
              <w:rPr>
                <w:sz w:val="19"/>
              </w:rPr>
            </w:pPr>
            <w:r>
              <w:rPr>
                <w:sz w:val="19"/>
              </w:rPr>
              <w:t>12 Jul 1957 p. 2269-78</w:t>
            </w:r>
          </w:p>
        </w:tc>
        <w:tc>
          <w:tcPr>
            <w:tcW w:w="2693" w:type="dxa"/>
          </w:tcPr>
          <w:p>
            <w:pPr>
              <w:pStyle w:val="nTable"/>
              <w:spacing w:after="40"/>
              <w:rPr>
                <w:sz w:val="19"/>
              </w:rPr>
            </w:pPr>
            <w:r>
              <w:rPr>
                <w:sz w:val="19"/>
              </w:rPr>
              <w:t>12 Jul 1957</w:t>
            </w:r>
          </w:p>
        </w:tc>
      </w:tr>
      <w:tr>
        <w:trPr>
          <w:cantSplit/>
        </w:trPr>
        <w:tc>
          <w:tcPr>
            <w:tcW w:w="3118" w:type="dxa"/>
          </w:tcPr>
          <w:p>
            <w:pPr>
              <w:pStyle w:val="nTable"/>
              <w:spacing w:after="40"/>
              <w:ind w:right="170"/>
              <w:rPr>
                <w:i/>
                <w:sz w:val="19"/>
              </w:rPr>
            </w:pPr>
            <w:r>
              <w:rPr>
                <w:sz w:val="19"/>
              </w:rPr>
              <w:t>Untitled regulations</w:t>
            </w:r>
          </w:p>
        </w:tc>
        <w:tc>
          <w:tcPr>
            <w:tcW w:w="1276" w:type="dxa"/>
          </w:tcPr>
          <w:p>
            <w:pPr>
              <w:pStyle w:val="nTable"/>
              <w:spacing w:after="40"/>
              <w:rPr>
                <w:sz w:val="19"/>
              </w:rPr>
            </w:pPr>
            <w:r>
              <w:rPr>
                <w:sz w:val="19"/>
              </w:rPr>
              <w:t>17 Mar 1960 p. 777-92</w:t>
            </w:r>
          </w:p>
        </w:tc>
        <w:tc>
          <w:tcPr>
            <w:tcW w:w="2693" w:type="dxa"/>
          </w:tcPr>
          <w:p>
            <w:pPr>
              <w:pStyle w:val="nTable"/>
              <w:spacing w:after="40"/>
              <w:rPr>
                <w:sz w:val="19"/>
              </w:rPr>
            </w:pPr>
            <w:r>
              <w:rPr>
                <w:sz w:val="19"/>
              </w:rPr>
              <w:t>17 Mar 1960</w:t>
            </w:r>
          </w:p>
        </w:tc>
      </w:tr>
      <w:tr>
        <w:trPr>
          <w:cantSplit/>
        </w:trPr>
        <w:tc>
          <w:tcPr>
            <w:tcW w:w="3118" w:type="dxa"/>
          </w:tcPr>
          <w:p>
            <w:pPr>
              <w:pStyle w:val="nTable"/>
              <w:spacing w:after="40"/>
              <w:ind w:right="170"/>
              <w:rPr>
                <w:i/>
                <w:sz w:val="19"/>
              </w:rPr>
            </w:pPr>
            <w:r>
              <w:rPr>
                <w:sz w:val="19"/>
              </w:rPr>
              <w:t>Untitled regulations</w:t>
            </w:r>
          </w:p>
        </w:tc>
        <w:tc>
          <w:tcPr>
            <w:tcW w:w="1276" w:type="dxa"/>
          </w:tcPr>
          <w:p>
            <w:pPr>
              <w:pStyle w:val="nTable"/>
              <w:spacing w:after="40"/>
              <w:rPr>
                <w:sz w:val="19"/>
              </w:rPr>
            </w:pPr>
            <w:r>
              <w:rPr>
                <w:sz w:val="19"/>
              </w:rPr>
              <w:t>28 Sep 1960 p. 2987-8</w:t>
            </w:r>
          </w:p>
        </w:tc>
        <w:tc>
          <w:tcPr>
            <w:tcW w:w="2693" w:type="dxa"/>
          </w:tcPr>
          <w:p>
            <w:pPr>
              <w:pStyle w:val="nTable"/>
              <w:spacing w:after="40"/>
              <w:rPr>
                <w:sz w:val="19"/>
              </w:rPr>
            </w:pPr>
            <w:r>
              <w:rPr>
                <w:sz w:val="19"/>
              </w:rPr>
              <w:t>28 Sep 1960</w:t>
            </w:r>
          </w:p>
        </w:tc>
      </w:tr>
      <w:tr>
        <w:trPr>
          <w:cantSplit/>
        </w:trPr>
        <w:tc>
          <w:tcPr>
            <w:tcW w:w="7087" w:type="dxa"/>
            <w:gridSpan w:val="3"/>
          </w:tcPr>
          <w:p>
            <w:pPr>
              <w:pStyle w:val="nTable"/>
              <w:spacing w:after="40"/>
              <w:rPr>
                <w:sz w:val="19"/>
              </w:rPr>
            </w:pPr>
            <w:r>
              <w:rPr>
                <w:b/>
                <w:sz w:val="19"/>
              </w:rPr>
              <w:t xml:space="preserve">Reprint of the </w:t>
            </w:r>
            <w:r>
              <w:rPr>
                <w:b/>
                <w:i/>
                <w:sz w:val="19"/>
              </w:rPr>
              <w:t xml:space="preserve">Jetties Act Regulations 1940 </w:t>
            </w:r>
            <w:r>
              <w:rPr>
                <w:b/>
                <w:sz w:val="19"/>
              </w:rPr>
              <w:t xml:space="preserve">authorised 21 Jul 1961 in </w:t>
            </w:r>
            <w:r>
              <w:rPr>
                <w:b/>
                <w:i/>
                <w:sz w:val="19"/>
              </w:rPr>
              <w:t>Gazette</w:t>
            </w:r>
            <w:r>
              <w:rPr>
                <w:b/>
                <w:sz w:val="19"/>
              </w:rPr>
              <w:t xml:space="preserve"> 1 Aug 1961 p. 2323-68</w:t>
            </w:r>
            <w:r>
              <w:rPr>
                <w:sz w:val="19"/>
              </w:rPr>
              <w:t xml:space="preserve"> (includes amendments listed above) </w:t>
            </w:r>
          </w:p>
        </w:tc>
      </w:tr>
      <w:tr>
        <w:trPr>
          <w:cantSplit/>
        </w:trPr>
        <w:tc>
          <w:tcPr>
            <w:tcW w:w="3118" w:type="dxa"/>
          </w:tcPr>
          <w:p>
            <w:pPr>
              <w:pStyle w:val="nTable"/>
              <w:spacing w:after="40"/>
              <w:ind w:right="170"/>
              <w:rPr>
                <w:i/>
                <w:sz w:val="19"/>
              </w:rPr>
            </w:pPr>
            <w:r>
              <w:rPr>
                <w:sz w:val="19"/>
              </w:rPr>
              <w:t>Untitled regulations</w:t>
            </w:r>
          </w:p>
        </w:tc>
        <w:tc>
          <w:tcPr>
            <w:tcW w:w="1276" w:type="dxa"/>
          </w:tcPr>
          <w:p>
            <w:pPr>
              <w:pStyle w:val="nTable"/>
              <w:spacing w:after="40"/>
              <w:rPr>
                <w:sz w:val="19"/>
              </w:rPr>
            </w:pPr>
            <w:r>
              <w:rPr>
                <w:sz w:val="19"/>
              </w:rPr>
              <w:t>26 Oct 1962 p. 3482-3</w:t>
            </w:r>
          </w:p>
        </w:tc>
        <w:tc>
          <w:tcPr>
            <w:tcW w:w="2693" w:type="dxa"/>
          </w:tcPr>
          <w:p>
            <w:pPr>
              <w:pStyle w:val="nTable"/>
              <w:spacing w:after="40"/>
              <w:rPr>
                <w:sz w:val="19"/>
              </w:rPr>
            </w:pPr>
            <w:r>
              <w:rPr>
                <w:sz w:val="19"/>
              </w:rPr>
              <w:t>26 Oct 1962</w:t>
            </w:r>
          </w:p>
        </w:tc>
      </w:tr>
      <w:tr>
        <w:trPr>
          <w:cantSplit/>
        </w:trPr>
        <w:tc>
          <w:tcPr>
            <w:tcW w:w="3118" w:type="dxa"/>
          </w:tcPr>
          <w:p>
            <w:pPr>
              <w:pStyle w:val="nTable"/>
              <w:spacing w:after="40"/>
              <w:ind w:right="170"/>
              <w:rPr>
                <w:i/>
                <w:sz w:val="19"/>
              </w:rPr>
            </w:pPr>
            <w:r>
              <w:rPr>
                <w:sz w:val="19"/>
              </w:rPr>
              <w:t>Untitled regulations</w:t>
            </w:r>
          </w:p>
        </w:tc>
        <w:tc>
          <w:tcPr>
            <w:tcW w:w="1276" w:type="dxa"/>
          </w:tcPr>
          <w:p>
            <w:pPr>
              <w:pStyle w:val="nTable"/>
              <w:spacing w:after="40"/>
              <w:rPr>
                <w:sz w:val="19"/>
              </w:rPr>
            </w:pPr>
            <w:r>
              <w:rPr>
                <w:sz w:val="19"/>
              </w:rPr>
              <w:t>20 Dec 1962 p. 4054</w:t>
            </w:r>
          </w:p>
        </w:tc>
        <w:tc>
          <w:tcPr>
            <w:tcW w:w="2693" w:type="dxa"/>
          </w:tcPr>
          <w:p>
            <w:pPr>
              <w:pStyle w:val="nTable"/>
              <w:spacing w:after="40"/>
              <w:rPr>
                <w:sz w:val="19"/>
              </w:rPr>
            </w:pPr>
            <w:r>
              <w:rPr>
                <w:sz w:val="19"/>
              </w:rPr>
              <w:t>20 Dec 1962</w:t>
            </w:r>
          </w:p>
        </w:tc>
      </w:tr>
      <w:tr>
        <w:trPr>
          <w:cantSplit/>
        </w:trPr>
        <w:tc>
          <w:tcPr>
            <w:tcW w:w="3118" w:type="dxa"/>
          </w:tcPr>
          <w:p>
            <w:pPr>
              <w:pStyle w:val="nTable"/>
              <w:spacing w:after="40"/>
              <w:ind w:right="170"/>
              <w:rPr>
                <w:i/>
                <w:sz w:val="19"/>
              </w:rPr>
            </w:pPr>
            <w:r>
              <w:rPr>
                <w:sz w:val="19"/>
              </w:rPr>
              <w:t>Untitled regulations</w:t>
            </w:r>
          </w:p>
        </w:tc>
        <w:tc>
          <w:tcPr>
            <w:tcW w:w="1276" w:type="dxa"/>
          </w:tcPr>
          <w:p>
            <w:pPr>
              <w:pStyle w:val="nTable"/>
              <w:spacing w:after="40"/>
              <w:rPr>
                <w:sz w:val="19"/>
              </w:rPr>
            </w:pPr>
            <w:r>
              <w:rPr>
                <w:sz w:val="19"/>
              </w:rPr>
              <w:t>7 Feb 1963 p. 570</w:t>
            </w:r>
          </w:p>
        </w:tc>
        <w:tc>
          <w:tcPr>
            <w:tcW w:w="2693" w:type="dxa"/>
          </w:tcPr>
          <w:p>
            <w:pPr>
              <w:pStyle w:val="nTable"/>
              <w:spacing w:after="40"/>
              <w:rPr>
                <w:sz w:val="19"/>
              </w:rPr>
            </w:pPr>
            <w:r>
              <w:rPr>
                <w:sz w:val="19"/>
              </w:rPr>
              <w:t>7 Feb 1963</w:t>
            </w:r>
          </w:p>
        </w:tc>
      </w:tr>
      <w:tr>
        <w:trPr>
          <w:cantSplit/>
        </w:trPr>
        <w:tc>
          <w:tcPr>
            <w:tcW w:w="3118" w:type="dxa"/>
          </w:tcPr>
          <w:p>
            <w:pPr>
              <w:pStyle w:val="nTable"/>
              <w:spacing w:after="40"/>
              <w:ind w:right="170"/>
              <w:rPr>
                <w:i/>
                <w:sz w:val="19"/>
              </w:rPr>
            </w:pPr>
            <w:r>
              <w:rPr>
                <w:sz w:val="19"/>
              </w:rPr>
              <w:t>Untitled regulations</w:t>
            </w:r>
          </w:p>
        </w:tc>
        <w:tc>
          <w:tcPr>
            <w:tcW w:w="1276" w:type="dxa"/>
          </w:tcPr>
          <w:p>
            <w:pPr>
              <w:pStyle w:val="nTable"/>
              <w:spacing w:after="40"/>
              <w:rPr>
                <w:sz w:val="19"/>
              </w:rPr>
            </w:pPr>
            <w:r>
              <w:rPr>
                <w:sz w:val="19"/>
              </w:rPr>
              <w:t>16 Sep 1963 p. 2828-31</w:t>
            </w:r>
          </w:p>
        </w:tc>
        <w:tc>
          <w:tcPr>
            <w:tcW w:w="2693" w:type="dxa"/>
          </w:tcPr>
          <w:p>
            <w:pPr>
              <w:pStyle w:val="nTable"/>
              <w:spacing w:after="40"/>
              <w:rPr>
                <w:sz w:val="19"/>
              </w:rPr>
            </w:pPr>
            <w:r>
              <w:rPr>
                <w:sz w:val="19"/>
              </w:rPr>
              <w:t>16 Sep 1963</w:t>
            </w:r>
          </w:p>
        </w:tc>
      </w:tr>
      <w:tr>
        <w:trPr>
          <w:cantSplit/>
        </w:trPr>
        <w:tc>
          <w:tcPr>
            <w:tcW w:w="3118" w:type="dxa"/>
          </w:tcPr>
          <w:p>
            <w:pPr>
              <w:pStyle w:val="nTable"/>
              <w:spacing w:after="40"/>
              <w:ind w:right="170"/>
              <w:rPr>
                <w:i/>
                <w:sz w:val="19"/>
              </w:rPr>
            </w:pPr>
            <w:r>
              <w:rPr>
                <w:sz w:val="19"/>
              </w:rPr>
              <w:t>Untitled regulations</w:t>
            </w:r>
          </w:p>
        </w:tc>
        <w:tc>
          <w:tcPr>
            <w:tcW w:w="1276" w:type="dxa"/>
          </w:tcPr>
          <w:p>
            <w:pPr>
              <w:pStyle w:val="nTable"/>
              <w:spacing w:after="40"/>
              <w:rPr>
                <w:sz w:val="19"/>
              </w:rPr>
            </w:pPr>
            <w:r>
              <w:rPr>
                <w:sz w:val="19"/>
              </w:rPr>
              <w:t>23 Jun 1964 p. 2500</w:t>
            </w:r>
          </w:p>
        </w:tc>
        <w:tc>
          <w:tcPr>
            <w:tcW w:w="2693" w:type="dxa"/>
          </w:tcPr>
          <w:p>
            <w:pPr>
              <w:pStyle w:val="nTable"/>
              <w:spacing w:after="40"/>
              <w:rPr>
                <w:sz w:val="19"/>
              </w:rPr>
            </w:pPr>
            <w:r>
              <w:rPr>
                <w:sz w:val="19"/>
              </w:rPr>
              <w:t>23 Jun 1964</w:t>
            </w:r>
          </w:p>
        </w:tc>
      </w:tr>
      <w:tr>
        <w:trPr>
          <w:cantSplit/>
        </w:trPr>
        <w:tc>
          <w:tcPr>
            <w:tcW w:w="3118" w:type="dxa"/>
          </w:tcPr>
          <w:p>
            <w:pPr>
              <w:pStyle w:val="nTable"/>
              <w:spacing w:after="40"/>
              <w:ind w:right="170"/>
              <w:rPr>
                <w:i/>
                <w:sz w:val="19"/>
              </w:rPr>
            </w:pPr>
            <w:r>
              <w:rPr>
                <w:sz w:val="19"/>
              </w:rPr>
              <w:t>Untitled regulations</w:t>
            </w:r>
          </w:p>
        </w:tc>
        <w:tc>
          <w:tcPr>
            <w:tcW w:w="1276" w:type="dxa"/>
          </w:tcPr>
          <w:p>
            <w:pPr>
              <w:pStyle w:val="nTable"/>
              <w:spacing w:after="40"/>
              <w:rPr>
                <w:sz w:val="19"/>
              </w:rPr>
            </w:pPr>
            <w:r>
              <w:rPr>
                <w:sz w:val="19"/>
              </w:rPr>
              <w:t>11 Aug 1964 p. 2880</w:t>
            </w:r>
          </w:p>
        </w:tc>
        <w:tc>
          <w:tcPr>
            <w:tcW w:w="2693" w:type="dxa"/>
          </w:tcPr>
          <w:p>
            <w:pPr>
              <w:pStyle w:val="nTable"/>
              <w:spacing w:after="40"/>
              <w:rPr>
                <w:sz w:val="19"/>
              </w:rPr>
            </w:pPr>
            <w:r>
              <w:rPr>
                <w:sz w:val="19"/>
              </w:rPr>
              <w:t>11 Aug 1964</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9 Dec 1964 p. 3907</w:t>
            </w:r>
          </w:p>
        </w:tc>
        <w:tc>
          <w:tcPr>
            <w:tcW w:w="2693" w:type="dxa"/>
          </w:tcPr>
          <w:p>
            <w:pPr>
              <w:pStyle w:val="nTable"/>
              <w:spacing w:after="40"/>
              <w:rPr>
                <w:sz w:val="19"/>
              </w:rPr>
            </w:pPr>
            <w:r>
              <w:rPr>
                <w:sz w:val="19"/>
              </w:rPr>
              <w:t>9 Dec 1964</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8 Feb 1965 p. 467</w:t>
            </w:r>
          </w:p>
        </w:tc>
        <w:tc>
          <w:tcPr>
            <w:tcW w:w="2693" w:type="dxa"/>
          </w:tcPr>
          <w:p>
            <w:pPr>
              <w:pStyle w:val="nTable"/>
              <w:spacing w:after="40"/>
              <w:rPr>
                <w:sz w:val="19"/>
              </w:rPr>
            </w:pPr>
            <w:r>
              <w:rPr>
                <w:sz w:val="19"/>
              </w:rPr>
              <w:t>8 Feb 1965</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12 May 1965 p. 1464</w:t>
            </w:r>
          </w:p>
        </w:tc>
        <w:tc>
          <w:tcPr>
            <w:tcW w:w="2693" w:type="dxa"/>
          </w:tcPr>
          <w:p>
            <w:pPr>
              <w:pStyle w:val="nTable"/>
              <w:spacing w:after="40"/>
              <w:rPr>
                <w:sz w:val="19"/>
              </w:rPr>
            </w:pPr>
            <w:r>
              <w:rPr>
                <w:sz w:val="19"/>
              </w:rPr>
              <w:t>12 May 1965</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26 May 1965 p. 1614</w:t>
            </w:r>
          </w:p>
        </w:tc>
        <w:tc>
          <w:tcPr>
            <w:tcW w:w="2693" w:type="dxa"/>
          </w:tcPr>
          <w:p>
            <w:pPr>
              <w:pStyle w:val="nTable"/>
              <w:spacing w:after="40"/>
              <w:rPr>
                <w:sz w:val="19"/>
              </w:rPr>
            </w:pPr>
            <w:r>
              <w:rPr>
                <w:sz w:val="19"/>
              </w:rPr>
              <w:t>26 May 1965</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10 Jun 1965 p. 1726</w:t>
            </w:r>
          </w:p>
        </w:tc>
        <w:tc>
          <w:tcPr>
            <w:tcW w:w="2693" w:type="dxa"/>
          </w:tcPr>
          <w:p>
            <w:pPr>
              <w:pStyle w:val="nTable"/>
              <w:spacing w:after="40"/>
              <w:rPr>
                <w:sz w:val="19"/>
              </w:rPr>
            </w:pPr>
            <w:r>
              <w:rPr>
                <w:sz w:val="19"/>
              </w:rPr>
              <w:t>10 Jun 1965</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1 Sep 1965 p. 2590-6</w:t>
            </w:r>
          </w:p>
        </w:tc>
        <w:tc>
          <w:tcPr>
            <w:tcW w:w="2693" w:type="dxa"/>
          </w:tcPr>
          <w:p>
            <w:pPr>
              <w:pStyle w:val="nTable"/>
              <w:spacing w:after="40"/>
              <w:rPr>
                <w:sz w:val="19"/>
              </w:rPr>
            </w:pPr>
            <w:r>
              <w:rPr>
                <w:sz w:val="19"/>
              </w:rPr>
              <w:t>1 Sep 1965</w:t>
            </w:r>
          </w:p>
        </w:tc>
      </w:tr>
      <w:tr>
        <w:trPr>
          <w:cantSplit/>
        </w:trPr>
        <w:tc>
          <w:tcPr>
            <w:tcW w:w="4394" w:type="dxa"/>
            <w:gridSpan w:val="2"/>
          </w:tcPr>
          <w:p>
            <w:pPr>
              <w:pStyle w:val="nTable"/>
              <w:spacing w:after="40"/>
              <w:ind w:right="170"/>
              <w:rPr>
                <w:rFonts w:ascii="Arial" w:hAnsi="Arial"/>
                <w:b/>
                <w:sz w:val="19"/>
              </w:rPr>
            </w:pPr>
            <w:r>
              <w:rPr>
                <w:i/>
                <w:sz w:val="19"/>
              </w:rPr>
              <w:t>Decimal Currency Act 1965</w:t>
            </w:r>
            <w:r>
              <w:rPr>
                <w:b/>
                <w:i/>
                <w:sz w:val="19"/>
              </w:rPr>
              <w:t xml:space="preserve"> </w:t>
            </w:r>
            <w:r>
              <w:rPr>
                <w:sz w:val="19"/>
              </w:rPr>
              <w:t>assented to 21 Dec 1965</w:t>
            </w:r>
          </w:p>
        </w:tc>
        <w:tc>
          <w:tcPr>
            <w:tcW w:w="2693" w:type="dxa"/>
          </w:tcPr>
          <w:p>
            <w:pPr>
              <w:pStyle w:val="nTable"/>
              <w:spacing w:after="40"/>
              <w:rPr>
                <w:sz w:val="19"/>
              </w:rPr>
            </w:pPr>
            <w:r>
              <w:rPr>
                <w:sz w:val="19"/>
              </w:rPr>
              <w:t>Act other than s. 4-9: 21 Dec 1965 (see s. 2(1));</w:t>
            </w:r>
            <w:r>
              <w:rPr>
                <w:sz w:val="19"/>
              </w:rPr>
              <w:br/>
              <w:t>s. 4-9: 14 Feb 1966 (see s. 2(2))</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17 Mar 1966 p. 731</w:t>
            </w:r>
          </w:p>
        </w:tc>
        <w:tc>
          <w:tcPr>
            <w:tcW w:w="2693" w:type="dxa"/>
          </w:tcPr>
          <w:p>
            <w:pPr>
              <w:pStyle w:val="nTable"/>
              <w:spacing w:after="40"/>
              <w:rPr>
                <w:sz w:val="19"/>
              </w:rPr>
            </w:pPr>
            <w:r>
              <w:rPr>
                <w:sz w:val="19"/>
              </w:rPr>
              <w:t>17 Mar 1966</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14 Apr 1966 p. 918</w:t>
            </w:r>
          </w:p>
        </w:tc>
        <w:tc>
          <w:tcPr>
            <w:tcW w:w="2693" w:type="dxa"/>
          </w:tcPr>
          <w:p>
            <w:pPr>
              <w:pStyle w:val="nTable"/>
              <w:spacing w:after="40"/>
              <w:rPr>
                <w:sz w:val="19"/>
              </w:rPr>
            </w:pPr>
            <w:r>
              <w:rPr>
                <w:sz w:val="19"/>
              </w:rPr>
              <w:t>14 Apr 1966</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4 Jun 1968 p. 1684-93</w:t>
            </w:r>
          </w:p>
        </w:tc>
        <w:tc>
          <w:tcPr>
            <w:tcW w:w="2693" w:type="dxa"/>
          </w:tcPr>
          <w:p>
            <w:pPr>
              <w:pStyle w:val="nTable"/>
              <w:spacing w:after="40"/>
              <w:rPr>
                <w:sz w:val="19"/>
              </w:rPr>
            </w:pPr>
            <w:r>
              <w:rPr>
                <w:sz w:val="19"/>
              </w:rPr>
              <w:t>4 Jun 1968</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30 Dec 1968 p. 3949</w:t>
            </w:r>
          </w:p>
        </w:tc>
        <w:tc>
          <w:tcPr>
            <w:tcW w:w="2693" w:type="dxa"/>
          </w:tcPr>
          <w:p>
            <w:pPr>
              <w:pStyle w:val="nTable"/>
              <w:spacing w:after="40"/>
              <w:rPr>
                <w:sz w:val="19"/>
              </w:rPr>
            </w:pPr>
            <w:r>
              <w:rPr>
                <w:sz w:val="19"/>
              </w:rPr>
              <w:t>30 Dec 1968</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24 Nov 1972 p. 4486-91</w:t>
            </w:r>
          </w:p>
        </w:tc>
        <w:tc>
          <w:tcPr>
            <w:tcW w:w="2693" w:type="dxa"/>
          </w:tcPr>
          <w:p>
            <w:pPr>
              <w:pStyle w:val="nTable"/>
              <w:spacing w:after="40"/>
              <w:rPr>
                <w:sz w:val="19"/>
              </w:rPr>
            </w:pPr>
            <w:r>
              <w:rPr>
                <w:sz w:val="19"/>
              </w:rPr>
              <w:t>24 Nov 1972</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15 Jun 1973 p. 2237</w:t>
            </w:r>
            <w:r>
              <w:rPr>
                <w:sz w:val="19"/>
              </w:rPr>
              <w:noBreakHyphen/>
              <w:t>42 (erratum 13 Dec 1974 p. 5544)</w:t>
            </w:r>
          </w:p>
        </w:tc>
        <w:tc>
          <w:tcPr>
            <w:tcW w:w="2693" w:type="dxa"/>
          </w:tcPr>
          <w:p>
            <w:pPr>
              <w:pStyle w:val="nTable"/>
              <w:spacing w:after="40"/>
              <w:rPr>
                <w:sz w:val="19"/>
              </w:rPr>
            </w:pPr>
            <w:r>
              <w:rPr>
                <w:sz w:val="19"/>
              </w:rPr>
              <w:t>1 Jul 1973</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19 Oct 1973 p. 3818-19</w:t>
            </w:r>
          </w:p>
        </w:tc>
        <w:tc>
          <w:tcPr>
            <w:tcW w:w="2693" w:type="dxa"/>
          </w:tcPr>
          <w:p>
            <w:pPr>
              <w:pStyle w:val="nTable"/>
              <w:spacing w:after="40"/>
              <w:rPr>
                <w:sz w:val="19"/>
              </w:rPr>
            </w:pPr>
            <w:r>
              <w:rPr>
                <w:sz w:val="19"/>
              </w:rPr>
              <w:t>19 Oct 1973</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9 Nov 1973 p. 4192</w:t>
            </w:r>
          </w:p>
        </w:tc>
        <w:tc>
          <w:tcPr>
            <w:tcW w:w="2693" w:type="dxa"/>
          </w:tcPr>
          <w:p>
            <w:pPr>
              <w:pStyle w:val="nTable"/>
              <w:spacing w:after="40"/>
              <w:rPr>
                <w:sz w:val="19"/>
              </w:rPr>
            </w:pPr>
            <w:r>
              <w:rPr>
                <w:sz w:val="19"/>
              </w:rPr>
              <w:t xml:space="preserve">9 Nov 1973 </w:t>
            </w:r>
          </w:p>
        </w:tc>
      </w:tr>
      <w:tr>
        <w:trPr>
          <w:cantSplit/>
        </w:trPr>
        <w:tc>
          <w:tcPr>
            <w:tcW w:w="7087" w:type="dxa"/>
            <w:gridSpan w:val="3"/>
          </w:tcPr>
          <w:p>
            <w:pPr>
              <w:pStyle w:val="nTable"/>
              <w:spacing w:after="40"/>
              <w:rPr>
                <w:sz w:val="19"/>
              </w:rPr>
            </w:pPr>
            <w:r>
              <w:rPr>
                <w:b/>
                <w:sz w:val="19"/>
              </w:rPr>
              <w:t xml:space="preserve">Reprint of the </w:t>
            </w:r>
            <w:r>
              <w:rPr>
                <w:b/>
                <w:i/>
                <w:sz w:val="19"/>
              </w:rPr>
              <w:t xml:space="preserve">Jetties Act Regulations 1940 </w:t>
            </w:r>
            <w:r>
              <w:rPr>
                <w:b/>
                <w:sz w:val="19"/>
              </w:rPr>
              <w:t xml:space="preserve">authorised 29 Nov 1974 in </w:t>
            </w:r>
            <w:r>
              <w:rPr>
                <w:b/>
                <w:i/>
                <w:sz w:val="19"/>
              </w:rPr>
              <w:t xml:space="preserve">Gazette </w:t>
            </w:r>
            <w:r>
              <w:rPr>
                <w:b/>
                <w:sz w:val="19"/>
              </w:rPr>
              <w:t>10 Dec 1974 p. 5291-318</w:t>
            </w:r>
            <w:r>
              <w:rPr>
                <w:sz w:val="19"/>
              </w:rPr>
              <w:t xml:space="preserve"> (includes amendments listed above)</w:t>
            </w:r>
          </w:p>
        </w:tc>
      </w:tr>
      <w:tr>
        <w:trPr>
          <w:cantSplit/>
        </w:trPr>
        <w:tc>
          <w:tcPr>
            <w:tcW w:w="3118" w:type="dxa"/>
          </w:tcPr>
          <w:p>
            <w:pPr>
              <w:pStyle w:val="nTable"/>
              <w:spacing w:after="40"/>
              <w:ind w:right="170"/>
              <w:rPr>
                <w:rFonts w:ascii="Arial" w:hAnsi="Arial"/>
                <w:b/>
                <w:sz w:val="19"/>
              </w:rPr>
            </w:pPr>
            <w:r>
              <w:rPr>
                <w:sz w:val="19"/>
              </w:rPr>
              <w:t>Untitled regulations</w:t>
            </w:r>
          </w:p>
        </w:tc>
        <w:tc>
          <w:tcPr>
            <w:tcW w:w="1276" w:type="dxa"/>
          </w:tcPr>
          <w:p>
            <w:pPr>
              <w:pStyle w:val="nTable"/>
              <w:spacing w:after="40"/>
              <w:rPr>
                <w:rFonts w:ascii="Arial" w:hAnsi="Arial"/>
                <w:b/>
                <w:sz w:val="19"/>
              </w:rPr>
            </w:pPr>
            <w:r>
              <w:rPr>
                <w:sz w:val="19"/>
              </w:rPr>
              <w:t>22 Aug 1975 p. 3040-3</w:t>
            </w:r>
          </w:p>
        </w:tc>
        <w:tc>
          <w:tcPr>
            <w:tcW w:w="2693" w:type="dxa"/>
          </w:tcPr>
          <w:p>
            <w:pPr>
              <w:pStyle w:val="nTable"/>
              <w:spacing w:after="40"/>
              <w:rPr>
                <w:rFonts w:ascii="Arial" w:hAnsi="Arial"/>
                <w:b/>
                <w:sz w:val="19"/>
              </w:rPr>
            </w:pPr>
            <w:r>
              <w:rPr>
                <w:sz w:val="19"/>
              </w:rPr>
              <w:t>22 Aug 1975</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20 Feb 1976 p. 484-7</w:t>
            </w:r>
          </w:p>
        </w:tc>
        <w:tc>
          <w:tcPr>
            <w:tcW w:w="2693" w:type="dxa"/>
          </w:tcPr>
          <w:p>
            <w:pPr>
              <w:pStyle w:val="nTable"/>
              <w:spacing w:after="40"/>
              <w:rPr>
                <w:sz w:val="19"/>
              </w:rPr>
            </w:pPr>
            <w:r>
              <w:rPr>
                <w:sz w:val="19"/>
              </w:rPr>
              <w:t>20 Feb 1976</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17 Sep 1976 p. 3463</w:t>
            </w:r>
          </w:p>
        </w:tc>
        <w:tc>
          <w:tcPr>
            <w:tcW w:w="2693" w:type="dxa"/>
          </w:tcPr>
          <w:p>
            <w:pPr>
              <w:pStyle w:val="nTable"/>
              <w:spacing w:after="40"/>
              <w:rPr>
                <w:sz w:val="19"/>
              </w:rPr>
            </w:pPr>
            <w:r>
              <w:rPr>
                <w:sz w:val="19"/>
              </w:rPr>
              <w:t>17 Sep 1976</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13 Jan 1978 p. 149-52</w:t>
            </w:r>
          </w:p>
        </w:tc>
        <w:tc>
          <w:tcPr>
            <w:tcW w:w="2693" w:type="dxa"/>
          </w:tcPr>
          <w:p>
            <w:pPr>
              <w:pStyle w:val="nTable"/>
              <w:spacing w:after="40"/>
              <w:rPr>
                <w:sz w:val="19"/>
              </w:rPr>
            </w:pPr>
            <w:r>
              <w:rPr>
                <w:sz w:val="19"/>
              </w:rPr>
              <w:t>13 Feb 1978</w:t>
            </w:r>
          </w:p>
        </w:tc>
      </w:tr>
      <w:tr>
        <w:trPr>
          <w:cantSplit/>
        </w:trPr>
        <w:tc>
          <w:tcPr>
            <w:tcW w:w="3118" w:type="dxa"/>
          </w:tcPr>
          <w:p>
            <w:pPr>
              <w:pStyle w:val="nTable"/>
              <w:spacing w:after="40"/>
              <w:ind w:right="170"/>
              <w:rPr>
                <w:sz w:val="19"/>
              </w:rPr>
            </w:pPr>
            <w:r>
              <w:rPr>
                <w:sz w:val="19"/>
              </w:rPr>
              <w:t>Untitled regulations r. 6 and 7</w:t>
            </w:r>
          </w:p>
        </w:tc>
        <w:tc>
          <w:tcPr>
            <w:tcW w:w="1276" w:type="dxa"/>
          </w:tcPr>
          <w:p>
            <w:pPr>
              <w:pStyle w:val="nTable"/>
              <w:spacing w:after="40"/>
              <w:rPr>
                <w:sz w:val="19"/>
              </w:rPr>
            </w:pPr>
            <w:r>
              <w:rPr>
                <w:sz w:val="19"/>
              </w:rPr>
              <w:t>31 Mar 1978 p. 989</w:t>
            </w:r>
            <w:r>
              <w:rPr>
                <w:sz w:val="19"/>
              </w:rPr>
              <w:noBreakHyphen/>
              <w:t>90</w:t>
            </w:r>
          </w:p>
        </w:tc>
        <w:tc>
          <w:tcPr>
            <w:tcW w:w="2693" w:type="dxa"/>
          </w:tcPr>
          <w:p>
            <w:pPr>
              <w:pStyle w:val="nTable"/>
              <w:spacing w:after="40"/>
              <w:rPr>
                <w:sz w:val="19"/>
              </w:rPr>
            </w:pPr>
            <w:r>
              <w:rPr>
                <w:sz w:val="19"/>
              </w:rPr>
              <w:t>31 Mar 1978</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1 Dec 1978 p. 4537-41</w:t>
            </w:r>
          </w:p>
        </w:tc>
        <w:tc>
          <w:tcPr>
            <w:tcW w:w="2693" w:type="dxa"/>
          </w:tcPr>
          <w:p>
            <w:pPr>
              <w:pStyle w:val="nTable"/>
              <w:spacing w:after="40"/>
              <w:rPr>
                <w:sz w:val="19"/>
              </w:rPr>
            </w:pPr>
            <w:r>
              <w:rPr>
                <w:sz w:val="19"/>
              </w:rPr>
              <w:t>1 Jan 1979</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 xml:space="preserve">13 Jul 1979 p. 1915-16 </w:t>
            </w:r>
          </w:p>
        </w:tc>
        <w:tc>
          <w:tcPr>
            <w:tcW w:w="2693" w:type="dxa"/>
          </w:tcPr>
          <w:p>
            <w:pPr>
              <w:pStyle w:val="nTable"/>
              <w:spacing w:after="40"/>
              <w:rPr>
                <w:sz w:val="19"/>
              </w:rPr>
            </w:pPr>
            <w:r>
              <w:rPr>
                <w:sz w:val="19"/>
              </w:rPr>
              <w:t>13 Aug 1979</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2 Nov 1979 p. 3467</w:t>
            </w:r>
          </w:p>
        </w:tc>
        <w:tc>
          <w:tcPr>
            <w:tcW w:w="2693" w:type="dxa"/>
          </w:tcPr>
          <w:p>
            <w:pPr>
              <w:pStyle w:val="nTable"/>
              <w:spacing w:after="40"/>
              <w:rPr>
                <w:sz w:val="19"/>
              </w:rPr>
            </w:pPr>
            <w:r>
              <w:rPr>
                <w:sz w:val="19"/>
              </w:rPr>
              <w:t>2 Nov 1979</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20 Jun 1980 p. 1834-8</w:t>
            </w:r>
          </w:p>
        </w:tc>
        <w:tc>
          <w:tcPr>
            <w:tcW w:w="2693" w:type="dxa"/>
          </w:tcPr>
          <w:p>
            <w:pPr>
              <w:pStyle w:val="nTable"/>
              <w:spacing w:after="40"/>
              <w:rPr>
                <w:sz w:val="19"/>
              </w:rPr>
            </w:pPr>
            <w:r>
              <w:rPr>
                <w:sz w:val="19"/>
              </w:rPr>
              <w:t>1 Jul 1980 (see r. 2)</w:t>
            </w:r>
          </w:p>
        </w:tc>
      </w:tr>
      <w:tr>
        <w:trPr>
          <w:cantSplit/>
        </w:trPr>
        <w:tc>
          <w:tcPr>
            <w:tcW w:w="3118" w:type="dxa"/>
          </w:tcPr>
          <w:p>
            <w:pPr>
              <w:pStyle w:val="nTable"/>
              <w:spacing w:after="40"/>
              <w:ind w:right="170"/>
              <w:rPr>
                <w:i/>
                <w:sz w:val="19"/>
              </w:rPr>
            </w:pPr>
            <w:r>
              <w:rPr>
                <w:i/>
                <w:sz w:val="19"/>
              </w:rPr>
              <w:t>Jetties Act Amendment Regulations 1980</w:t>
            </w:r>
          </w:p>
        </w:tc>
        <w:tc>
          <w:tcPr>
            <w:tcW w:w="1276" w:type="dxa"/>
          </w:tcPr>
          <w:p>
            <w:pPr>
              <w:pStyle w:val="nTable"/>
              <w:spacing w:after="40"/>
              <w:rPr>
                <w:sz w:val="19"/>
              </w:rPr>
            </w:pPr>
            <w:r>
              <w:rPr>
                <w:sz w:val="19"/>
              </w:rPr>
              <w:t>28 Nov 1980 p. 4050</w:t>
            </w:r>
          </w:p>
        </w:tc>
        <w:tc>
          <w:tcPr>
            <w:tcW w:w="2693" w:type="dxa"/>
          </w:tcPr>
          <w:p>
            <w:pPr>
              <w:pStyle w:val="nTable"/>
              <w:spacing w:after="40"/>
              <w:rPr>
                <w:sz w:val="19"/>
              </w:rPr>
            </w:pPr>
            <w:r>
              <w:rPr>
                <w:sz w:val="19"/>
              </w:rPr>
              <w:t>28 Nov 1980</w:t>
            </w:r>
          </w:p>
        </w:tc>
      </w:tr>
      <w:tr>
        <w:trPr>
          <w:cantSplit/>
        </w:trPr>
        <w:tc>
          <w:tcPr>
            <w:tcW w:w="3118" w:type="dxa"/>
          </w:tcPr>
          <w:p>
            <w:pPr>
              <w:pStyle w:val="nTable"/>
              <w:spacing w:after="40"/>
              <w:ind w:right="170"/>
              <w:rPr>
                <w:sz w:val="19"/>
              </w:rPr>
            </w:pPr>
            <w:r>
              <w:rPr>
                <w:i/>
                <w:sz w:val="19"/>
              </w:rPr>
              <w:t>Jetties Act Amendment Regulations 1981</w:t>
            </w:r>
          </w:p>
        </w:tc>
        <w:tc>
          <w:tcPr>
            <w:tcW w:w="1276" w:type="dxa"/>
          </w:tcPr>
          <w:p>
            <w:pPr>
              <w:pStyle w:val="nTable"/>
              <w:spacing w:after="40"/>
              <w:rPr>
                <w:sz w:val="19"/>
              </w:rPr>
            </w:pPr>
            <w:r>
              <w:rPr>
                <w:sz w:val="19"/>
              </w:rPr>
              <w:t>6 Feb 1981 p. 555</w:t>
            </w:r>
          </w:p>
        </w:tc>
        <w:tc>
          <w:tcPr>
            <w:tcW w:w="2693" w:type="dxa"/>
          </w:tcPr>
          <w:p>
            <w:pPr>
              <w:pStyle w:val="nTable"/>
              <w:spacing w:after="40"/>
              <w:rPr>
                <w:sz w:val="19"/>
              </w:rPr>
            </w:pPr>
            <w:r>
              <w:rPr>
                <w:sz w:val="19"/>
              </w:rPr>
              <w:t>6 Feb 1981</w:t>
            </w:r>
          </w:p>
        </w:tc>
      </w:tr>
      <w:tr>
        <w:trPr>
          <w:cantSplit/>
        </w:trPr>
        <w:tc>
          <w:tcPr>
            <w:tcW w:w="3118" w:type="dxa"/>
          </w:tcPr>
          <w:p>
            <w:pPr>
              <w:pStyle w:val="nTable"/>
              <w:spacing w:after="40"/>
              <w:ind w:right="170"/>
              <w:rPr>
                <w:sz w:val="19"/>
              </w:rPr>
            </w:pPr>
            <w:r>
              <w:rPr>
                <w:i/>
                <w:sz w:val="19"/>
              </w:rPr>
              <w:t>Jetties Act Amendment Regulations (No. 2) 1981</w:t>
            </w:r>
          </w:p>
        </w:tc>
        <w:tc>
          <w:tcPr>
            <w:tcW w:w="1276" w:type="dxa"/>
          </w:tcPr>
          <w:p>
            <w:pPr>
              <w:pStyle w:val="nTable"/>
              <w:spacing w:after="40"/>
              <w:rPr>
                <w:sz w:val="19"/>
              </w:rPr>
            </w:pPr>
            <w:r>
              <w:rPr>
                <w:sz w:val="19"/>
              </w:rPr>
              <w:t>26 Jun 1981 p. 2410-11</w:t>
            </w:r>
          </w:p>
        </w:tc>
        <w:tc>
          <w:tcPr>
            <w:tcW w:w="2693" w:type="dxa"/>
          </w:tcPr>
          <w:p>
            <w:pPr>
              <w:pStyle w:val="nTable"/>
              <w:spacing w:after="40"/>
              <w:rPr>
                <w:sz w:val="19"/>
              </w:rPr>
            </w:pPr>
            <w:r>
              <w:rPr>
                <w:sz w:val="19"/>
              </w:rPr>
              <w:t>1 Jul 1981 (see r. 2)</w:t>
            </w:r>
          </w:p>
        </w:tc>
      </w:tr>
      <w:tr>
        <w:trPr>
          <w:cantSplit/>
        </w:trPr>
        <w:tc>
          <w:tcPr>
            <w:tcW w:w="3118" w:type="dxa"/>
          </w:tcPr>
          <w:p>
            <w:pPr>
              <w:pStyle w:val="nTable"/>
              <w:spacing w:after="40"/>
              <w:ind w:right="170"/>
              <w:rPr>
                <w:sz w:val="19"/>
              </w:rPr>
            </w:pPr>
            <w:r>
              <w:rPr>
                <w:i/>
                <w:sz w:val="19"/>
              </w:rPr>
              <w:t>Jetties Act Amendment Regulations (No. 3) 1981</w:t>
            </w:r>
          </w:p>
        </w:tc>
        <w:tc>
          <w:tcPr>
            <w:tcW w:w="1276" w:type="dxa"/>
          </w:tcPr>
          <w:p>
            <w:pPr>
              <w:pStyle w:val="nTable"/>
              <w:spacing w:after="40"/>
              <w:rPr>
                <w:sz w:val="19"/>
              </w:rPr>
            </w:pPr>
            <w:r>
              <w:rPr>
                <w:sz w:val="19"/>
              </w:rPr>
              <w:t>26 Jun 1981 p. 2413 (erratum 16 Oct 1981 p. 4337)</w:t>
            </w:r>
          </w:p>
        </w:tc>
        <w:tc>
          <w:tcPr>
            <w:tcW w:w="2693" w:type="dxa"/>
          </w:tcPr>
          <w:p>
            <w:pPr>
              <w:pStyle w:val="nTable"/>
              <w:spacing w:after="40"/>
              <w:rPr>
                <w:sz w:val="19"/>
              </w:rPr>
            </w:pPr>
            <w:r>
              <w:rPr>
                <w:sz w:val="19"/>
              </w:rPr>
              <w:t>1 Jul 1981 (see r. 2)</w:t>
            </w:r>
          </w:p>
        </w:tc>
      </w:tr>
      <w:tr>
        <w:trPr>
          <w:cantSplit/>
        </w:trPr>
        <w:tc>
          <w:tcPr>
            <w:tcW w:w="3118" w:type="dxa"/>
          </w:tcPr>
          <w:p>
            <w:pPr>
              <w:pStyle w:val="nTable"/>
              <w:spacing w:after="40"/>
              <w:ind w:right="170"/>
              <w:rPr>
                <w:sz w:val="19"/>
              </w:rPr>
            </w:pPr>
            <w:r>
              <w:rPr>
                <w:i/>
                <w:sz w:val="19"/>
              </w:rPr>
              <w:t>Jetties Act Amendment Regulations (No. 4) 1981</w:t>
            </w:r>
          </w:p>
        </w:tc>
        <w:tc>
          <w:tcPr>
            <w:tcW w:w="1276" w:type="dxa"/>
          </w:tcPr>
          <w:p>
            <w:pPr>
              <w:pStyle w:val="nTable"/>
              <w:spacing w:after="40"/>
              <w:rPr>
                <w:sz w:val="19"/>
              </w:rPr>
            </w:pPr>
            <w:r>
              <w:rPr>
                <w:sz w:val="19"/>
              </w:rPr>
              <w:t xml:space="preserve">14 Aug 1981 p. 3340 </w:t>
            </w:r>
          </w:p>
        </w:tc>
        <w:tc>
          <w:tcPr>
            <w:tcW w:w="2693" w:type="dxa"/>
          </w:tcPr>
          <w:p>
            <w:pPr>
              <w:pStyle w:val="nTable"/>
              <w:spacing w:after="40"/>
              <w:rPr>
                <w:sz w:val="19"/>
              </w:rPr>
            </w:pPr>
            <w:r>
              <w:rPr>
                <w:sz w:val="19"/>
              </w:rPr>
              <w:t>14 Aug 1981</w:t>
            </w:r>
          </w:p>
        </w:tc>
      </w:tr>
      <w:tr>
        <w:trPr>
          <w:cantSplit/>
        </w:trPr>
        <w:tc>
          <w:tcPr>
            <w:tcW w:w="3118" w:type="dxa"/>
          </w:tcPr>
          <w:p>
            <w:pPr>
              <w:pStyle w:val="nTable"/>
              <w:spacing w:after="40"/>
              <w:ind w:right="170"/>
              <w:rPr>
                <w:sz w:val="19"/>
              </w:rPr>
            </w:pPr>
            <w:r>
              <w:rPr>
                <w:i/>
                <w:sz w:val="19"/>
              </w:rPr>
              <w:t>Jetties Act Amendment Regulations 1982</w:t>
            </w:r>
          </w:p>
        </w:tc>
        <w:tc>
          <w:tcPr>
            <w:tcW w:w="1276" w:type="dxa"/>
          </w:tcPr>
          <w:p>
            <w:pPr>
              <w:pStyle w:val="nTable"/>
              <w:spacing w:after="40"/>
              <w:rPr>
                <w:sz w:val="19"/>
              </w:rPr>
            </w:pPr>
            <w:r>
              <w:rPr>
                <w:sz w:val="19"/>
              </w:rPr>
              <w:t>9 Jul 1982 p. 2509-11</w:t>
            </w:r>
          </w:p>
        </w:tc>
        <w:tc>
          <w:tcPr>
            <w:tcW w:w="2693" w:type="dxa"/>
          </w:tcPr>
          <w:p>
            <w:pPr>
              <w:pStyle w:val="nTable"/>
              <w:spacing w:after="40"/>
              <w:rPr>
                <w:sz w:val="19"/>
              </w:rPr>
            </w:pPr>
            <w:r>
              <w:rPr>
                <w:sz w:val="19"/>
              </w:rPr>
              <w:t>9 Jul 1982</w:t>
            </w:r>
          </w:p>
        </w:tc>
      </w:tr>
      <w:tr>
        <w:trPr>
          <w:cantSplit/>
        </w:trPr>
        <w:tc>
          <w:tcPr>
            <w:tcW w:w="3118" w:type="dxa"/>
          </w:tcPr>
          <w:p>
            <w:pPr>
              <w:pStyle w:val="nTable"/>
              <w:spacing w:after="40"/>
              <w:ind w:right="170"/>
              <w:rPr>
                <w:sz w:val="19"/>
              </w:rPr>
            </w:pPr>
            <w:r>
              <w:rPr>
                <w:i/>
                <w:sz w:val="19"/>
              </w:rPr>
              <w:t>Jetties Act Amendment Regulations 1983</w:t>
            </w:r>
          </w:p>
        </w:tc>
        <w:tc>
          <w:tcPr>
            <w:tcW w:w="1276" w:type="dxa"/>
          </w:tcPr>
          <w:p>
            <w:pPr>
              <w:pStyle w:val="nTable"/>
              <w:spacing w:after="40"/>
              <w:rPr>
                <w:sz w:val="19"/>
              </w:rPr>
            </w:pPr>
            <w:r>
              <w:rPr>
                <w:sz w:val="19"/>
              </w:rPr>
              <w:t>5 Aug 1983 p. 2834-6</w:t>
            </w:r>
          </w:p>
        </w:tc>
        <w:tc>
          <w:tcPr>
            <w:tcW w:w="2693" w:type="dxa"/>
          </w:tcPr>
          <w:p>
            <w:pPr>
              <w:pStyle w:val="nTable"/>
              <w:spacing w:after="40"/>
              <w:rPr>
                <w:sz w:val="19"/>
              </w:rPr>
            </w:pPr>
            <w:r>
              <w:rPr>
                <w:sz w:val="19"/>
              </w:rPr>
              <w:t>5 Aug 1983</w:t>
            </w:r>
          </w:p>
        </w:tc>
      </w:tr>
      <w:tr>
        <w:trPr>
          <w:cantSplit/>
        </w:trPr>
        <w:tc>
          <w:tcPr>
            <w:tcW w:w="3118" w:type="dxa"/>
          </w:tcPr>
          <w:p>
            <w:pPr>
              <w:pStyle w:val="nTable"/>
              <w:spacing w:after="40"/>
              <w:ind w:right="170"/>
              <w:rPr>
                <w:sz w:val="19"/>
              </w:rPr>
            </w:pPr>
            <w:r>
              <w:rPr>
                <w:i/>
                <w:sz w:val="19"/>
              </w:rPr>
              <w:t>Jetties Act Amendment Regulations (No. 2) 1983</w:t>
            </w:r>
          </w:p>
        </w:tc>
        <w:tc>
          <w:tcPr>
            <w:tcW w:w="1276" w:type="dxa"/>
          </w:tcPr>
          <w:p>
            <w:pPr>
              <w:pStyle w:val="nTable"/>
              <w:spacing w:after="40"/>
              <w:rPr>
                <w:sz w:val="19"/>
              </w:rPr>
            </w:pPr>
            <w:r>
              <w:rPr>
                <w:sz w:val="19"/>
              </w:rPr>
              <w:t>23 Sep 1983 p. 3817</w:t>
            </w:r>
          </w:p>
        </w:tc>
        <w:tc>
          <w:tcPr>
            <w:tcW w:w="2693" w:type="dxa"/>
          </w:tcPr>
          <w:p>
            <w:pPr>
              <w:pStyle w:val="nTable"/>
              <w:spacing w:after="40"/>
              <w:rPr>
                <w:sz w:val="19"/>
              </w:rPr>
            </w:pPr>
            <w:r>
              <w:rPr>
                <w:sz w:val="19"/>
              </w:rPr>
              <w:t>1 Oct 1983 (see r. 2)</w:t>
            </w:r>
          </w:p>
        </w:tc>
      </w:tr>
      <w:tr>
        <w:trPr>
          <w:cantSplit/>
        </w:trPr>
        <w:tc>
          <w:tcPr>
            <w:tcW w:w="3118" w:type="dxa"/>
          </w:tcPr>
          <w:p>
            <w:pPr>
              <w:pStyle w:val="nTable"/>
              <w:spacing w:after="40"/>
              <w:ind w:right="170"/>
              <w:rPr>
                <w:sz w:val="19"/>
              </w:rPr>
            </w:pPr>
            <w:r>
              <w:rPr>
                <w:i/>
                <w:sz w:val="19"/>
              </w:rPr>
              <w:t>Jetties Act Amendment Regulations (No. 3) 1983</w:t>
            </w:r>
          </w:p>
        </w:tc>
        <w:tc>
          <w:tcPr>
            <w:tcW w:w="1276" w:type="dxa"/>
          </w:tcPr>
          <w:p>
            <w:pPr>
              <w:pStyle w:val="nTable"/>
              <w:spacing w:after="40"/>
              <w:rPr>
                <w:sz w:val="19"/>
              </w:rPr>
            </w:pPr>
            <w:r>
              <w:rPr>
                <w:sz w:val="19"/>
              </w:rPr>
              <w:t>25 Nov 1983 p. 4669-70</w:t>
            </w:r>
          </w:p>
        </w:tc>
        <w:tc>
          <w:tcPr>
            <w:tcW w:w="2693" w:type="dxa"/>
          </w:tcPr>
          <w:p>
            <w:pPr>
              <w:pStyle w:val="nTable"/>
              <w:spacing w:after="40"/>
              <w:rPr>
                <w:sz w:val="19"/>
              </w:rPr>
            </w:pPr>
            <w:r>
              <w:rPr>
                <w:sz w:val="19"/>
              </w:rPr>
              <w:t>25 Nov 1983</w:t>
            </w:r>
          </w:p>
        </w:tc>
      </w:tr>
      <w:tr>
        <w:trPr>
          <w:cantSplit/>
        </w:trPr>
        <w:tc>
          <w:tcPr>
            <w:tcW w:w="3118" w:type="dxa"/>
          </w:tcPr>
          <w:p>
            <w:pPr>
              <w:pStyle w:val="nTable"/>
              <w:spacing w:after="40"/>
              <w:ind w:right="170"/>
              <w:rPr>
                <w:sz w:val="19"/>
              </w:rPr>
            </w:pPr>
            <w:r>
              <w:rPr>
                <w:i/>
                <w:sz w:val="19"/>
              </w:rPr>
              <w:t>Jetties Act Amendment Regulations 1984</w:t>
            </w:r>
          </w:p>
        </w:tc>
        <w:tc>
          <w:tcPr>
            <w:tcW w:w="1276" w:type="dxa"/>
          </w:tcPr>
          <w:p>
            <w:pPr>
              <w:pStyle w:val="nTable"/>
              <w:spacing w:after="40"/>
              <w:rPr>
                <w:sz w:val="19"/>
              </w:rPr>
            </w:pPr>
            <w:r>
              <w:rPr>
                <w:sz w:val="19"/>
              </w:rPr>
              <w:t>6 Jul 1984 p. 2028-9</w:t>
            </w:r>
          </w:p>
        </w:tc>
        <w:tc>
          <w:tcPr>
            <w:tcW w:w="2693" w:type="dxa"/>
          </w:tcPr>
          <w:p>
            <w:pPr>
              <w:pStyle w:val="nTable"/>
              <w:spacing w:after="40"/>
              <w:rPr>
                <w:sz w:val="19"/>
              </w:rPr>
            </w:pPr>
            <w:r>
              <w:rPr>
                <w:sz w:val="19"/>
              </w:rPr>
              <w:t>6 Jul 1984</w:t>
            </w:r>
          </w:p>
        </w:tc>
      </w:tr>
      <w:tr>
        <w:trPr>
          <w:cantSplit/>
        </w:trPr>
        <w:tc>
          <w:tcPr>
            <w:tcW w:w="3118" w:type="dxa"/>
          </w:tcPr>
          <w:p>
            <w:pPr>
              <w:pStyle w:val="nTable"/>
              <w:spacing w:after="40"/>
              <w:ind w:right="170"/>
              <w:rPr>
                <w:sz w:val="19"/>
              </w:rPr>
            </w:pPr>
            <w:r>
              <w:rPr>
                <w:i/>
                <w:sz w:val="19"/>
              </w:rPr>
              <w:t>Jetties Act Amendment Regulations (No. 2) 1984</w:t>
            </w:r>
          </w:p>
        </w:tc>
        <w:tc>
          <w:tcPr>
            <w:tcW w:w="1276" w:type="dxa"/>
          </w:tcPr>
          <w:p>
            <w:pPr>
              <w:pStyle w:val="nTable"/>
              <w:spacing w:after="40"/>
              <w:rPr>
                <w:sz w:val="19"/>
              </w:rPr>
            </w:pPr>
            <w:r>
              <w:rPr>
                <w:sz w:val="19"/>
              </w:rPr>
              <w:t>7 Sep 1984 p. 2859</w:t>
            </w:r>
          </w:p>
        </w:tc>
        <w:tc>
          <w:tcPr>
            <w:tcW w:w="2693" w:type="dxa"/>
          </w:tcPr>
          <w:p>
            <w:pPr>
              <w:pStyle w:val="nTable"/>
              <w:spacing w:after="40"/>
              <w:rPr>
                <w:sz w:val="19"/>
              </w:rPr>
            </w:pPr>
            <w:r>
              <w:rPr>
                <w:sz w:val="19"/>
              </w:rPr>
              <w:t>7 Sep 1984</w:t>
            </w:r>
          </w:p>
        </w:tc>
      </w:tr>
      <w:tr>
        <w:trPr>
          <w:cantSplit/>
        </w:trPr>
        <w:tc>
          <w:tcPr>
            <w:tcW w:w="3118" w:type="dxa"/>
          </w:tcPr>
          <w:p>
            <w:pPr>
              <w:pStyle w:val="nTable"/>
              <w:spacing w:after="40"/>
              <w:ind w:right="170"/>
              <w:rPr>
                <w:sz w:val="19"/>
              </w:rPr>
            </w:pPr>
            <w:r>
              <w:rPr>
                <w:i/>
                <w:sz w:val="19"/>
              </w:rPr>
              <w:t>Jetties Act Amendment Regulations 1985</w:t>
            </w:r>
          </w:p>
        </w:tc>
        <w:tc>
          <w:tcPr>
            <w:tcW w:w="1276" w:type="dxa"/>
          </w:tcPr>
          <w:p>
            <w:pPr>
              <w:pStyle w:val="nTable"/>
              <w:spacing w:after="40"/>
              <w:rPr>
                <w:sz w:val="19"/>
              </w:rPr>
            </w:pPr>
            <w:r>
              <w:rPr>
                <w:sz w:val="19"/>
              </w:rPr>
              <w:t>30 Aug 1985 p. 3077-9</w:t>
            </w:r>
          </w:p>
        </w:tc>
        <w:tc>
          <w:tcPr>
            <w:tcW w:w="2693" w:type="dxa"/>
          </w:tcPr>
          <w:p>
            <w:pPr>
              <w:pStyle w:val="nTable"/>
              <w:spacing w:after="40"/>
              <w:rPr>
                <w:sz w:val="19"/>
              </w:rPr>
            </w:pPr>
            <w:r>
              <w:rPr>
                <w:sz w:val="19"/>
              </w:rPr>
              <w:t>2 Sep 1985 (see r. 3)</w:t>
            </w:r>
          </w:p>
        </w:tc>
      </w:tr>
      <w:tr>
        <w:trPr>
          <w:cantSplit/>
        </w:trPr>
        <w:tc>
          <w:tcPr>
            <w:tcW w:w="3118" w:type="dxa"/>
          </w:tcPr>
          <w:p>
            <w:pPr>
              <w:pStyle w:val="nTable"/>
              <w:spacing w:after="40"/>
              <w:ind w:right="170"/>
              <w:rPr>
                <w:sz w:val="19"/>
              </w:rPr>
            </w:pPr>
            <w:r>
              <w:rPr>
                <w:i/>
                <w:sz w:val="19"/>
              </w:rPr>
              <w:t>Jetties Amendment Regulations 1986</w:t>
            </w:r>
          </w:p>
        </w:tc>
        <w:tc>
          <w:tcPr>
            <w:tcW w:w="1276" w:type="dxa"/>
          </w:tcPr>
          <w:p>
            <w:pPr>
              <w:pStyle w:val="nTable"/>
              <w:spacing w:after="40"/>
              <w:rPr>
                <w:sz w:val="19"/>
              </w:rPr>
            </w:pPr>
            <w:r>
              <w:rPr>
                <w:sz w:val="19"/>
              </w:rPr>
              <w:t>8 Aug 1986 p. 2828-30</w:t>
            </w:r>
          </w:p>
        </w:tc>
        <w:tc>
          <w:tcPr>
            <w:tcW w:w="2693" w:type="dxa"/>
          </w:tcPr>
          <w:p>
            <w:pPr>
              <w:pStyle w:val="nTable"/>
              <w:spacing w:after="40"/>
              <w:rPr>
                <w:sz w:val="19"/>
              </w:rPr>
            </w:pPr>
            <w:r>
              <w:rPr>
                <w:sz w:val="19"/>
              </w:rPr>
              <w:t>8 Aug 1986</w:t>
            </w:r>
          </w:p>
        </w:tc>
      </w:tr>
      <w:tr>
        <w:trPr>
          <w:cantSplit/>
        </w:trPr>
        <w:tc>
          <w:tcPr>
            <w:tcW w:w="3118" w:type="dxa"/>
          </w:tcPr>
          <w:p>
            <w:pPr>
              <w:pStyle w:val="nTable"/>
              <w:spacing w:after="40"/>
              <w:ind w:right="170"/>
              <w:rPr>
                <w:sz w:val="19"/>
              </w:rPr>
            </w:pPr>
            <w:r>
              <w:rPr>
                <w:i/>
                <w:sz w:val="19"/>
              </w:rPr>
              <w:t>Jetties Amendment Regulations 1987</w:t>
            </w:r>
          </w:p>
        </w:tc>
        <w:tc>
          <w:tcPr>
            <w:tcW w:w="1276" w:type="dxa"/>
          </w:tcPr>
          <w:p>
            <w:pPr>
              <w:pStyle w:val="nTable"/>
              <w:spacing w:after="40"/>
              <w:rPr>
                <w:sz w:val="19"/>
              </w:rPr>
            </w:pPr>
            <w:r>
              <w:rPr>
                <w:sz w:val="19"/>
              </w:rPr>
              <w:t>16 Oct 1987 p. 3893-5</w:t>
            </w:r>
          </w:p>
        </w:tc>
        <w:tc>
          <w:tcPr>
            <w:tcW w:w="2693" w:type="dxa"/>
          </w:tcPr>
          <w:p>
            <w:pPr>
              <w:pStyle w:val="nTable"/>
              <w:spacing w:after="40"/>
              <w:rPr>
                <w:sz w:val="19"/>
              </w:rPr>
            </w:pPr>
            <w:r>
              <w:rPr>
                <w:sz w:val="19"/>
              </w:rPr>
              <w:t>16 Oct 1987</w:t>
            </w:r>
          </w:p>
        </w:tc>
      </w:tr>
      <w:tr>
        <w:trPr>
          <w:cantSplit/>
        </w:trPr>
        <w:tc>
          <w:tcPr>
            <w:tcW w:w="3118" w:type="dxa"/>
          </w:tcPr>
          <w:p>
            <w:pPr>
              <w:pStyle w:val="nTable"/>
              <w:spacing w:after="40"/>
              <w:ind w:right="170"/>
              <w:rPr>
                <w:sz w:val="19"/>
              </w:rPr>
            </w:pPr>
            <w:r>
              <w:rPr>
                <w:i/>
                <w:sz w:val="19"/>
              </w:rPr>
              <w:t>Jetties Amendment Regulations 1988</w:t>
            </w:r>
          </w:p>
        </w:tc>
        <w:tc>
          <w:tcPr>
            <w:tcW w:w="1276" w:type="dxa"/>
          </w:tcPr>
          <w:p>
            <w:pPr>
              <w:pStyle w:val="nTable"/>
              <w:spacing w:after="40"/>
              <w:rPr>
                <w:sz w:val="19"/>
              </w:rPr>
            </w:pPr>
            <w:r>
              <w:rPr>
                <w:sz w:val="19"/>
              </w:rPr>
              <w:t>14 Oct 1988 p. 4164-6</w:t>
            </w:r>
          </w:p>
        </w:tc>
        <w:tc>
          <w:tcPr>
            <w:tcW w:w="2693" w:type="dxa"/>
          </w:tcPr>
          <w:p>
            <w:pPr>
              <w:pStyle w:val="nTable"/>
              <w:spacing w:after="40"/>
              <w:rPr>
                <w:sz w:val="19"/>
              </w:rPr>
            </w:pPr>
            <w:r>
              <w:rPr>
                <w:sz w:val="19"/>
              </w:rPr>
              <w:t>14 Oct 1988</w:t>
            </w:r>
          </w:p>
        </w:tc>
      </w:tr>
      <w:tr>
        <w:trPr>
          <w:cantSplit/>
        </w:trPr>
        <w:tc>
          <w:tcPr>
            <w:tcW w:w="3118" w:type="dxa"/>
          </w:tcPr>
          <w:p>
            <w:pPr>
              <w:pStyle w:val="nTable"/>
              <w:spacing w:after="40"/>
              <w:ind w:right="170"/>
              <w:rPr>
                <w:sz w:val="19"/>
              </w:rPr>
            </w:pPr>
            <w:r>
              <w:rPr>
                <w:i/>
                <w:sz w:val="19"/>
              </w:rPr>
              <w:t>Jetties Amendment Regulations 1989</w:t>
            </w:r>
          </w:p>
        </w:tc>
        <w:tc>
          <w:tcPr>
            <w:tcW w:w="1276" w:type="dxa"/>
          </w:tcPr>
          <w:p>
            <w:pPr>
              <w:pStyle w:val="nTable"/>
              <w:spacing w:after="40"/>
              <w:rPr>
                <w:sz w:val="19"/>
              </w:rPr>
            </w:pPr>
            <w:r>
              <w:rPr>
                <w:sz w:val="19"/>
              </w:rPr>
              <w:t>19 May 1989 p. 1493-6</w:t>
            </w:r>
          </w:p>
        </w:tc>
        <w:tc>
          <w:tcPr>
            <w:tcW w:w="2693" w:type="dxa"/>
          </w:tcPr>
          <w:p>
            <w:pPr>
              <w:pStyle w:val="nTable"/>
              <w:spacing w:after="40"/>
              <w:rPr>
                <w:sz w:val="19"/>
              </w:rPr>
            </w:pPr>
            <w:r>
              <w:rPr>
                <w:sz w:val="19"/>
              </w:rPr>
              <w:t>19 May 1989</w:t>
            </w:r>
          </w:p>
        </w:tc>
      </w:tr>
      <w:tr>
        <w:trPr>
          <w:cantSplit/>
        </w:trPr>
        <w:tc>
          <w:tcPr>
            <w:tcW w:w="3118" w:type="dxa"/>
          </w:tcPr>
          <w:p>
            <w:pPr>
              <w:pStyle w:val="nTable"/>
              <w:spacing w:after="40"/>
              <w:ind w:right="170"/>
              <w:rPr>
                <w:sz w:val="19"/>
              </w:rPr>
            </w:pPr>
            <w:r>
              <w:rPr>
                <w:i/>
                <w:sz w:val="19"/>
              </w:rPr>
              <w:t>Jetties Amendment Regulations (No. 2) 1989</w:t>
            </w:r>
          </w:p>
        </w:tc>
        <w:tc>
          <w:tcPr>
            <w:tcW w:w="1276" w:type="dxa"/>
          </w:tcPr>
          <w:p>
            <w:pPr>
              <w:pStyle w:val="nTable"/>
              <w:spacing w:after="40"/>
              <w:rPr>
                <w:sz w:val="19"/>
              </w:rPr>
            </w:pPr>
            <w:r>
              <w:rPr>
                <w:sz w:val="19"/>
              </w:rPr>
              <w:t>30 Jun 1989 p. 1917-20</w:t>
            </w:r>
          </w:p>
        </w:tc>
        <w:tc>
          <w:tcPr>
            <w:tcW w:w="2693" w:type="dxa"/>
          </w:tcPr>
          <w:p>
            <w:pPr>
              <w:pStyle w:val="nTable"/>
              <w:spacing w:after="40"/>
              <w:rPr>
                <w:sz w:val="19"/>
              </w:rPr>
            </w:pPr>
            <w:r>
              <w:rPr>
                <w:sz w:val="19"/>
              </w:rPr>
              <w:t>1 Jul 1989 (see r. 2)</w:t>
            </w:r>
          </w:p>
        </w:tc>
      </w:tr>
      <w:tr>
        <w:trPr>
          <w:cantSplit/>
        </w:trPr>
        <w:tc>
          <w:tcPr>
            <w:tcW w:w="3118" w:type="dxa"/>
          </w:tcPr>
          <w:p>
            <w:pPr>
              <w:pStyle w:val="nTable"/>
              <w:spacing w:after="40"/>
              <w:ind w:right="170"/>
              <w:rPr>
                <w:sz w:val="19"/>
              </w:rPr>
            </w:pPr>
            <w:r>
              <w:rPr>
                <w:i/>
                <w:sz w:val="19"/>
              </w:rPr>
              <w:t>Jetties Amendment Regulations 1990</w:t>
            </w:r>
          </w:p>
        </w:tc>
        <w:tc>
          <w:tcPr>
            <w:tcW w:w="1276" w:type="dxa"/>
          </w:tcPr>
          <w:p>
            <w:pPr>
              <w:pStyle w:val="nTable"/>
              <w:spacing w:after="40"/>
              <w:rPr>
                <w:sz w:val="19"/>
              </w:rPr>
            </w:pPr>
            <w:r>
              <w:rPr>
                <w:sz w:val="19"/>
              </w:rPr>
              <w:t>1 Aug 1990 p. 3633-40</w:t>
            </w:r>
          </w:p>
        </w:tc>
        <w:tc>
          <w:tcPr>
            <w:tcW w:w="2693" w:type="dxa"/>
          </w:tcPr>
          <w:p>
            <w:pPr>
              <w:pStyle w:val="nTable"/>
              <w:spacing w:after="40"/>
              <w:rPr>
                <w:sz w:val="19"/>
              </w:rPr>
            </w:pPr>
            <w:r>
              <w:rPr>
                <w:sz w:val="19"/>
              </w:rPr>
              <w:t>1 Aug 1990 (see r. 2)</w:t>
            </w:r>
          </w:p>
        </w:tc>
      </w:tr>
      <w:tr>
        <w:trPr>
          <w:cantSplit/>
        </w:trPr>
        <w:tc>
          <w:tcPr>
            <w:tcW w:w="7087" w:type="dxa"/>
            <w:gridSpan w:val="3"/>
          </w:tcPr>
          <w:p>
            <w:pPr>
              <w:pStyle w:val="nTable"/>
              <w:spacing w:after="40"/>
              <w:rPr>
                <w:sz w:val="19"/>
              </w:rPr>
            </w:pPr>
            <w:r>
              <w:rPr>
                <w:b/>
                <w:sz w:val="19"/>
              </w:rPr>
              <w:t xml:space="preserve">Reprint of the </w:t>
            </w:r>
            <w:r>
              <w:rPr>
                <w:b/>
                <w:i/>
                <w:sz w:val="19"/>
              </w:rPr>
              <w:t xml:space="preserve">Jetties Act Regulations 1940 </w:t>
            </w:r>
            <w:r>
              <w:rPr>
                <w:b/>
                <w:sz w:val="19"/>
              </w:rPr>
              <w:t xml:space="preserve">as at 29 Nov 1990 in </w:t>
            </w:r>
            <w:r>
              <w:rPr>
                <w:b/>
                <w:i/>
                <w:sz w:val="19"/>
              </w:rPr>
              <w:t xml:space="preserve">Gazette </w:t>
            </w:r>
            <w:r>
              <w:rPr>
                <w:b/>
                <w:sz w:val="19"/>
              </w:rPr>
              <w:t>13 Dec 1990 p. 6069-116</w:t>
            </w:r>
            <w:r>
              <w:rPr>
                <w:sz w:val="19"/>
              </w:rPr>
              <w:t xml:space="preserve"> (includes amendments listed above)</w:t>
            </w:r>
          </w:p>
        </w:tc>
      </w:tr>
      <w:tr>
        <w:trPr>
          <w:cantSplit/>
        </w:trPr>
        <w:tc>
          <w:tcPr>
            <w:tcW w:w="3118" w:type="dxa"/>
          </w:tcPr>
          <w:p>
            <w:pPr>
              <w:pStyle w:val="nTable"/>
              <w:spacing w:after="40"/>
              <w:ind w:right="170"/>
              <w:rPr>
                <w:sz w:val="19"/>
              </w:rPr>
            </w:pPr>
            <w:r>
              <w:rPr>
                <w:i/>
                <w:sz w:val="19"/>
              </w:rPr>
              <w:t>Jetties Amendment Regulations 1991</w:t>
            </w:r>
          </w:p>
        </w:tc>
        <w:tc>
          <w:tcPr>
            <w:tcW w:w="1276" w:type="dxa"/>
          </w:tcPr>
          <w:p>
            <w:pPr>
              <w:pStyle w:val="nTable"/>
              <w:spacing w:after="40"/>
              <w:rPr>
                <w:sz w:val="19"/>
              </w:rPr>
            </w:pPr>
            <w:r>
              <w:rPr>
                <w:sz w:val="19"/>
              </w:rPr>
              <w:t>26 Jul 1991 p. 3920</w:t>
            </w:r>
            <w:r>
              <w:rPr>
                <w:sz w:val="19"/>
              </w:rPr>
              <w:noBreakHyphen/>
              <w:t xml:space="preserve">4 </w:t>
            </w:r>
          </w:p>
        </w:tc>
        <w:tc>
          <w:tcPr>
            <w:tcW w:w="2693" w:type="dxa"/>
          </w:tcPr>
          <w:p>
            <w:pPr>
              <w:pStyle w:val="nTable"/>
              <w:spacing w:after="40"/>
              <w:rPr>
                <w:sz w:val="19"/>
              </w:rPr>
            </w:pPr>
            <w:r>
              <w:rPr>
                <w:sz w:val="19"/>
              </w:rPr>
              <w:t>1 Aug 1991 (see r. 2)</w:t>
            </w:r>
          </w:p>
        </w:tc>
      </w:tr>
      <w:tr>
        <w:trPr>
          <w:cantSplit/>
        </w:trPr>
        <w:tc>
          <w:tcPr>
            <w:tcW w:w="3118" w:type="dxa"/>
          </w:tcPr>
          <w:p>
            <w:pPr>
              <w:pStyle w:val="nTable"/>
              <w:spacing w:after="40"/>
              <w:ind w:right="170"/>
              <w:rPr>
                <w:sz w:val="19"/>
              </w:rPr>
            </w:pPr>
            <w:r>
              <w:rPr>
                <w:i/>
                <w:sz w:val="19"/>
              </w:rPr>
              <w:t>Jetties Amendment Regulations 1992</w:t>
            </w:r>
          </w:p>
        </w:tc>
        <w:tc>
          <w:tcPr>
            <w:tcW w:w="1276" w:type="dxa"/>
          </w:tcPr>
          <w:p>
            <w:pPr>
              <w:pStyle w:val="nTable"/>
              <w:spacing w:after="40"/>
              <w:rPr>
                <w:sz w:val="19"/>
              </w:rPr>
            </w:pPr>
            <w:r>
              <w:rPr>
                <w:sz w:val="19"/>
              </w:rPr>
              <w:t>30 Jun 1992 p. 2892</w:t>
            </w:r>
            <w:r>
              <w:rPr>
                <w:sz w:val="19"/>
              </w:rPr>
              <w:noBreakHyphen/>
              <w:t xml:space="preserve">9 </w:t>
            </w:r>
          </w:p>
        </w:tc>
        <w:tc>
          <w:tcPr>
            <w:tcW w:w="2693" w:type="dxa"/>
          </w:tcPr>
          <w:p>
            <w:pPr>
              <w:pStyle w:val="nTable"/>
              <w:spacing w:after="40"/>
              <w:rPr>
                <w:sz w:val="19"/>
              </w:rPr>
            </w:pPr>
            <w:r>
              <w:rPr>
                <w:sz w:val="19"/>
              </w:rPr>
              <w:t>1 Jul 1992 (see r. 2)</w:t>
            </w:r>
          </w:p>
        </w:tc>
      </w:tr>
      <w:tr>
        <w:trPr>
          <w:cantSplit/>
        </w:trPr>
        <w:tc>
          <w:tcPr>
            <w:tcW w:w="3118" w:type="dxa"/>
          </w:tcPr>
          <w:p>
            <w:pPr>
              <w:pStyle w:val="nTable"/>
              <w:spacing w:after="40"/>
              <w:ind w:right="170"/>
              <w:rPr>
                <w:sz w:val="19"/>
              </w:rPr>
            </w:pPr>
            <w:r>
              <w:rPr>
                <w:i/>
                <w:sz w:val="19"/>
              </w:rPr>
              <w:t>Jetties Amendment Regulations 1993</w:t>
            </w:r>
          </w:p>
        </w:tc>
        <w:tc>
          <w:tcPr>
            <w:tcW w:w="1276" w:type="dxa"/>
          </w:tcPr>
          <w:p>
            <w:pPr>
              <w:pStyle w:val="nTable"/>
              <w:spacing w:after="40"/>
              <w:rPr>
                <w:sz w:val="19"/>
              </w:rPr>
            </w:pPr>
            <w:r>
              <w:rPr>
                <w:sz w:val="19"/>
              </w:rPr>
              <w:t xml:space="preserve">7 May 1993 p. 2361 </w:t>
            </w:r>
          </w:p>
        </w:tc>
        <w:tc>
          <w:tcPr>
            <w:tcW w:w="2693" w:type="dxa"/>
          </w:tcPr>
          <w:p>
            <w:pPr>
              <w:pStyle w:val="nTable"/>
              <w:spacing w:after="40"/>
              <w:rPr>
                <w:sz w:val="19"/>
              </w:rPr>
            </w:pPr>
            <w:r>
              <w:rPr>
                <w:sz w:val="19"/>
              </w:rPr>
              <w:t>7 May 1993</w:t>
            </w:r>
          </w:p>
        </w:tc>
      </w:tr>
      <w:tr>
        <w:trPr>
          <w:cantSplit/>
        </w:trPr>
        <w:tc>
          <w:tcPr>
            <w:tcW w:w="3118" w:type="dxa"/>
          </w:tcPr>
          <w:p>
            <w:pPr>
              <w:pStyle w:val="nTable"/>
              <w:spacing w:after="40"/>
              <w:ind w:right="170"/>
              <w:rPr>
                <w:sz w:val="19"/>
              </w:rPr>
            </w:pPr>
            <w:r>
              <w:rPr>
                <w:i/>
                <w:sz w:val="19"/>
              </w:rPr>
              <w:t>Jetties Amendment Regulations</w:t>
            </w:r>
            <w:r>
              <w:rPr>
                <w:i/>
                <w:sz w:val="19"/>
              </w:rPr>
              <w:br/>
              <w:t>(No. 2) 1993</w:t>
            </w:r>
          </w:p>
        </w:tc>
        <w:tc>
          <w:tcPr>
            <w:tcW w:w="1276" w:type="dxa"/>
          </w:tcPr>
          <w:p>
            <w:pPr>
              <w:pStyle w:val="nTable"/>
              <w:spacing w:after="40"/>
              <w:rPr>
                <w:sz w:val="19"/>
              </w:rPr>
            </w:pPr>
            <w:r>
              <w:rPr>
                <w:sz w:val="19"/>
              </w:rPr>
              <w:t>29 Jun 1993 p. 3191</w:t>
            </w:r>
            <w:r>
              <w:rPr>
                <w:sz w:val="19"/>
              </w:rPr>
              <w:noBreakHyphen/>
              <w:t xml:space="preserve">7 </w:t>
            </w:r>
          </w:p>
        </w:tc>
        <w:tc>
          <w:tcPr>
            <w:tcW w:w="2693" w:type="dxa"/>
          </w:tcPr>
          <w:p>
            <w:pPr>
              <w:pStyle w:val="nTable"/>
              <w:spacing w:after="40"/>
              <w:rPr>
                <w:sz w:val="19"/>
              </w:rPr>
            </w:pPr>
            <w:r>
              <w:rPr>
                <w:sz w:val="19"/>
              </w:rPr>
              <w:t>1 Jul 1993 (see r. 2)</w:t>
            </w:r>
          </w:p>
        </w:tc>
      </w:tr>
      <w:tr>
        <w:trPr>
          <w:cantSplit/>
        </w:trPr>
        <w:tc>
          <w:tcPr>
            <w:tcW w:w="3118" w:type="dxa"/>
          </w:tcPr>
          <w:p>
            <w:pPr>
              <w:pStyle w:val="nTable"/>
              <w:spacing w:after="40"/>
              <w:ind w:right="170"/>
              <w:rPr>
                <w:sz w:val="19"/>
              </w:rPr>
            </w:pPr>
            <w:r>
              <w:rPr>
                <w:i/>
                <w:sz w:val="19"/>
              </w:rPr>
              <w:t>Jetties Amendment Regulations 1994</w:t>
            </w:r>
          </w:p>
        </w:tc>
        <w:tc>
          <w:tcPr>
            <w:tcW w:w="1276" w:type="dxa"/>
          </w:tcPr>
          <w:p>
            <w:pPr>
              <w:pStyle w:val="nTable"/>
              <w:spacing w:after="40"/>
              <w:rPr>
                <w:sz w:val="19"/>
              </w:rPr>
            </w:pPr>
            <w:r>
              <w:rPr>
                <w:sz w:val="19"/>
              </w:rPr>
              <w:t>14 Jun 1994 p. 2475</w:t>
            </w:r>
            <w:r>
              <w:rPr>
                <w:sz w:val="19"/>
              </w:rPr>
              <w:noBreakHyphen/>
              <w:t xml:space="preserve">82 </w:t>
            </w:r>
          </w:p>
        </w:tc>
        <w:tc>
          <w:tcPr>
            <w:tcW w:w="2693" w:type="dxa"/>
          </w:tcPr>
          <w:p>
            <w:pPr>
              <w:pStyle w:val="nTable"/>
              <w:spacing w:after="40"/>
              <w:rPr>
                <w:sz w:val="19"/>
              </w:rPr>
            </w:pPr>
            <w:r>
              <w:rPr>
                <w:sz w:val="19"/>
              </w:rPr>
              <w:t>1 Jul 1994 (see r. 2)</w:t>
            </w:r>
          </w:p>
        </w:tc>
      </w:tr>
      <w:tr>
        <w:trPr>
          <w:cantSplit/>
        </w:trPr>
        <w:tc>
          <w:tcPr>
            <w:tcW w:w="3118" w:type="dxa"/>
          </w:tcPr>
          <w:p>
            <w:pPr>
              <w:pStyle w:val="nTable"/>
              <w:spacing w:after="40"/>
              <w:ind w:right="170"/>
              <w:rPr>
                <w:sz w:val="19"/>
              </w:rPr>
            </w:pPr>
            <w:r>
              <w:rPr>
                <w:i/>
                <w:sz w:val="19"/>
              </w:rPr>
              <w:t>Jetties Amendment Regulations 1995</w:t>
            </w:r>
          </w:p>
        </w:tc>
        <w:tc>
          <w:tcPr>
            <w:tcW w:w="1276" w:type="dxa"/>
          </w:tcPr>
          <w:p>
            <w:pPr>
              <w:pStyle w:val="nTable"/>
              <w:spacing w:after="40"/>
              <w:rPr>
                <w:sz w:val="19"/>
              </w:rPr>
            </w:pPr>
            <w:r>
              <w:rPr>
                <w:sz w:val="19"/>
              </w:rPr>
              <w:t>30 Jun 1995 p. 2698</w:t>
            </w:r>
            <w:r>
              <w:rPr>
                <w:sz w:val="19"/>
              </w:rPr>
              <w:noBreakHyphen/>
              <w:t xml:space="preserve">705 </w:t>
            </w:r>
          </w:p>
        </w:tc>
        <w:tc>
          <w:tcPr>
            <w:tcW w:w="2693" w:type="dxa"/>
          </w:tcPr>
          <w:p>
            <w:pPr>
              <w:pStyle w:val="nTable"/>
              <w:spacing w:after="40"/>
              <w:rPr>
                <w:sz w:val="19"/>
              </w:rPr>
            </w:pPr>
            <w:r>
              <w:rPr>
                <w:sz w:val="19"/>
              </w:rPr>
              <w:t>1 Jul 1995 (see r. 2)</w:t>
            </w:r>
          </w:p>
        </w:tc>
      </w:tr>
      <w:tr>
        <w:trPr>
          <w:cantSplit/>
        </w:trPr>
        <w:tc>
          <w:tcPr>
            <w:tcW w:w="3118" w:type="dxa"/>
          </w:tcPr>
          <w:p>
            <w:pPr>
              <w:pStyle w:val="nTable"/>
              <w:spacing w:after="40"/>
              <w:ind w:right="170"/>
              <w:rPr>
                <w:sz w:val="19"/>
              </w:rPr>
            </w:pPr>
            <w:r>
              <w:rPr>
                <w:i/>
                <w:sz w:val="19"/>
              </w:rPr>
              <w:t>Jetties Amendment Regulations 1996</w:t>
            </w:r>
          </w:p>
        </w:tc>
        <w:tc>
          <w:tcPr>
            <w:tcW w:w="1276" w:type="dxa"/>
          </w:tcPr>
          <w:p>
            <w:pPr>
              <w:pStyle w:val="nTable"/>
              <w:spacing w:after="40"/>
              <w:rPr>
                <w:sz w:val="19"/>
              </w:rPr>
            </w:pPr>
            <w:r>
              <w:rPr>
                <w:sz w:val="19"/>
              </w:rPr>
              <w:t>25 Jun 1996 p. 2981</w:t>
            </w:r>
            <w:r>
              <w:rPr>
                <w:sz w:val="19"/>
              </w:rPr>
              <w:noBreakHyphen/>
              <w:t xml:space="preserve">91 </w:t>
            </w:r>
          </w:p>
        </w:tc>
        <w:tc>
          <w:tcPr>
            <w:tcW w:w="2693" w:type="dxa"/>
          </w:tcPr>
          <w:p>
            <w:pPr>
              <w:pStyle w:val="nTable"/>
              <w:spacing w:after="40"/>
              <w:rPr>
                <w:sz w:val="19"/>
              </w:rPr>
            </w:pPr>
            <w:r>
              <w:rPr>
                <w:sz w:val="19"/>
              </w:rPr>
              <w:t>1 Jul 1996 (see r. 2)</w:t>
            </w:r>
          </w:p>
        </w:tc>
      </w:tr>
      <w:tr>
        <w:trPr>
          <w:cantSplit/>
        </w:trPr>
        <w:tc>
          <w:tcPr>
            <w:tcW w:w="3118" w:type="dxa"/>
          </w:tcPr>
          <w:p>
            <w:pPr>
              <w:pStyle w:val="nTable"/>
              <w:spacing w:after="40"/>
              <w:ind w:right="170"/>
              <w:rPr>
                <w:sz w:val="19"/>
              </w:rPr>
            </w:pPr>
            <w:r>
              <w:rPr>
                <w:i/>
                <w:sz w:val="19"/>
              </w:rPr>
              <w:t>Jetties Amendment Regulations 1997</w:t>
            </w:r>
          </w:p>
        </w:tc>
        <w:tc>
          <w:tcPr>
            <w:tcW w:w="1276" w:type="dxa"/>
          </w:tcPr>
          <w:p>
            <w:pPr>
              <w:pStyle w:val="nTable"/>
              <w:spacing w:after="40"/>
              <w:rPr>
                <w:sz w:val="19"/>
              </w:rPr>
            </w:pPr>
            <w:r>
              <w:rPr>
                <w:sz w:val="19"/>
              </w:rPr>
              <w:t xml:space="preserve">13 May 1997 p. 2349 </w:t>
            </w:r>
          </w:p>
        </w:tc>
        <w:tc>
          <w:tcPr>
            <w:tcW w:w="2693" w:type="dxa"/>
          </w:tcPr>
          <w:p>
            <w:pPr>
              <w:pStyle w:val="nTable"/>
              <w:spacing w:after="40"/>
              <w:rPr>
                <w:sz w:val="19"/>
              </w:rPr>
            </w:pPr>
            <w:r>
              <w:rPr>
                <w:sz w:val="19"/>
              </w:rPr>
              <w:t>13 May 1997</w:t>
            </w:r>
          </w:p>
        </w:tc>
      </w:tr>
      <w:tr>
        <w:trPr>
          <w:cantSplit/>
        </w:trPr>
        <w:tc>
          <w:tcPr>
            <w:tcW w:w="3118" w:type="dxa"/>
          </w:tcPr>
          <w:p>
            <w:pPr>
              <w:pStyle w:val="nTable"/>
              <w:spacing w:after="40"/>
              <w:ind w:right="170"/>
              <w:rPr>
                <w:sz w:val="19"/>
              </w:rPr>
            </w:pPr>
            <w:r>
              <w:rPr>
                <w:i/>
                <w:sz w:val="19"/>
              </w:rPr>
              <w:t xml:space="preserve">Jetties Amendment Regulations </w:t>
            </w:r>
            <w:r>
              <w:rPr>
                <w:i/>
                <w:sz w:val="19"/>
              </w:rPr>
              <w:br/>
              <w:t>(No. 2) 1997</w:t>
            </w:r>
          </w:p>
        </w:tc>
        <w:tc>
          <w:tcPr>
            <w:tcW w:w="1276" w:type="dxa"/>
          </w:tcPr>
          <w:p>
            <w:pPr>
              <w:pStyle w:val="nTable"/>
              <w:spacing w:after="40"/>
              <w:rPr>
                <w:sz w:val="19"/>
              </w:rPr>
            </w:pPr>
            <w:r>
              <w:rPr>
                <w:sz w:val="19"/>
              </w:rPr>
              <w:t>27 Jun 1997 p. 3151</w:t>
            </w:r>
            <w:r>
              <w:rPr>
                <w:sz w:val="19"/>
              </w:rPr>
              <w:noBreakHyphen/>
              <w:t xml:space="preserve">64 </w:t>
            </w:r>
          </w:p>
        </w:tc>
        <w:tc>
          <w:tcPr>
            <w:tcW w:w="2693" w:type="dxa"/>
          </w:tcPr>
          <w:p>
            <w:pPr>
              <w:pStyle w:val="nTable"/>
              <w:spacing w:after="40"/>
              <w:rPr>
                <w:sz w:val="19"/>
              </w:rPr>
            </w:pPr>
            <w:r>
              <w:rPr>
                <w:sz w:val="19"/>
              </w:rPr>
              <w:t>1 Jul 1997 (see r. 2)</w:t>
            </w:r>
          </w:p>
        </w:tc>
      </w:tr>
      <w:tr>
        <w:trPr>
          <w:cantSplit/>
        </w:trPr>
        <w:tc>
          <w:tcPr>
            <w:tcW w:w="3118" w:type="dxa"/>
          </w:tcPr>
          <w:p>
            <w:pPr>
              <w:pStyle w:val="nTable"/>
              <w:spacing w:after="40"/>
              <w:ind w:right="170"/>
              <w:rPr>
                <w:sz w:val="19"/>
              </w:rPr>
            </w:pPr>
            <w:r>
              <w:rPr>
                <w:sz w:val="19"/>
              </w:rPr>
              <w:br w:type="page"/>
            </w:r>
            <w:r>
              <w:rPr>
                <w:i/>
                <w:sz w:val="19"/>
              </w:rPr>
              <w:t xml:space="preserve">Miscellaneous Amendments Regulations 1997 </w:t>
            </w:r>
            <w:r>
              <w:rPr>
                <w:sz w:val="19"/>
              </w:rPr>
              <w:t>r. 2</w:t>
            </w:r>
          </w:p>
        </w:tc>
        <w:tc>
          <w:tcPr>
            <w:tcW w:w="1276" w:type="dxa"/>
          </w:tcPr>
          <w:p>
            <w:pPr>
              <w:pStyle w:val="nTable"/>
              <w:spacing w:after="40"/>
              <w:rPr>
                <w:sz w:val="19"/>
              </w:rPr>
            </w:pPr>
            <w:r>
              <w:rPr>
                <w:sz w:val="19"/>
              </w:rPr>
              <w:t xml:space="preserve">6 Jan 1998 p. 33 </w:t>
            </w:r>
          </w:p>
        </w:tc>
        <w:tc>
          <w:tcPr>
            <w:tcW w:w="2693" w:type="dxa"/>
          </w:tcPr>
          <w:p>
            <w:pPr>
              <w:pStyle w:val="nTable"/>
              <w:spacing w:after="40"/>
              <w:rPr>
                <w:sz w:val="19"/>
              </w:rPr>
            </w:pPr>
            <w:r>
              <w:rPr>
                <w:sz w:val="19"/>
              </w:rPr>
              <w:t>6 Jan 1998</w:t>
            </w:r>
          </w:p>
        </w:tc>
      </w:tr>
      <w:tr>
        <w:trPr>
          <w:cantSplit/>
        </w:trPr>
        <w:tc>
          <w:tcPr>
            <w:tcW w:w="3118" w:type="dxa"/>
          </w:tcPr>
          <w:p>
            <w:pPr>
              <w:pStyle w:val="nTable"/>
              <w:spacing w:after="40"/>
              <w:ind w:right="170"/>
              <w:rPr>
                <w:i/>
                <w:sz w:val="19"/>
              </w:rPr>
            </w:pPr>
            <w:r>
              <w:rPr>
                <w:sz w:val="19"/>
              </w:rPr>
              <w:br w:type="page"/>
            </w:r>
            <w:r>
              <w:rPr>
                <w:i/>
                <w:sz w:val="19"/>
              </w:rPr>
              <w:t>Jetties Amendment Regulations 1998</w:t>
            </w:r>
          </w:p>
        </w:tc>
        <w:tc>
          <w:tcPr>
            <w:tcW w:w="1276" w:type="dxa"/>
          </w:tcPr>
          <w:p>
            <w:pPr>
              <w:pStyle w:val="nTable"/>
              <w:spacing w:after="40"/>
              <w:rPr>
                <w:sz w:val="19"/>
              </w:rPr>
            </w:pPr>
            <w:r>
              <w:rPr>
                <w:sz w:val="19"/>
              </w:rPr>
              <w:t>12 May 1998 p. 2775</w:t>
            </w:r>
            <w:r>
              <w:rPr>
                <w:sz w:val="19"/>
              </w:rPr>
              <w:noBreakHyphen/>
              <w:t>90</w:t>
            </w:r>
          </w:p>
        </w:tc>
        <w:tc>
          <w:tcPr>
            <w:tcW w:w="2693" w:type="dxa"/>
          </w:tcPr>
          <w:p>
            <w:pPr>
              <w:pStyle w:val="nTable"/>
              <w:spacing w:after="40"/>
              <w:rPr>
                <w:sz w:val="19"/>
              </w:rPr>
            </w:pPr>
            <w:r>
              <w:rPr>
                <w:sz w:val="19"/>
              </w:rPr>
              <w:t>1 Jul 1998 (see r. 2)</w:t>
            </w:r>
          </w:p>
        </w:tc>
      </w:tr>
      <w:tr>
        <w:trPr>
          <w:cantSplit/>
        </w:trPr>
        <w:tc>
          <w:tcPr>
            <w:tcW w:w="3118" w:type="dxa"/>
          </w:tcPr>
          <w:p>
            <w:pPr>
              <w:pStyle w:val="nTable"/>
              <w:spacing w:after="40"/>
              <w:ind w:right="170"/>
              <w:rPr>
                <w:i/>
                <w:sz w:val="19"/>
              </w:rPr>
            </w:pPr>
            <w:r>
              <w:rPr>
                <w:i/>
                <w:sz w:val="19"/>
              </w:rPr>
              <w:t>Jetties Amendment Regulations 1999</w:t>
            </w:r>
          </w:p>
        </w:tc>
        <w:tc>
          <w:tcPr>
            <w:tcW w:w="1276" w:type="dxa"/>
          </w:tcPr>
          <w:p>
            <w:pPr>
              <w:pStyle w:val="nTable"/>
              <w:spacing w:after="40"/>
              <w:rPr>
                <w:sz w:val="19"/>
              </w:rPr>
            </w:pPr>
            <w:r>
              <w:rPr>
                <w:sz w:val="19"/>
              </w:rPr>
              <w:t>22 Jun 1999 p. 2678</w:t>
            </w:r>
            <w:r>
              <w:rPr>
                <w:sz w:val="19"/>
              </w:rPr>
              <w:noBreakHyphen/>
              <w:t>89</w:t>
            </w:r>
          </w:p>
        </w:tc>
        <w:tc>
          <w:tcPr>
            <w:tcW w:w="2693" w:type="dxa"/>
          </w:tcPr>
          <w:p>
            <w:pPr>
              <w:pStyle w:val="nTable"/>
              <w:spacing w:after="40"/>
              <w:rPr>
                <w:sz w:val="19"/>
              </w:rPr>
            </w:pPr>
            <w:r>
              <w:rPr>
                <w:sz w:val="19"/>
              </w:rPr>
              <w:t>1 Jul 1999 (see r. 2)</w:t>
            </w:r>
          </w:p>
        </w:tc>
      </w:tr>
      <w:tr>
        <w:trPr>
          <w:cantSplit/>
        </w:trPr>
        <w:tc>
          <w:tcPr>
            <w:tcW w:w="7087" w:type="dxa"/>
            <w:gridSpan w:val="3"/>
          </w:tcPr>
          <w:p>
            <w:pPr>
              <w:pStyle w:val="nTable"/>
              <w:spacing w:after="40"/>
              <w:rPr>
                <w:sz w:val="19"/>
              </w:rPr>
            </w:pPr>
            <w:r>
              <w:rPr>
                <w:b/>
                <w:sz w:val="19"/>
              </w:rPr>
              <w:t xml:space="preserve">Reprint of the </w:t>
            </w:r>
            <w:r>
              <w:rPr>
                <w:b/>
                <w:i/>
                <w:sz w:val="19"/>
              </w:rPr>
              <w:t xml:space="preserve">Jetties Act Regulations 1940 </w:t>
            </w:r>
            <w:r>
              <w:rPr>
                <w:b/>
                <w:sz w:val="19"/>
              </w:rPr>
              <w:t>as at 10 Dec 1999</w:t>
            </w:r>
            <w:r>
              <w:rPr>
                <w:sz w:val="19"/>
              </w:rPr>
              <w:t xml:space="preserve"> (includes amendments listed above)</w:t>
            </w:r>
          </w:p>
        </w:tc>
      </w:tr>
      <w:tr>
        <w:trPr>
          <w:cantSplit/>
        </w:trPr>
        <w:tc>
          <w:tcPr>
            <w:tcW w:w="3118" w:type="dxa"/>
          </w:tcPr>
          <w:p>
            <w:pPr>
              <w:pStyle w:val="nTable"/>
              <w:spacing w:after="40"/>
              <w:ind w:right="170"/>
              <w:rPr>
                <w:i/>
                <w:sz w:val="19"/>
              </w:rPr>
            </w:pPr>
            <w:r>
              <w:rPr>
                <w:i/>
                <w:sz w:val="19"/>
              </w:rPr>
              <w:t>Jetties Amendment Regulations 2000</w:t>
            </w:r>
          </w:p>
        </w:tc>
        <w:tc>
          <w:tcPr>
            <w:tcW w:w="1276" w:type="dxa"/>
          </w:tcPr>
          <w:p>
            <w:pPr>
              <w:pStyle w:val="nTable"/>
              <w:spacing w:after="40"/>
              <w:rPr>
                <w:sz w:val="19"/>
              </w:rPr>
            </w:pPr>
            <w:r>
              <w:rPr>
                <w:sz w:val="19"/>
              </w:rPr>
              <w:t>20 Jun 2000 p. 3043</w:t>
            </w:r>
            <w:r>
              <w:rPr>
                <w:sz w:val="19"/>
              </w:rPr>
              <w:noBreakHyphen/>
              <w:t>60</w:t>
            </w:r>
          </w:p>
        </w:tc>
        <w:tc>
          <w:tcPr>
            <w:tcW w:w="2693" w:type="dxa"/>
          </w:tcPr>
          <w:p>
            <w:pPr>
              <w:pStyle w:val="nTable"/>
              <w:spacing w:after="40"/>
              <w:rPr>
                <w:sz w:val="19"/>
              </w:rPr>
            </w:pPr>
            <w:r>
              <w:rPr>
                <w:sz w:val="19"/>
              </w:rPr>
              <w:t>1 Jul 2000 (see r. 2)</w:t>
            </w:r>
          </w:p>
        </w:tc>
      </w:tr>
      <w:tr>
        <w:trPr>
          <w:cantSplit/>
        </w:trPr>
        <w:tc>
          <w:tcPr>
            <w:tcW w:w="3118" w:type="dxa"/>
          </w:tcPr>
          <w:p>
            <w:pPr>
              <w:pStyle w:val="nTable"/>
              <w:spacing w:after="40"/>
              <w:ind w:right="170"/>
              <w:rPr>
                <w:i/>
                <w:sz w:val="19"/>
              </w:rPr>
            </w:pPr>
            <w:r>
              <w:rPr>
                <w:i/>
                <w:sz w:val="19"/>
              </w:rPr>
              <w:t>Jetties Amendment Regulations (No. 2) 2000</w:t>
            </w:r>
          </w:p>
        </w:tc>
        <w:tc>
          <w:tcPr>
            <w:tcW w:w="1276" w:type="dxa"/>
          </w:tcPr>
          <w:p>
            <w:pPr>
              <w:pStyle w:val="nTable"/>
              <w:spacing w:after="40"/>
              <w:rPr>
                <w:sz w:val="19"/>
              </w:rPr>
            </w:pPr>
            <w:r>
              <w:rPr>
                <w:sz w:val="19"/>
              </w:rPr>
              <w:t>18 Aug 2000 p. 4790</w:t>
            </w:r>
          </w:p>
        </w:tc>
        <w:tc>
          <w:tcPr>
            <w:tcW w:w="2693" w:type="dxa"/>
          </w:tcPr>
          <w:p>
            <w:pPr>
              <w:pStyle w:val="nTable"/>
              <w:spacing w:after="40"/>
              <w:rPr>
                <w:sz w:val="19"/>
              </w:rPr>
            </w:pPr>
            <w:r>
              <w:rPr>
                <w:sz w:val="19"/>
              </w:rPr>
              <w:t xml:space="preserve">18 Aug 2000 </w:t>
            </w:r>
          </w:p>
        </w:tc>
      </w:tr>
      <w:tr>
        <w:trPr>
          <w:cantSplit/>
        </w:trPr>
        <w:tc>
          <w:tcPr>
            <w:tcW w:w="3118" w:type="dxa"/>
          </w:tcPr>
          <w:p>
            <w:pPr>
              <w:pStyle w:val="nTable"/>
              <w:spacing w:after="40"/>
              <w:ind w:right="170"/>
              <w:rPr>
                <w:i/>
                <w:sz w:val="19"/>
              </w:rPr>
            </w:pPr>
            <w:r>
              <w:rPr>
                <w:i/>
                <w:sz w:val="19"/>
              </w:rPr>
              <w:t>Jetties Amendment Regulations 2001</w:t>
            </w:r>
          </w:p>
        </w:tc>
        <w:tc>
          <w:tcPr>
            <w:tcW w:w="1276" w:type="dxa"/>
          </w:tcPr>
          <w:p>
            <w:pPr>
              <w:pStyle w:val="nTable"/>
              <w:spacing w:after="40"/>
              <w:rPr>
                <w:sz w:val="19"/>
              </w:rPr>
            </w:pPr>
            <w:r>
              <w:rPr>
                <w:sz w:val="19"/>
              </w:rPr>
              <w:t>27 Jul 2001 p. 3813</w:t>
            </w:r>
            <w:r>
              <w:rPr>
                <w:sz w:val="19"/>
              </w:rPr>
              <w:noBreakHyphen/>
              <w:t>28</w:t>
            </w:r>
          </w:p>
        </w:tc>
        <w:tc>
          <w:tcPr>
            <w:tcW w:w="2693" w:type="dxa"/>
          </w:tcPr>
          <w:p>
            <w:pPr>
              <w:pStyle w:val="nTable"/>
              <w:spacing w:after="40"/>
              <w:rPr>
                <w:sz w:val="19"/>
              </w:rPr>
            </w:pPr>
            <w:r>
              <w:rPr>
                <w:sz w:val="19"/>
              </w:rPr>
              <w:t>1 Aug 2001 (see r. 2)</w:t>
            </w:r>
          </w:p>
        </w:tc>
      </w:tr>
      <w:tr>
        <w:trPr>
          <w:cantSplit/>
        </w:trPr>
        <w:tc>
          <w:tcPr>
            <w:tcW w:w="3118" w:type="dxa"/>
          </w:tcPr>
          <w:p>
            <w:pPr>
              <w:pStyle w:val="nTable"/>
              <w:spacing w:after="40"/>
              <w:ind w:right="170"/>
              <w:rPr>
                <w:i/>
                <w:sz w:val="19"/>
              </w:rPr>
            </w:pPr>
            <w:r>
              <w:rPr>
                <w:i/>
                <w:sz w:val="19"/>
              </w:rPr>
              <w:t>Jetties Amendment Regulations 2002</w:t>
            </w:r>
          </w:p>
        </w:tc>
        <w:tc>
          <w:tcPr>
            <w:tcW w:w="1276" w:type="dxa"/>
          </w:tcPr>
          <w:p>
            <w:pPr>
              <w:pStyle w:val="nTable"/>
              <w:spacing w:after="40"/>
              <w:rPr>
                <w:rFonts w:ascii="Arial" w:hAnsi="Arial"/>
                <w:b/>
                <w:sz w:val="19"/>
              </w:rPr>
            </w:pPr>
            <w:r>
              <w:rPr>
                <w:sz w:val="19"/>
              </w:rPr>
              <w:t>14 Jun 2002 p. 2299-300</w:t>
            </w:r>
          </w:p>
        </w:tc>
        <w:tc>
          <w:tcPr>
            <w:tcW w:w="2693" w:type="dxa"/>
          </w:tcPr>
          <w:p>
            <w:pPr>
              <w:pStyle w:val="nTable"/>
              <w:spacing w:after="40"/>
              <w:rPr>
                <w:sz w:val="19"/>
              </w:rPr>
            </w:pPr>
            <w:r>
              <w:rPr>
                <w:sz w:val="19"/>
              </w:rPr>
              <w:t xml:space="preserve">14 Jun 2002 </w:t>
            </w:r>
          </w:p>
        </w:tc>
      </w:tr>
      <w:tr>
        <w:trPr>
          <w:cantSplit/>
        </w:trPr>
        <w:tc>
          <w:tcPr>
            <w:tcW w:w="3118" w:type="dxa"/>
          </w:tcPr>
          <w:p>
            <w:pPr>
              <w:pStyle w:val="nTable"/>
              <w:spacing w:after="40"/>
              <w:ind w:right="170"/>
              <w:rPr>
                <w:i/>
                <w:sz w:val="19"/>
              </w:rPr>
            </w:pPr>
            <w:r>
              <w:rPr>
                <w:i/>
                <w:sz w:val="19"/>
              </w:rPr>
              <w:t>Jetties Amendment Regulations (No. 2) 2002</w:t>
            </w:r>
          </w:p>
        </w:tc>
        <w:tc>
          <w:tcPr>
            <w:tcW w:w="1276" w:type="dxa"/>
          </w:tcPr>
          <w:p>
            <w:pPr>
              <w:pStyle w:val="nTable"/>
              <w:spacing w:after="40"/>
              <w:rPr>
                <w:rFonts w:ascii="Arial" w:hAnsi="Arial"/>
                <w:b/>
                <w:sz w:val="19"/>
              </w:rPr>
            </w:pPr>
            <w:r>
              <w:rPr>
                <w:sz w:val="19"/>
              </w:rPr>
              <w:t>14 Jun 2002 p. 2301</w:t>
            </w:r>
            <w:r>
              <w:rPr>
                <w:sz w:val="19"/>
              </w:rPr>
              <w:noBreakHyphen/>
              <w:t>18</w:t>
            </w:r>
          </w:p>
        </w:tc>
        <w:tc>
          <w:tcPr>
            <w:tcW w:w="2693" w:type="dxa"/>
          </w:tcPr>
          <w:p>
            <w:pPr>
              <w:pStyle w:val="nTable"/>
              <w:spacing w:after="40"/>
              <w:rPr>
                <w:sz w:val="19"/>
              </w:rPr>
            </w:pPr>
            <w:r>
              <w:rPr>
                <w:sz w:val="19"/>
              </w:rPr>
              <w:t>1 Jul 2002 (see r. 2)</w:t>
            </w:r>
          </w:p>
        </w:tc>
      </w:tr>
      <w:tr>
        <w:trPr>
          <w:cantSplit/>
        </w:trPr>
        <w:tc>
          <w:tcPr>
            <w:tcW w:w="3118" w:type="dxa"/>
          </w:tcPr>
          <w:p>
            <w:pPr>
              <w:pStyle w:val="nTable"/>
              <w:spacing w:after="40"/>
              <w:ind w:right="170"/>
              <w:rPr>
                <w:i/>
                <w:sz w:val="19"/>
              </w:rPr>
            </w:pPr>
            <w:r>
              <w:rPr>
                <w:i/>
                <w:sz w:val="19"/>
              </w:rPr>
              <w:t>Jetties Amendment Regulations 2003</w:t>
            </w:r>
          </w:p>
        </w:tc>
        <w:tc>
          <w:tcPr>
            <w:tcW w:w="1276" w:type="dxa"/>
          </w:tcPr>
          <w:p>
            <w:pPr>
              <w:pStyle w:val="nTable"/>
              <w:spacing w:after="40"/>
              <w:rPr>
                <w:sz w:val="19"/>
              </w:rPr>
            </w:pPr>
            <w:r>
              <w:rPr>
                <w:color w:val="000000"/>
                <w:sz w:val="19"/>
              </w:rPr>
              <w:t>27 Jun 2003 p. </w:t>
            </w:r>
            <w:r>
              <w:rPr>
                <w:sz w:val="19"/>
              </w:rPr>
              <w:t>2502</w:t>
            </w:r>
            <w:r>
              <w:rPr>
                <w:sz w:val="19"/>
              </w:rPr>
              <w:noBreakHyphen/>
              <w:t>19</w:t>
            </w:r>
          </w:p>
        </w:tc>
        <w:tc>
          <w:tcPr>
            <w:tcW w:w="2693" w:type="dxa"/>
          </w:tcPr>
          <w:p>
            <w:pPr>
              <w:pStyle w:val="nTable"/>
              <w:spacing w:after="40"/>
              <w:rPr>
                <w:sz w:val="19"/>
              </w:rPr>
            </w:pPr>
            <w:r>
              <w:rPr>
                <w:sz w:val="19"/>
              </w:rPr>
              <w:t>1 Jul 2003 (see r. 2)</w:t>
            </w:r>
          </w:p>
        </w:tc>
      </w:tr>
      <w:tr>
        <w:trPr>
          <w:cantSplit/>
        </w:trPr>
        <w:tc>
          <w:tcPr>
            <w:tcW w:w="3118" w:type="dxa"/>
          </w:tcPr>
          <w:p>
            <w:pPr>
              <w:pStyle w:val="nTable"/>
              <w:spacing w:after="40"/>
              <w:ind w:right="170"/>
              <w:rPr>
                <w:i/>
                <w:sz w:val="19"/>
              </w:rPr>
            </w:pPr>
            <w:r>
              <w:rPr>
                <w:i/>
                <w:sz w:val="19"/>
              </w:rPr>
              <w:t>Jetties Amendment Regulations (No. 2) 2004</w:t>
            </w:r>
          </w:p>
        </w:tc>
        <w:tc>
          <w:tcPr>
            <w:tcW w:w="1276" w:type="dxa"/>
          </w:tcPr>
          <w:p>
            <w:pPr>
              <w:pStyle w:val="nTable"/>
              <w:spacing w:after="40"/>
              <w:rPr>
                <w:sz w:val="19"/>
              </w:rPr>
            </w:pPr>
            <w:r>
              <w:rPr>
                <w:color w:val="000000"/>
                <w:sz w:val="19"/>
              </w:rPr>
              <w:t>25 Jun 2004 p. </w:t>
            </w:r>
            <w:r>
              <w:rPr>
                <w:sz w:val="19"/>
              </w:rPr>
              <w:t>2270</w:t>
            </w:r>
            <w:r>
              <w:rPr>
                <w:sz w:val="19"/>
              </w:rPr>
              <w:noBreakHyphen/>
              <w:t>87</w:t>
            </w:r>
          </w:p>
        </w:tc>
        <w:tc>
          <w:tcPr>
            <w:tcW w:w="2693" w:type="dxa"/>
          </w:tcPr>
          <w:p>
            <w:pPr>
              <w:pStyle w:val="nTable"/>
              <w:spacing w:after="40"/>
              <w:rPr>
                <w:sz w:val="19"/>
              </w:rPr>
            </w:pPr>
            <w:r>
              <w:rPr>
                <w:sz w:val="19"/>
              </w:rPr>
              <w:t>1 Jul 2004 (see r. 2)</w:t>
            </w:r>
          </w:p>
        </w:tc>
      </w:tr>
      <w:tr>
        <w:trPr>
          <w:cantSplit/>
        </w:trPr>
        <w:tc>
          <w:tcPr>
            <w:tcW w:w="3118" w:type="dxa"/>
          </w:tcPr>
          <w:p>
            <w:pPr>
              <w:pStyle w:val="nTable"/>
              <w:spacing w:after="40"/>
              <w:ind w:right="170"/>
              <w:rPr>
                <w:rFonts w:ascii="Times" w:hAnsi="Times"/>
                <w:i/>
                <w:sz w:val="19"/>
              </w:rPr>
            </w:pPr>
            <w:r>
              <w:rPr>
                <w:rFonts w:ascii="Times" w:hAnsi="Times"/>
                <w:i/>
                <w:sz w:val="19"/>
              </w:rPr>
              <w:t>Jetties Amendment Regulations (No. 3 ) 2004</w:t>
            </w:r>
          </w:p>
        </w:tc>
        <w:tc>
          <w:tcPr>
            <w:tcW w:w="1276" w:type="dxa"/>
          </w:tcPr>
          <w:p>
            <w:pPr>
              <w:pStyle w:val="nTable"/>
              <w:spacing w:after="40"/>
              <w:rPr>
                <w:rFonts w:ascii="Times" w:hAnsi="Times"/>
                <w:color w:val="000000"/>
                <w:sz w:val="19"/>
              </w:rPr>
            </w:pPr>
            <w:r>
              <w:rPr>
                <w:rFonts w:ascii="Times" w:hAnsi="Times"/>
                <w:color w:val="000000"/>
                <w:sz w:val="19"/>
              </w:rPr>
              <w:t>24 Aug 2004 p. 3658</w:t>
            </w:r>
            <w:r>
              <w:rPr>
                <w:rFonts w:ascii="Times" w:hAnsi="Times"/>
                <w:color w:val="000000"/>
                <w:sz w:val="19"/>
              </w:rPr>
              <w:noBreakHyphen/>
              <w:t>9</w:t>
            </w:r>
          </w:p>
        </w:tc>
        <w:tc>
          <w:tcPr>
            <w:tcW w:w="2693" w:type="dxa"/>
          </w:tcPr>
          <w:p>
            <w:pPr>
              <w:pStyle w:val="nTable"/>
              <w:spacing w:after="40"/>
              <w:rPr>
                <w:rFonts w:ascii="Times" w:hAnsi="Times"/>
                <w:sz w:val="19"/>
              </w:rPr>
            </w:pPr>
            <w:r>
              <w:rPr>
                <w:rFonts w:ascii="Times" w:hAnsi="Times"/>
                <w:sz w:val="19"/>
              </w:rPr>
              <w:t>24 Aug 2004</w:t>
            </w:r>
          </w:p>
        </w:tc>
      </w:tr>
      <w:tr>
        <w:trPr>
          <w:cantSplit/>
        </w:trPr>
        <w:tc>
          <w:tcPr>
            <w:tcW w:w="3118" w:type="dxa"/>
          </w:tcPr>
          <w:p>
            <w:pPr>
              <w:pStyle w:val="nTable"/>
              <w:spacing w:after="40"/>
              <w:ind w:right="170"/>
              <w:rPr>
                <w:rFonts w:ascii="Times" w:hAnsi="Times"/>
                <w:i/>
                <w:sz w:val="19"/>
              </w:rPr>
            </w:pPr>
            <w:r>
              <w:rPr>
                <w:rFonts w:ascii="Times" w:hAnsi="Times"/>
                <w:i/>
                <w:sz w:val="19"/>
              </w:rPr>
              <w:t>Jetties Amendment Regulations 2004</w:t>
            </w:r>
          </w:p>
        </w:tc>
        <w:tc>
          <w:tcPr>
            <w:tcW w:w="1276" w:type="dxa"/>
          </w:tcPr>
          <w:p>
            <w:pPr>
              <w:pStyle w:val="nTable"/>
              <w:spacing w:after="40"/>
              <w:rPr>
                <w:rFonts w:ascii="Times" w:hAnsi="Times"/>
                <w:sz w:val="19"/>
              </w:rPr>
            </w:pPr>
            <w:r>
              <w:rPr>
                <w:rFonts w:ascii="Times" w:hAnsi="Times"/>
                <w:sz w:val="19"/>
              </w:rPr>
              <w:t>30 Dec 2004 p. 6953</w:t>
            </w:r>
          </w:p>
        </w:tc>
        <w:tc>
          <w:tcPr>
            <w:tcW w:w="2693" w:type="dxa"/>
          </w:tcPr>
          <w:p>
            <w:pPr>
              <w:pStyle w:val="nTable"/>
              <w:spacing w:after="40"/>
              <w:rPr>
                <w:rFonts w:ascii="Times" w:hAnsi="Times"/>
                <w:sz w:val="19"/>
              </w:rPr>
            </w:pPr>
            <w:r>
              <w:rPr>
                <w:rFonts w:ascii="Times" w:hAnsi="Times"/>
                <w:sz w:val="19"/>
              </w:rPr>
              <w:t xml:space="preserve">1 Jan 2005 (see r. 2 and </w:t>
            </w:r>
            <w:r>
              <w:rPr>
                <w:rFonts w:ascii="Times" w:hAnsi="Times"/>
                <w:i/>
                <w:sz w:val="19"/>
              </w:rPr>
              <w:t>Gazette</w:t>
            </w:r>
            <w:r>
              <w:rPr>
                <w:rFonts w:ascii="Times" w:hAnsi="Times"/>
                <w:sz w:val="19"/>
              </w:rPr>
              <w:t xml:space="preserve"> 31 Dec 2004 p. 7130)</w:t>
            </w:r>
          </w:p>
        </w:tc>
      </w:tr>
      <w:tr>
        <w:trPr>
          <w:cantSplit/>
        </w:trPr>
        <w:tc>
          <w:tcPr>
            <w:tcW w:w="7087" w:type="dxa"/>
            <w:gridSpan w:val="3"/>
          </w:tcPr>
          <w:p>
            <w:pPr>
              <w:pStyle w:val="nTable"/>
              <w:spacing w:after="40"/>
              <w:rPr>
                <w:sz w:val="19"/>
              </w:rPr>
            </w:pPr>
            <w:r>
              <w:rPr>
                <w:b/>
                <w:sz w:val="19"/>
              </w:rPr>
              <w:t xml:space="preserve">Reprint 5: The </w:t>
            </w:r>
            <w:r>
              <w:rPr>
                <w:b/>
                <w:i/>
                <w:sz w:val="19"/>
              </w:rPr>
              <w:t xml:space="preserve">Jetties Regulations 1940 </w:t>
            </w:r>
            <w:r>
              <w:rPr>
                <w:b/>
                <w:sz w:val="19"/>
              </w:rPr>
              <w:t>as at 15 Apr 2005</w:t>
            </w:r>
            <w:r>
              <w:rPr>
                <w:sz w:val="19"/>
              </w:rPr>
              <w:t xml:space="preserve"> (includes amendments listed above)</w:t>
            </w:r>
          </w:p>
        </w:tc>
      </w:tr>
      <w:tr>
        <w:trPr>
          <w:cantSplit/>
        </w:trPr>
        <w:tc>
          <w:tcPr>
            <w:tcW w:w="3118" w:type="dxa"/>
          </w:tcPr>
          <w:p>
            <w:pPr>
              <w:pStyle w:val="nTable"/>
              <w:spacing w:after="40"/>
              <w:rPr>
                <w:bCs/>
                <w:i/>
                <w:iCs/>
                <w:sz w:val="19"/>
              </w:rPr>
            </w:pPr>
            <w:r>
              <w:rPr>
                <w:bCs/>
                <w:i/>
                <w:iCs/>
                <w:sz w:val="19"/>
              </w:rPr>
              <w:t>Jetties Amendment Regulations (No. 2) 2005</w:t>
            </w:r>
          </w:p>
        </w:tc>
        <w:tc>
          <w:tcPr>
            <w:tcW w:w="1276" w:type="dxa"/>
          </w:tcPr>
          <w:p>
            <w:pPr>
              <w:pStyle w:val="nTable"/>
              <w:spacing w:after="40"/>
              <w:rPr>
                <w:bCs/>
                <w:sz w:val="19"/>
              </w:rPr>
            </w:pPr>
            <w:r>
              <w:rPr>
                <w:bCs/>
                <w:sz w:val="19"/>
              </w:rPr>
              <w:t>24 Jun 2005 p. 2813-47</w:t>
            </w:r>
          </w:p>
        </w:tc>
        <w:tc>
          <w:tcPr>
            <w:tcW w:w="2693" w:type="dxa"/>
          </w:tcPr>
          <w:p>
            <w:pPr>
              <w:pStyle w:val="nTable"/>
              <w:spacing w:after="40"/>
              <w:rPr>
                <w:bCs/>
                <w:sz w:val="19"/>
              </w:rPr>
            </w:pPr>
            <w:r>
              <w:rPr>
                <w:bCs/>
                <w:sz w:val="19"/>
              </w:rPr>
              <w:t>1 Jul 2005 (see r. 2)</w:t>
            </w:r>
          </w:p>
        </w:tc>
      </w:tr>
      <w:tr>
        <w:trPr>
          <w:cantSplit/>
        </w:trPr>
        <w:tc>
          <w:tcPr>
            <w:tcW w:w="3118" w:type="dxa"/>
          </w:tcPr>
          <w:p>
            <w:pPr>
              <w:pStyle w:val="nTable"/>
              <w:spacing w:after="40"/>
              <w:rPr>
                <w:bCs/>
                <w:i/>
                <w:iCs/>
                <w:sz w:val="19"/>
              </w:rPr>
            </w:pPr>
            <w:r>
              <w:rPr>
                <w:bCs/>
                <w:i/>
                <w:iCs/>
                <w:sz w:val="19"/>
              </w:rPr>
              <w:t>Jetties Amendment Regulations 2006</w:t>
            </w:r>
          </w:p>
        </w:tc>
        <w:tc>
          <w:tcPr>
            <w:tcW w:w="1276" w:type="dxa"/>
          </w:tcPr>
          <w:p>
            <w:pPr>
              <w:pStyle w:val="nTable"/>
              <w:spacing w:after="40"/>
              <w:rPr>
                <w:bCs/>
                <w:sz w:val="19"/>
              </w:rPr>
            </w:pPr>
            <w:r>
              <w:rPr>
                <w:bCs/>
                <w:sz w:val="19"/>
              </w:rPr>
              <w:t>23 Jun 2006 p. 2193</w:t>
            </w:r>
            <w:r>
              <w:rPr>
                <w:bCs/>
                <w:sz w:val="19"/>
              </w:rPr>
              <w:noBreakHyphen/>
              <w:t>204</w:t>
            </w:r>
          </w:p>
        </w:tc>
        <w:tc>
          <w:tcPr>
            <w:tcW w:w="2693" w:type="dxa"/>
          </w:tcPr>
          <w:p>
            <w:pPr>
              <w:pStyle w:val="nTable"/>
              <w:spacing w:after="40"/>
              <w:rPr>
                <w:bCs/>
                <w:sz w:val="19"/>
              </w:rPr>
            </w:pPr>
            <w:r>
              <w:rPr>
                <w:bCs/>
                <w:sz w:val="19"/>
              </w:rPr>
              <w:t>1 Jul 2006 (see r. 2)</w:t>
            </w:r>
          </w:p>
        </w:tc>
      </w:tr>
      <w:tr>
        <w:trPr>
          <w:cantSplit/>
        </w:trPr>
        <w:tc>
          <w:tcPr>
            <w:tcW w:w="3118" w:type="dxa"/>
          </w:tcPr>
          <w:p>
            <w:pPr>
              <w:pStyle w:val="nTable"/>
              <w:spacing w:after="40"/>
              <w:rPr>
                <w:bCs/>
                <w:i/>
                <w:iCs/>
                <w:sz w:val="19"/>
              </w:rPr>
            </w:pPr>
            <w:r>
              <w:rPr>
                <w:bCs/>
                <w:i/>
                <w:iCs/>
                <w:sz w:val="19"/>
              </w:rPr>
              <w:t>Jetties Amendment Regulations 2007</w:t>
            </w:r>
          </w:p>
        </w:tc>
        <w:tc>
          <w:tcPr>
            <w:tcW w:w="1276" w:type="dxa"/>
          </w:tcPr>
          <w:p>
            <w:pPr>
              <w:pStyle w:val="nTable"/>
              <w:spacing w:after="40"/>
              <w:rPr>
                <w:bCs/>
                <w:sz w:val="19"/>
              </w:rPr>
            </w:pPr>
            <w:r>
              <w:rPr>
                <w:bCs/>
                <w:sz w:val="19"/>
              </w:rPr>
              <w:t>22 Jun 2007 p. 2903</w:t>
            </w:r>
            <w:r>
              <w:rPr>
                <w:bCs/>
                <w:sz w:val="19"/>
              </w:rPr>
              <w:noBreakHyphen/>
              <w:t>40</w:t>
            </w:r>
          </w:p>
        </w:tc>
        <w:tc>
          <w:tcPr>
            <w:tcW w:w="2693" w:type="dxa"/>
          </w:tcPr>
          <w:p>
            <w:pPr>
              <w:pStyle w:val="nTable"/>
              <w:spacing w:after="40"/>
              <w:rPr>
                <w:bCs/>
                <w:sz w:val="19"/>
              </w:rPr>
            </w:pPr>
            <w:r>
              <w:rPr>
                <w:bCs/>
                <w:snapToGrid w:val="0"/>
                <w:sz w:val="19"/>
              </w:rPr>
              <w:t>r. 1 and 2: 22 Jun 2007 (see r. 2(a));</w:t>
            </w:r>
            <w:r>
              <w:rPr>
                <w:bCs/>
                <w:snapToGrid w:val="0"/>
                <w:sz w:val="19"/>
              </w:rPr>
              <w:br/>
              <w:t>Regulations other than r. 1 and 2: 1 Jul 2007 (see r. 2(b)(ii))</w:t>
            </w:r>
          </w:p>
        </w:tc>
      </w:tr>
      <w:tr>
        <w:trPr>
          <w:cantSplit/>
        </w:trPr>
        <w:tc>
          <w:tcPr>
            <w:tcW w:w="7087" w:type="dxa"/>
            <w:gridSpan w:val="3"/>
          </w:tcPr>
          <w:p>
            <w:pPr>
              <w:pStyle w:val="nTable"/>
              <w:spacing w:after="40"/>
              <w:rPr>
                <w:bCs/>
                <w:snapToGrid w:val="0"/>
                <w:sz w:val="19"/>
              </w:rPr>
            </w:pPr>
            <w:r>
              <w:rPr>
                <w:b/>
                <w:sz w:val="19"/>
              </w:rPr>
              <w:t xml:space="preserve">Reprint 6: The </w:t>
            </w:r>
            <w:r>
              <w:rPr>
                <w:b/>
                <w:i/>
                <w:sz w:val="19"/>
              </w:rPr>
              <w:t xml:space="preserve">Jetties Regulations 1940 </w:t>
            </w:r>
            <w:r>
              <w:rPr>
                <w:b/>
                <w:sz w:val="19"/>
              </w:rPr>
              <w:t>as at 9 Nov 2007</w:t>
            </w:r>
            <w:r>
              <w:rPr>
                <w:sz w:val="19"/>
              </w:rPr>
              <w:t xml:space="preserve"> (includes amendments listed above)</w:t>
            </w:r>
          </w:p>
        </w:tc>
      </w:tr>
      <w:tr>
        <w:trPr>
          <w:cantSplit/>
        </w:trPr>
        <w:tc>
          <w:tcPr>
            <w:tcW w:w="3118" w:type="dxa"/>
          </w:tcPr>
          <w:p>
            <w:pPr>
              <w:pStyle w:val="nTable"/>
              <w:spacing w:after="40"/>
              <w:rPr>
                <w:bCs/>
                <w:i/>
                <w:iCs/>
                <w:sz w:val="19"/>
              </w:rPr>
            </w:pPr>
            <w:r>
              <w:rPr>
                <w:bCs/>
                <w:i/>
                <w:iCs/>
                <w:sz w:val="19"/>
              </w:rPr>
              <w:t>Jetties Amendment Regulations (No. 2) 2007</w:t>
            </w:r>
          </w:p>
        </w:tc>
        <w:tc>
          <w:tcPr>
            <w:tcW w:w="1276" w:type="dxa"/>
          </w:tcPr>
          <w:p>
            <w:pPr>
              <w:pStyle w:val="nTable"/>
              <w:spacing w:after="40"/>
              <w:rPr>
                <w:bCs/>
                <w:sz w:val="19"/>
              </w:rPr>
            </w:pPr>
            <w:r>
              <w:rPr>
                <w:bCs/>
                <w:sz w:val="19"/>
              </w:rPr>
              <w:t>7 Dec 2007 p. 5983-4</w:t>
            </w:r>
          </w:p>
        </w:tc>
        <w:tc>
          <w:tcPr>
            <w:tcW w:w="2693" w:type="dxa"/>
          </w:tcPr>
          <w:p>
            <w:pPr>
              <w:pStyle w:val="nTable"/>
              <w:spacing w:after="40"/>
              <w:rPr>
                <w:bCs/>
                <w:sz w:val="19"/>
              </w:rPr>
            </w:pPr>
            <w:r>
              <w:rPr>
                <w:bCs/>
                <w:sz w:val="19"/>
              </w:rPr>
              <w:t>r. 1 and 2: 7 Dec 2007 (see r. 2(a));</w:t>
            </w:r>
            <w:r>
              <w:rPr>
                <w:bCs/>
                <w:sz w:val="19"/>
              </w:rPr>
              <w:br/>
              <w:t>Regulations other than r. 1 and 2: 8 Dec 2007 (see r. 2(b))</w:t>
            </w:r>
          </w:p>
        </w:tc>
      </w:tr>
      <w:tr>
        <w:trPr>
          <w:cantSplit/>
        </w:trPr>
        <w:tc>
          <w:tcPr>
            <w:tcW w:w="3118" w:type="dxa"/>
          </w:tcPr>
          <w:p>
            <w:pPr>
              <w:pStyle w:val="nTable"/>
              <w:spacing w:after="40"/>
              <w:rPr>
                <w:bCs/>
                <w:i/>
                <w:iCs/>
                <w:sz w:val="19"/>
              </w:rPr>
            </w:pPr>
            <w:r>
              <w:rPr>
                <w:bCs/>
                <w:i/>
                <w:iCs/>
                <w:sz w:val="19"/>
              </w:rPr>
              <w:t>Jetties Amendment Regulations 2008</w:t>
            </w:r>
          </w:p>
        </w:tc>
        <w:tc>
          <w:tcPr>
            <w:tcW w:w="1276" w:type="dxa"/>
          </w:tcPr>
          <w:p>
            <w:pPr>
              <w:pStyle w:val="nTable"/>
              <w:spacing w:after="40"/>
              <w:rPr>
                <w:bCs/>
                <w:sz w:val="19"/>
              </w:rPr>
            </w:pPr>
            <w:r>
              <w:rPr>
                <w:bCs/>
                <w:sz w:val="19"/>
              </w:rPr>
              <w:t>8 Feb 2008 p. 314-15</w:t>
            </w:r>
          </w:p>
        </w:tc>
        <w:tc>
          <w:tcPr>
            <w:tcW w:w="2693" w:type="dxa"/>
          </w:tcPr>
          <w:p>
            <w:pPr>
              <w:pStyle w:val="nTable"/>
              <w:spacing w:after="40"/>
              <w:rPr>
                <w:bCs/>
                <w:sz w:val="19"/>
              </w:rPr>
            </w:pPr>
            <w:r>
              <w:rPr>
                <w:bCs/>
                <w:sz w:val="19"/>
              </w:rPr>
              <w:t>r. 1 and 2: 8 Feb 2008 (see r. 2(a));</w:t>
            </w:r>
            <w:r>
              <w:rPr>
                <w:bCs/>
                <w:sz w:val="19"/>
              </w:rPr>
              <w:br/>
              <w:t>Regulations other than r. 1 and 2: 9 Feb 2008 (see r. 2(b))</w:t>
            </w:r>
          </w:p>
        </w:tc>
      </w:tr>
      <w:tr>
        <w:trPr>
          <w:cantSplit/>
        </w:trPr>
        <w:tc>
          <w:tcPr>
            <w:tcW w:w="3118" w:type="dxa"/>
          </w:tcPr>
          <w:p>
            <w:pPr>
              <w:pStyle w:val="nTable"/>
              <w:spacing w:after="40"/>
              <w:rPr>
                <w:bCs/>
                <w:i/>
                <w:iCs/>
                <w:sz w:val="19"/>
              </w:rPr>
            </w:pPr>
            <w:r>
              <w:rPr>
                <w:bCs/>
                <w:i/>
                <w:iCs/>
                <w:sz w:val="19"/>
              </w:rPr>
              <w:t>Jetties Amendment Regulations (No. 2) 2008</w:t>
            </w:r>
          </w:p>
        </w:tc>
        <w:tc>
          <w:tcPr>
            <w:tcW w:w="1276" w:type="dxa"/>
          </w:tcPr>
          <w:p>
            <w:pPr>
              <w:pStyle w:val="nTable"/>
              <w:spacing w:after="40"/>
              <w:rPr>
                <w:bCs/>
                <w:sz w:val="19"/>
              </w:rPr>
            </w:pPr>
            <w:r>
              <w:rPr>
                <w:bCs/>
                <w:sz w:val="19"/>
              </w:rPr>
              <w:t>1 Jul 2008 p. 3140</w:t>
            </w:r>
            <w:r>
              <w:rPr>
                <w:bCs/>
                <w:sz w:val="19"/>
              </w:rPr>
              <w:noBreakHyphen/>
              <w:t>53</w:t>
            </w:r>
          </w:p>
        </w:tc>
        <w:tc>
          <w:tcPr>
            <w:tcW w:w="2693" w:type="dxa"/>
          </w:tcPr>
          <w:p>
            <w:pPr>
              <w:pStyle w:val="nTable"/>
              <w:spacing w:after="40"/>
              <w:rPr>
                <w:bCs/>
                <w:sz w:val="19"/>
              </w:rPr>
            </w:pPr>
            <w:r>
              <w:rPr>
                <w:bCs/>
                <w:sz w:val="19"/>
              </w:rPr>
              <w:t>r. 1 and 2: 1 Jul 2008 (see r. 2(a));</w:t>
            </w:r>
            <w:r>
              <w:rPr>
                <w:bCs/>
                <w:sz w:val="19"/>
              </w:rPr>
              <w:br/>
              <w:t>Regulations other than r. 1 and 2: 1 Jul 2008 (see r. 2(b))</w:t>
            </w:r>
          </w:p>
        </w:tc>
      </w:tr>
      <w:tr>
        <w:trPr>
          <w:cantSplit/>
        </w:trPr>
        <w:tc>
          <w:tcPr>
            <w:tcW w:w="7087" w:type="dxa"/>
            <w:gridSpan w:val="3"/>
          </w:tcPr>
          <w:p>
            <w:pPr>
              <w:pStyle w:val="nTable"/>
              <w:spacing w:after="40"/>
              <w:rPr>
                <w:bCs/>
                <w:sz w:val="19"/>
              </w:rPr>
            </w:pPr>
            <w:r>
              <w:rPr>
                <w:b/>
                <w:sz w:val="19"/>
              </w:rPr>
              <w:t xml:space="preserve">Reprint 7:  The </w:t>
            </w:r>
            <w:r>
              <w:rPr>
                <w:b/>
                <w:i/>
                <w:sz w:val="19"/>
              </w:rPr>
              <w:t xml:space="preserve">Jetties Regulations 1940 </w:t>
            </w:r>
            <w:r>
              <w:rPr>
                <w:b/>
                <w:sz w:val="19"/>
              </w:rPr>
              <w:t xml:space="preserve">as at 13 Feb 2009 </w:t>
            </w:r>
            <w:r>
              <w:rPr>
                <w:bCs/>
                <w:sz w:val="19"/>
              </w:rPr>
              <w:t xml:space="preserve">(includes amendments listed above) </w:t>
            </w:r>
          </w:p>
        </w:tc>
      </w:tr>
      <w:tr>
        <w:trPr>
          <w:cantSplit/>
        </w:trPr>
        <w:tc>
          <w:tcPr>
            <w:tcW w:w="3118" w:type="dxa"/>
          </w:tcPr>
          <w:p>
            <w:pPr>
              <w:pStyle w:val="nTable"/>
              <w:spacing w:after="40"/>
              <w:rPr>
                <w:bCs/>
                <w:i/>
                <w:iCs/>
                <w:sz w:val="19"/>
              </w:rPr>
            </w:pPr>
            <w:r>
              <w:rPr>
                <w:bCs/>
                <w:i/>
                <w:iCs/>
                <w:sz w:val="19"/>
              </w:rPr>
              <w:t>Jetties Amendment Regulations 2009</w:t>
            </w:r>
          </w:p>
        </w:tc>
        <w:tc>
          <w:tcPr>
            <w:tcW w:w="1276" w:type="dxa"/>
          </w:tcPr>
          <w:p>
            <w:pPr>
              <w:pStyle w:val="nTable"/>
              <w:spacing w:after="40"/>
              <w:rPr>
                <w:bCs/>
                <w:sz w:val="19"/>
              </w:rPr>
            </w:pPr>
            <w:r>
              <w:rPr>
                <w:bCs/>
                <w:sz w:val="19"/>
              </w:rPr>
              <w:t>23 Jun 2009 p. 2490-1</w:t>
            </w:r>
          </w:p>
        </w:tc>
        <w:tc>
          <w:tcPr>
            <w:tcW w:w="2693" w:type="dxa"/>
          </w:tcPr>
          <w:p>
            <w:pPr>
              <w:pStyle w:val="nTable"/>
              <w:spacing w:after="40"/>
              <w:rPr>
                <w:bCs/>
                <w:sz w:val="19"/>
              </w:rPr>
            </w:pPr>
            <w:r>
              <w:rPr>
                <w:bCs/>
                <w:sz w:val="19"/>
              </w:rPr>
              <w:t>r. 1 and 2: 23 Jun 2009 (see r. 2(a));</w:t>
            </w:r>
            <w:r>
              <w:rPr>
                <w:bCs/>
                <w:sz w:val="19"/>
              </w:rPr>
              <w:br/>
              <w:t>Regulations other than r. 1 and 2: 24 Jun 2009 (see r. 2(b))</w:t>
            </w:r>
          </w:p>
        </w:tc>
      </w:tr>
      <w:tr>
        <w:trPr>
          <w:cantSplit/>
        </w:trPr>
        <w:tc>
          <w:tcPr>
            <w:tcW w:w="3118" w:type="dxa"/>
          </w:tcPr>
          <w:p>
            <w:pPr>
              <w:pStyle w:val="nTable"/>
              <w:spacing w:after="40"/>
              <w:rPr>
                <w:bCs/>
                <w:i/>
                <w:iCs/>
                <w:sz w:val="19"/>
              </w:rPr>
            </w:pPr>
            <w:r>
              <w:rPr>
                <w:bCs/>
                <w:i/>
                <w:iCs/>
                <w:sz w:val="19"/>
              </w:rPr>
              <w:t>Jetties Amendment Regulations (No. 2) 2009</w:t>
            </w:r>
          </w:p>
        </w:tc>
        <w:tc>
          <w:tcPr>
            <w:tcW w:w="1276" w:type="dxa"/>
          </w:tcPr>
          <w:p>
            <w:pPr>
              <w:pStyle w:val="nTable"/>
              <w:spacing w:after="40"/>
              <w:rPr>
                <w:bCs/>
                <w:sz w:val="19"/>
              </w:rPr>
            </w:pPr>
            <w:r>
              <w:rPr>
                <w:bCs/>
                <w:sz w:val="19"/>
              </w:rPr>
              <w:t>31 Jul 2009 p. 3071-97</w:t>
            </w:r>
          </w:p>
        </w:tc>
        <w:tc>
          <w:tcPr>
            <w:tcW w:w="2693" w:type="dxa"/>
          </w:tcPr>
          <w:p>
            <w:pPr>
              <w:pStyle w:val="nTable"/>
              <w:spacing w:after="40"/>
              <w:rPr>
                <w:bCs/>
                <w:sz w:val="19"/>
              </w:rPr>
            </w:pPr>
            <w:r>
              <w:rPr>
                <w:bCs/>
                <w:sz w:val="19"/>
              </w:rPr>
              <w:t>r. 1 and 2: 31 Jul 2009 (see r. 2(a));</w:t>
            </w:r>
            <w:r>
              <w:rPr>
                <w:bCs/>
                <w:sz w:val="19"/>
              </w:rPr>
              <w:br/>
              <w:t>Regulations other than r. 1 and 2: 1 Aug 2009 (see r. 2(b))</w:t>
            </w:r>
          </w:p>
        </w:tc>
      </w:tr>
      <w:tr>
        <w:trPr>
          <w:cantSplit/>
        </w:trPr>
        <w:tc>
          <w:tcPr>
            <w:tcW w:w="3118" w:type="dxa"/>
          </w:tcPr>
          <w:p>
            <w:pPr>
              <w:pStyle w:val="nTable"/>
              <w:spacing w:after="40"/>
              <w:rPr>
                <w:bCs/>
                <w:i/>
                <w:iCs/>
                <w:sz w:val="19"/>
              </w:rPr>
            </w:pPr>
            <w:r>
              <w:rPr>
                <w:bCs/>
                <w:i/>
                <w:iCs/>
                <w:sz w:val="19"/>
              </w:rPr>
              <w:t>Jetties Amendment Regulations 2010</w:t>
            </w:r>
          </w:p>
        </w:tc>
        <w:tc>
          <w:tcPr>
            <w:tcW w:w="1276" w:type="dxa"/>
          </w:tcPr>
          <w:p>
            <w:pPr>
              <w:pStyle w:val="nTable"/>
              <w:spacing w:after="40"/>
              <w:rPr>
                <w:bCs/>
                <w:sz w:val="19"/>
              </w:rPr>
            </w:pPr>
            <w:r>
              <w:rPr>
                <w:bCs/>
                <w:sz w:val="19"/>
              </w:rPr>
              <w:t>16 Jul 2010 p. 3309-54</w:t>
            </w:r>
          </w:p>
        </w:tc>
        <w:tc>
          <w:tcPr>
            <w:tcW w:w="2693" w:type="dxa"/>
          </w:tcPr>
          <w:p>
            <w:pPr>
              <w:pStyle w:val="nTable"/>
              <w:spacing w:after="40"/>
              <w:rPr>
                <w:bCs/>
                <w:sz w:val="19"/>
              </w:rPr>
            </w:pPr>
            <w:r>
              <w:rPr>
                <w:bCs/>
                <w:sz w:val="19"/>
              </w:rPr>
              <w:t>r. 1 and 2: 16 Jul 2010 (see r. 2(a));</w:t>
            </w:r>
            <w:r>
              <w:rPr>
                <w:bCs/>
                <w:sz w:val="19"/>
              </w:rPr>
              <w:br/>
              <w:t>Regulations other than r. 1 and 2: 17 Jul 2010 (see r. 2(b))</w:t>
            </w:r>
          </w:p>
        </w:tc>
      </w:tr>
      <w:tr>
        <w:trPr>
          <w:cantSplit/>
        </w:trPr>
        <w:tc>
          <w:tcPr>
            <w:tcW w:w="3118" w:type="dxa"/>
          </w:tcPr>
          <w:p>
            <w:pPr>
              <w:pStyle w:val="nTable"/>
              <w:spacing w:after="40"/>
              <w:rPr>
                <w:bCs/>
                <w:i/>
                <w:iCs/>
                <w:sz w:val="19"/>
              </w:rPr>
            </w:pPr>
            <w:r>
              <w:rPr>
                <w:bCs/>
                <w:i/>
                <w:iCs/>
                <w:sz w:val="19"/>
              </w:rPr>
              <w:t>Jetties Amendment Regulations 2011</w:t>
            </w:r>
          </w:p>
        </w:tc>
        <w:tc>
          <w:tcPr>
            <w:tcW w:w="1276" w:type="dxa"/>
          </w:tcPr>
          <w:p>
            <w:pPr>
              <w:pStyle w:val="nTable"/>
              <w:spacing w:after="40"/>
              <w:rPr>
                <w:rFonts w:ascii="Arial" w:hAnsi="Arial"/>
                <w:b/>
                <w:bCs/>
                <w:sz w:val="19"/>
              </w:rPr>
            </w:pPr>
            <w:r>
              <w:rPr>
                <w:bCs/>
                <w:sz w:val="19"/>
              </w:rPr>
              <w:t>21 Jun 2011 p. 2265</w:t>
            </w:r>
            <w:r>
              <w:rPr>
                <w:bCs/>
                <w:sz w:val="19"/>
              </w:rPr>
              <w:noBreakHyphen/>
              <w:t>303</w:t>
            </w:r>
          </w:p>
        </w:tc>
        <w:tc>
          <w:tcPr>
            <w:tcW w:w="2693" w:type="dxa"/>
          </w:tcPr>
          <w:p>
            <w:pPr>
              <w:pStyle w:val="nTable"/>
              <w:spacing w:after="40"/>
              <w:rPr>
                <w:bCs/>
                <w:sz w:val="19"/>
              </w:rPr>
            </w:pPr>
            <w:r>
              <w:rPr>
                <w:bCs/>
                <w:sz w:val="19"/>
              </w:rPr>
              <w:t>r. 1 and 2: 21 Jun 2011 (see r. 2(a));</w:t>
            </w:r>
            <w:r>
              <w:rPr>
                <w:bCs/>
                <w:sz w:val="19"/>
              </w:rPr>
              <w:br/>
              <w:t>Regulations other than r. 1 and 2: 1 Jul 2011 (see r. 2(b))</w:t>
            </w:r>
          </w:p>
        </w:tc>
      </w:tr>
      <w:tr>
        <w:trPr>
          <w:cantSplit/>
        </w:trPr>
        <w:tc>
          <w:tcPr>
            <w:tcW w:w="3118" w:type="dxa"/>
          </w:tcPr>
          <w:p>
            <w:pPr>
              <w:pStyle w:val="nTable"/>
              <w:spacing w:after="40"/>
              <w:rPr>
                <w:bCs/>
                <w:i/>
                <w:iCs/>
                <w:sz w:val="19"/>
              </w:rPr>
            </w:pPr>
            <w:r>
              <w:rPr>
                <w:bCs/>
                <w:i/>
                <w:iCs/>
                <w:sz w:val="19"/>
              </w:rPr>
              <w:t>Jetties Amendment Regulations 2012</w:t>
            </w:r>
          </w:p>
        </w:tc>
        <w:tc>
          <w:tcPr>
            <w:tcW w:w="1276" w:type="dxa"/>
          </w:tcPr>
          <w:p>
            <w:pPr>
              <w:pStyle w:val="nTable"/>
              <w:spacing w:after="40"/>
              <w:rPr>
                <w:bCs/>
                <w:sz w:val="19"/>
              </w:rPr>
            </w:pPr>
            <w:r>
              <w:rPr>
                <w:bCs/>
                <w:sz w:val="19"/>
              </w:rPr>
              <w:t>13 Jul 2012 p. 3173</w:t>
            </w:r>
            <w:r>
              <w:rPr>
                <w:bCs/>
                <w:sz w:val="19"/>
              </w:rPr>
              <w:noBreakHyphen/>
              <w:t>214</w:t>
            </w:r>
          </w:p>
        </w:tc>
        <w:tc>
          <w:tcPr>
            <w:tcW w:w="2693" w:type="dxa"/>
          </w:tcPr>
          <w:p>
            <w:pPr>
              <w:pStyle w:val="nTable"/>
              <w:spacing w:after="40"/>
              <w:rPr>
                <w:bCs/>
                <w:sz w:val="19"/>
              </w:rPr>
            </w:pPr>
            <w:r>
              <w:rPr>
                <w:bCs/>
                <w:sz w:val="19"/>
              </w:rPr>
              <w:t>r. 1 and 2: 13 Jul 2012 (see r. 2(a));</w:t>
            </w:r>
            <w:r>
              <w:rPr>
                <w:bCs/>
                <w:sz w:val="19"/>
              </w:rPr>
              <w:br/>
              <w:t>Regulations other than r. 1 and 2: 14 Jul 2012 (see r. 2(b))</w:t>
            </w:r>
          </w:p>
        </w:tc>
      </w:tr>
      <w:tr>
        <w:trPr>
          <w:cantSplit/>
        </w:trPr>
        <w:tc>
          <w:tcPr>
            <w:tcW w:w="3118" w:type="dxa"/>
          </w:tcPr>
          <w:p>
            <w:pPr>
              <w:pStyle w:val="nTable"/>
              <w:spacing w:after="40"/>
              <w:rPr>
                <w:bCs/>
                <w:i/>
                <w:iCs/>
                <w:sz w:val="19"/>
              </w:rPr>
            </w:pPr>
            <w:r>
              <w:rPr>
                <w:bCs/>
                <w:i/>
                <w:iCs/>
                <w:sz w:val="19"/>
              </w:rPr>
              <w:t>Jetties Amendment Regulations (No. 2) 2012</w:t>
            </w:r>
          </w:p>
        </w:tc>
        <w:tc>
          <w:tcPr>
            <w:tcW w:w="1276" w:type="dxa"/>
          </w:tcPr>
          <w:p>
            <w:pPr>
              <w:pStyle w:val="nTable"/>
              <w:spacing w:after="40"/>
              <w:rPr>
                <w:bCs/>
                <w:sz w:val="19"/>
              </w:rPr>
            </w:pPr>
            <w:r>
              <w:rPr>
                <w:bCs/>
                <w:sz w:val="19"/>
              </w:rPr>
              <w:t>23 Oct 2012 p. 5057</w:t>
            </w:r>
          </w:p>
        </w:tc>
        <w:tc>
          <w:tcPr>
            <w:tcW w:w="2693" w:type="dxa"/>
          </w:tcPr>
          <w:p>
            <w:pPr>
              <w:pStyle w:val="nTable"/>
              <w:spacing w:after="40"/>
              <w:rPr>
                <w:bCs/>
                <w:sz w:val="19"/>
              </w:rPr>
            </w:pPr>
            <w:r>
              <w:rPr>
                <w:bCs/>
                <w:snapToGrid w:val="0"/>
                <w:sz w:val="19"/>
              </w:rPr>
              <w:t>r. 1 and 2: 23 Oct 2012 (see r. 2(a));</w:t>
            </w:r>
            <w:r>
              <w:rPr>
                <w:bCs/>
                <w:snapToGrid w:val="0"/>
                <w:sz w:val="19"/>
              </w:rPr>
              <w:br/>
              <w:t>Regulations other than r. 1 and 2: 24 Oct 2012 (see r. 2(b))</w:t>
            </w:r>
          </w:p>
        </w:tc>
      </w:tr>
      <w:tr>
        <w:trPr>
          <w:cantSplit/>
        </w:trPr>
        <w:tc>
          <w:tcPr>
            <w:tcW w:w="3118" w:type="dxa"/>
          </w:tcPr>
          <w:p>
            <w:pPr>
              <w:pStyle w:val="nTable"/>
              <w:spacing w:after="40"/>
              <w:rPr>
                <w:bCs/>
                <w:i/>
                <w:iCs/>
                <w:sz w:val="19"/>
              </w:rPr>
            </w:pPr>
            <w:r>
              <w:rPr>
                <w:bCs/>
                <w:i/>
                <w:iCs/>
                <w:sz w:val="19"/>
              </w:rPr>
              <w:t>Jetties Amendment Regulations 2013</w:t>
            </w:r>
          </w:p>
        </w:tc>
        <w:tc>
          <w:tcPr>
            <w:tcW w:w="1276" w:type="dxa"/>
          </w:tcPr>
          <w:p>
            <w:pPr>
              <w:pStyle w:val="nTable"/>
              <w:spacing w:after="40"/>
              <w:rPr>
                <w:bCs/>
                <w:sz w:val="19"/>
              </w:rPr>
            </w:pPr>
            <w:r>
              <w:rPr>
                <w:bCs/>
                <w:sz w:val="19"/>
              </w:rPr>
              <w:t>7 May 2013 p. 1918-23</w:t>
            </w:r>
          </w:p>
        </w:tc>
        <w:tc>
          <w:tcPr>
            <w:tcW w:w="2693" w:type="dxa"/>
          </w:tcPr>
          <w:p>
            <w:pPr>
              <w:pStyle w:val="nTable"/>
              <w:spacing w:after="40"/>
              <w:rPr>
                <w:rFonts w:ascii="Arial" w:hAnsi="Arial"/>
                <w:b/>
                <w:bCs/>
                <w:snapToGrid w:val="0"/>
                <w:sz w:val="19"/>
              </w:rPr>
            </w:pPr>
            <w:r>
              <w:rPr>
                <w:bCs/>
                <w:snapToGrid w:val="0"/>
                <w:sz w:val="19"/>
              </w:rPr>
              <w:t>r. 1 and 2: 7 May 2013 (see r. 2(a));</w:t>
            </w:r>
            <w:r>
              <w:rPr>
                <w:bCs/>
                <w:snapToGrid w:val="0"/>
                <w:sz w:val="19"/>
              </w:rPr>
              <w:br/>
              <w:t>Regulations other than r. 1 and 2: 8 May 2013 (see r. 2(b))</w:t>
            </w:r>
          </w:p>
        </w:tc>
      </w:tr>
      <w:tr>
        <w:trPr>
          <w:cantSplit/>
        </w:trPr>
        <w:tc>
          <w:tcPr>
            <w:tcW w:w="3118" w:type="dxa"/>
          </w:tcPr>
          <w:p>
            <w:pPr>
              <w:pStyle w:val="nTable"/>
              <w:spacing w:after="40"/>
              <w:rPr>
                <w:bCs/>
                <w:i/>
                <w:iCs/>
                <w:sz w:val="19"/>
              </w:rPr>
            </w:pPr>
            <w:r>
              <w:rPr>
                <w:bCs/>
                <w:i/>
                <w:iCs/>
                <w:sz w:val="19"/>
              </w:rPr>
              <w:t>Jetties Amendment Regulations (No. 2) 2013</w:t>
            </w:r>
          </w:p>
        </w:tc>
        <w:tc>
          <w:tcPr>
            <w:tcW w:w="1276" w:type="dxa"/>
          </w:tcPr>
          <w:p>
            <w:pPr>
              <w:pStyle w:val="nTable"/>
              <w:spacing w:after="40"/>
              <w:rPr>
                <w:rFonts w:ascii="Arial" w:hAnsi="Arial"/>
                <w:bCs/>
                <w:sz w:val="19"/>
              </w:rPr>
            </w:pPr>
            <w:r>
              <w:rPr>
                <w:bCs/>
                <w:sz w:val="19"/>
              </w:rPr>
              <w:t>28 Jun 2013 p. 2831</w:t>
            </w:r>
            <w:r>
              <w:rPr>
                <w:bCs/>
                <w:sz w:val="19"/>
              </w:rPr>
              <w:noBreakHyphen/>
              <w:t>85</w:t>
            </w:r>
          </w:p>
        </w:tc>
        <w:tc>
          <w:tcPr>
            <w:tcW w:w="2693" w:type="dxa"/>
          </w:tcPr>
          <w:p>
            <w:pPr>
              <w:pStyle w:val="nTable"/>
              <w:spacing w:after="40"/>
              <w:rPr>
                <w:rFonts w:ascii="Arial" w:hAnsi="Arial"/>
                <w:bCs/>
                <w:snapToGrid w:val="0"/>
                <w:sz w:val="19"/>
              </w:rPr>
            </w:pPr>
            <w:r>
              <w:rPr>
                <w:bCs/>
                <w:snapToGrid w:val="0"/>
                <w:sz w:val="19"/>
              </w:rPr>
              <w:t>r. 1 and 2: 28 Jun 2013 (see r. 2(a));</w:t>
            </w:r>
            <w:r>
              <w:rPr>
                <w:bCs/>
                <w:snapToGrid w:val="0"/>
                <w:sz w:val="19"/>
              </w:rPr>
              <w:br/>
              <w:t>Regulations other than r. 1 and 2: 1 Jul 2013 (see r. 2(b))</w:t>
            </w:r>
          </w:p>
        </w:tc>
      </w:tr>
      <w:tr>
        <w:trPr>
          <w:cantSplit/>
        </w:trPr>
        <w:tc>
          <w:tcPr>
            <w:tcW w:w="7087" w:type="dxa"/>
            <w:gridSpan w:val="3"/>
            <w:tcBorders>
              <w:bottom w:val="single" w:sz="8" w:space="0" w:color="auto"/>
            </w:tcBorders>
            <w:shd w:val="clear" w:color="auto" w:fill="auto"/>
          </w:tcPr>
          <w:p>
            <w:pPr>
              <w:pStyle w:val="nTable"/>
              <w:spacing w:after="40"/>
              <w:rPr>
                <w:rFonts w:ascii="Arial" w:hAnsi="Arial"/>
                <w:b/>
                <w:bCs/>
                <w:snapToGrid w:val="0"/>
                <w:sz w:val="19"/>
              </w:rPr>
            </w:pPr>
            <w:r>
              <w:rPr>
                <w:b/>
                <w:sz w:val="19"/>
              </w:rPr>
              <w:t xml:space="preserve">Reprint 8:  The </w:t>
            </w:r>
            <w:r>
              <w:rPr>
                <w:b/>
                <w:i/>
                <w:sz w:val="19"/>
              </w:rPr>
              <w:t xml:space="preserve">Jetties Regulations 1940 </w:t>
            </w:r>
            <w:r>
              <w:rPr>
                <w:b/>
                <w:sz w:val="19"/>
              </w:rPr>
              <w:t xml:space="preserve">as at 11 Oct 2013 </w:t>
            </w:r>
            <w:r>
              <w:rPr>
                <w:bCs/>
                <w:sz w:val="19"/>
              </w:rPr>
              <w:t>(includes amendments listed above)</w:t>
            </w:r>
          </w:p>
        </w:tc>
      </w:tr>
    </w:tbl>
    <w:p>
      <w:pPr>
        <w:pStyle w:val="nSubsection"/>
        <w:spacing w:before="160"/>
      </w:pPr>
      <w:r>
        <w:rPr>
          <w:vertAlign w:val="superscript"/>
        </w:rPr>
        <w:t>2</w:t>
      </w:r>
      <w:r>
        <w:rPr>
          <w:vertAlign w:val="superscript"/>
        </w:rPr>
        <w:tab/>
      </w:r>
      <w:r>
        <w:t xml:space="preserve">The </w:t>
      </w:r>
      <w:r>
        <w:rPr>
          <w:i/>
        </w:rPr>
        <w:t>Consumer Credit (Western Australia) Code</w:t>
      </w:r>
      <w:r>
        <w:t xml:space="preserve"> was repealed by the </w:t>
      </w:r>
      <w:r>
        <w:rPr>
          <w:i/>
        </w:rPr>
        <w:t>Credit (Commonwealth Powers) (Transitional and Consequential Provisions) Act 2010</w:t>
      </w:r>
      <w:r>
        <w:t xml:space="preserve"> Pt. 3 Div. 1.</w:t>
      </w:r>
    </w:p>
    <w:p>
      <w:pPr>
        <w:pStyle w:val="nSubsection"/>
      </w:pPr>
      <w:r>
        <w:rPr>
          <w:vertAlign w:val="superscript"/>
        </w:rPr>
        <w:t>3</w:t>
      </w:r>
      <w:r>
        <w:tab/>
        <w:t xml:space="preserve">The Standards Association of </w:t>
      </w:r>
      <w:smartTag w:uri="urn:schemas-microsoft-com:office:smarttags" w:element="place">
        <w:smartTag w:uri="urn:schemas-microsoft-com:office:smarttags" w:element="country-region">
          <w:r>
            <w:t>Australia</w:t>
          </w:r>
        </w:smartTag>
      </w:smartTag>
      <w:r>
        <w:t xml:space="preserve"> has changed its corporate status and its name.  It is now Standards Australia International Limited (ACN 087 326 690). It also trades as Standards Australia.</w:t>
      </w:r>
    </w:p>
    <w:p>
      <w:pPr>
        <w:pStyle w:val="nSubsection"/>
      </w:pPr>
      <w:r>
        <w:rPr>
          <w:vertAlign w:val="superscript"/>
        </w:rPr>
        <w:t>4</w:t>
      </w:r>
      <w:r>
        <w:tab/>
        <w:t xml:space="preserve">Under the </w:t>
      </w:r>
      <w:r>
        <w:rPr>
          <w:i/>
          <w:iCs/>
        </w:rPr>
        <w:t>Alteration of Statutory Designations Order (No. 2) 1997</w:t>
      </w:r>
      <w:r>
        <w:t xml:space="preserve"> a reference in any law to the department in the Public Service designated as “Police Department” is to be read and construed as a reference to the department designated as  “Police Service”.</w:t>
      </w:r>
    </w:p>
    <w:p>
      <w:pPr>
        <w:pStyle w:val="nSubsection"/>
        <w:keepNext/>
        <w:keepLines/>
      </w:pPr>
      <w:r>
        <w:rPr>
          <w:vertAlign w:val="superscript"/>
        </w:rPr>
        <w:t>5</w:t>
      </w:r>
      <w:r>
        <w:tab/>
      </w:r>
      <w:r>
        <w:rPr>
          <w:iCs/>
        </w:rPr>
        <w:t xml:space="preserve">Formerly referred to the </w:t>
      </w:r>
      <w:r>
        <w:rPr>
          <w:i/>
        </w:rPr>
        <w:t>Navigable Waters Regulations</w:t>
      </w:r>
      <w:r>
        <w:rPr>
          <w:iCs/>
        </w:rPr>
        <w:t xml:space="preserve"> the citation of which was changed to the </w:t>
      </w:r>
      <w:r>
        <w:rPr>
          <w:i/>
        </w:rPr>
        <w:t>Navigable Waters Regulations 1958</w:t>
      </w:r>
      <w:r>
        <w:rPr>
          <w:iCs/>
        </w:rPr>
        <w:t xml:space="preserve"> by the </w:t>
      </w:r>
      <w:r>
        <w:rPr>
          <w:i/>
        </w:rPr>
        <w:t>Navigable Waters Amendment Regulations (No. 2) 2005</w:t>
      </w:r>
      <w:r>
        <w:rPr>
          <w:iCs/>
        </w:rPr>
        <w:t xml:space="preserve"> r. 3.  The reference was changed under the </w:t>
      </w:r>
      <w:r>
        <w:rPr>
          <w:i/>
        </w:rPr>
        <w:t>Reprints Act 1984</w:t>
      </w:r>
      <w:r>
        <w:rPr>
          <w:iCs/>
        </w:rPr>
        <w:t xml:space="preserve"> s. 7(3)(gb)</w:t>
      </w:r>
      <w:r>
        <w:t>.</w:t>
      </w:r>
    </w:p>
    <w:p>
      <w:pPr>
        <w:pStyle w:val="nSubsection"/>
        <w:rPr>
          <w:snapToGrid w:val="0"/>
        </w:rPr>
      </w:pPr>
      <w:r>
        <w:rPr>
          <w:snapToGrid w:val="0"/>
          <w:vertAlign w:val="superscript"/>
        </w:rPr>
        <w:t>6</w:t>
      </w:r>
      <w:r>
        <w:rPr>
          <w:snapToGrid w:val="0"/>
        </w:rPr>
        <w:tab/>
        <w:t xml:space="preserve">Repealed by the </w:t>
      </w:r>
      <w:r>
        <w:rPr>
          <w:i/>
          <w:snapToGrid w:val="0"/>
        </w:rPr>
        <w:t>Explosives and Dangerous Goods Act 1961</w:t>
      </w:r>
      <w:r>
        <w:rPr>
          <w:snapToGrid w:val="0"/>
        </w:rPr>
        <w:t xml:space="preserve">, which was repealed by the </w:t>
      </w:r>
      <w:r>
        <w:rPr>
          <w:i/>
        </w:rPr>
        <w:t>Dangerous Goods Safety Act 2004.</w:t>
      </w:r>
    </w:p>
    <w:p>
      <w:pPr>
        <w:pStyle w:val="nSubsection"/>
        <w:rPr>
          <w:i/>
        </w:rPr>
      </w:pPr>
      <w:r>
        <w:rPr>
          <w:iCs/>
          <w:vertAlign w:val="superscript"/>
        </w:rPr>
        <w:t>7</w:t>
      </w:r>
      <w:r>
        <w:rPr>
          <w:iCs/>
        </w:rPr>
        <w:tab/>
        <w:t xml:space="preserve">Under the </w:t>
      </w:r>
      <w:r>
        <w:rPr>
          <w:i/>
        </w:rPr>
        <w:t>Marine and Harbours Act 1981</w:t>
      </w:r>
      <w:r>
        <w:rPr>
          <w:iCs/>
        </w:rPr>
        <w:t xml:space="preserve"> s. 20 a reference in a written law to the former Department of Marine and Harbours is, unless the contrary intention appears, to be read and construed as a reference to the department principally assisting the Minister in the administration of that Act.  As at the date this reprint was prepared the department principally assisting the Minister in the administration of the </w:t>
      </w:r>
      <w:r>
        <w:rPr>
          <w:i/>
        </w:rPr>
        <w:t>Marine and Harbours Act 1981</w:t>
      </w:r>
      <w:r>
        <w:rPr>
          <w:iCs/>
        </w:rPr>
        <w:t xml:space="preserve"> is the Department of Transport.</w:t>
      </w:r>
    </w:p>
    <w:p>
      <w:pPr>
        <w:pStyle w:val="nSubsection"/>
        <w:rPr>
          <w:snapToGrid w:val="0"/>
        </w:rPr>
      </w:pPr>
      <w:r>
        <w:rPr>
          <w:snapToGrid w:val="0"/>
          <w:vertAlign w:val="superscript"/>
        </w:rPr>
        <w:t>8</w:t>
      </w:r>
      <w:r>
        <w:rPr>
          <w:snapToGrid w:val="0"/>
        </w:rPr>
        <w:tab/>
        <w:t xml:space="preserve">Formerly referred to the </w:t>
      </w:r>
      <w:r>
        <w:rPr>
          <w:i/>
          <w:snapToGrid w:val="0"/>
        </w:rPr>
        <w:t>Jetties Act Regulations 1940</w:t>
      </w:r>
      <w:r>
        <w:rPr>
          <w:snapToGrid w:val="0"/>
        </w:rPr>
        <w:t xml:space="preserve"> the citation of which was changed to the </w:t>
      </w:r>
      <w:r>
        <w:rPr>
          <w:i/>
        </w:rPr>
        <w:t>Jetties Regulations 1940</w:t>
      </w:r>
      <w:r>
        <w:t xml:space="preserve"> </w:t>
      </w:r>
      <w:r>
        <w:rPr>
          <w:snapToGrid w:val="0"/>
        </w:rPr>
        <w:t xml:space="preserve">by the </w:t>
      </w:r>
      <w:r>
        <w:rPr>
          <w:i/>
          <w:snapToGrid w:val="0"/>
        </w:rPr>
        <w:t>Jetties Amendment Regulations (No. 3) 2004</w:t>
      </w:r>
      <w:r>
        <w:rPr>
          <w:snapToGrid w:val="0"/>
        </w:rPr>
        <w:t xml:space="preserve"> r. 3.  Reference changed under the </w:t>
      </w:r>
      <w:r>
        <w:rPr>
          <w:i/>
          <w:snapToGrid w:val="0"/>
        </w:rPr>
        <w:t>Reprints Act 1984</w:t>
      </w:r>
      <w:r>
        <w:rPr>
          <w:snapToGrid w:val="0"/>
        </w:rPr>
        <w:t xml:space="preserve"> s. 7(3)(gb).</w:t>
      </w:r>
    </w:p>
    <w:p>
      <w:pPr>
        <w:pStyle w:val="nSubsection"/>
      </w:pPr>
      <w:r>
        <w:rPr>
          <w:vertAlign w:val="superscript"/>
        </w:rPr>
        <w:t>9</w:t>
      </w:r>
      <w:r>
        <w:tab/>
        <w:t xml:space="preserve">Now known as the </w:t>
      </w:r>
      <w:r>
        <w:rPr>
          <w:i/>
        </w:rPr>
        <w:t>Jetties Regulations 1940</w:t>
      </w:r>
      <w:r>
        <w:t>; citation changed (see note under r. 1).</w:t>
      </w:r>
    </w:p>
    <w:p>
      <w:pPr>
        <w:pStyle w:val="nSubsection"/>
        <w:tabs>
          <w:tab w:val="left" w:pos="720"/>
          <w:tab w:val="left" w:pos="1440"/>
          <w:tab w:val="left" w:pos="2160"/>
          <w:tab w:val="left" w:pos="2880"/>
          <w:tab w:val="left" w:pos="3600"/>
          <w:tab w:val="left" w:pos="4211"/>
        </w:tabs>
      </w:pPr>
      <w:r>
        <w:rPr>
          <w:vertAlign w:val="superscript"/>
        </w:rPr>
        <w:t>10</w:t>
      </w:r>
      <w:r>
        <w:tab/>
      </w:r>
      <w:r>
        <w:rPr>
          <w:snapToGrid w:val="0"/>
        </w:rPr>
        <w:t>Regulation</w:t>
      </w:r>
      <w:r>
        <w:t> 10 disallowed on 19 Oct 1940.</w:t>
      </w:r>
    </w:p>
    <w:p/>
    <w:p>
      <w:pPr>
        <w:sectPr>
          <w:headerReference w:type="even" r:id="rId35"/>
          <w:headerReference w:type="default" r:id="rId36"/>
          <w:headerReference w:type="first" r:id="rId37"/>
          <w:pgSz w:w="11906" w:h="16838" w:code="9"/>
          <w:pgMar w:top="2376" w:right="2404" w:bottom="3544" w:left="2404" w:header="720" w:footer="3380" w:gutter="0"/>
          <w:cols w:space="720"/>
          <w:noEndnote/>
          <w:docGrid w:linePitch="326"/>
        </w:sectPr>
      </w:pPr>
    </w:p>
    <w:p>
      <w:pPr>
        <w:pStyle w:val="nHeading2"/>
        <w:rPr>
          <w:sz w:val="28"/>
        </w:rPr>
      </w:pPr>
      <w:bookmarkStart w:id="183" w:name="_Toc382380077"/>
      <w:r>
        <w:rPr>
          <w:sz w:val="28"/>
        </w:rPr>
        <w:t>Defined terms</w:t>
      </w:r>
      <w:bookmarkEnd w:id="18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84" w:name="DefinedTerms"/>
      <w:bookmarkEnd w:id="184"/>
      <w:r>
        <w:t>commercial vessel</w:t>
      </w:r>
      <w:r>
        <w:tab/>
        <w:t>3(1)</w:t>
      </w:r>
    </w:p>
    <w:p>
      <w:pPr>
        <w:pStyle w:val="DefinedTerms"/>
      </w:pPr>
      <w:r>
        <w:t>day</w:t>
      </w:r>
      <w:r>
        <w:tab/>
        <w:t>3(2)</w:t>
      </w:r>
    </w:p>
    <w:p>
      <w:pPr>
        <w:pStyle w:val="DefinedTerms"/>
      </w:pPr>
      <w:r>
        <w:t>Department</w:t>
      </w:r>
      <w:r>
        <w:tab/>
        <w:t>3(1)</w:t>
      </w:r>
    </w:p>
    <w:p>
      <w:pPr>
        <w:pStyle w:val="DefinedTerms"/>
      </w:pPr>
      <w:r>
        <w:t>E Class operator</w:t>
      </w:r>
      <w:r>
        <w:tab/>
        <w:t>Sch. 1 cl. 8(2)</w:t>
      </w:r>
    </w:p>
    <w:p>
      <w:pPr>
        <w:pStyle w:val="DefinedTerms"/>
      </w:pPr>
      <w:r>
        <w:t>fishing vessel</w:t>
      </w:r>
      <w:r>
        <w:tab/>
        <w:t>3(1)</w:t>
      </w:r>
    </w:p>
    <w:p>
      <w:pPr>
        <w:pStyle w:val="DefinedTerms"/>
      </w:pPr>
      <w:r>
        <w:t>jetty</w:t>
      </w:r>
      <w:r>
        <w:tab/>
        <w:t>3(1)</w:t>
      </w:r>
    </w:p>
    <w:p>
      <w:pPr>
        <w:pStyle w:val="DefinedTerms"/>
      </w:pPr>
      <w:r>
        <w:t>master</w:t>
      </w:r>
      <w:r>
        <w:tab/>
        <w:t>3(1)</w:t>
      </w:r>
    </w:p>
    <w:p>
      <w:pPr>
        <w:pStyle w:val="DefinedTerms"/>
      </w:pPr>
      <w:r>
        <w:t>officer</w:t>
      </w:r>
      <w:r>
        <w:tab/>
        <w:t>3(1)</w:t>
      </w:r>
    </w:p>
    <w:p>
      <w:pPr>
        <w:pStyle w:val="DefinedTerms"/>
      </w:pPr>
      <w:r>
        <w:t>owner</w:t>
      </w:r>
      <w:r>
        <w:tab/>
        <w:t>3(1)</w:t>
      </w:r>
    </w:p>
    <w:p>
      <w:pPr>
        <w:pStyle w:val="DefinedTerms"/>
      </w:pPr>
      <w:r>
        <w:t>premises</w:t>
      </w:r>
      <w:r>
        <w:tab/>
        <w:t>3(1)</w:t>
      </w:r>
    </w:p>
    <w:p>
      <w:pPr>
        <w:pStyle w:val="DefinedTerms"/>
      </w:pPr>
      <w:r>
        <w:t>public jetty</w:t>
      </w:r>
      <w:r>
        <w:tab/>
        <w:t>3(1)</w:t>
      </w:r>
    </w:p>
    <w:p>
      <w:pPr>
        <w:pStyle w:val="DefinedTerms"/>
      </w:pPr>
      <w:r>
        <w:t>recreational vessel</w:t>
      </w:r>
      <w:r>
        <w:tab/>
        <w:t>3(1)</w:t>
      </w:r>
    </w:p>
    <w:p>
      <w:pPr>
        <w:pStyle w:val="DefinedTerms"/>
      </w:pPr>
      <w:r>
        <w:t>service vessel</w:t>
      </w:r>
      <w:r>
        <w:tab/>
        <w:t>Sch. 1 cl. 10(2), 19(2) and 20(2)</w:t>
      </w:r>
    </w:p>
    <w:p>
      <w:pPr>
        <w:pStyle w:val="DefinedTerms"/>
      </w:pPr>
      <w:r>
        <w:t>T Class operator</w:t>
      </w:r>
      <w:r>
        <w:tab/>
        <w:t>Sch. 1 cl. 8(2)</w:t>
      </w:r>
    </w:p>
    <w:p>
      <w:pPr>
        <w:pStyle w:val="DefinedTerms"/>
      </w:pPr>
      <w:r>
        <w:t>tourism vessel</w:t>
      </w:r>
      <w:r>
        <w:tab/>
        <w:t>3(1)</w:t>
      </w:r>
    </w:p>
    <w:p>
      <w:pPr>
        <w:pStyle w:val="DefinedTerms"/>
      </w:pPr>
      <w:r>
        <w:t>vessel</w:t>
      </w:r>
      <w:r>
        <w:tab/>
        <w:t>3(1)</w:t>
      </w:r>
    </w:p>
    <w:p>
      <w:pPr>
        <w:pStyle w:val="DefinedTerms"/>
      </w:pPr>
      <w:r>
        <w:t>week</w:t>
      </w:r>
      <w:r>
        <w:tab/>
        <w:t>3(2)</w:t>
      </w:r>
    </w:p>
    <w:p/>
    <w:p/>
    <w:p/>
    <w:p/>
    <w:p/>
    <w:p/>
    <w:p/>
    <w:p/>
    <w:p/>
    <w:p/>
    <w:p/>
    <w:p/>
    <w:p/>
    <w:p/>
    <w:p/>
    <w:p/>
    <w:p/>
    <w:p/>
    <w:p/>
    <w:p/>
    <w:p>
      <w:pPr>
        <w:sectPr>
          <w:headerReference w:type="even" r:id="rId38"/>
          <w:headerReference w:type="default" r:id="rId39"/>
          <w:footerReference w:type="even" r:id="rId40"/>
          <w:footerReference w:type="default" r:id="rId41"/>
          <w:headerReference w:type="first" r:id="rId42"/>
          <w:footerReference w:type="first" r:id="rId43"/>
          <w:pgSz w:w="11906" w:h="16838" w:code="9"/>
          <w:pgMar w:top="2376" w:right="2404" w:bottom="3544" w:left="2404" w:header="720" w:footer="3380" w:gutter="0"/>
          <w:cols w:space="720"/>
          <w:noEndnote/>
          <w:docGrid w:linePitch="326"/>
        </w:sectPr>
      </w:pPr>
    </w:p>
    <w:p>
      <w:pPr>
        <w:pBdr>
          <w:top w:val="double" w:sz="4" w:space="0" w:color="auto"/>
        </w:pBdr>
        <w:jc w:val="center"/>
        <w:rPr>
          <w:rFonts w:ascii="Arial" w:hAnsi="Arial" w:cs="Arial"/>
          <w:sz w:val="12"/>
        </w:rPr>
      </w:pPr>
      <w:r>
        <w:rPr>
          <w:rFonts w:ascii="Arial" w:hAnsi="Arial" w:cs="Arial"/>
          <w:sz w:val="12"/>
        </w:rPr>
        <w:t>By Authority: JOHN A. STRIJK, Government Printer</w:t>
      </w:r>
    </w:p>
    <w:sectPr>
      <w:headerReference w:type="even" r:id="rId44"/>
      <w:headerReference w:type="default" r:id="rId45"/>
      <w:headerReference w:type="first" r:id="rId46"/>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8</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116</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8</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116</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vi</w:t>
    </w:r>
    <w:r>
      <w:rPr>
        <w:rStyle w:val="CharPageNo"/>
      </w:rPr>
      <w:fldChar w:fldCharType="end"/>
    </w:r>
    <w:r>
      <w:rPr>
        <w:rStyle w:val="CharPageNo"/>
      </w:rPr>
      <w:tab/>
    </w:r>
    <w:r>
      <w:t xml:space="preserve">Reprint </w:t>
    </w:r>
    <w:fldSimple w:instr=" DOCPROPERTY &quot;ReprintNo&quot; ">
      <w:r>
        <w:t>8</w:t>
      </w:r>
    </w:fldSimple>
  </w:p>
  <w:p>
    <w:pPr>
      <w:pStyle w:val="FooterPageLeft"/>
      <w:tabs>
        <w:tab w:val="right" w:pos="7088"/>
      </w:tabs>
      <w:rPr>
        <w:rFonts w:ascii="Times New Roman" w:hAnsi="Times New Roman"/>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8</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vii</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8</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114</w:t>
    </w:r>
    <w:r>
      <w:rPr>
        <w:rStyle w:val="CharPageNo"/>
      </w:rPr>
      <w:fldChar w:fldCharType="end"/>
    </w:r>
    <w:r>
      <w:rPr>
        <w:rStyle w:val="CharPageNo"/>
      </w:rPr>
      <w:tab/>
    </w:r>
    <w:r>
      <w:t xml:space="preserve">Reprint </w:t>
    </w:r>
    <w:fldSimple w:instr=" DOCPROPERTY &quot;ReprintNo&quot; ">
      <w:r>
        <w:t>8</w:t>
      </w:r>
    </w:fldSimple>
  </w:p>
  <w:p>
    <w:pPr>
      <w:pStyle w:val="FooterPageLeft"/>
      <w:tabs>
        <w:tab w:val="right" w:pos="7088"/>
      </w:tabs>
      <w:rPr>
        <w:rFonts w:ascii="Times New Roman" w:hAnsi="Times New Roman"/>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8</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115</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8</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Jetties Regulations 1940</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rPr>
              <w:noProof/>
            </w:rPr>
            <w:instrText>Schedule 1</w:instrText>
          </w:r>
          <w:r>
            <w:fldChar w:fldCharType="end"/>
          </w:r>
        </w:p>
      </w:tc>
    </w:tr>
    <w:tr>
      <w:tc>
        <w:tcPr>
          <w:tcW w:w="5715" w:type="dxa"/>
        </w:tcPr>
        <w:p>
          <w:pPr>
            <w:pStyle w:val="HeaderTextRight"/>
          </w:pPr>
          <w:fldSimple w:instr=" styleref CharSDivText ">
            <w:r>
              <w:rPr>
                <w:noProof/>
              </w:rPr>
              <w:t>Specified places</w:t>
            </w:r>
          </w:fldSimple>
        </w:p>
      </w:tc>
      <w:tc>
        <w:tcPr>
          <w:tcW w:w="1548"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1</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1</w:t>
          </w:r>
          <w:r>
            <w:fldChar w:fldCharType="end"/>
          </w:r>
        </w:p>
      </w:tc>
    </w:tr>
    <w:tr>
      <w:tc>
        <w:tcPr>
          <w:tcW w:w="5715" w:type="dxa"/>
        </w:tcPr>
        <w:p>
          <w:pPr>
            <w:pStyle w:val="HeaderTextRight"/>
          </w:pPr>
        </w:p>
      </w:tc>
      <w:tc>
        <w:tcPr>
          <w:tcW w:w="1548" w:type="dxa"/>
        </w:tcPr>
        <w:p>
          <w:pPr>
            <w:pStyle w:val="HeaderNumberRight"/>
            <w:ind w:right="17"/>
            <w:rPr>
              <w:bCs/>
            </w:rPr>
          </w:pPr>
          <w:r>
            <w:rPr>
              <w:bCs/>
            </w:rPr>
            <w:t xml:space="preserve">cl. </w:t>
          </w:r>
          <w:r>
            <w:rPr>
              <w:bCs/>
            </w:rPr>
            <w:fldChar w:fldCharType="begin"/>
          </w:r>
          <w:r>
            <w:rPr>
              <w:bCs/>
            </w:rPr>
            <w:instrText xml:space="preserve"> IF </w:instrText>
          </w:r>
          <w:r>
            <w:rPr>
              <w:bCs/>
            </w:rPr>
            <w:fldChar w:fldCharType="begin"/>
          </w:r>
          <w:r>
            <w:rPr>
              <w:bCs/>
            </w:rPr>
            <w:instrText xml:space="preserve"> STYLEREF CharSClsNo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CharSClsNo </w:instrText>
          </w:r>
          <w:r>
            <w:rPr>
              <w:bCs/>
            </w:rPr>
            <w:fldChar w:fldCharType="separate"/>
          </w:r>
          <w:r>
            <w:rPr>
              <w:bCs/>
              <w:noProof/>
            </w:rPr>
            <w:instrText>1</w:instrText>
          </w:r>
          <w:r>
            <w:rPr>
              <w:bCs/>
            </w:rPr>
            <w:fldChar w:fldCharType="end"/>
          </w:r>
          <w:r>
            <w:rPr>
              <w:bCs/>
            </w:rPr>
            <w:instrText>" "</w:instrText>
          </w:r>
          <w:r>
            <w:rPr>
              <w:bCs/>
            </w:rPr>
            <w:fldChar w:fldCharType="begin"/>
          </w:r>
          <w:r>
            <w:rPr>
              <w:bCs/>
            </w:rPr>
            <w:instrText xml:space="preserve"> STYLEREF CharSClsNo \n </w:instrText>
          </w:r>
          <w:r>
            <w:rPr>
              <w:bCs/>
            </w:rPr>
            <w:fldChar w:fldCharType="separate"/>
          </w:r>
          <w:r>
            <w:rPr>
              <w:bCs/>
              <w:noProof/>
            </w:rPr>
            <w:instrText>0</w:instrText>
          </w:r>
          <w:r>
            <w:rPr>
              <w:bCs/>
            </w:rPr>
            <w:fldChar w:fldCharType="end"/>
          </w:r>
          <w:r>
            <w:rPr>
              <w:bCs/>
            </w:rPr>
            <w:instrText>"</w:instrText>
          </w:r>
          <w:r>
            <w:rPr>
              <w:bCs/>
            </w:rPr>
            <w:fldChar w:fldCharType="separate"/>
          </w:r>
          <w:r>
            <w:rPr>
              <w:bCs/>
              <w:noProof/>
            </w:rPr>
            <w:t>1</w:t>
          </w:r>
          <w:r>
            <w:rPr>
              <w:bCs/>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Jetties Regulations 1940</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2</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2</w:t>
          </w:r>
          <w:r>
            <w:fldChar w:fldCharType="end"/>
          </w:r>
        </w:p>
      </w:tc>
      <w:tc>
        <w:tcPr>
          <w:tcW w:w="5715" w:type="dxa"/>
        </w:tcPr>
        <w:p>
          <w:pPr>
            <w:pStyle w:val="HeaderTextLeft"/>
          </w:pPr>
          <w:fldSimple w:instr=" styleref CharSchText ">
            <w:r>
              <w:rPr>
                <w:noProof/>
              </w:rPr>
              <w:t>Port of Perth fees</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2</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2</w:t>
          </w:r>
          <w:r>
            <w:fldChar w:fldCharType="end"/>
          </w:r>
        </w:p>
      </w:tc>
      <w:tc>
        <w:tcPr>
          <w:tcW w:w="5715" w:type="dxa"/>
        </w:tcPr>
        <w:p>
          <w:pPr>
            <w:pStyle w:val="HeaderTextLeft"/>
          </w:pPr>
          <w:fldSimple w:instr=" styleref CharSDivText ">
            <w:r>
              <w:rPr>
                <w:noProof/>
              </w:rPr>
              <w:t>Fees for boat pens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Jetties Regulations 1940</w:t>
            </w:r>
          </w:fldSimple>
        </w:p>
      </w:tc>
    </w:tr>
    <w:tr>
      <w:tc>
        <w:tcPr>
          <w:tcW w:w="5715" w:type="dxa"/>
          <w:vAlign w:val="bottom"/>
        </w:tcPr>
        <w:p>
          <w:pPr>
            <w:pStyle w:val="HeaderTextRight"/>
          </w:pPr>
          <w:fldSimple w:instr=" styleref CharSchText ">
            <w:r>
              <w:rPr>
                <w:noProof/>
              </w:rPr>
              <w:t>Port of Perth fees</w:t>
            </w:r>
          </w:fldSimple>
        </w:p>
      </w:tc>
      <w:tc>
        <w:tcPr>
          <w:tcW w:w="1548"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2</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2</w:t>
          </w:r>
          <w:r>
            <w:fldChar w:fldCharType="end"/>
          </w:r>
        </w:p>
      </w:tc>
    </w:tr>
    <w:tr>
      <w:tc>
        <w:tcPr>
          <w:tcW w:w="5715" w:type="dxa"/>
        </w:tcPr>
        <w:p>
          <w:pPr>
            <w:pStyle w:val="HeaderTextRight"/>
          </w:pPr>
          <w:fldSimple w:instr=" styleref CharSDivText ">
            <w:r>
              <w:rPr>
                <w:noProof/>
              </w:rPr>
              <w:t>Fees for boat pens</w:t>
            </w:r>
          </w:fldSimple>
        </w:p>
      </w:tc>
      <w:tc>
        <w:tcPr>
          <w:tcW w:w="1548"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2</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2</w:t>
          </w:r>
          <w: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Jetties Regulations 1940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Jetties Regulations 1940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Jetties Regulations 1940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Jetties Regulations 1940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Jetties Regulations 1940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Jetties Regulations 1940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Jetties Regulations 1940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Jetties Regulations 1940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Jetties Regulations 1940</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rPr>
              <w:noProof/>
            </w:rP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r.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Jetties Regulations 1940</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vAlign w:val="bottom"/>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rPr>
              <w:noProof/>
            </w:rP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SectionRight"/>
            <w:ind w:right="17"/>
          </w:pPr>
          <w:r>
            <w:t xml:space="preserve">r.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Jetties Regulations 1940</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rPr>
              <w:noProof/>
            </w:rPr>
            <w:instrText>Schedule 1</w:instrText>
          </w:r>
          <w: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1</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1</w:t>
          </w:r>
          <w:r>
            <w:fldChar w:fldCharType="end"/>
          </w:r>
        </w:p>
      </w:tc>
      <w:tc>
        <w:tcPr>
          <w:tcW w:w="5715" w:type="dxa"/>
        </w:tcPr>
        <w:p>
          <w:pPr>
            <w:pStyle w:val="HeaderTextLeft"/>
          </w:pPr>
          <w:fldSimple w:instr=" styleref CharSDivText ">
            <w:r>
              <w:rPr>
                <w:noProof/>
              </w:rPr>
              <w:t>Specified places</w:t>
            </w:r>
          </w:fldSimple>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0</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C381F5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9BC533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D3A4256"/>
    <w:lvl w:ilvl="0">
      <w:start w:val="1"/>
      <w:numFmt w:val="decimal"/>
      <w:pStyle w:val="ListNumber3"/>
      <w:lvlText w:val="%1."/>
      <w:lvlJc w:val="left"/>
      <w:pPr>
        <w:tabs>
          <w:tab w:val="num" w:pos="926"/>
        </w:tabs>
        <w:ind w:left="926" w:hanging="360"/>
      </w:pPr>
    </w:lvl>
  </w:abstractNum>
  <w:abstractNum w:abstractNumId="3">
    <w:nsid w:val="FFFFFF7F"/>
    <w:multiLevelType w:val="singleLevel"/>
    <w:tmpl w:val="C8E23BB6"/>
    <w:lvl w:ilvl="0">
      <w:start w:val="1"/>
      <w:numFmt w:val="decimal"/>
      <w:pStyle w:val="ListNumber2"/>
      <w:lvlText w:val="%1."/>
      <w:lvlJc w:val="left"/>
      <w:pPr>
        <w:tabs>
          <w:tab w:val="num" w:pos="643"/>
        </w:tabs>
        <w:ind w:left="643" w:hanging="360"/>
      </w:pPr>
    </w:lvl>
  </w:abstractNum>
  <w:abstractNum w:abstractNumId="4">
    <w:nsid w:val="FFFFFF80"/>
    <w:multiLevelType w:val="singleLevel"/>
    <w:tmpl w:val="C5F85DC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940689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E1AF11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B88585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DE831FA"/>
    <w:lvl w:ilvl="0">
      <w:start w:val="1"/>
      <w:numFmt w:val="decimal"/>
      <w:pStyle w:val="ListNumber"/>
      <w:lvlText w:val="%1."/>
      <w:lvlJc w:val="left"/>
      <w:pPr>
        <w:tabs>
          <w:tab w:val="num" w:pos="360"/>
        </w:tabs>
        <w:ind w:left="360" w:hanging="360"/>
      </w:pPr>
    </w:lvl>
  </w:abstractNum>
  <w:abstractNum w:abstractNumId="9">
    <w:nsid w:val="FFFFFF89"/>
    <w:multiLevelType w:val="singleLevel"/>
    <w:tmpl w:val="C6E23E3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5">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2FF52EB"/>
    <w:multiLevelType w:val="multilevel"/>
    <w:tmpl w:val="74B609F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nsid w:val="3C2808C0"/>
    <w:multiLevelType w:val="singleLevel"/>
    <w:tmpl w:val="44AE226E"/>
    <w:lvl w:ilvl="0">
      <w:start w:val="1"/>
      <w:numFmt w:val="bullet"/>
      <w:pStyle w:val="NotesPerm2"/>
      <w:lvlText w:val=""/>
      <w:lvlJc w:val="left"/>
      <w:pPr>
        <w:tabs>
          <w:tab w:val="num" w:pos="1446"/>
        </w:tabs>
        <w:ind w:left="1446" w:hanging="567"/>
      </w:pPr>
      <w:rPr>
        <w:rFonts w:ascii="Symbol" w:hAnsi="Symbol" w:hint="default"/>
      </w:rPr>
    </w:lvl>
  </w:abstractNum>
  <w:abstractNum w:abstractNumId="26">
    <w:nsid w:val="4A985E84"/>
    <w:multiLevelType w:val="multilevel"/>
    <w:tmpl w:val="B17C9440"/>
    <w:name w:val="heading"/>
    <w:lvl w:ilvl="0">
      <w:start w:val="1"/>
      <w:numFmt w:val="decimal"/>
      <w:suff w:val="space"/>
      <w:lvlText w:val="Chapter %1 — "/>
      <w:lvlJc w:val="left"/>
    </w:lvl>
    <w:lvl w:ilvl="1">
      <w:start w:val="1"/>
      <w:numFmt w:val="decimal"/>
      <w:suff w:val="space"/>
      <w:lvlText w:val="Part %2 — "/>
      <w:lvlJc w:val="left"/>
    </w:lvl>
    <w:lvl w:ilvl="2">
      <w:start w:val="1"/>
      <w:numFmt w:val="decimal"/>
      <w:suff w:val="space"/>
      <w:lvlText w:val="Division %3 — "/>
      <w:lvlJc w:val="left"/>
    </w:lvl>
    <w:lvl w:ilvl="3">
      <w:start w:val="1"/>
      <w:numFmt w:val="decimal"/>
      <w:suff w:val="space"/>
      <w:lvlText w:val="Subdivision %4 — "/>
      <w:lvlJc w:val="left"/>
    </w:lvl>
    <w:lvl w:ilvl="4">
      <w:start w:val="1"/>
      <w:numFmt w:val="decimal"/>
      <w:lvlRestart w:val="0"/>
      <w:suff w:val="space"/>
      <w:lvlText w:val="%5. "/>
      <w:lvlJc w:val="left"/>
      <w:pPr>
        <w:ind w:left="893" w:hanging="893"/>
      </w:pPr>
    </w:lvl>
    <w:lvl w:ilvl="5">
      <w:start w:val="1"/>
      <w:numFmt w:val="decimal"/>
      <w:suff w:val="nothing"/>
      <w:lvlText w:val="(%6)"/>
      <w:lvlJc w:val="right"/>
      <w:pPr>
        <w:ind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CC03303"/>
    <w:multiLevelType w:val="singleLevel"/>
    <w:tmpl w:val="0809000F"/>
    <w:lvl w:ilvl="0">
      <w:start w:val="1"/>
      <w:numFmt w:val="decimal"/>
      <w:lvlText w:val="%1."/>
      <w:lvlJc w:val="left"/>
      <w:pPr>
        <w:tabs>
          <w:tab w:val="num" w:pos="360"/>
        </w:tabs>
        <w:ind w:left="360" w:hanging="360"/>
      </w:pPr>
    </w:lvl>
  </w:abstractNum>
  <w:abstractNum w:abstractNumId="2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9">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9"/>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5"/>
  </w:num>
  <w:num w:numId="13">
    <w:abstractNumId w:val="27"/>
  </w:num>
  <w:num w:numId="14">
    <w:abstractNumId w:val="17"/>
  </w:num>
  <w:num w:numId="15">
    <w:abstractNumId w:val="14"/>
  </w:num>
  <w:num w:numId="16">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312092508"/>
    <w:docVar w:name="WAFER_20140312092508" w:val="RemoveTocBookmarks,RemoveUnusedBookmarks,RemoveLanguageTags,UsedStyles,ResetPageSize"/>
    <w:docVar w:name="WAFER_20140312092508_GUID" w:val="58348579-d5ca-4588-a4d0-4b9d825cd9a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martTagType w:namespaceuri="urn:schemas-microsoft-com:office:smarttags" w:name="State"/>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SignatureText">
    <w:name w:val="SignatureText"/>
    <w:basedOn w:val="Normal"/>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PAGE-">
    <w:name w:val="- PAGE -"/>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SignatureText">
    <w:name w:val="SignatureText"/>
    <w:basedOn w:val="Normal"/>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PAGE-">
    <w:name w:val="- PAGE -"/>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oter" Target="footer7.xml"/><Relationship Id="rId39" Type="http://schemas.openxmlformats.org/officeDocument/2006/relationships/header" Target="header17.xml"/><Relationship Id="rId3" Type="http://schemas.openxmlformats.org/officeDocument/2006/relationships/styles" Target="styles.xml"/><Relationship Id="rId21" Type="http://schemas.openxmlformats.org/officeDocument/2006/relationships/footer" Target="footer5.xml"/><Relationship Id="rId34" Type="http://schemas.openxmlformats.org/officeDocument/2006/relationships/header" Target="header12.xml"/><Relationship Id="rId42" Type="http://schemas.openxmlformats.org/officeDocument/2006/relationships/header" Target="header18.xm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7.xml"/><Relationship Id="rId33" Type="http://schemas.openxmlformats.org/officeDocument/2006/relationships/header" Target="header11.xml"/><Relationship Id="rId38" Type="http://schemas.openxmlformats.org/officeDocument/2006/relationships/header" Target="header16.xml"/><Relationship Id="rId46" Type="http://schemas.openxmlformats.org/officeDocument/2006/relationships/header" Target="header2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footer" Target="footer9.xml"/><Relationship Id="rId41"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header" Target="header6.xml"/><Relationship Id="rId32" Type="http://schemas.openxmlformats.org/officeDocument/2006/relationships/image" Target="media/image4.png"/><Relationship Id="rId37" Type="http://schemas.openxmlformats.org/officeDocument/2006/relationships/header" Target="header15.xml"/><Relationship Id="rId40" Type="http://schemas.openxmlformats.org/officeDocument/2006/relationships/footer" Target="footer10.xml"/><Relationship Id="rId45" Type="http://schemas.openxmlformats.org/officeDocument/2006/relationships/header" Target="header20.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image" Target="media/image3.png"/><Relationship Id="rId28" Type="http://schemas.openxmlformats.org/officeDocument/2006/relationships/header" Target="header8.xml"/><Relationship Id="rId36" Type="http://schemas.openxmlformats.org/officeDocument/2006/relationships/header" Target="header14.xml"/><Relationship Id="rId10" Type="http://schemas.openxmlformats.org/officeDocument/2006/relationships/image" Target="media/image2.wmf"/><Relationship Id="rId19" Type="http://schemas.openxmlformats.org/officeDocument/2006/relationships/header" Target="header5.xml"/><Relationship Id="rId31" Type="http://schemas.openxmlformats.org/officeDocument/2006/relationships/header" Target="header10.xml"/><Relationship Id="rId44" Type="http://schemas.openxmlformats.org/officeDocument/2006/relationships/header" Target="header19.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footer" Target="footer6.xml"/><Relationship Id="rId27" Type="http://schemas.openxmlformats.org/officeDocument/2006/relationships/footer" Target="footer8.xml"/><Relationship Id="rId30" Type="http://schemas.openxmlformats.org/officeDocument/2006/relationships/header" Target="header9.xml"/><Relationship Id="rId35" Type="http://schemas.openxmlformats.org/officeDocument/2006/relationships/header" Target="header13.xml"/><Relationship Id="rId43" Type="http://schemas.openxmlformats.org/officeDocument/2006/relationships/footer" Target="footer12.xm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EDC20F-529C-4AE0-A6F7-9685BBAB5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126</Pages>
  <Words>28532</Words>
  <Characters>130392</Characters>
  <Application>Microsoft Office Word</Application>
  <DocSecurity>0</DocSecurity>
  <Lines>5433</Lines>
  <Paragraphs>3531</Paragraphs>
  <ScaleCrop>false</ScaleCrop>
  <HeadingPairs>
    <vt:vector size="2" baseType="variant">
      <vt:variant>
        <vt:lpstr>Title</vt:lpstr>
      </vt:variant>
      <vt:variant>
        <vt:i4>1</vt:i4>
      </vt:variant>
    </vt:vector>
  </HeadingPairs>
  <TitlesOfParts>
    <vt:vector size="1" baseType="lpstr">
      <vt:lpstr>Jetties Regulations 1940</vt:lpstr>
    </vt:vector>
  </TitlesOfParts>
  <Manager/>
  <Company/>
  <LinksUpToDate>false</LinksUpToDate>
  <CharactersWithSpaces>155393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Jetties Regulations 1940 - 08-00-01</dc:title>
  <dc:subject/>
  <dc:creator/>
  <cp:keywords/>
  <dc:description/>
  <cp:lastModifiedBy>svcMRProcess</cp:lastModifiedBy>
  <cp:revision>4</cp:revision>
  <cp:lastPrinted>2013-11-05T00:55:00Z</cp:lastPrinted>
  <dcterms:created xsi:type="dcterms:W3CDTF">2020-03-09T17:09:00Z</dcterms:created>
  <dcterms:modified xsi:type="dcterms:W3CDTF">2020-03-09T17:09:00Z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06/09/40</vt:lpwstr>
  </property>
  <property fmtid="{D5CDD505-2E9C-101B-9397-08002B2CF9AE}" pid="3" name="CommencementDate">
    <vt:lpwstr>20131011</vt:lpwstr>
  </property>
  <property fmtid="{D5CDD505-2E9C-101B-9397-08002B2CF9AE}" pid="4" name="DocumentType">
    <vt:lpwstr>Reg</vt:lpwstr>
  </property>
  <property fmtid="{D5CDD505-2E9C-101B-9397-08002B2CF9AE}" pid="5" name="OwlsUID">
    <vt:i4>8924</vt:i4>
  </property>
  <property fmtid="{D5CDD505-2E9C-101B-9397-08002B2CF9AE}" pid="6" name="AsAtDate">
    <vt:lpwstr>11 Oct 2013</vt:lpwstr>
  </property>
  <property fmtid="{D5CDD505-2E9C-101B-9397-08002B2CF9AE}" pid="7" name="Suffix">
    <vt:lpwstr>08-00-01</vt:lpwstr>
  </property>
  <property fmtid="{D5CDD505-2E9C-101B-9397-08002B2CF9AE}" pid="8" name="ReprintNo">
    <vt:lpwstr>8</vt:lpwstr>
  </property>
  <property fmtid="{D5CDD505-2E9C-101B-9397-08002B2CF9AE}" pid="9" name="ReprintedAsAt">
    <vt:filetime>2013-10-10T16:00:00Z</vt:filetime>
  </property>
</Properties>
</file>