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Liquor Control Act 1988</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_Toc371600414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_Toc371600415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Forms prescribed etc. (Sch. 1)</w:t>
      </w:r>
      <w:r>
        <w:tab/>
      </w:r>
      <w:r>
        <w:fldChar w:fldCharType="begin"/>
      </w:r>
      <w:r>
        <w:instrText xml:space="preserve"> PAGEREF _Toc371600416 \h </w:instrText>
      </w:r>
      <w:r>
        <w:fldChar w:fldCharType="separate"/>
      </w:r>
      <w:r>
        <w:t>1</w:t>
      </w:r>
      <w:r>
        <w:fldChar w:fldCharType="end"/>
      </w:r>
    </w:p>
    <w:p>
      <w:pPr>
        <w:pStyle w:val="TOC8"/>
        <w:rPr>
          <w:rFonts w:asciiTheme="minorHAnsi" w:eastAsiaTheme="minorEastAsia" w:hAnsiTheme="minorHAnsi" w:cstheme="minorBidi"/>
          <w:szCs w:val="22"/>
          <w:lang w:eastAsia="en-AU"/>
        </w:rPr>
      </w:pPr>
      <w:r>
        <w:t>3A</w:t>
      </w:r>
      <w:r>
        <w:rPr>
          <w:snapToGrid w:val="0"/>
        </w:rPr>
        <w:t>.</w:t>
      </w:r>
      <w:r>
        <w:rPr>
          <w:snapToGrid w:val="0"/>
        </w:rPr>
        <w:tab/>
        <w:t>Terms used</w:t>
      </w:r>
      <w:r>
        <w:tab/>
      </w:r>
      <w:r>
        <w:fldChar w:fldCharType="begin"/>
      </w:r>
      <w:r>
        <w:instrText xml:space="preserve"> PAGEREF _Toc371600417 \h </w:instrText>
      </w:r>
      <w:r>
        <w:fldChar w:fldCharType="separate"/>
      </w:r>
      <w:r>
        <w:t>2</w:t>
      </w:r>
      <w:r>
        <w:fldChar w:fldCharType="end"/>
      </w:r>
    </w:p>
    <w:p>
      <w:pPr>
        <w:pStyle w:val="TOC8"/>
        <w:rPr>
          <w:rFonts w:asciiTheme="minorHAnsi" w:eastAsiaTheme="minorEastAsia" w:hAnsiTheme="minorHAnsi" w:cstheme="minorBidi"/>
          <w:szCs w:val="22"/>
          <w:lang w:eastAsia="en-AU"/>
        </w:rPr>
      </w:pPr>
      <w:r>
        <w:t>3AB.</w:t>
      </w:r>
      <w:r>
        <w:tab/>
        <w:t xml:space="preserve">Kind of liquor prescribed (mist containing ethanol) (Act s. 3(1) </w:t>
      </w:r>
      <w:r>
        <w:rPr>
          <w:i/>
        </w:rPr>
        <w:t>kind</w:t>
      </w:r>
      <w:r>
        <w:t>)</w:t>
      </w:r>
      <w:r>
        <w:tab/>
      </w:r>
      <w:r>
        <w:fldChar w:fldCharType="begin"/>
      </w:r>
      <w:r>
        <w:instrText xml:space="preserve"> PAGEREF _Toc371600418 \h </w:instrText>
      </w:r>
      <w:r>
        <w:fldChar w:fldCharType="separate"/>
      </w:r>
      <w:r>
        <w:t>3</w:t>
      </w:r>
      <w:r>
        <w:fldChar w:fldCharType="end"/>
      </w:r>
    </w:p>
    <w:p>
      <w:pPr>
        <w:pStyle w:val="TOC8"/>
        <w:rPr>
          <w:rFonts w:asciiTheme="minorHAnsi" w:eastAsiaTheme="minorEastAsia" w:hAnsiTheme="minorHAnsi" w:cstheme="minorBidi"/>
          <w:szCs w:val="22"/>
          <w:lang w:eastAsia="en-AU"/>
        </w:rPr>
      </w:pPr>
      <w:r>
        <w:t>3AC.</w:t>
      </w:r>
      <w:r>
        <w:tab/>
        <w:t xml:space="preserve">Kind of liquor prescribed (aerosol containing ethanol) (Act s. 3(1) </w:t>
      </w:r>
      <w:r>
        <w:rPr>
          <w:i/>
        </w:rPr>
        <w:t>kind</w:t>
      </w:r>
      <w:r>
        <w:t>)</w:t>
      </w:r>
      <w:r>
        <w:tab/>
      </w:r>
      <w:r>
        <w:fldChar w:fldCharType="begin"/>
      </w:r>
      <w:r>
        <w:instrText xml:space="preserve"> PAGEREF _Toc371600419 \h </w:instrText>
      </w:r>
      <w:r>
        <w:fldChar w:fldCharType="separate"/>
      </w:r>
      <w:r>
        <w:t>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_Toc371600420 \h </w:instrText>
      </w:r>
      <w:r>
        <w:fldChar w:fldCharType="separate"/>
      </w:r>
      <w:r>
        <w:t>4</w:t>
      </w:r>
      <w:r>
        <w:fldChar w:fldCharType="end"/>
      </w:r>
    </w:p>
    <w:p>
      <w:pPr>
        <w:pStyle w:val="TOC8"/>
        <w:rPr>
          <w:rFonts w:asciiTheme="minorHAnsi" w:eastAsiaTheme="minorEastAsia" w:hAnsiTheme="minorHAnsi" w:cstheme="minorBidi"/>
          <w:szCs w:val="22"/>
          <w:lang w:eastAsia="en-AU"/>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_Toc371600421 \h </w:instrText>
      </w:r>
      <w:r>
        <w:fldChar w:fldCharType="separate"/>
      </w:r>
      <w:r>
        <w:t>4</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_Toc371600422 \h </w:instrText>
      </w:r>
      <w:r>
        <w:fldChar w:fldCharType="separate"/>
      </w:r>
      <w:r>
        <w:t>4</w:t>
      </w:r>
      <w:r>
        <w:fldChar w:fldCharType="end"/>
      </w:r>
    </w:p>
    <w:p>
      <w:pPr>
        <w:pStyle w:val="TOC8"/>
        <w:rPr>
          <w:rFonts w:asciiTheme="minorHAnsi" w:eastAsiaTheme="minorEastAsia" w:hAnsiTheme="minorHAnsi" w:cstheme="minorBidi"/>
          <w:szCs w:val="22"/>
          <w:lang w:eastAsia="en-AU"/>
        </w:rPr>
      </w:pPr>
      <w:r>
        <w:t>4AB.</w:t>
      </w:r>
      <w:r>
        <w:tab/>
        <w:t>Substance prescribed (mist containing ethanol) (Act s. 3(1) </w:t>
      </w:r>
      <w:r>
        <w:rPr>
          <w:i/>
        </w:rPr>
        <w:t>liquor</w:t>
      </w:r>
      <w:r>
        <w:t>)</w:t>
      </w:r>
      <w:r>
        <w:tab/>
      </w:r>
      <w:r>
        <w:fldChar w:fldCharType="begin"/>
      </w:r>
      <w:r>
        <w:instrText xml:space="preserve"> PAGEREF _Toc371600423 \h </w:instrText>
      </w:r>
      <w:r>
        <w:fldChar w:fldCharType="separate"/>
      </w:r>
      <w:r>
        <w:t>5</w:t>
      </w:r>
      <w:r>
        <w:fldChar w:fldCharType="end"/>
      </w:r>
    </w:p>
    <w:p>
      <w:pPr>
        <w:pStyle w:val="TOC8"/>
        <w:rPr>
          <w:rFonts w:asciiTheme="minorHAnsi" w:eastAsiaTheme="minorEastAsia" w:hAnsiTheme="minorHAnsi" w:cstheme="minorBidi"/>
          <w:szCs w:val="22"/>
          <w:lang w:eastAsia="en-AU"/>
        </w:rPr>
      </w:pPr>
      <w:r>
        <w:t>4AC.</w:t>
      </w:r>
      <w:r>
        <w:tab/>
        <w:t xml:space="preserve">Substance prescribed (aerosol containing ethanol) (Act s. 3(1) </w:t>
      </w:r>
      <w:r>
        <w:rPr>
          <w:i/>
        </w:rPr>
        <w:t>liquor</w:t>
      </w:r>
      <w:r>
        <w:t>)</w:t>
      </w:r>
      <w:r>
        <w:tab/>
      </w:r>
      <w:r>
        <w:fldChar w:fldCharType="begin"/>
      </w:r>
      <w:r>
        <w:instrText xml:space="preserve"> PAGEREF _Toc371600424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_Toc371600425 \h </w:instrText>
      </w:r>
      <w:r>
        <w:fldChar w:fldCharType="separate"/>
      </w:r>
      <w:r>
        <w:t>6</w:t>
      </w:r>
      <w:r>
        <w:fldChar w:fldCharType="end"/>
      </w:r>
    </w:p>
    <w:p>
      <w:pPr>
        <w:pStyle w:val="TOC8"/>
        <w:rPr>
          <w:rFonts w:asciiTheme="minorHAnsi" w:eastAsiaTheme="minorEastAsia" w:hAnsiTheme="minorHAnsi" w:cstheme="minorBidi"/>
          <w:szCs w:val="22"/>
          <w:lang w:eastAsia="en-AU"/>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_Toc371600426 \h </w:instrText>
      </w:r>
      <w:r>
        <w:fldChar w:fldCharType="separate"/>
      </w:r>
      <w:r>
        <w:t>7</w:t>
      </w:r>
      <w:r>
        <w:fldChar w:fldCharType="end"/>
      </w:r>
    </w:p>
    <w:p>
      <w:pPr>
        <w:pStyle w:val="TOC8"/>
        <w:rPr>
          <w:rFonts w:asciiTheme="minorHAnsi" w:eastAsiaTheme="minorEastAsia" w:hAnsiTheme="minorHAnsi" w:cstheme="minorBidi"/>
          <w:szCs w:val="22"/>
          <w:lang w:eastAsia="en-AU"/>
        </w:rPr>
      </w:pPr>
      <w:r>
        <w:t>5B.</w:t>
      </w:r>
      <w:r>
        <w:tab/>
        <w:t xml:space="preserve">Positions of authority in body corporate prescribed </w:t>
      </w:r>
      <w:r>
        <w:rPr>
          <w:snapToGrid w:val="0"/>
        </w:rPr>
        <w:t>(Act s.</w:t>
      </w:r>
      <w:r>
        <w:t> 3(4)(d))</w:t>
      </w:r>
      <w:r>
        <w:tab/>
      </w:r>
      <w:r>
        <w:fldChar w:fldCharType="begin"/>
      </w:r>
      <w:r>
        <w:instrText xml:space="preserve"> PAGEREF _Toc371600427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Approved courses (Act s. 6(1)(c))</w:t>
      </w:r>
      <w:r>
        <w:tab/>
      </w:r>
      <w:r>
        <w:fldChar w:fldCharType="begin"/>
      </w:r>
      <w:r>
        <w:instrText xml:space="preserve"> PAGEREF _Toc371600428 \h </w:instrText>
      </w:r>
      <w:r>
        <w:fldChar w:fldCharType="separate"/>
      </w:r>
      <w:r>
        <w:t>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Exemption from Act, certain sales etc.</w:t>
      </w:r>
      <w:r>
        <w:tab/>
      </w:r>
      <w:r>
        <w:fldChar w:fldCharType="begin"/>
      </w:r>
      <w:r>
        <w:instrText xml:space="preserve"> PAGEREF _Toc371600429 \h </w:instrText>
      </w:r>
      <w:r>
        <w:fldChar w:fldCharType="separate"/>
      </w:r>
      <w:r>
        <w:t>9</w:t>
      </w:r>
      <w:r>
        <w:fldChar w:fldCharType="end"/>
      </w:r>
    </w:p>
    <w:p>
      <w:pPr>
        <w:pStyle w:val="TOC8"/>
        <w:rPr>
          <w:rFonts w:asciiTheme="minorHAnsi" w:eastAsiaTheme="minorEastAsia" w:hAnsiTheme="minorHAnsi" w:cstheme="minorBidi"/>
          <w:szCs w:val="22"/>
          <w:lang w:eastAsia="en-AU"/>
        </w:rPr>
      </w:pPr>
      <w:r>
        <w:t>8A.</w:t>
      </w:r>
      <w:r>
        <w:tab/>
        <w:t>Exemption from Act, consumption at live entertainment venues</w:t>
      </w:r>
      <w:r>
        <w:tab/>
      </w:r>
      <w:r>
        <w:fldChar w:fldCharType="begin"/>
      </w:r>
      <w:r>
        <w:instrText xml:space="preserve"> PAGEREF _Toc371600430 \h </w:instrText>
      </w:r>
      <w:r>
        <w:fldChar w:fldCharType="separate"/>
      </w:r>
      <w:r>
        <w:t>12</w:t>
      </w:r>
      <w:r>
        <w:fldChar w:fldCharType="end"/>
      </w:r>
    </w:p>
    <w:p>
      <w:pPr>
        <w:pStyle w:val="TOC8"/>
        <w:rPr>
          <w:rFonts w:asciiTheme="minorHAnsi" w:eastAsiaTheme="minorEastAsia" w:hAnsiTheme="minorHAnsi" w:cstheme="minorBidi"/>
          <w:szCs w:val="22"/>
          <w:lang w:eastAsia="en-AU"/>
        </w:rPr>
      </w:pPr>
      <w:r>
        <w:t>8B.</w:t>
      </w:r>
      <w:r>
        <w:tab/>
        <w:t>Exemption from Act, sales etc. at certain functions</w:t>
      </w:r>
      <w:r>
        <w:tab/>
      </w:r>
      <w:r>
        <w:fldChar w:fldCharType="begin"/>
      </w:r>
      <w:r>
        <w:instrText xml:space="preserve"> PAGEREF _Toc371600431 \h </w:instrText>
      </w:r>
      <w:r>
        <w:fldChar w:fldCharType="separate"/>
      </w:r>
      <w:r>
        <w:t>18</w:t>
      </w:r>
      <w:r>
        <w:fldChar w:fldCharType="end"/>
      </w:r>
    </w:p>
    <w:p>
      <w:pPr>
        <w:pStyle w:val="TOC8"/>
        <w:rPr>
          <w:rFonts w:asciiTheme="minorHAnsi" w:eastAsiaTheme="minorEastAsia" w:hAnsiTheme="minorHAnsi" w:cstheme="minorBidi"/>
          <w:szCs w:val="22"/>
          <w:lang w:eastAsia="en-AU"/>
        </w:rPr>
      </w:pPr>
      <w:r>
        <w:t>8C.</w:t>
      </w:r>
      <w:r>
        <w:tab/>
        <w:t>Exemption from Act, complimentary supply by business</w:t>
      </w:r>
      <w:r>
        <w:tab/>
      </w:r>
      <w:r>
        <w:fldChar w:fldCharType="begin"/>
      </w:r>
      <w:r>
        <w:instrText xml:space="preserve"> PAGEREF _Toc371600432 \h </w:instrText>
      </w:r>
      <w:r>
        <w:fldChar w:fldCharType="separate"/>
      </w:r>
      <w:r>
        <w:t>19</w:t>
      </w:r>
      <w:r>
        <w:fldChar w:fldCharType="end"/>
      </w:r>
    </w:p>
    <w:p>
      <w:pPr>
        <w:pStyle w:val="TOC8"/>
        <w:rPr>
          <w:rFonts w:asciiTheme="minorHAnsi" w:eastAsiaTheme="minorEastAsia" w:hAnsiTheme="minorHAnsi" w:cstheme="minorBidi"/>
          <w:szCs w:val="22"/>
          <w:lang w:eastAsia="en-AU"/>
        </w:rPr>
      </w:pPr>
      <w:r>
        <w:t>8D.</w:t>
      </w:r>
      <w:r>
        <w:tab/>
        <w:t>Exemption from Act, sales etc. at farmers’ markets</w:t>
      </w:r>
      <w:r>
        <w:tab/>
      </w:r>
      <w:r>
        <w:fldChar w:fldCharType="begin"/>
      </w:r>
      <w:r>
        <w:instrText xml:space="preserve"> PAGEREF _Toc371600433 \h </w:instrText>
      </w:r>
      <w:r>
        <w:fldChar w:fldCharType="separate"/>
      </w:r>
      <w:r>
        <w:t>20</w:t>
      </w:r>
      <w:r>
        <w:fldChar w:fldCharType="end"/>
      </w:r>
    </w:p>
    <w:p>
      <w:pPr>
        <w:pStyle w:val="TOC8"/>
        <w:rPr>
          <w:rFonts w:asciiTheme="minorHAnsi" w:eastAsiaTheme="minorEastAsia" w:hAnsiTheme="minorHAnsi" w:cstheme="minorBidi"/>
          <w:szCs w:val="22"/>
          <w:lang w:eastAsia="en-AU"/>
        </w:rPr>
      </w:pPr>
      <w:r>
        <w:t>8E.</w:t>
      </w:r>
      <w:r>
        <w:tab/>
        <w:t>Exemption from Act, sales etc. at functions on licensed premises</w:t>
      </w:r>
      <w:r>
        <w:tab/>
      </w:r>
      <w:r>
        <w:fldChar w:fldCharType="begin"/>
      </w:r>
      <w:r>
        <w:instrText xml:space="preserve"> PAGEREF _Toc371600434 \h </w:instrText>
      </w:r>
      <w:r>
        <w:fldChar w:fldCharType="separate"/>
      </w:r>
      <w:r>
        <w:t>21</w:t>
      </w:r>
      <w:r>
        <w:fldChar w:fldCharType="end"/>
      </w:r>
    </w:p>
    <w:p>
      <w:pPr>
        <w:pStyle w:val="TOC8"/>
        <w:rPr>
          <w:rFonts w:asciiTheme="minorHAnsi" w:eastAsiaTheme="minorEastAsia" w:hAnsiTheme="minorHAnsi" w:cstheme="minorBidi"/>
          <w:szCs w:val="22"/>
          <w:lang w:eastAsia="en-AU"/>
        </w:rPr>
      </w:pPr>
      <w:r>
        <w:t>8F.</w:t>
      </w:r>
      <w:r>
        <w:tab/>
        <w:t>Exemption from Act, consumption in certain charter vehicles</w:t>
      </w:r>
      <w:r>
        <w:tab/>
      </w:r>
      <w:r>
        <w:fldChar w:fldCharType="begin"/>
      </w:r>
      <w:r>
        <w:instrText xml:space="preserve"> PAGEREF _Toc371600435 \h </w:instrText>
      </w:r>
      <w:r>
        <w:fldChar w:fldCharType="separate"/>
      </w:r>
      <w:r>
        <w:t>22</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Persons prescribed (to take etc. oaths etc.) (Act s. 18(3)(c))</w:t>
      </w:r>
      <w:r>
        <w:tab/>
      </w:r>
      <w:r>
        <w:fldChar w:fldCharType="begin"/>
      </w:r>
      <w:r>
        <w:instrText xml:space="preserve"> PAGEREF _Toc371600436 \h </w:instrText>
      </w:r>
      <w:r>
        <w:fldChar w:fldCharType="separate"/>
      </w:r>
      <w:r>
        <w:t>24</w:t>
      </w:r>
      <w:r>
        <w:fldChar w:fldCharType="end"/>
      </w:r>
    </w:p>
    <w:p>
      <w:pPr>
        <w:pStyle w:val="TOC8"/>
        <w:rPr>
          <w:rFonts w:asciiTheme="minorHAnsi" w:eastAsiaTheme="minorEastAsia" w:hAnsiTheme="minorHAnsi" w:cstheme="minorBidi"/>
          <w:szCs w:val="22"/>
          <w:lang w:eastAsia="en-AU"/>
        </w:rPr>
      </w:pPr>
      <w:r>
        <w:t>9AA.</w:t>
      </w:r>
      <w:r>
        <w:tab/>
        <w:t xml:space="preserve">Distance prescribed </w:t>
      </w:r>
      <w:r>
        <w:rPr>
          <w:snapToGrid w:val="0"/>
        </w:rPr>
        <w:t>(Act s.</w:t>
      </w:r>
      <w:r>
        <w:t> 36A(2)(b))</w:t>
      </w:r>
      <w:r>
        <w:tab/>
      </w:r>
      <w:r>
        <w:fldChar w:fldCharType="begin"/>
      </w:r>
      <w:r>
        <w:instrText xml:space="preserve"> PAGEREF _Toc371600437 \h </w:instrText>
      </w:r>
      <w:r>
        <w:fldChar w:fldCharType="separate"/>
      </w:r>
      <w:r>
        <w:t>24</w:t>
      </w:r>
      <w:r>
        <w:fldChar w:fldCharType="end"/>
      </w:r>
    </w:p>
    <w:p>
      <w:pPr>
        <w:pStyle w:val="TOC8"/>
        <w:rPr>
          <w:rFonts w:asciiTheme="minorHAnsi" w:eastAsiaTheme="minorEastAsia" w:hAnsiTheme="minorHAnsi" w:cstheme="minorBidi"/>
          <w:szCs w:val="22"/>
          <w:lang w:eastAsia="en-AU"/>
        </w:rPr>
      </w:pPr>
      <w:r>
        <w:t>9A.</w:t>
      </w:r>
      <w:r>
        <w:tab/>
      </w:r>
      <w:r>
        <w:rPr>
          <w:snapToGrid w:val="0"/>
        </w:rPr>
        <w:t>Special facility licence, purposes for which may be granted</w:t>
      </w:r>
      <w:r>
        <w:tab/>
      </w:r>
      <w:r>
        <w:fldChar w:fldCharType="begin"/>
      </w:r>
      <w:r>
        <w:instrText xml:space="preserve"> PAGEREF _Toc371600438 \h </w:instrText>
      </w:r>
      <w:r>
        <w:fldChar w:fldCharType="separate"/>
      </w:r>
      <w:r>
        <w:t>24</w:t>
      </w:r>
      <w:r>
        <w:fldChar w:fldCharType="end"/>
      </w:r>
    </w:p>
    <w:p>
      <w:pPr>
        <w:pStyle w:val="TOC8"/>
        <w:rPr>
          <w:rFonts w:asciiTheme="minorHAnsi" w:eastAsiaTheme="minorEastAsia" w:hAnsiTheme="minorHAnsi" w:cstheme="minorBidi"/>
          <w:szCs w:val="22"/>
          <w:lang w:eastAsia="en-AU"/>
        </w:rPr>
      </w:pPr>
      <w:r>
        <w:t>9AB.</w:t>
      </w:r>
      <w:r>
        <w:tab/>
        <w:t xml:space="preserve">Kind of extended trading permit prescribed </w:t>
      </w:r>
      <w:r>
        <w:rPr>
          <w:snapToGrid w:val="0"/>
        </w:rPr>
        <w:t>(Act s.</w:t>
      </w:r>
      <w:r>
        <w:t> 25(5a))</w:t>
      </w:r>
      <w:r>
        <w:tab/>
      </w:r>
      <w:r>
        <w:fldChar w:fldCharType="begin"/>
      </w:r>
      <w:r>
        <w:instrText xml:space="preserve"> PAGEREF _Toc371600439 \h </w:instrText>
      </w:r>
      <w:r>
        <w:fldChar w:fldCharType="separate"/>
      </w:r>
      <w:r>
        <w:t>31</w:t>
      </w:r>
      <w:r>
        <w:fldChar w:fldCharType="end"/>
      </w:r>
    </w:p>
    <w:p>
      <w:pPr>
        <w:pStyle w:val="TOC8"/>
        <w:rPr>
          <w:rFonts w:asciiTheme="minorHAnsi" w:eastAsiaTheme="minorEastAsia" w:hAnsiTheme="minorHAnsi" w:cstheme="minorBidi"/>
          <w:szCs w:val="22"/>
          <w:lang w:eastAsia="en-AU"/>
        </w:rPr>
      </w:pPr>
      <w:r>
        <w:t>9B</w:t>
      </w:r>
      <w:r>
        <w:rPr>
          <w:snapToGrid w:val="0"/>
        </w:rPr>
        <w:t>.</w:t>
      </w:r>
      <w:r>
        <w:rPr>
          <w:snapToGrid w:val="0"/>
        </w:rPr>
        <w:tab/>
        <w:t>Special facility licence, effect of as to sale of packaged liquor</w:t>
      </w:r>
      <w:r>
        <w:tab/>
      </w:r>
      <w:r>
        <w:fldChar w:fldCharType="begin"/>
      </w:r>
      <w:r>
        <w:instrText xml:space="preserve"> PAGEREF _Toc371600440 \h </w:instrText>
      </w:r>
      <w:r>
        <w:fldChar w:fldCharType="separate"/>
      </w:r>
      <w:r>
        <w:t>31</w:t>
      </w:r>
      <w:r>
        <w:fldChar w:fldCharType="end"/>
      </w:r>
    </w:p>
    <w:p>
      <w:pPr>
        <w:pStyle w:val="TOC8"/>
        <w:rPr>
          <w:rFonts w:asciiTheme="minorHAnsi" w:eastAsiaTheme="minorEastAsia" w:hAnsiTheme="minorHAnsi" w:cstheme="minorBidi"/>
          <w:szCs w:val="22"/>
          <w:lang w:eastAsia="en-AU"/>
        </w:rPr>
      </w:pPr>
      <w:r>
        <w:t>9C</w:t>
      </w:r>
      <w:r>
        <w:rPr>
          <w:snapToGrid w:val="0"/>
        </w:rPr>
        <w:t>.</w:t>
      </w:r>
      <w:r>
        <w:rPr>
          <w:snapToGrid w:val="0"/>
        </w:rPr>
        <w:tab/>
        <w:t>Types of special facility licence prescribed (Act s. 46(6))</w:t>
      </w:r>
      <w:r>
        <w:tab/>
      </w:r>
      <w:r>
        <w:fldChar w:fldCharType="begin"/>
      </w:r>
      <w:r>
        <w:instrText xml:space="preserve"> PAGEREF _Toc371600441 \h </w:instrText>
      </w:r>
      <w:r>
        <w:fldChar w:fldCharType="separate"/>
      </w:r>
      <w:r>
        <w:t>32</w:t>
      </w:r>
      <w:r>
        <w:fldChar w:fldCharType="end"/>
      </w:r>
    </w:p>
    <w:p>
      <w:pPr>
        <w:pStyle w:val="TOC8"/>
        <w:rPr>
          <w:rFonts w:asciiTheme="minorHAnsi" w:eastAsiaTheme="minorEastAsia" w:hAnsiTheme="minorHAnsi" w:cstheme="minorBidi"/>
          <w:szCs w:val="22"/>
          <w:lang w:eastAsia="en-AU"/>
        </w:rPr>
      </w:pPr>
      <w:r>
        <w:t>9D.</w:t>
      </w:r>
      <w:r>
        <w:tab/>
      </w:r>
      <w:r>
        <w:rPr>
          <w:snapToGrid w:val="0"/>
        </w:rPr>
        <w:t>Act s.</w:t>
      </w:r>
      <w:r>
        <w:t> 33(6b) modified as to occasional licences</w:t>
      </w:r>
      <w:r>
        <w:tab/>
      </w:r>
      <w:r>
        <w:fldChar w:fldCharType="begin"/>
      </w:r>
      <w:r>
        <w:instrText xml:space="preserve"> PAGEREF _Toc371600442 \h </w:instrText>
      </w:r>
      <w:r>
        <w:fldChar w:fldCharType="separate"/>
      </w:r>
      <w:r>
        <w:t>32</w:t>
      </w:r>
      <w:r>
        <w:fldChar w:fldCharType="end"/>
      </w:r>
    </w:p>
    <w:p>
      <w:pPr>
        <w:pStyle w:val="TOC8"/>
        <w:rPr>
          <w:rFonts w:asciiTheme="minorHAnsi" w:eastAsiaTheme="minorEastAsia" w:hAnsiTheme="minorHAnsi" w:cstheme="minorBidi"/>
          <w:szCs w:val="22"/>
          <w:lang w:eastAsia="en-AU"/>
        </w:rPr>
      </w:pPr>
      <w:r>
        <w:t>9E.</w:t>
      </w:r>
      <w:r>
        <w:tab/>
        <w:t>Period prescribed (Act s. 33(6D)(b))</w:t>
      </w:r>
      <w:r>
        <w:tab/>
      </w:r>
      <w:r>
        <w:fldChar w:fldCharType="begin"/>
      </w:r>
      <w:r>
        <w:instrText xml:space="preserve"> PAGEREF _Toc371600443 \h </w:instrText>
      </w:r>
      <w:r>
        <w:fldChar w:fldCharType="separate"/>
      </w:r>
      <w:r>
        <w:t>33</w:t>
      </w:r>
      <w:r>
        <w:fldChar w:fldCharType="end"/>
      </w:r>
    </w:p>
    <w:p>
      <w:pPr>
        <w:pStyle w:val="TOC8"/>
        <w:rPr>
          <w:rFonts w:asciiTheme="minorHAnsi" w:eastAsiaTheme="minorEastAsia" w:hAnsiTheme="minorHAnsi" w:cstheme="minorBidi"/>
          <w:szCs w:val="22"/>
          <w:lang w:eastAsia="en-AU"/>
        </w:rPr>
      </w:pPr>
      <w:r>
        <w:t>9F.</w:t>
      </w:r>
      <w:r>
        <w:tab/>
        <w:t>Kinds of permit prescribed (Act s. 38(1)(b))</w:t>
      </w:r>
      <w:r>
        <w:tab/>
      </w:r>
      <w:r>
        <w:fldChar w:fldCharType="begin"/>
      </w:r>
      <w:r>
        <w:instrText xml:space="preserve"> PAGEREF _Toc371600444 \h </w:instrText>
      </w:r>
      <w:r>
        <w:fldChar w:fldCharType="separate"/>
      </w:r>
      <w:r>
        <w:t>33</w:t>
      </w:r>
      <w:r>
        <w:fldChar w:fldCharType="end"/>
      </w:r>
    </w:p>
    <w:p>
      <w:pPr>
        <w:pStyle w:val="TOC8"/>
        <w:rPr>
          <w:rFonts w:asciiTheme="minorHAnsi" w:eastAsiaTheme="minorEastAsia" w:hAnsiTheme="minorHAnsi" w:cstheme="minorBidi"/>
          <w:szCs w:val="22"/>
          <w:lang w:eastAsia="en-AU"/>
        </w:rPr>
      </w:pPr>
      <w:r>
        <w:t>9G.</w:t>
      </w:r>
      <w:r>
        <w:tab/>
        <w:t xml:space="preserve">Reciprocal arrangements for club membership, requirements for </w:t>
      </w:r>
      <w:r>
        <w:rPr>
          <w:snapToGrid w:val="0"/>
        </w:rPr>
        <w:t>(Act s.</w:t>
      </w:r>
      <w:r>
        <w:t> 49(3)(c)(iv))</w:t>
      </w:r>
      <w:r>
        <w:tab/>
      </w:r>
      <w:r>
        <w:fldChar w:fldCharType="begin"/>
      </w:r>
      <w:r>
        <w:instrText xml:space="preserve"> PAGEREF _Toc371600445 \h </w:instrText>
      </w:r>
      <w:r>
        <w:fldChar w:fldCharType="separate"/>
      </w:r>
      <w:r>
        <w:t>34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Requirements prescribed (Act s. </w:t>
      </w:r>
      <w:r>
        <w:t>57(2)(d)</w:t>
      </w:r>
      <w:r>
        <w:rPr>
          <w:snapToGrid w:val="0"/>
        </w:rPr>
        <w:t>)</w:t>
      </w:r>
      <w:r>
        <w:tab/>
      </w:r>
      <w:r>
        <w:fldChar w:fldCharType="begin"/>
      </w:r>
      <w:r>
        <w:instrText xml:space="preserve"> PAGEREF _Toc371600446 \h </w:instrText>
      </w:r>
      <w:r>
        <w:fldChar w:fldCharType="separate"/>
      </w:r>
      <w:r>
        <w:t>34</w:t>
      </w:r>
      <w:r>
        <w:fldChar w:fldCharType="end"/>
      </w:r>
    </w:p>
    <w:p>
      <w:pPr>
        <w:pStyle w:val="TOC8"/>
        <w:rPr>
          <w:rFonts w:asciiTheme="minorHAnsi" w:eastAsiaTheme="minorEastAsia" w:hAnsiTheme="minorHAnsi" w:cstheme="minorBidi"/>
          <w:szCs w:val="22"/>
          <w:lang w:eastAsia="en-AU"/>
        </w:rPr>
      </w:pPr>
      <w:r>
        <w:t>10A</w:t>
      </w:r>
      <w:r>
        <w:rPr>
          <w:snapToGrid w:val="0"/>
        </w:rPr>
        <w:t>.</w:t>
      </w:r>
      <w:r>
        <w:rPr>
          <w:snapToGrid w:val="0"/>
        </w:rPr>
        <w:tab/>
        <w:t>Condition prescribed (Act s. 55(2))</w:t>
      </w:r>
      <w:r>
        <w:tab/>
      </w:r>
      <w:r>
        <w:fldChar w:fldCharType="begin"/>
      </w:r>
      <w:r>
        <w:instrText xml:space="preserve"> PAGEREF _Toc371600447 \h </w:instrText>
      </w:r>
      <w:r>
        <w:fldChar w:fldCharType="separate"/>
      </w:r>
      <w:r>
        <w:t>35</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Plans and specifications, requirements for (Act s. 66(4) and (5))</w:t>
      </w:r>
      <w:r>
        <w:tab/>
      </w:r>
      <w:r>
        <w:fldChar w:fldCharType="begin"/>
      </w:r>
      <w:r>
        <w:instrText xml:space="preserve"> PAGEREF _Toc371600448 \h </w:instrText>
      </w:r>
      <w:r>
        <w:fldChar w:fldCharType="separate"/>
      </w:r>
      <w:r>
        <w:t>35</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Records as to applicant, requirements for (Act s. 68(1)(b))</w:t>
      </w:r>
      <w:r>
        <w:tab/>
      </w:r>
      <w:r>
        <w:fldChar w:fldCharType="begin"/>
      </w:r>
      <w:r>
        <w:instrText xml:space="preserve"> PAGEREF _Toc371600449 \h </w:instrText>
      </w:r>
      <w:r>
        <w:fldChar w:fldCharType="separate"/>
      </w:r>
      <w:r>
        <w:t>37</w:t>
      </w:r>
      <w:r>
        <w:fldChar w:fldCharType="end"/>
      </w:r>
    </w:p>
    <w:p>
      <w:pPr>
        <w:pStyle w:val="TOC8"/>
        <w:rPr>
          <w:rFonts w:asciiTheme="minorHAnsi" w:eastAsiaTheme="minorEastAsia" w:hAnsiTheme="minorHAnsi" w:cstheme="minorBidi"/>
          <w:szCs w:val="22"/>
          <w:lang w:eastAsia="en-AU"/>
        </w:rPr>
      </w:pPr>
      <w:r>
        <w:t>14A.</w:t>
      </w:r>
      <w:r>
        <w:tab/>
        <w:t xml:space="preserve">Types etc. of premises prescribed </w:t>
      </w:r>
      <w:r>
        <w:rPr>
          <w:snapToGrid w:val="0"/>
        </w:rPr>
        <w:t>(Act s. 77(5a)(b))</w:t>
      </w:r>
      <w:r>
        <w:tab/>
      </w:r>
      <w:r>
        <w:fldChar w:fldCharType="begin"/>
      </w:r>
      <w:r>
        <w:instrText xml:space="preserve"> PAGEREF _Toc371600450 \h </w:instrText>
      </w:r>
      <w:r>
        <w:fldChar w:fldCharType="separate"/>
      </w:r>
      <w:r>
        <w:t>38</w:t>
      </w:r>
      <w:r>
        <w:fldChar w:fldCharType="end"/>
      </w:r>
    </w:p>
    <w:p>
      <w:pPr>
        <w:pStyle w:val="TOC8"/>
        <w:rPr>
          <w:rFonts w:asciiTheme="minorHAnsi" w:eastAsiaTheme="minorEastAsia" w:hAnsiTheme="minorHAnsi" w:cstheme="minorBidi"/>
          <w:szCs w:val="22"/>
          <w:lang w:eastAsia="en-AU"/>
        </w:rPr>
      </w:pPr>
      <w:r>
        <w:t>14AB.</w:t>
      </w:r>
      <w:r>
        <w:tab/>
        <w:t xml:space="preserve">Requirement for lodgment of application prescribed </w:t>
      </w:r>
      <w:r>
        <w:rPr>
          <w:snapToGrid w:val="0"/>
        </w:rPr>
        <w:t>(Act s. </w:t>
      </w:r>
      <w:r>
        <w:t>75(1)(b))</w:t>
      </w:r>
      <w:r>
        <w:tab/>
      </w:r>
      <w:r>
        <w:fldChar w:fldCharType="begin"/>
      </w:r>
      <w:r>
        <w:instrText xml:space="preserve"> PAGEREF _Toc371600451 \h </w:instrText>
      </w:r>
      <w:r>
        <w:fldChar w:fldCharType="separate"/>
      </w:r>
      <w:r>
        <w:t>38</w:t>
      </w:r>
      <w:r>
        <w:fldChar w:fldCharType="end"/>
      </w:r>
    </w:p>
    <w:p>
      <w:pPr>
        <w:pStyle w:val="TOC8"/>
        <w:rPr>
          <w:rFonts w:asciiTheme="minorHAnsi" w:eastAsiaTheme="minorEastAsia" w:hAnsiTheme="minorHAnsi" w:cstheme="minorBidi"/>
          <w:szCs w:val="22"/>
          <w:lang w:eastAsia="en-AU"/>
        </w:rPr>
      </w:pPr>
      <w:r>
        <w:t>14AC.</w:t>
      </w:r>
      <w:r>
        <w:tab/>
        <w:t xml:space="preserve">Requirement for lodgment of application prescribed </w:t>
      </w:r>
      <w:r>
        <w:rPr>
          <w:snapToGrid w:val="0"/>
        </w:rPr>
        <w:t>(Act s. </w:t>
      </w:r>
      <w:r>
        <w:t>76(1)(b))</w:t>
      </w:r>
      <w:r>
        <w:tab/>
      </w:r>
      <w:r>
        <w:fldChar w:fldCharType="begin"/>
      </w:r>
      <w:r>
        <w:instrText xml:space="preserve"> PAGEREF _Toc371600452 \h </w:instrText>
      </w:r>
      <w:r>
        <w:fldChar w:fldCharType="separate"/>
      </w:r>
      <w:r>
        <w:t>39</w:t>
      </w:r>
      <w:r>
        <w:fldChar w:fldCharType="end"/>
      </w:r>
    </w:p>
    <w:p>
      <w:pPr>
        <w:pStyle w:val="TOC8"/>
        <w:rPr>
          <w:rFonts w:asciiTheme="minorHAnsi" w:eastAsiaTheme="minorEastAsia" w:hAnsiTheme="minorHAnsi" w:cstheme="minorBidi"/>
          <w:szCs w:val="22"/>
          <w:lang w:eastAsia="en-AU"/>
        </w:rPr>
      </w:pPr>
      <w:r>
        <w:t>14ADA.</w:t>
      </w:r>
      <w:r>
        <w:tab/>
        <w:t>Manager’s approval, application for (Act s. 102B)</w:t>
      </w:r>
      <w:r>
        <w:tab/>
      </w:r>
      <w:r>
        <w:fldChar w:fldCharType="begin"/>
      </w:r>
      <w:r>
        <w:instrText xml:space="preserve"> PAGEREF _Toc371600453 \h </w:instrText>
      </w:r>
      <w:r>
        <w:fldChar w:fldCharType="separate"/>
      </w:r>
      <w:r>
        <w:t>39</w:t>
      </w:r>
      <w:r>
        <w:fldChar w:fldCharType="end"/>
      </w:r>
    </w:p>
    <w:p>
      <w:pPr>
        <w:pStyle w:val="TOC8"/>
        <w:rPr>
          <w:rFonts w:asciiTheme="minorHAnsi" w:eastAsiaTheme="minorEastAsia" w:hAnsiTheme="minorHAnsi" w:cstheme="minorBidi"/>
          <w:szCs w:val="22"/>
          <w:lang w:eastAsia="en-AU"/>
        </w:rPr>
      </w:pPr>
      <w:r>
        <w:t>14ADB.</w:t>
      </w:r>
      <w:r>
        <w:tab/>
        <w:t>Manager’s approval, conditions on (Act s. 102C)</w:t>
      </w:r>
      <w:r>
        <w:tab/>
      </w:r>
      <w:r>
        <w:fldChar w:fldCharType="begin"/>
      </w:r>
      <w:r>
        <w:instrText xml:space="preserve"> PAGEREF _Toc371600454 \h </w:instrText>
      </w:r>
      <w:r>
        <w:fldChar w:fldCharType="separate"/>
      </w:r>
      <w:r>
        <w:t>40</w:t>
      </w:r>
      <w:r>
        <w:fldChar w:fldCharType="end"/>
      </w:r>
    </w:p>
    <w:p>
      <w:pPr>
        <w:pStyle w:val="TOC8"/>
        <w:rPr>
          <w:rFonts w:asciiTheme="minorHAnsi" w:eastAsiaTheme="minorEastAsia" w:hAnsiTheme="minorHAnsi" w:cstheme="minorBidi"/>
          <w:szCs w:val="22"/>
          <w:lang w:eastAsia="en-AU"/>
        </w:rPr>
      </w:pPr>
      <w:r>
        <w:t>14ADC.</w:t>
      </w:r>
      <w:r>
        <w:tab/>
        <w:t>Manager’s approval, duration of (Act s. 102D)</w:t>
      </w:r>
      <w:r>
        <w:tab/>
      </w:r>
      <w:r>
        <w:fldChar w:fldCharType="begin"/>
      </w:r>
      <w:r>
        <w:instrText xml:space="preserve"> PAGEREF _Toc371600455 \h </w:instrText>
      </w:r>
      <w:r>
        <w:fldChar w:fldCharType="separate"/>
      </w:r>
      <w:r>
        <w:t>41</w:t>
      </w:r>
      <w:r>
        <w:fldChar w:fldCharType="end"/>
      </w:r>
    </w:p>
    <w:p>
      <w:pPr>
        <w:pStyle w:val="TOC8"/>
        <w:rPr>
          <w:rFonts w:asciiTheme="minorHAnsi" w:eastAsiaTheme="minorEastAsia" w:hAnsiTheme="minorHAnsi" w:cstheme="minorBidi"/>
          <w:szCs w:val="22"/>
          <w:lang w:eastAsia="en-AU"/>
        </w:rPr>
      </w:pPr>
      <w:r>
        <w:t>14ADD.</w:t>
      </w:r>
      <w:r>
        <w:tab/>
        <w:t>Manager’s approval, renewal of (Act s. 102E)</w:t>
      </w:r>
      <w:r>
        <w:tab/>
      </w:r>
      <w:r>
        <w:fldChar w:fldCharType="begin"/>
      </w:r>
      <w:r>
        <w:instrText xml:space="preserve"> PAGEREF _Toc371600456 \h </w:instrText>
      </w:r>
      <w:r>
        <w:fldChar w:fldCharType="separate"/>
      </w:r>
      <w:r>
        <w:t>41</w:t>
      </w:r>
      <w:r>
        <w:fldChar w:fldCharType="end"/>
      </w:r>
    </w:p>
    <w:p>
      <w:pPr>
        <w:pStyle w:val="TOC8"/>
        <w:rPr>
          <w:rFonts w:asciiTheme="minorHAnsi" w:eastAsiaTheme="minorEastAsia" w:hAnsiTheme="minorHAnsi" w:cstheme="minorBidi"/>
          <w:szCs w:val="22"/>
          <w:lang w:eastAsia="en-AU"/>
        </w:rPr>
      </w:pPr>
      <w:r>
        <w:t>14ADE.</w:t>
      </w:r>
      <w:r>
        <w:tab/>
        <w:t>Approved manager, identification card for</w:t>
      </w:r>
      <w:r>
        <w:tab/>
      </w:r>
      <w:r>
        <w:fldChar w:fldCharType="begin"/>
      </w:r>
      <w:r>
        <w:instrText xml:space="preserve"> PAGEREF _Toc371600457 \h </w:instrText>
      </w:r>
      <w:r>
        <w:fldChar w:fldCharType="separate"/>
      </w:r>
      <w:r>
        <w:t>42</w:t>
      </w:r>
      <w:r>
        <w:fldChar w:fldCharType="end"/>
      </w:r>
    </w:p>
    <w:p>
      <w:pPr>
        <w:pStyle w:val="TOC8"/>
        <w:rPr>
          <w:rFonts w:asciiTheme="minorHAnsi" w:eastAsiaTheme="minorEastAsia" w:hAnsiTheme="minorHAnsi" w:cstheme="minorBidi"/>
          <w:szCs w:val="22"/>
          <w:lang w:eastAsia="en-AU"/>
        </w:rPr>
      </w:pPr>
      <w:r>
        <w:t>14ADF.</w:t>
      </w:r>
      <w:r>
        <w:tab/>
        <w:t>Lost etc. identification card, replacement of</w:t>
      </w:r>
      <w:r>
        <w:tab/>
      </w:r>
      <w:r>
        <w:fldChar w:fldCharType="begin"/>
      </w:r>
      <w:r>
        <w:instrText xml:space="preserve"> PAGEREF _Toc371600458 \h </w:instrText>
      </w:r>
      <w:r>
        <w:fldChar w:fldCharType="separate"/>
      </w:r>
      <w:r>
        <w:t>43</w:t>
      </w:r>
      <w:r>
        <w:fldChar w:fldCharType="end"/>
      </w:r>
    </w:p>
    <w:p>
      <w:pPr>
        <w:pStyle w:val="TOC8"/>
        <w:rPr>
          <w:rFonts w:asciiTheme="minorHAnsi" w:eastAsiaTheme="minorEastAsia" w:hAnsiTheme="minorHAnsi" w:cstheme="minorBidi"/>
          <w:szCs w:val="22"/>
          <w:lang w:eastAsia="en-AU"/>
        </w:rPr>
      </w:pPr>
      <w:r>
        <w:t>14ADG.</w:t>
      </w:r>
      <w:r>
        <w:tab/>
        <w:t>Transitioned approvals (Act Sch. 1B)</w:t>
      </w:r>
      <w:r>
        <w:tab/>
      </w:r>
      <w:r>
        <w:fldChar w:fldCharType="begin"/>
      </w:r>
      <w:r>
        <w:instrText xml:space="preserve"> PAGEREF _Toc371600459 \h </w:instrText>
      </w:r>
      <w:r>
        <w:fldChar w:fldCharType="separate"/>
      </w:r>
      <w:r>
        <w:t>43</w:t>
      </w:r>
      <w:r>
        <w:fldChar w:fldCharType="end"/>
      </w:r>
    </w:p>
    <w:p>
      <w:pPr>
        <w:pStyle w:val="TOC8"/>
        <w:rPr>
          <w:rFonts w:asciiTheme="minorHAnsi" w:eastAsiaTheme="minorEastAsia" w:hAnsiTheme="minorHAnsi" w:cstheme="minorBidi"/>
          <w:szCs w:val="22"/>
          <w:lang w:eastAsia="en-AU"/>
        </w:rPr>
      </w:pPr>
      <w:r>
        <w:t>14AD.</w:t>
      </w:r>
      <w:r>
        <w:tab/>
        <w:t xml:space="preserve">Responsible practices in selling etc. liquor, courses on required </w:t>
      </w:r>
      <w:r>
        <w:rPr>
          <w:snapToGrid w:val="0"/>
        </w:rPr>
        <w:t>(Act s. </w:t>
      </w:r>
      <w:r>
        <w:t>103A(1)(a))</w:t>
      </w:r>
      <w:r>
        <w:tab/>
      </w:r>
      <w:r>
        <w:fldChar w:fldCharType="begin"/>
      </w:r>
      <w:r>
        <w:instrText xml:space="preserve"> PAGEREF _Toc371600460 \h </w:instrText>
      </w:r>
      <w:r>
        <w:fldChar w:fldCharType="separate"/>
      </w:r>
      <w:r>
        <w:t>44</w:t>
      </w:r>
      <w:r>
        <w:fldChar w:fldCharType="end"/>
      </w:r>
    </w:p>
    <w:p>
      <w:pPr>
        <w:pStyle w:val="TOC8"/>
        <w:rPr>
          <w:rFonts w:asciiTheme="minorHAnsi" w:eastAsiaTheme="minorEastAsia" w:hAnsiTheme="minorHAnsi" w:cstheme="minorBidi"/>
          <w:szCs w:val="22"/>
          <w:lang w:eastAsia="en-AU"/>
        </w:rPr>
      </w:pPr>
      <w:r>
        <w:t>14AE.</w:t>
      </w:r>
      <w:r>
        <w:tab/>
        <w:t>Offences for r. 14AD</w:t>
      </w:r>
      <w:r>
        <w:tab/>
      </w:r>
      <w:r>
        <w:fldChar w:fldCharType="begin"/>
      </w:r>
      <w:r>
        <w:instrText xml:space="preserve"> PAGEREF _Toc371600461 \h </w:instrText>
      </w:r>
      <w:r>
        <w:fldChar w:fldCharType="separate"/>
      </w:r>
      <w:r>
        <w:t>45</w:t>
      </w:r>
      <w:r>
        <w:fldChar w:fldCharType="end"/>
      </w:r>
    </w:p>
    <w:p>
      <w:pPr>
        <w:pStyle w:val="TOC8"/>
        <w:rPr>
          <w:rFonts w:asciiTheme="minorHAnsi" w:eastAsiaTheme="minorEastAsia" w:hAnsiTheme="minorHAnsi" w:cstheme="minorBidi"/>
          <w:szCs w:val="22"/>
          <w:lang w:eastAsia="en-AU"/>
        </w:rPr>
      </w:pPr>
      <w:r>
        <w:t>14AF.</w:t>
      </w:r>
      <w:r>
        <w:tab/>
        <w:t>Transitional provisions for r. 14AD</w:t>
      </w:r>
      <w:r>
        <w:tab/>
      </w:r>
      <w:r>
        <w:fldChar w:fldCharType="begin"/>
      </w:r>
      <w:r>
        <w:instrText xml:space="preserve"> PAGEREF _Toc371600462 \h </w:instrText>
      </w:r>
      <w:r>
        <w:fldChar w:fldCharType="separate"/>
      </w:r>
      <w:r>
        <w:t>46</w:t>
      </w:r>
      <w:r>
        <w:fldChar w:fldCharType="end"/>
      </w:r>
    </w:p>
    <w:p>
      <w:pPr>
        <w:pStyle w:val="TOC8"/>
        <w:rPr>
          <w:rFonts w:asciiTheme="minorHAnsi" w:eastAsiaTheme="minorEastAsia" w:hAnsiTheme="minorHAnsi" w:cstheme="minorBidi"/>
          <w:szCs w:val="22"/>
          <w:lang w:eastAsia="en-AU"/>
        </w:rPr>
      </w:pPr>
      <w:r>
        <w:t>14AG.</w:t>
      </w:r>
      <w:r>
        <w:tab/>
        <w:t>Licensee to maintain register </w:t>
      </w:r>
      <w:r>
        <w:rPr>
          <w:snapToGrid w:val="0"/>
        </w:rPr>
        <w:t>(Act s. </w:t>
      </w:r>
      <w:r>
        <w:t>103A(1)(b))</w:t>
      </w:r>
      <w:r>
        <w:tab/>
      </w:r>
      <w:r>
        <w:fldChar w:fldCharType="begin"/>
      </w:r>
      <w:r>
        <w:instrText xml:space="preserve"> PAGEREF _Toc371600463 \h </w:instrText>
      </w:r>
      <w:r>
        <w:fldChar w:fldCharType="separate"/>
      </w:r>
      <w:r>
        <w:t>46</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Amount of liability prescribed (Act s. 107)</w:t>
      </w:r>
      <w:r>
        <w:tab/>
      </w:r>
      <w:r>
        <w:fldChar w:fldCharType="begin"/>
      </w:r>
      <w:r>
        <w:instrText xml:space="preserve"> PAGEREF _Toc371600464 \h </w:instrText>
      </w:r>
      <w:r>
        <w:fldChar w:fldCharType="separate"/>
      </w:r>
      <w:r>
        <w:t>47</w:t>
      </w:r>
      <w:r>
        <w:fldChar w:fldCharType="end"/>
      </w:r>
    </w:p>
    <w:p>
      <w:pPr>
        <w:pStyle w:val="TOC8"/>
        <w:rPr>
          <w:rFonts w:asciiTheme="minorHAnsi" w:eastAsiaTheme="minorEastAsia" w:hAnsiTheme="minorHAnsi" w:cstheme="minorBidi"/>
          <w:szCs w:val="22"/>
          <w:lang w:eastAsia="en-AU"/>
        </w:rPr>
      </w:pPr>
      <w:r>
        <w:t>17A.</w:t>
      </w:r>
      <w:r>
        <w:tab/>
        <w:t xml:space="preserve">Sports arenas prescribed (Act s. 110(4B) </w:t>
      </w:r>
      <w:r>
        <w:rPr>
          <w:i/>
        </w:rPr>
        <w:t>sports arena</w:t>
      </w:r>
      <w:r>
        <w:t>)</w:t>
      </w:r>
      <w:r>
        <w:tab/>
      </w:r>
      <w:r>
        <w:fldChar w:fldCharType="begin"/>
      </w:r>
      <w:r>
        <w:instrText xml:space="preserve"> PAGEREF _Toc371600465 \h </w:instrText>
      </w:r>
      <w:r>
        <w:fldChar w:fldCharType="separate"/>
      </w:r>
      <w:r>
        <w:t>47</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Out of bounds area, notice for (Act s. 121(6))</w:t>
      </w:r>
      <w:r>
        <w:tab/>
      </w:r>
      <w:r>
        <w:fldChar w:fldCharType="begin"/>
      </w:r>
      <w:r>
        <w:instrText xml:space="preserve"> PAGEREF _Toc371600466 \h </w:instrText>
      </w:r>
      <w:r>
        <w:fldChar w:fldCharType="separate"/>
      </w:r>
      <w:r>
        <w:t>48</w:t>
      </w:r>
      <w:r>
        <w:fldChar w:fldCharType="end"/>
      </w:r>
    </w:p>
    <w:p>
      <w:pPr>
        <w:pStyle w:val="TOC8"/>
        <w:rPr>
          <w:rFonts w:asciiTheme="minorHAnsi" w:eastAsiaTheme="minorEastAsia" w:hAnsiTheme="minorHAnsi" w:cstheme="minorBidi"/>
          <w:szCs w:val="22"/>
          <w:lang w:eastAsia="en-AU"/>
        </w:rPr>
      </w:pPr>
      <w:r>
        <w:t>18.</w:t>
      </w:r>
      <w:r>
        <w:tab/>
        <w:t>Premises prescribed to be regulated premises (Act s. 122(1)(f))</w:t>
      </w:r>
      <w:r>
        <w:tab/>
      </w:r>
      <w:r>
        <w:fldChar w:fldCharType="begin"/>
      </w:r>
      <w:r>
        <w:instrText xml:space="preserve"> PAGEREF _Toc371600467 \h </w:instrText>
      </w:r>
      <w:r>
        <w:fldChar w:fldCharType="separate"/>
      </w:r>
      <w:r>
        <w:t>48</w:t>
      </w:r>
      <w:r>
        <w:fldChar w:fldCharType="end"/>
      </w:r>
    </w:p>
    <w:p>
      <w:pPr>
        <w:pStyle w:val="TOC8"/>
        <w:rPr>
          <w:rFonts w:asciiTheme="minorHAnsi" w:eastAsiaTheme="minorEastAsia" w:hAnsiTheme="minorHAnsi" w:cstheme="minorBidi"/>
          <w:szCs w:val="22"/>
          <w:lang w:eastAsia="en-AU"/>
        </w:rPr>
      </w:pPr>
      <w:r>
        <w:t>18A</w:t>
      </w:r>
      <w:r>
        <w:rPr>
          <w:snapToGrid w:val="0"/>
        </w:rPr>
        <w:t>.</w:t>
      </w:r>
      <w:r>
        <w:rPr>
          <w:snapToGrid w:val="0"/>
        </w:rPr>
        <w:tab/>
        <w:t>Documents prescribed as evidence of age etc. (Act s. 126(1)(b)(i)(III) and s. 160(1))</w:t>
      </w:r>
      <w:r>
        <w:tab/>
      </w:r>
      <w:r>
        <w:fldChar w:fldCharType="begin"/>
      </w:r>
      <w:r>
        <w:instrText xml:space="preserve"> PAGEREF _Toc371600468 \h </w:instrText>
      </w:r>
      <w:r>
        <w:fldChar w:fldCharType="separate"/>
      </w:r>
      <w:r>
        <w:t>49</w:t>
      </w:r>
      <w:r>
        <w:fldChar w:fldCharType="end"/>
      </w:r>
    </w:p>
    <w:p>
      <w:pPr>
        <w:pStyle w:val="TOC8"/>
        <w:rPr>
          <w:rFonts w:asciiTheme="minorHAnsi" w:eastAsiaTheme="minorEastAsia" w:hAnsiTheme="minorHAnsi" w:cstheme="minorBidi"/>
          <w:szCs w:val="22"/>
          <w:lang w:eastAsia="en-AU"/>
        </w:rPr>
      </w:pPr>
      <w:r>
        <w:t>18B</w:t>
      </w:r>
      <w:r>
        <w:rPr>
          <w:snapToGrid w:val="0"/>
        </w:rPr>
        <w:t>.</w:t>
      </w:r>
      <w:r>
        <w:rPr>
          <w:snapToGrid w:val="0"/>
        </w:rPr>
        <w:tab/>
        <w:t>Proof of age card, issue of etc.</w:t>
      </w:r>
      <w:r>
        <w:tab/>
      </w:r>
      <w:r>
        <w:fldChar w:fldCharType="begin"/>
      </w:r>
      <w:r>
        <w:instrText xml:space="preserve"> PAGEREF _Toc371600469 \h </w:instrText>
      </w:r>
      <w:r>
        <w:fldChar w:fldCharType="separate"/>
      </w:r>
      <w:r>
        <w:t>50</w:t>
      </w:r>
      <w:r>
        <w:fldChar w:fldCharType="end"/>
      </w:r>
    </w:p>
    <w:p>
      <w:pPr>
        <w:pStyle w:val="TOC8"/>
        <w:rPr>
          <w:rFonts w:asciiTheme="minorHAnsi" w:eastAsiaTheme="minorEastAsia" w:hAnsiTheme="minorHAnsi" w:cstheme="minorBidi"/>
          <w:szCs w:val="22"/>
          <w:lang w:eastAsia="en-AU"/>
        </w:rPr>
      </w:pPr>
      <w:r>
        <w:t>18C</w:t>
      </w:r>
      <w:r>
        <w:rPr>
          <w:snapToGrid w:val="0"/>
        </w:rPr>
        <w:t>.</w:t>
      </w:r>
      <w:r>
        <w:rPr>
          <w:snapToGrid w:val="0"/>
        </w:rPr>
        <w:tab/>
        <w:t>Proof of age card, form etc. of (r. 18B)</w:t>
      </w:r>
      <w:r>
        <w:tab/>
      </w:r>
      <w:r>
        <w:fldChar w:fldCharType="begin"/>
      </w:r>
      <w:r>
        <w:instrText xml:space="preserve"> PAGEREF _Toc371600470 \h </w:instrText>
      </w:r>
      <w:r>
        <w:fldChar w:fldCharType="separate"/>
      </w:r>
      <w:r>
        <w:t>51</w:t>
      </w:r>
      <w:r>
        <w:fldChar w:fldCharType="end"/>
      </w:r>
    </w:p>
    <w:p>
      <w:pPr>
        <w:pStyle w:val="TOC8"/>
        <w:rPr>
          <w:rFonts w:asciiTheme="minorHAnsi" w:eastAsiaTheme="minorEastAsia" w:hAnsiTheme="minorHAnsi" w:cstheme="minorBidi"/>
          <w:szCs w:val="22"/>
          <w:lang w:eastAsia="en-AU"/>
        </w:rPr>
      </w:pPr>
      <w:r>
        <w:t>18D</w:t>
      </w:r>
      <w:r>
        <w:rPr>
          <w:snapToGrid w:val="0"/>
        </w:rPr>
        <w:t>.</w:t>
      </w:r>
      <w:r>
        <w:rPr>
          <w:snapToGrid w:val="0"/>
        </w:rPr>
        <w:tab/>
        <w:t>Lost etc. proof of age card, replacement of</w:t>
      </w:r>
      <w:r>
        <w:tab/>
      </w:r>
      <w:r>
        <w:fldChar w:fldCharType="begin"/>
      </w:r>
      <w:r>
        <w:instrText xml:space="preserve"> PAGEREF _Toc371600471 \h </w:instrText>
      </w:r>
      <w:r>
        <w:fldChar w:fldCharType="separate"/>
      </w:r>
      <w:r>
        <w:t>51</w:t>
      </w:r>
      <w:r>
        <w:fldChar w:fldCharType="end"/>
      </w:r>
    </w:p>
    <w:p>
      <w:pPr>
        <w:pStyle w:val="TOC8"/>
        <w:rPr>
          <w:rFonts w:asciiTheme="minorHAnsi" w:eastAsiaTheme="minorEastAsia" w:hAnsiTheme="minorHAnsi" w:cstheme="minorBidi"/>
          <w:szCs w:val="22"/>
          <w:lang w:eastAsia="en-AU"/>
        </w:rPr>
      </w:pPr>
      <w:r>
        <w:t>18E</w:t>
      </w:r>
      <w:r>
        <w:rPr>
          <w:snapToGrid w:val="0"/>
        </w:rPr>
        <w:t>.</w:t>
      </w:r>
      <w:r>
        <w:rPr>
          <w:snapToGrid w:val="0"/>
        </w:rPr>
        <w:tab/>
        <w:t>Agreement or arrangement prescribed (Act s. 104(2))</w:t>
      </w:r>
      <w:r>
        <w:tab/>
      </w:r>
      <w:r>
        <w:fldChar w:fldCharType="begin"/>
      </w:r>
      <w:r>
        <w:instrText xml:space="preserve"> PAGEREF _Toc371600472 \h </w:instrText>
      </w:r>
      <w:r>
        <w:fldChar w:fldCharType="separate"/>
      </w:r>
      <w:r>
        <w:t>51</w:t>
      </w:r>
      <w:r>
        <w:fldChar w:fldCharType="end"/>
      </w:r>
    </w:p>
    <w:p>
      <w:pPr>
        <w:pStyle w:val="TOC8"/>
        <w:rPr>
          <w:rFonts w:asciiTheme="minorHAnsi" w:eastAsiaTheme="minorEastAsia" w:hAnsiTheme="minorHAnsi" w:cstheme="minorBidi"/>
          <w:szCs w:val="22"/>
          <w:lang w:eastAsia="en-AU"/>
        </w:rPr>
      </w:pPr>
      <w:r>
        <w:t>18EA.</w:t>
      </w:r>
      <w:r>
        <w:tab/>
        <w:t>Information prescribed for websites (Act s. 113A)</w:t>
      </w:r>
      <w:r>
        <w:tab/>
      </w:r>
      <w:r>
        <w:fldChar w:fldCharType="begin"/>
      </w:r>
      <w:r>
        <w:instrText xml:space="preserve"> PAGEREF _Toc371600473 \h </w:instrText>
      </w:r>
      <w:r>
        <w:fldChar w:fldCharType="separate"/>
      </w:r>
      <w:r>
        <w:t>52</w:t>
      </w:r>
      <w:r>
        <w:fldChar w:fldCharType="end"/>
      </w:r>
    </w:p>
    <w:p>
      <w:pPr>
        <w:pStyle w:val="TOC8"/>
        <w:rPr>
          <w:rFonts w:asciiTheme="minorHAnsi" w:eastAsiaTheme="minorEastAsia" w:hAnsiTheme="minorHAnsi" w:cstheme="minorBidi"/>
          <w:szCs w:val="22"/>
          <w:lang w:eastAsia="en-AU"/>
        </w:rPr>
      </w:pPr>
      <w:r>
        <w:t>18EBA.</w:t>
      </w:r>
      <w:r>
        <w:tab/>
        <w:t xml:space="preserve">Persons prescribed (Act s. 115AC(1A) </w:t>
      </w:r>
      <w:r>
        <w:rPr>
          <w:i/>
        </w:rPr>
        <w:t>secure webpage</w:t>
      </w:r>
      <w:r>
        <w:t>)</w:t>
      </w:r>
      <w:r>
        <w:tab/>
      </w:r>
      <w:r>
        <w:fldChar w:fldCharType="begin"/>
      </w:r>
      <w:r>
        <w:instrText xml:space="preserve"> PAGEREF _Toc371600474 \h </w:instrText>
      </w:r>
      <w:r>
        <w:fldChar w:fldCharType="separate"/>
      </w:r>
      <w:r>
        <w:t>53</w:t>
      </w:r>
      <w:r>
        <w:fldChar w:fldCharType="end"/>
      </w:r>
    </w:p>
    <w:p>
      <w:pPr>
        <w:pStyle w:val="TOC8"/>
        <w:rPr>
          <w:rFonts w:asciiTheme="minorHAnsi" w:eastAsiaTheme="minorEastAsia" w:hAnsiTheme="minorHAnsi" w:cstheme="minorBidi"/>
          <w:szCs w:val="22"/>
          <w:lang w:eastAsia="en-AU"/>
        </w:rPr>
      </w:pPr>
      <w:r>
        <w:t>18EB.</w:t>
      </w:r>
      <w:r>
        <w:tab/>
        <w:t>Incidents and information prescribed for register (Act s. 116A)</w:t>
      </w:r>
      <w:r>
        <w:tab/>
      </w:r>
      <w:r>
        <w:fldChar w:fldCharType="begin"/>
      </w:r>
      <w:r>
        <w:instrText xml:space="preserve"> PAGEREF _Toc371600475 \h </w:instrText>
      </w:r>
      <w:r>
        <w:fldChar w:fldCharType="separate"/>
      </w:r>
      <w:r>
        <w:t>53</w:t>
      </w:r>
      <w:r>
        <w:fldChar w:fldCharType="end"/>
      </w:r>
    </w:p>
    <w:p>
      <w:pPr>
        <w:pStyle w:val="TOC8"/>
        <w:rPr>
          <w:rFonts w:asciiTheme="minorHAnsi" w:eastAsiaTheme="minorEastAsia" w:hAnsiTheme="minorHAnsi" w:cstheme="minorBidi"/>
          <w:szCs w:val="22"/>
          <w:lang w:eastAsia="en-AU"/>
        </w:rPr>
      </w:pPr>
      <w:r>
        <w:t>18F.</w:t>
      </w:r>
      <w:r>
        <w:tab/>
        <w:t>Training courses prescribed (Act s. 121(11)(d))</w:t>
      </w:r>
      <w:r>
        <w:tab/>
      </w:r>
      <w:r>
        <w:fldChar w:fldCharType="begin"/>
      </w:r>
      <w:r>
        <w:instrText xml:space="preserve"> PAGEREF _Toc371600476 \h </w:instrText>
      </w:r>
      <w:r>
        <w:fldChar w:fldCharType="separate"/>
      </w:r>
      <w:r>
        <w:t>55</w:t>
      </w:r>
      <w:r>
        <w:fldChar w:fldCharType="end"/>
      </w:r>
    </w:p>
    <w:p>
      <w:pPr>
        <w:pStyle w:val="TOC8"/>
        <w:rPr>
          <w:rFonts w:asciiTheme="minorHAnsi" w:eastAsiaTheme="minorEastAsia" w:hAnsiTheme="minorHAnsi" w:cstheme="minorBidi"/>
          <w:szCs w:val="22"/>
          <w:lang w:eastAsia="en-AU"/>
        </w:rPr>
      </w:pPr>
      <w:r>
        <w:t>18G.</w:t>
      </w:r>
      <w:r>
        <w:tab/>
        <w:t>Confiscated document, how to be dealt with (Act s. 126(2b))</w:t>
      </w:r>
      <w:r>
        <w:tab/>
      </w:r>
      <w:r>
        <w:fldChar w:fldCharType="begin"/>
      </w:r>
      <w:r>
        <w:instrText xml:space="preserve"> PAGEREF _Toc371600477 \h </w:instrText>
      </w:r>
      <w:r>
        <w:fldChar w:fldCharType="separate"/>
      </w:r>
      <w:r>
        <w:t>56</w:t>
      </w:r>
      <w:r>
        <w:fldChar w:fldCharType="end"/>
      </w:r>
    </w:p>
    <w:p>
      <w:pPr>
        <w:pStyle w:val="TOC8"/>
        <w:rPr>
          <w:rFonts w:asciiTheme="minorHAnsi" w:eastAsiaTheme="minorEastAsia" w:hAnsiTheme="minorHAnsi" w:cstheme="minorBidi"/>
          <w:szCs w:val="22"/>
          <w:lang w:eastAsia="en-AU"/>
        </w:rPr>
      </w:pPr>
      <w:r>
        <w:t>18H.</w:t>
      </w:r>
      <w:r>
        <w:tab/>
        <w:t>Provisions prescribed (Act s. 126E(4))</w:t>
      </w:r>
      <w:r>
        <w:tab/>
      </w:r>
      <w:r>
        <w:fldChar w:fldCharType="begin"/>
      </w:r>
      <w:r>
        <w:instrText xml:space="preserve"> PAGEREF _Toc371600478 \h </w:instrText>
      </w:r>
      <w:r>
        <w:fldChar w:fldCharType="separate"/>
      </w:r>
      <w:r>
        <w:t>56</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Subsidy, application for</w:t>
      </w:r>
      <w:r>
        <w:tab/>
      </w:r>
      <w:r>
        <w:fldChar w:fldCharType="begin"/>
      </w:r>
      <w:r>
        <w:instrText xml:space="preserve"> PAGEREF _Toc371600479 \h </w:instrText>
      </w:r>
      <w:r>
        <w:fldChar w:fldCharType="separate"/>
      </w:r>
      <w:r>
        <w:t>56</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_Toc371600480 \h </w:instrText>
      </w:r>
      <w:r>
        <w:fldChar w:fldCharType="separate"/>
      </w:r>
      <w:r>
        <w:t>56</w:t>
      </w:r>
      <w:r>
        <w:fldChar w:fldCharType="end"/>
      </w:r>
    </w:p>
    <w:p>
      <w:pPr>
        <w:pStyle w:val="TOC8"/>
        <w:rPr>
          <w:rFonts w:asciiTheme="minorHAnsi" w:eastAsiaTheme="minorEastAsia" w:hAnsiTheme="minorHAnsi" w:cstheme="minorBidi"/>
          <w:szCs w:val="22"/>
          <w:lang w:eastAsia="en-AU"/>
        </w:rPr>
      </w:pPr>
      <w:r>
        <w:t>21.</w:t>
      </w:r>
      <w:r>
        <w:tab/>
        <w:t>Wholesaler, subsidy for (Act s. 130)</w:t>
      </w:r>
      <w:r>
        <w:tab/>
      </w:r>
      <w:r>
        <w:fldChar w:fldCharType="begin"/>
      </w:r>
      <w:r>
        <w:instrText xml:space="preserve"> PAGEREF _Toc371600481 \h </w:instrText>
      </w:r>
      <w:r>
        <w:fldChar w:fldCharType="separate"/>
      </w:r>
      <w:r>
        <w:t>57</w:t>
      </w:r>
      <w:r>
        <w:fldChar w:fldCharType="end"/>
      </w:r>
    </w:p>
    <w:p>
      <w:pPr>
        <w:pStyle w:val="TOC8"/>
        <w:rPr>
          <w:rFonts w:asciiTheme="minorHAnsi" w:eastAsiaTheme="minorEastAsia" w:hAnsiTheme="minorHAnsi" w:cstheme="minorBidi"/>
          <w:szCs w:val="22"/>
          <w:lang w:eastAsia="en-AU"/>
        </w:rPr>
      </w:pPr>
      <w:r>
        <w:t>21A.</w:t>
      </w:r>
      <w:r>
        <w:tab/>
        <w:t>Wine producer, subsidy for (Act s. 130)</w:t>
      </w:r>
      <w:r>
        <w:tab/>
      </w:r>
      <w:r>
        <w:fldChar w:fldCharType="begin"/>
      </w:r>
      <w:r>
        <w:instrText xml:space="preserve"> PAGEREF _Toc371600482 \h </w:instrText>
      </w:r>
      <w:r>
        <w:fldChar w:fldCharType="separate"/>
      </w:r>
      <w:r>
        <w:t>58</w:t>
      </w:r>
      <w:r>
        <w:fldChar w:fldCharType="end"/>
      </w:r>
    </w:p>
    <w:p>
      <w:pPr>
        <w:pStyle w:val="TOC8"/>
        <w:rPr>
          <w:rFonts w:asciiTheme="minorHAnsi" w:eastAsiaTheme="minorEastAsia" w:hAnsiTheme="minorHAnsi" w:cstheme="minorBidi"/>
          <w:szCs w:val="22"/>
          <w:lang w:eastAsia="en-AU"/>
        </w:rPr>
      </w:pPr>
      <w:r>
        <w:t>21AC</w:t>
      </w:r>
      <w:r>
        <w:rPr>
          <w:snapToGrid w:val="0"/>
        </w:rPr>
        <w:t>.</w:t>
      </w:r>
      <w:r>
        <w:rPr>
          <w:snapToGrid w:val="0"/>
        </w:rPr>
        <w:tab/>
        <w:t>Subsidy payable once in respect of sale of liquor</w:t>
      </w:r>
      <w:r>
        <w:tab/>
      </w:r>
      <w:r>
        <w:fldChar w:fldCharType="begin"/>
      </w:r>
      <w:r>
        <w:instrText xml:space="preserve"> PAGEREF _Toc371600483 \h </w:instrText>
      </w:r>
      <w:r>
        <w:fldChar w:fldCharType="separate"/>
      </w:r>
      <w:r>
        <w:t>59</w:t>
      </w:r>
      <w:r>
        <w:fldChar w:fldCharType="end"/>
      </w:r>
    </w:p>
    <w:p>
      <w:pPr>
        <w:pStyle w:val="TOC8"/>
        <w:rPr>
          <w:rFonts w:asciiTheme="minorHAnsi" w:eastAsiaTheme="minorEastAsia" w:hAnsiTheme="minorHAnsi" w:cstheme="minorBidi"/>
          <w:szCs w:val="22"/>
          <w:lang w:eastAsia="en-AU"/>
        </w:rPr>
      </w:pPr>
      <w:r>
        <w:t>21B</w:t>
      </w:r>
      <w:r>
        <w:rPr>
          <w:snapToGrid w:val="0"/>
        </w:rPr>
        <w:t>.</w:t>
      </w:r>
      <w:r>
        <w:rPr>
          <w:snapToGrid w:val="0"/>
        </w:rPr>
        <w:tab/>
        <w:t xml:space="preserve">Subsidy, conditions imposed by Director as to </w:t>
      </w:r>
      <w:r>
        <w:t>(Act s. 130(2))</w:t>
      </w:r>
      <w:r>
        <w:tab/>
      </w:r>
      <w:r>
        <w:fldChar w:fldCharType="begin"/>
      </w:r>
      <w:r>
        <w:instrText xml:space="preserve"> PAGEREF _Toc371600484 \h </w:instrText>
      </w:r>
      <w:r>
        <w:fldChar w:fldCharType="separate"/>
      </w:r>
      <w:r>
        <w:t>59</w:t>
      </w:r>
      <w:r>
        <w:fldChar w:fldCharType="end"/>
      </w:r>
    </w:p>
    <w:p>
      <w:pPr>
        <w:pStyle w:val="TOC8"/>
        <w:rPr>
          <w:rFonts w:asciiTheme="minorHAnsi" w:eastAsiaTheme="minorEastAsia" w:hAnsiTheme="minorHAnsi" w:cstheme="minorBidi"/>
          <w:szCs w:val="22"/>
          <w:lang w:eastAsia="en-AU"/>
        </w:rPr>
      </w:pPr>
      <w:r>
        <w:t>21C</w:t>
      </w:r>
      <w:r>
        <w:rPr>
          <w:snapToGrid w:val="0"/>
        </w:rPr>
        <w:t>.</w:t>
      </w:r>
      <w:r>
        <w:rPr>
          <w:snapToGrid w:val="0"/>
        </w:rPr>
        <w:tab/>
        <w:t>Licensees prescribed </w:t>
      </w:r>
      <w:r>
        <w:t>(Act s. </w:t>
      </w:r>
      <w:r>
        <w:rPr>
          <w:snapToGrid w:val="0"/>
        </w:rPr>
        <w:t>145(1))</w:t>
      </w:r>
      <w:r>
        <w:tab/>
      </w:r>
      <w:r>
        <w:fldChar w:fldCharType="begin"/>
      </w:r>
      <w:r>
        <w:instrText xml:space="preserve"> PAGEREF _Toc371600485 \h </w:instrText>
      </w:r>
      <w:r>
        <w:fldChar w:fldCharType="separate"/>
      </w:r>
      <w:r>
        <w:t>59</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_Toc371600486 \h </w:instrText>
      </w:r>
      <w:r>
        <w:fldChar w:fldCharType="separate"/>
      </w:r>
      <w:r>
        <w:t>60</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 xml:space="preserve">Returns, verification and lodgment of </w:t>
      </w:r>
      <w:r>
        <w:t>(Act s. 146)</w:t>
      </w:r>
      <w:r>
        <w:tab/>
      </w:r>
      <w:r>
        <w:fldChar w:fldCharType="begin"/>
      </w:r>
      <w:r>
        <w:instrText xml:space="preserve"> PAGEREF _Toc371600487 \h </w:instrText>
      </w:r>
      <w:r>
        <w:fldChar w:fldCharType="separate"/>
      </w:r>
      <w:r>
        <w:t>62</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 xml:space="preserve">Return of information required etc. </w:t>
      </w:r>
      <w:r>
        <w:t>(Act s. 145)</w:t>
      </w:r>
      <w:r>
        <w:tab/>
      </w:r>
      <w:r>
        <w:fldChar w:fldCharType="begin"/>
      </w:r>
      <w:r>
        <w:instrText xml:space="preserve"> PAGEREF _Toc371600488 \h </w:instrText>
      </w:r>
      <w:r>
        <w:fldChar w:fldCharType="separate"/>
      </w:r>
      <w:r>
        <w:t>63</w:t>
      </w:r>
      <w:r>
        <w:fldChar w:fldCharType="end"/>
      </w:r>
    </w:p>
    <w:p>
      <w:pPr>
        <w:pStyle w:val="TOC8"/>
        <w:rPr>
          <w:rFonts w:asciiTheme="minorHAnsi" w:eastAsiaTheme="minorEastAsia" w:hAnsiTheme="minorHAnsi" w:cstheme="minorBidi"/>
          <w:szCs w:val="22"/>
          <w:lang w:eastAsia="en-AU"/>
        </w:rPr>
      </w:pPr>
      <w:r>
        <w:t>25A.</w:t>
      </w:r>
      <w:r>
        <w:tab/>
        <w:t>Class of persons prescribed (Act s. 152P(4)(b))</w:t>
      </w:r>
      <w:r>
        <w:tab/>
      </w:r>
      <w:r>
        <w:fldChar w:fldCharType="begin"/>
      </w:r>
      <w:r>
        <w:instrText xml:space="preserve"> PAGEREF _Toc371600489 \h </w:instrText>
      </w:r>
      <w:r>
        <w:fldChar w:fldCharType="separate"/>
      </w:r>
      <w:r>
        <w:t>66</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Money payable under Act, how payable</w:t>
      </w:r>
      <w:r>
        <w:tab/>
      </w:r>
      <w:r>
        <w:fldChar w:fldCharType="begin"/>
      </w:r>
      <w:r>
        <w:instrText xml:space="preserve"> PAGEREF _Toc371600490 \h </w:instrText>
      </w:r>
      <w:r>
        <w:fldChar w:fldCharType="separate"/>
      </w:r>
      <w:r>
        <w:t>66</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Fees generally (Sch. 3)</w:t>
      </w:r>
      <w:r>
        <w:tab/>
      </w:r>
      <w:r>
        <w:fldChar w:fldCharType="begin"/>
      </w:r>
      <w:r>
        <w:instrText xml:space="preserve"> PAGEREF _Toc371600491 \h </w:instrText>
      </w:r>
      <w:r>
        <w:fldChar w:fldCharType="separate"/>
      </w:r>
      <w:r>
        <w:t>66</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Infringement notices, forms etc. prescribed for (Act s. 167)</w:t>
      </w:r>
      <w:r>
        <w:tab/>
      </w:r>
      <w:r>
        <w:fldChar w:fldCharType="begin"/>
      </w:r>
      <w:r>
        <w:instrText xml:space="preserve"> PAGEREF _Toc371600492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w:t>
      </w:r>
    </w:p>
    <w:p>
      <w:pPr>
        <w:pStyle w:val="TOC2"/>
        <w:tabs>
          <w:tab w:val="right" w:leader="dot" w:pos="7086"/>
        </w:tabs>
        <w:rPr>
          <w:rFonts w:asciiTheme="minorHAnsi" w:eastAsiaTheme="minorEastAsia" w:hAnsiTheme="minorHAnsi" w:cstheme="minorBidi"/>
          <w:b w:val="0"/>
          <w:sz w:val="22"/>
          <w:szCs w:val="22"/>
          <w:lang w:eastAsia="en-AU"/>
        </w:rPr>
      </w:pPr>
      <w:r>
        <w:t>Forms</w:t>
      </w:r>
    </w:p>
    <w:p>
      <w:pPr>
        <w:pStyle w:val="TOC2"/>
        <w:tabs>
          <w:tab w:val="right" w:leader="dot" w:pos="7086"/>
        </w:tabs>
        <w:rPr>
          <w:rFonts w:asciiTheme="minorHAnsi" w:eastAsiaTheme="minorEastAsia" w:hAnsiTheme="minorHAnsi" w:cstheme="minorBidi"/>
          <w:b w:val="0"/>
          <w:sz w:val="22"/>
          <w:szCs w:val="22"/>
          <w:lang w:eastAsia="en-AU"/>
        </w:rPr>
      </w:pPr>
      <w:r>
        <w:t>Schedule 2</w:t>
      </w:r>
    </w:p>
    <w:p>
      <w:pPr>
        <w:pStyle w:val="TOC2"/>
        <w:tabs>
          <w:tab w:val="right" w:leader="dot" w:pos="7086"/>
        </w:tabs>
        <w:rPr>
          <w:rFonts w:asciiTheme="minorHAnsi" w:eastAsiaTheme="minorEastAsia" w:hAnsiTheme="minorHAnsi" w:cstheme="minorBidi"/>
          <w:b w:val="0"/>
          <w:sz w:val="22"/>
          <w:szCs w:val="22"/>
          <w:lang w:eastAsia="en-AU"/>
        </w:rPr>
      </w:pPr>
      <w:r>
        <w:t>Details of applicant</w:t>
      </w:r>
    </w:p>
    <w:p>
      <w:pPr>
        <w:pStyle w:val="TOC2"/>
        <w:tabs>
          <w:tab w:val="right" w:leader="dot" w:pos="7086"/>
        </w:tabs>
        <w:rPr>
          <w:rFonts w:asciiTheme="minorHAnsi" w:eastAsiaTheme="minorEastAsia" w:hAnsiTheme="minorHAnsi" w:cstheme="minorBidi"/>
          <w:b w:val="0"/>
          <w:sz w:val="22"/>
          <w:szCs w:val="22"/>
          <w:lang w:eastAsia="en-AU"/>
        </w:rPr>
      </w:pPr>
      <w:r>
        <w:t>Schedule 3 — Fees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_Toc371600499 \h </w:instrText>
      </w:r>
      <w:r>
        <w:fldChar w:fldCharType="separate"/>
      </w:r>
      <w:r>
        <w:t>89</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_Toc371600500 \h </w:instrText>
      </w:r>
      <w:r>
        <w:fldChar w:fldCharType="separate"/>
      </w:r>
      <w:r>
        <w:t>97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371600414"/>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2" w:name="_Toc371600415"/>
      <w:r>
        <w:rPr>
          <w:rStyle w:val="CharSectno"/>
        </w:rPr>
        <w:t>2</w:t>
      </w:r>
      <w:r>
        <w:rPr>
          <w:snapToGrid w:val="0"/>
        </w:rPr>
        <w:t>.</w:t>
      </w:r>
      <w:r>
        <w:rPr>
          <w:snapToGrid w:val="0"/>
        </w:rPr>
        <w:tab/>
        <w:t>Commencement</w:t>
      </w:r>
      <w:bookmarkEnd w:id="2"/>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 w:name="_Toc371600416"/>
      <w:r>
        <w:rPr>
          <w:rStyle w:val="CharSectno"/>
        </w:rPr>
        <w:t>3</w:t>
      </w:r>
      <w:r>
        <w:rPr>
          <w:snapToGrid w:val="0"/>
        </w:rPr>
        <w:t>.</w:t>
      </w:r>
      <w:r>
        <w:rPr>
          <w:snapToGrid w:val="0"/>
        </w:rPr>
        <w:tab/>
        <w:t>Forms prescribed etc. (Sch. 1)</w:t>
      </w:r>
      <w:bookmarkEnd w:id="3"/>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4" w:name="_Toc371600417"/>
      <w:r>
        <w:rPr>
          <w:rStyle w:val="CharSectno"/>
        </w:rPr>
        <w:t>3A</w:t>
      </w:r>
      <w:r>
        <w:rPr>
          <w:snapToGrid w:val="0"/>
        </w:rPr>
        <w:t>.</w:t>
      </w:r>
      <w:r>
        <w:rPr>
          <w:snapToGrid w:val="0"/>
        </w:rPr>
        <w:tab/>
        <w:t>Terms used</w:t>
      </w:r>
      <w:bookmarkEnd w:id="4"/>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 w:name="_Toc371600418"/>
      <w:r>
        <w:rPr>
          <w:rStyle w:val="CharSectno"/>
        </w:rPr>
        <w:t>3AB</w:t>
      </w:r>
      <w:r>
        <w:t>.</w:t>
      </w:r>
      <w:r>
        <w:tab/>
        <w:t xml:space="preserve">Kind of liquor prescribed (mist containing ethanol) (Act s. 3(1) </w:t>
      </w:r>
      <w:r>
        <w:rPr>
          <w:i/>
        </w:rPr>
        <w:t>kind</w:t>
      </w:r>
      <w:r>
        <w:t>)</w:t>
      </w:r>
      <w:bookmarkEnd w:id="5"/>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 w:name="_Toc371600419"/>
      <w:r>
        <w:rPr>
          <w:rStyle w:val="CharSectno"/>
        </w:rPr>
        <w:t>3AC</w:t>
      </w:r>
      <w:r>
        <w:t>.</w:t>
      </w:r>
      <w:r>
        <w:tab/>
        <w:t xml:space="preserve">Kind of liquor prescribed (aerosol containing ethanol) (Act s. 3(1) </w:t>
      </w:r>
      <w:r>
        <w:rPr>
          <w:i/>
        </w:rPr>
        <w:t>kind</w:t>
      </w:r>
      <w:r>
        <w:t>)</w:t>
      </w:r>
      <w:bookmarkEnd w:id="6"/>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 w:name="_Toc371600420"/>
      <w:r>
        <w:rPr>
          <w:rStyle w:val="CharSectno"/>
        </w:rPr>
        <w:t>4</w:t>
      </w:r>
      <w:r>
        <w:rPr>
          <w:snapToGrid w:val="0"/>
        </w:rPr>
        <w:t>.</w:t>
      </w:r>
      <w:r>
        <w:rPr>
          <w:snapToGrid w:val="0"/>
        </w:rPr>
        <w:tab/>
        <w:t xml:space="preserve">Level prescribed </w:t>
      </w:r>
      <w:r>
        <w:t xml:space="preserve">(Act s. 3(1) </w:t>
      </w:r>
      <w:r>
        <w:rPr>
          <w:i/>
        </w:rPr>
        <w:t>low alcohol liquor</w:t>
      </w:r>
      <w:r>
        <w:t>)</w:t>
      </w:r>
      <w:bookmarkEnd w:id="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8" w:name="_Toc371600421"/>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8"/>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 w:val="0"/>
          <w:bCs/>
          <w:snapToGrid w:val="0"/>
        </w:rPr>
      </w:pPr>
      <w:bookmarkStart w:id="9" w:name="_Toc371600422"/>
      <w:r>
        <w:rPr>
          <w:rStyle w:val="CharSectno"/>
        </w:rPr>
        <w:t>4A</w:t>
      </w:r>
      <w:r>
        <w:rPr>
          <w:snapToGrid w:val="0"/>
        </w:rPr>
        <w:t>.</w:t>
      </w:r>
      <w:r>
        <w:rPr>
          <w:snapToGrid w:val="0"/>
        </w:rPr>
        <w:tab/>
        <w:t xml:space="preserve">Substances prescribed (food items) </w:t>
      </w:r>
      <w:r>
        <w:t xml:space="preserve">(Act s. 3(1) </w:t>
      </w:r>
      <w:r>
        <w:rPr>
          <w:i/>
        </w:rPr>
        <w:t>liquor</w:t>
      </w:r>
      <w:r>
        <w:t>)</w:t>
      </w:r>
      <w:bookmarkEnd w:id="9"/>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0" w:name="_Toc371600423"/>
      <w:r>
        <w:rPr>
          <w:rStyle w:val="CharSectno"/>
        </w:rPr>
        <w:t>4AB</w:t>
      </w:r>
      <w:r>
        <w:t>.</w:t>
      </w:r>
      <w:r>
        <w:tab/>
        <w:t>Substance prescribed (mist containing ethanol) (Act s. 3(1) </w:t>
      </w:r>
      <w:r>
        <w:rPr>
          <w:i/>
        </w:rPr>
        <w:t>liquor</w:t>
      </w:r>
      <w:r>
        <w:t>)</w:t>
      </w:r>
      <w:bookmarkEnd w:id="1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1" w:name="_Toc371600424"/>
      <w:r>
        <w:rPr>
          <w:rStyle w:val="CharSectno"/>
        </w:rPr>
        <w:t>4AC</w:t>
      </w:r>
      <w:r>
        <w:t>.</w:t>
      </w:r>
      <w:r>
        <w:tab/>
        <w:t xml:space="preserve">Substance prescribed (aerosol containing ethanol) (Act s. 3(1) </w:t>
      </w:r>
      <w:r>
        <w:rPr>
          <w:i/>
        </w:rPr>
        <w:t>liquor</w:t>
      </w:r>
      <w:r>
        <w:t>)</w:t>
      </w:r>
      <w:bookmarkEnd w:id="11"/>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2" w:name="_Toc371600425"/>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2"/>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3" w:name="_Toc371600426"/>
      <w:r>
        <w:rPr>
          <w:rStyle w:val="CharSectno"/>
        </w:rPr>
        <w:t>5A</w:t>
      </w:r>
      <w:r>
        <w:t>.</w:t>
      </w:r>
      <w:r>
        <w:tab/>
        <w:t xml:space="preserve">Quantities prescribed </w:t>
      </w:r>
      <w:r>
        <w:rPr>
          <w:snapToGrid w:val="0"/>
        </w:rPr>
        <w:t>(Act s.</w:t>
      </w:r>
      <w:r>
        <w:t xml:space="preserve"> 3(1) </w:t>
      </w:r>
      <w:r>
        <w:rPr>
          <w:i/>
        </w:rPr>
        <w:t>sample</w:t>
      </w:r>
      <w:r>
        <w:t>)</w:t>
      </w:r>
      <w:bookmarkEnd w:id="1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4" w:name="_Toc371600427"/>
      <w:r>
        <w:rPr>
          <w:rStyle w:val="CharSectno"/>
        </w:rPr>
        <w:t>5B</w:t>
      </w:r>
      <w:r>
        <w:t>.</w:t>
      </w:r>
      <w:r>
        <w:tab/>
        <w:t xml:space="preserve">Positions of authority in body corporate prescribed </w:t>
      </w:r>
      <w:r>
        <w:rPr>
          <w:snapToGrid w:val="0"/>
        </w:rPr>
        <w:t>(Act s.</w:t>
      </w:r>
      <w:r>
        <w:t> 3(4)(d))</w:t>
      </w:r>
      <w:bookmarkEnd w:id="14"/>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spacing w:before="70"/>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spacing w:before="70"/>
      </w:pPr>
      <w:r>
        <w:tab/>
      </w:r>
      <w:r>
        <w:tab/>
        <w:t>and</w:t>
      </w:r>
    </w:p>
    <w:p>
      <w:pPr>
        <w:pStyle w:val="Indenta"/>
        <w:spacing w:before="70"/>
      </w:pPr>
      <w:r>
        <w:tab/>
        <w:t>(b)</w:t>
      </w:r>
      <w:r>
        <w:tab/>
        <w:t>the body corporate referred to in paragraph (a)(i) or (ii) is a shareholder in the relevant body corporate.</w:t>
      </w:r>
    </w:p>
    <w:p>
      <w:pPr>
        <w:pStyle w:val="Subsection"/>
      </w:pPr>
      <w:r>
        <w:tab/>
        <w:t>(4)</w:t>
      </w:r>
      <w:r>
        <w:tab/>
        <w:t>If —</w:t>
      </w:r>
    </w:p>
    <w:p>
      <w:pPr>
        <w:pStyle w:val="Indenta"/>
        <w:spacing w:before="70"/>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spacing w:before="70"/>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spacing w:before="210"/>
      </w:pPr>
      <w:r>
        <w:t>[</w:t>
      </w:r>
      <w:r>
        <w:rPr>
          <w:b/>
          <w:bCs/>
        </w:rPr>
        <w:t>6.</w:t>
      </w:r>
      <w:r>
        <w:tab/>
        <w:t>Deleted in Gazette 1 May 2007 p. 1867.]</w:t>
      </w:r>
    </w:p>
    <w:p>
      <w:pPr>
        <w:pStyle w:val="Heading5"/>
        <w:spacing w:before="210"/>
        <w:rPr>
          <w:snapToGrid w:val="0"/>
        </w:rPr>
      </w:pPr>
      <w:bookmarkStart w:id="15" w:name="_Toc371600428"/>
      <w:r>
        <w:rPr>
          <w:rStyle w:val="CharSectno"/>
        </w:rPr>
        <w:t>7</w:t>
      </w:r>
      <w:r>
        <w:rPr>
          <w:snapToGrid w:val="0"/>
        </w:rPr>
        <w:t>.</w:t>
      </w:r>
      <w:r>
        <w:rPr>
          <w:snapToGrid w:val="0"/>
        </w:rPr>
        <w:tab/>
        <w:t>Approved courses (Act s. 6(1)(c))</w:t>
      </w:r>
      <w:bookmarkEnd w:id="15"/>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16" w:name="_Toc371600429"/>
      <w:r>
        <w:rPr>
          <w:rStyle w:val="CharSectno"/>
        </w:rPr>
        <w:t>8</w:t>
      </w:r>
      <w:r>
        <w:rPr>
          <w:snapToGrid w:val="0"/>
        </w:rPr>
        <w:t>.</w:t>
      </w:r>
      <w:r>
        <w:rPr>
          <w:snapToGrid w:val="0"/>
        </w:rPr>
        <w:tab/>
        <w:t>Exemption from Act, certain sales etc.</w:t>
      </w:r>
      <w:bookmarkEnd w:id="16"/>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7" w:name="_Toc371600430"/>
      <w:r>
        <w:rPr>
          <w:rStyle w:val="CharSectno"/>
        </w:rPr>
        <w:t>8A</w:t>
      </w:r>
      <w:r>
        <w:t>.</w:t>
      </w:r>
      <w:r>
        <w:tab/>
        <w:t>Exemption from Act, consumption at live entertainment venues</w:t>
      </w:r>
      <w:bookmarkEnd w:id="17"/>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spacing w:before="70"/>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spacing w:before="70"/>
      </w:pPr>
      <w:r>
        <w:tab/>
        <w:t>(b)</w:t>
      </w:r>
      <w:r>
        <w:tab/>
        <w:t>a film, within the meaning of that Act, that has been classified or reclassified RC (refused classification), X 18+ or R 18+ under that Act; or</w:t>
      </w:r>
    </w:p>
    <w:p>
      <w:pPr>
        <w:pStyle w:val="Defpara"/>
        <w:spacing w:before="70"/>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spacing w:before="70"/>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spacing w:before="70"/>
      </w:pPr>
      <w:r>
        <w:tab/>
        <w:t>(b)</w:t>
      </w:r>
      <w:r>
        <w:tab/>
        <w:t>the determination of the application required the licensing authority to determine whether or not the person was a fit and proper person in relation to a matter relevant to the application; and</w:t>
      </w:r>
    </w:p>
    <w:p>
      <w:pPr>
        <w:pStyle w:val="Indenta"/>
        <w:spacing w:before="70"/>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spacing w:before="100"/>
      </w:pPr>
      <w:r>
        <w:tab/>
        <w:t>(b)</w:t>
      </w:r>
      <w:r>
        <w:tab/>
        <w:t>the primary purpose of the premises is to facilitate the provision of live entertainment; and</w:t>
      </w:r>
    </w:p>
    <w:p>
      <w:pPr>
        <w:pStyle w:val="Indenta"/>
        <w:spacing w:before="100"/>
      </w:pPr>
      <w:r>
        <w:tab/>
        <w:t>(c)</w:t>
      </w:r>
      <w:r>
        <w:tab/>
        <w:t>the consumption of liquor on the premises is ancillary to the live entertainment being provided; and</w:t>
      </w:r>
    </w:p>
    <w:p>
      <w:pPr>
        <w:pStyle w:val="Indenta"/>
        <w:spacing w:before="10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100"/>
      </w:pPr>
      <w:r>
        <w:tab/>
        <w:t>(e)</w:t>
      </w:r>
      <w:r>
        <w:tab/>
        <w:t xml:space="preserve">neither the person in charge of the premises, nor any person who is an employee, contractor or agent of that person and is providing services on the premises — </w:t>
      </w:r>
    </w:p>
    <w:p>
      <w:pPr>
        <w:pStyle w:val="Indenti"/>
        <w:spacing w:before="100"/>
      </w:pPr>
      <w:r>
        <w:tab/>
        <w:t>(i)</w:t>
      </w:r>
      <w:r>
        <w:tab/>
        <w:t>has a current negative determination; or</w:t>
      </w:r>
    </w:p>
    <w:p>
      <w:pPr>
        <w:pStyle w:val="Indenti"/>
        <w:spacing w:before="100"/>
      </w:pPr>
      <w:r>
        <w:tab/>
        <w:t>(ii)</w:t>
      </w:r>
      <w:r>
        <w:tab/>
        <w:t>is the holder of a licence or protection order the operation of which is suspended under section 96(1)(d) or (4); or</w:t>
      </w:r>
    </w:p>
    <w:p>
      <w:pPr>
        <w:pStyle w:val="Indenti"/>
        <w:spacing w:before="100"/>
      </w:pPr>
      <w:r>
        <w:tab/>
        <w:t>(iii)</w:t>
      </w:r>
      <w:r>
        <w:tab/>
        <w:t>has had a licence or protection order held by the person cancelled under section 96(1)(e) or (4), unless since that cancellation the person has been granted a licence or protection order; or</w:t>
      </w:r>
    </w:p>
    <w:p>
      <w:pPr>
        <w:pStyle w:val="Indenti"/>
        <w:keepNext/>
        <w:spacing w:before="100"/>
      </w:pPr>
      <w:r>
        <w:tab/>
        <w:t>(iv)</w:t>
      </w:r>
      <w:r>
        <w:tab/>
        <w:t>is disqualified under section 96(1)(f) from holding a licence; or</w:t>
      </w:r>
    </w:p>
    <w:p>
      <w:pPr>
        <w:pStyle w:val="Indenti"/>
        <w:spacing w:before="100"/>
      </w:pPr>
      <w:r>
        <w:tab/>
        <w:t>(v)</w:t>
      </w:r>
      <w:r>
        <w:tab/>
        <w:t>is disqualified under section 96(1)(g)(i) from being the holder of a position of authority in a body corporate that holds a licence; or</w:t>
      </w:r>
    </w:p>
    <w:p>
      <w:pPr>
        <w:pStyle w:val="Indenti"/>
        <w:spacing w:before="100"/>
      </w:pPr>
      <w:r>
        <w:tab/>
        <w:t>(vi)</w:t>
      </w:r>
      <w:r>
        <w:tab/>
        <w:t>is disqualified under section 96(1)(g)(ii) from being interested in, or in the profits or proceeds of, a business carried on under a licence; or</w:t>
      </w:r>
    </w:p>
    <w:p>
      <w:pPr>
        <w:pStyle w:val="Indenti"/>
        <w:spacing w:before="10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spacing w:before="100"/>
      </w:pPr>
      <w:r>
        <w:tab/>
        <w:t>(viii)</w:t>
      </w:r>
      <w:r>
        <w:tab/>
        <w:t>is an approved manager whose approval is suspended under section 102F(2)(b); or</w:t>
      </w:r>
    </w:p>
    <w:p>
      <w:pPr>
        <w:pStyle w:val="Indenti"/>
        <w:spacing w:before="100"/>
      </w:pPr>
      <w:r>
        <w:tab/>
        <w:t>(ix)</w:t>
      </w:r>
      <w:r>
        <w:tab/>
        <w:t>is the subject of a prohibition order made under section 152E;</w:t>
      </w:r>
    </w:p>
    <w:p>
      <w:pPr>
        <w:pStyle w:val="Indenta"/>
        <w:spacing w:before="100"/>
      </w:pPr>
      <w:r>
        <w:tab/>
      </w:r>
      <w:r>
        <w:tab/>
        <w:t>and</w:t>
      </w:r>
    </w:p>
    <w:p>
      <w:pPr>
        <w:pStyle w:val="Indenta"/>
        <w:spacing w:before="100"/>
      </w:pPr>
      <w:r>
        <w:tab/>
        <w:t>(f)</w:t>
      </w:r>
      <w:r>
        <w:tab/>
        <w:t>there are no more than 200 patrons on the premises at any one time; and</w:t>
      </w:r>
    </w:p>
    <w:p>
      <w:pPr>
        <w:pStyle w:val="Indenta"/>
        <w:spacing w:before="100"/>
      </w:pPr>
      <w:r>
        <w:tab/>
        <w:t>(g)</w:t>
      </w:r>
      <w:r>
        <w:tab/>
        <w:t>the person in charge of the premises is not a juvenile; and</w:t>
      </w:r>
    </w:p>
    <w:p>
      <w:pPr>
        <w:pStyle w:val="Indenta"/>
        <w:spacing w:before="100"/>
      </w:pPr>
      <w:r>
        <w:tab/>
        <w:t>(h)</w:t>
      </w:r>
      <w:r>
        <w:tab/>
        <w:t>juveniles (other than juveniles mentioned in subregulation (5)) are not allowed to enter or remain on the premises unless accompanied by, and under the supervision of, a responsible adult; and</w:t>
      </w:r>
    </w:p>
    <w:p>
      <w:pPr>
        <w:pStyle w:val="Indenta"/>
        <w:spacing w:before="100"/>
      </w:pPr>
      <w:r>
        <w:tab/>
        <w:t>(i)</w:t>
      </w:r>
      <w:r>
        <w:tab/>
        <w:t>water suitable for drinking is provided, free of charge, at all times when liquor is being consumed on the premises; and</w:t>
      </w:r>
    </w:p>
    <w:p>
      <w:pPr>
        <w:pStyle w:val="Indenta"/>
        <w:keepNext/>
        <w:spacing w:before="100"/>
      </w:pPr>
      <w:r>
        <w:tab/>
        <w:t>(j)</w:t>
      </w:r>
      <w:r>
        <w:tab/>
        <w:t>a drunk person is not allowed to consume liquor on the premises; and</w:t>
      </w:r>
    </w:p>
    <w:p>
      <w:pPr>
        <w:pStyle w:val="Indenta"/>
        <w:spacing w:before="100"/>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spacing w:before="100"/>
      </w:pPr>
      <w:r>
        <w:tab/>
        <w:t>(i)</w:t>
      </w:r>
      <w:r>
        <w:tab/>
        <w:t>is indecently dressed on the premises; or</w:t>
      </w:r>
    </w:p>
    <w:p>
      <w:pPr>
        <w:pStyle w:val="Indenti"/>
        <w:spacing w:before="100"/>
      </w:pPr>
      <w:r>
        <w:tab/>
        <w:t>(ii)</w:t>
      </w:r>
      <w:r>
        <w:tab/>
        <w:t>allows any other person to be indecently dressed on the premises; or</w:t>
      </w:r>
    </w:p>
    <w:p>
      <w:pPr>
        <w:pStyle w:val="Indenti"/>
        <w:keepNext/>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8" w:name="_Toc371600431"/>
      <w:r>
        <w:rPr>
          <w:rStyle w:val="CharSectno"/>
        </w:rPr>
        <w:t>8B</w:t>
      </w:r>
      <w:r>
        <w:t>.</w:t>
      </w:r>
      <w:r>
        <w:tab/>
        <w:t>Exemption from Act, sales etc. at certain functions</w:t>
      </w:r>
      <w:bookmarkEnd w:id="18"/>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19" w:name="_Toc371600432"/>
      <w:r>
        <w:rPr>
          <w:rStyle w:val="CharSectno"/>
        </w:rPr>
        <w:t>8C</w:t>
      </w:r>
      <w:r>
        <w:t>.</w:t>
      </w:r>
      <w:r>
        <w:tab/>
        <w:t>Exemption from Act, complimentary supply by business</w:t>
      </w:r>
      <w:bookmarkEnd w:id="19"/>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spacing w:before="100"/>
      </w:pPr>
      <w:r>
        <w:tab/>
        <w:t>(d)</w:t>
      </w:r>
      <w:r>
        <w:tab/>
        <w:t xml:space="preserve">the quantity of liquor that is supplied to the customer on those business premises on any one day is either — </w:t>
      </w:r>
    </w:p>
    <w:p>
      <w:pPr>
        <w:pStyle w:val="Indenti"/>
        <w:spacing w:before="100"/>
      </w:pPr>
      <w:r>
        <w:tab/>
        <w:t>(i)</w:t>
      </w:r>
      <w:r>
        <w:tab/>
        <w:t>not more than 2 standard drinks for consumption by the customer on those premises; or</w:t>
      </w:r>
    </w:p>
    <w:p>
      <w:pPr>
        <w:pStyle w:val="Indenti"/>
        <w:spacing w:before="100"/>
      </w:pPr>
      <w:r>
        <w:tab/>
        <w:t>(ii)</w:t>
      </w:r>
      <w:r>
        <w:tab/>
        <w:t>not more than one litre in aggregate, in one or more sealed containers, for consumption off those premises;</w:t>
      </w:r>
    </w:p>
    <w:p>
      <w:pPr>
        <w:pStyle w:val="Indenta"/>
        <w:spacing w:before="100"/>
      </w:pPr>
      <w:r>
        <w:tab/>
      </w:r>
      <w:r>
        <w:tab/>
        <w:t>and</w:t>
      </w:r>
    </w:p>
    <w:p>
      <w:pPr>
        <w:pStyle w:val="Indenta"/>
        <w:spacing w:before="100"/>
      </w:pPr>
      <w:r>
        <w:tab/>
        <w:t>(e)</w:t>
      </w:r>
      <w:r>
        <w:tab/>
        <w:t>the liquor is not supplied to a drunk customer; and</w:t>
      </w:r>
    </w:p>
    <w:p>
      <w:pPr>
        <w:pStyle w:val="Indenta"/>
        <w:spacing w:before="100"/>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pPr>
      <w:bookmarkStart w:id="20" w:name="_Toc371600433"/>
      <w:r>
        <w:rPr>
          <w:rStyle w:val="CharSectno"/>
        </w:rPr>
        <w:t>8D</w:t>
      </w:r>
      <w:r>
        <w:t>.</w:t>
      </w:r>
      <w:r>
        <w:tab/>
        <w:t>Exemption from Act, sales etc. at farmers’ markets</w:t>
      </w:r>
      <w:bookmarkEnd w:id="20"/>
    </w:p>
    <w:p>
      <w:pPr>
        <w:pStyle w:val="Subsection"/>
      </w:pPr>
      <w:r>
        <w:tab/>
        <w:t>(1)</w:t>
      </w:r>
      <w:r>
        <w:tab/>
        <w:t xml:space="preserve">In this regulation — </w:t>
      </w:r>
    </w:p>
    <w:p>
      <w:pPr>
        <w:pStyle w:val="Defstart"/>
        <w:spacing w:before="100"/>
      </w:pPr>
      <w:r>
        <w:tab/>
      </w:r>
      <w:r>
        <w:rPr>
          <w:rStyle w:val="CharDefText"/>
        </w:rPr>
        <w:t>agricultural region</w:t>
      </w:r>
      <w:r>
        <w:t xml:space="preserve"> — </w:t>
      </w:r>
    </w:p>
    <w:p>
      <w:pPr>
        <w:pStyle w:val="Defpara"/>
        <w:spacing w:before="100"/>
      </w:pPr>
      <w:r>
        <w:tab/>
        <w:t>(a)</w:t>
      </w:r>
      <w:r>
        <w:tab/>
        <w:t>means an area of the State in which the land use is primarily for primary production; and</w:t>
      </w:r>
    </w:p>
    <w:p>
      <w:pPr>
        <w:pStyle w:val="Defpara"/>
        <w:spacing w:before="100"/>
      </w:pPr>
      <w:r>
        <w:tab/>
        <w:t>(b)</w:t>
      </w:r>
      <w:r>
        <w:tab/>
        <w:t>includes any townsite within an area of that kind;</w:t>
      </w:r>
    </w:p>
    <w:p>
      <w:pPr>
        <w:pStyle w:val="Defstart"/>
        <w:spacing w:before="100"/>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spacing w:before="100"/>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spacing w:before="100"/>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21" w:name="_Toc371600434"/>
      <w:r>
        <w:rPr>
          <w:rStyle w:val="CharSectno"/>
        </w:rPr>
        <w:t>8E</w:t>
      </w:r>
      <w:r>
        <w:t>.</w:t>
      </w:r>
      <w:r>
        <w:tab/>
        <w:t>Exemption from Act, sales etc. at functions on licensed premises</w:t>
      </w:r>
      <w:bookmarkEnd w:id="21"/>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22" w:name="_Toc371600435"/>
      <w:r>
        <w:rPr>
          <w:rStyle w:val="CharSectno"/>
        </w:rPr>
        <w:t>8F</w:t>
      </w:r>
      <w:r>
        <w:t>.</w:t>
      </w:r>
      <w:r>
        <w:tab/>
        <w:t>Exemption from Act, consumption in certain charter vehicles</w:t>
      </w:r>
      <w:bookmarkEnd w:id="22"/>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spacing w:before="70"/>
      </w:pPr>
      <w:r>
        <w:tab/>
        <w:t>(i)</w:t>
      </w:r>
      <w:r>
        <w:tab/>
        <w:t>that the vehicle must not have a taximeter fitted to it;</w:t>
      </w:r>
    </w:p>
    <w:p>
      <w:pPr>
        <w:pStyle w:val="Defsubpara"/>
        <w:spacing w:before="70"/>
      </w:pPr>
      <w:r>
        <w:tab/>
        <w:t>(ii)</w:t>
      </w:r>
      <w:r>
        <w:tab/>
        <w:t>that the vehicle must not display taxi signs;</w:t>
      </w:r>
    </w:p>
    <w:p>
      <w:pPr>
        <w:pStyle w:val="Defsubpara"/>
        <w:spacing w:before="70"/>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spacing w:before="70"/>
      </w:pPr>
      <w:r>
        <w:tab/>
        <w:t>(a)</w:t>
      </w:r>
      <w:r>
        <w:tab/>
        <w:t>that is equipped to carry a maximum of 14 adult passengers (excluding the driver); and</w:t>
      </w:r>
    </w:p>
    <w:p>
      <w:pPr>
        <w:pStyle w:val="Defpara"/>
        <w:spacing w:before="70"/>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spacing w:before="70"/>
      </w:pPr>
      <w:r>
        <w:tab/>
        <w:t>(c)</w:t>
      </w:r>
      <w:r>
        <w:tab/>
        <w:t xml:space="preserve">that has fixed to it number plates that — </w:t>
      </w:r>
    </w:p>
    <w:p>
      <w:pPr>
        <w:pStyle w:val="Defsubpara"/>
        <w:spacing w:before="70"/>
      </w:pPr>
      <w:r>
        <w:tab/>
        <w:t>(i)</w:t>
      </w:r>
      <w:r>
        <w:tab/>
        <w:t>are issued under section 32A of that Act in respect of that vehicle; and</w:t>
      </w:r>
    </w:p>
    <w:p>
      <w:pPr>
        <w:pStyle w:val="Defsubpara"/>
        <w:spacing w:before="70"/>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spacing w:before="70"/>
      </w:pPr>
      <w:r>
        <w:tab/>
        <w:t>(a)</w:t>
      </w:r>
      <w:r>
        <w:tab/>
        <w:t>the liquor is consumed by the person while he or she is a passenger in a vehicle being operated as a country charter vehicle or a small charter vehicle; and</w:t>
      </w:r>
    </w:p>
    <w:p>
      <w:pPr>
        <w:pStyle w:val="Indenta"/>
        <w:spacing w:before="70"/>
      </w:pPr>
      <w:r>
        <w:tab/>
        <w:t>(b)</w:t>
      </w:r>
      <w:r>
        <w:tab/>
        <w:t>any juveniles in the vehicle are accompanied by, and under the supervision of, a responsible adult; and</w:t>
      </w:r>
    </w:p>
    <w:p>
      <w:pPr>
        <w:pStyle w:val="Indenta"/>
        <w:spacing w:before="70"/>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23" w:name="_Toc371600436"/>
      <w:r>
        <w:rPr>
          <w:rStyle w:val="CharSectno"/>
        </w:rPr>
        <w:t>9</w:t>
      </w:r>
      <w:r>
        <w:rPr>
          <w:snapToGrid w:val="0"/>
        </w:rPr>
        <w:t>.</w:t>
      </w:r>
      <w:r>
        <w:rPr>
          <w:snapToGrid w:val="0"/>
        </w:rPr>
        <w:tab/>
        <w:t>Persons prescribed (to take etc. oaths etc.) (Act s. 18(3)(c))</w:t>
      </w:r>
      <w:bookmarkEnd w:id="23"/>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24" w:name="_Toc371600437"/>
      <w:r>
        <w:rPr>
          <w:rStyle w:val="CharSectno"/>
        </w:rPr>
        <w:t>9AA</w:t>
      </w:r>
      <w:r>
        <w:t>.</w:t>
      </w:r>
      <w:r>
        <w:tab/>
        <w:t xml:space="preserve">Distance prescribed </w:t>
      </w:r>
      <w:r>
        <w:rPr>
          <w:snapToGrid w:val="0"/>
        </w:rPr>
        <w:t>(Act s.</w:t>
      </w:r>
      <w:r>
        <w:t> 36A(2)(b))</w:t>
      </w:r>
      <w:bookmarkEnd w:id="24"/>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spacing w:before="180"/>
        <w:rPr>
          <w:snapToGrid w:val="0"/>
        </w:rPr>
      </w:pPr>
      <w:bookmarkStart w:id="25" w:name="_Toc371600438"/>
      <w:r>
        <w:rPr>
          <w:rStyle w:val="CharSectno"/>
        </w:rPr>
        <w:t>9A</w:t>
      </w:r>
      <w:r>
        <w:t>.</w:t>
      </w:r>
      <w:r>
        <w:tab/>
      </w:r>
      <w:r>
        <w:rPr>
          <w:snapToGrid w:val="0"/>
        </w:rPr>
        <w:t>Special facility licence, purposes for which may be granted</w:t>
      </w:r>
      <w:bookmarkEnd w:id="25"/>
    </w:p>
    <w:p>
      <w:pPr>
        <w:pStyle w:val="MiscellaneousHeading"/>
        <w:jc w:val="left"/>
        <w:rPr>
          <w:snapToGrid w:val="0"/>
        </w:rPr>
      </w:pPr>
      <w:r>
        <w:rPr>
          <w:b/>
          <w:snapToGrid w:val="0"/>
        </w:rPr>
        <w:t>Works canteen</w:t>
      </w:r>
    </w:p>
    <w:p>
      <w:pPr>
        <w:pStyle w:val="Subsection"/>
        <w:spacing w:before="120"/>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spacing w:before="200"/>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spacing w:before="200"/>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spacing w:before="200"/>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spacing w:before="60"/>
        <w:rPr>
          <w:snapToGrid w:val="0"/>
        </w:rPr>
      </w:pPr>
      <w:r>
        <w:rPr>
          <w:snapToGrid w:val="0"/>
        </w:rPr>
        <w:tab/>
        <w:t>(a)</w:t>
      </w:r>
      <w:r>
        <w:rPr>
          <w:snapToGrid w:val="0"/>
        </w:rPr>
        <w:tab/>
        <w:t>an attraction for tourists; or</w:t>
      </w:r>
    </w:p>
    <w:p>
      <w:pPr>
        <w:pStyle w:val="Indenta"/>
        <w:spacing w:before="60"/>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spacing w:before="60"/>
      </w:pPr>
      <w:r>
        <w:tab/>
        <w:t>(a)</w:t>
      </w:r>
      <w:r>
        <w:tab/>
        <w:t>staying at a place that is at least 40 km from his or her usual place of residence for a period of at least one night; and</w:t>
      </w:r>
    </w:p>
    <w:p>
      <w:pPr>
        <w:pStyle w:val="Defpara"/>
        <w:spacing w:before="60"/>
      </w:pPr>
      <w:r>
        <w:tab/>
        <w:t>(b)</w:t>
      </w:r>
      <w:r>
        <w:tab/>
        <w:t>intending to stay away from his or her usual place of residence for a period of less than 12 months; and</w:t>
      </w:r>
    </w:p>
    <w:p>
      <w:pPr>
        <w:pStyle w:val="Defpara"/>
        <w:spacing w:before="60"/>
      </w:pPr>
      <w:r>
        <w:tab/>
        <w:t>(c)</w:t>
      </w:r>
      <w:r>
        <w:tab/>
        <w:t>not in the course of travelling on a regular journey between his or her usual place of residence and his or her place of work or education; and</w:t>
      </w:r>
    </w:p>
    <w:p>
      <w:pPr>
        <w:pStyle w:val="Defpara"/>
        <w:spacing w:before="60"/>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ml samples for tasting purposes; or</w:t>
      </w:r>
    </w:p>
    <w:p>
      <w:pPr>
        <w:pStyle w:val="Indenti"/>
      </w:pPr>
      <w:r>
        <w:tab/>
        <w:t>(ii)</w:t>
      </w:r>
      <w:r>
        <w:tab/>
        <w:t>for packaged liquor — to the provision of not more than 9 litres to any person and in any transaction;</w:t>
      </w:r>
    </w:p>
    <w:p>
      <w:pPr>
        <w:pStyle w:val="Indenta"/>
        <w:keepNext/>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spacing w:before="60"/>
      </w:pPr>
      <w:r>
        <w:tab/>
        <w:t>(a)</w:t>
      </w:r>
      <w:r>
        <w:tab/>
        <w:t>the liquor is consumed at the restaurant —</w:t>
      </w:r>
    </w:p>
    <w:p>
      <w:pPr>
        <w:pStyle w:val="Indenti"/>
        <w:spacing w:before="60"/>
      </w:pPr>
      <w:r>
        <w:tab/>
        <w:t>(i)</w:t>
      </w:r>
      <w:r>
        <w:tab/>
        <w:t>during hours that are permitted hours under a hotel licence; and</w:t>
      </w:r>
    </w:p>
    <w:p>
      <w:pPr>
        <w:pStyle w:val="Indenti"/>
        <w:spacing w:before="60"/>
      </w:pPr>
      <w:r>
        <w:tab/>
        <w:t>(ii)</w:t>
      </w:r>
      <w:r>
        <w:tab/>
        <w:t>by customers while sitting at a table, or at a fixed structure used as a table;</w:t>
      </w:r>
    </w:p>
    <w:p>
      <w:pPr>
        <w:pStyle w:val="Indenta"/>
        <w:spacing w:before="60"/>
      </w:pPr>
      <w:r>
        <w:tab/>
      </w:r>
      <w:r>
        <w:tab/>
        <w:t>and</w:t>
      </w:r>
    </w:p>
    <w:p>
      <w:pPr>
        <w:pStyle w:val="Indenta"/>
        <w:spacing w:before="60"/>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spacing w:before="60"/>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spacing w:before="200"/>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spacing w:before="200"/>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26" w:name="_Toc371600439"/>
      <w:r>
        <w:rPr>
          <w:rStyle w:val="CharSectno"/>
        </w:rPr>
        <w:t>9AB</w:t>
      </w:r>
      <w:r>
        <w:t>.</w:t>
      </w:r>
      <w:r>
        <w:tab/>
        <w:t xml:space="preserve">Kind of extended trading permit prescribed </w:t>
      </w:r>
      <w:r>
        <w:rPr>
          <w:snapToGrid w:val="0"/>
        </w:rPr>
        <w:t>(Act s.</w:t>
      </w:r>
      <w:r>
        <w:t> 25(5a))</w:t>
      </w:r>
      <w:bookmarkEnd w:id="26"/>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27" w:name="_Toc371600440"/>
      <w:r>
        <w:rPr>
          <w:rStyle w:val="CharSectno"/>
        </w:rPr>
        <w:t>9B</w:t>
      </w:r>
      <w:r>
        <w:rPr>
          <w:snapToGrid w:val="0"/>
        </w:rPr>
        <w:t>.</w:t>
      </w:r>
      <w:r>
        <w:rPr>
          <w:snapToGrid w:val="0"/>
        </w:rPr>
        <w:tab/>
        <w:t>Special facility licence, effect of as to sale of packaged liquor</w:t>
      </w:r>
      <w:bookmarkEnd w:id="27"/>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8" w:name="_Toc371600441"/>
      <w:r>
        <w:rPr>
          <w:rStyle w:val="CharSectno"/>
        </w:rPr>
        <w:t>9C</w:t>
      </w:r>
      <w:r>
        <w:rPr>
          <w:snapToGrid w:val="0"/>
        </w:rPr>
        <w:t>.</w:t>
      </w:r>
      <w:r>
        <w:rPr>
          <w:snapToGrid w:val="0"/>
        </w:rPr>
        <w:tab/>
        <w:t>Types of special facility licence prescribed (Act s. 46(6))</w:t>
      </w:r>
      <w:bookmarkEnd w:id="28"/>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spacing w:before="50"/>
      </w:pPr>
      <w:r>
        <w:rPr>
          <w:snapToGrid w:val="0"/>
        </w:rPr>
        <w:tab/>
        <w:t>(a)</w:t>
      </w:r>
      <w:r>
        <w:rPr>
          <w:snapToGrid w:val="0"/>
        </w:rPr>
        <w:tab/>
      </w:r>
      <w:r>
        <w:t>regulation 9A(1) — works canteen;</w:t>
      </w:r>
    </w:p>
    <w:p>
      <w:pPr>
        <w:pStyle w:val="Indenta"/>
        <w:spacing w:before="50"/>
      </w:pPr>
      <w:r>
        <w:tab/>
        <w:t>(b)</w:t>
      </w:r>
      <w:r>
        <w:tab/>
        <w:t>regulation 9A(6) — transport;</w:t>
      </w:r>
    </w:p>
    <w:p>
      <w:pPr>
        <w:pStyle w:val="Indenta"/>
        <w:spacing w:before="50"/>
      </w:pPr>
      <w:r>
        <w:tab/>
        <w:t>(ca)</w:t>
      </w:r>
      <w:r>
        <w:tab/>
        <w:t>regulation 9A(10) — education and training institution;</w:t>
      </w:r>
    </w:p>
    <w:p>
      <w:pPr>
        <w:pStyle w:val="Indenta"/>
        <w:spacing w:before="50"/>
      </w:pPr>
      <w:r>
        <w:tab/>
        <w:t>(cb)</w:t>
      </w:r>
      <w:r>
        <w:tab/>
        <w:t>regulation 9A(10a) — education and training course;</w:t>
      </w:r>
    </w:p>
    <w:p>
      <w:pPr>
        <w:pStyle w:val="Indenta"/>
        <w:spacing w:before="50"/>
      </w:pPr>
      <w:r>
        <w:tab/>
        <w:t>(cc)</w:t>
      </w:r>
      <w:r>
        <w:tab/>
        <w:t>regulation 9A(10c) — approved viticulture course;</w:t>
      </w:r>
    </w:p>
    <w:p>
      <w:pPr>
        <w:pStyle w:val="Indenta"/>
        <w:spacing w:before="50"/>
      </w:pPr>
      <w:r>
        <w:tab/>
        <w:t>(c)</w:t>
      </w:r>
      <w:r>
        <w:tab/>
        <w:t>regulation 9A(11) — sports arena;</w:t>
      </w:r>
    </w:p>
    <w:p>
      <w:pPr>
        <w:pStyle w:val="Indenta"/>
        <w:spacing w:before="50"/>
      </w:pPr>
      <w:r>
        <w:tab/>
        <w:t>(d)</w:t>
      </w:r>
      <w:r>
        <w:tab/>
        <w:t>regulation 9A(12) — foodhall;</w:t>
      </w:r>
    </w:p>
    <w:p>
      <w:pPr>
        <w:pStyle w:val="Indenta"/>
        <w:spacing w:before="50"/>
      </w:pPr>
      <w:r>
        <w:tab/>
        <w:t>(e)</w:t>
      </w:r>
      <w:r>
        <w:tab/>
        <w:t>regulation 9A(13) — catering;</w:t>
      </w:r>
    </w:p>
    <w:p>
      <w:pPr>
        <w:pStyle w:val="Indenta"/>
        <w:spacing w:before="50"/>
      </w:pPr>
      <w:r>
        <w:tab/>
        <w:t>(f)</w:t>
      </w:r>
      <w:r>
        <w:tab/>
        <w:t>regulation 9A(14) — bed and breakfast facility;</w:t>
      </w:r>
    </w:p>
    <w:p>
      <w:pPr>
        <w:pStyle w:val="Indenta"/>
        <w:spacing w:before="50"/>
      </w:pPr>
      <w:r>
        <w:tab/>
        <w:t>(g)</w:t>
      </w:r>
      <w:r>
        <w:tab/>
        <w:t>regulation 9A(15) and (16) — room service restaurant;</w:t>
      </w:r>
    </w:p>
    <w:p>
      <w:pPr>
        <w:pStyle w:val="Ednotepara"/>
        <w:spacing w:before="50"/>
      </w:pPr>
      <w:r>
        <w:rPr>
          <w:snapToGrid w:val="0"/>
        </w:rPr>
        <w:tab/>
        <w:t>[(h)</w:t>
      </w:r>
      <w:r>
        <w:rPr>
          <w:snapToGrid w:val="0"/>
        </w:rPr>
        <w:tab/>
        <w:t>deleted]</w:t>
      </w:r>
    </w:p>
    <w:p>
      <w:pPr>
        <w:pStyle w:val="Indenta"/>
        <w:spacing w:before="50"/>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9" w:name="_Toc371600442"/>
      <w:r>
        <w:rPr>
          <w:rStyle w:val="CharSectno"/>
        </w:rPr>
        <w:t>9D</w:t>
      </w:r>
      <w:r>
        <w:t>.</w:t>
      </w:r>
      <w:r>
        <w:tab/>
      </w:r>
      <w:r>
        <w:rPr>
          <w:snapToGrid w:val="0"/>
        </w:rPr>
        <w:t>Act s.</w:t>
      </w:r>
      <w:r>
        <w:t> 33(6b) modified as to occasional licences</w:t>
      </w:r>
      <w:bookmarkEnd w:id="29"/>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30" w:name="_Toc371600443"/>
      <w:r>
        <w:rPr>
          <w:rStyle w:val="CharSectno"/>
        </w:rPr>
        <w:t>9E</w:t>
      </w:r>
      <w:r>
        <w:t>.</w:t>
      </w:r>
      <w:r>
        <w:tab/>
        <w:t>Period prescribed (Act s. 33(6D)(b))</w:t>
      </w:r>
      <w:bookmarkEnd w:id="30"/>
    </w:p>
    <w:p>
      <w:pPr>
        <w:pStyle w:val="Subsection"/>
      </w:pPr>
      <w:r>
        <w:tab/>
      </w:r>
      <w:r>
        <w:tab/>
        <w:t>For the purposes of section 33(6D)(b) the period of 3 months is prescribed.</w:t>
      </w:r>
    </w:p>
    <w:p>
      <w:pPr>
        <w:pStyle w:val="Footnotesection"/>
      </w:pPr>
      <w:r>
        <w:tab/>
        <w:t>[Regulation 9E inserted in Gazette 16 Nov 2012 p. 5658.]</w:t>
      </w:r>
    </w:p>
    <w:p>
      <w:pPr>
        <w:pStyle w:val="Heading5"/>
      </w:pPr>
      <w:bookmarkStart w:id="31" w:name="_Toc371600444"/>
      <w:r>
        <w:rPr>
          <w:rStyle w:val="CharSectno"/>
        </w:rPr>
        <w:t>9F</w:t>
      </w:r>
      <w:r>
        <w:t>.</w:t>
      </w:r>
      <w:r>
        <w:tab/>
        <w:t>Kinds of permit prescribed (Act s. 38(1)(b))</w:t>
      </w:r>
      <w:bookmarkEnd w:id="31"/>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pPr>
      <w:bookmarkStart w:id="32" w:name="_Toc371600445"/>
      <w:r>
        <w:rPr>
          <w:rStyle w:val="CharSectno"/>
        </w:rPr>
        <w:t>9G</w:t>
      </w:r>
      <w:r>
        <w:t>.</w:t>
      </w:r>
      <w:r>
        <w:tab/>
        <w:t xml:space="preserve">Reciprocal arrangements for club membership, requirements for </w:t>
      </w:r>
      <w:r>
        <w:rPr>
          <w:snapToGrid w:val="0"/>
        </w:rPr>
        <w:t>(Act s.</w:t>
      </w:r>
      <w:r>
        <w:t> 49(3)(c)(iv))</w:t>
      </w:r>
      <w:bookmarkEnd w:id="32"/>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33" w:name="_Toc371600446"/>
      <w:r>
        <w:rPr>
          <w:rStyle w:val="CharSectno"/>
        </w:rPr>
        <w:t>10</w:t>
      </w:r>
      <w:r>
        <w:rPr>
          <w:snapToGrid w:val="0"/>
        </w:rPr>
        <w:t>.</w:t>
      </w:r>
      <w:r>
        <w:rPr>
          <w:snapToGrid w:val="0"/>
        </w:rPr>
        <w:tab/>
        <w:t>Requirements prescribed (Act s. </w:t>
      </w:r>
      <w:r>
        <w:t>57(2)(d)</w:t>
      </w:r>
      <w:r>
        <w:rPr>
          <w:snapToGrid w:val="0"/>
        </w:rPr>
        <w:t>)</w:t>
      </w:r>
      <w:bookmarkEnd w:id="33"/>
    </w:p>
    <w:p>
      <w:pPr>
        <w:pStyle w:val="Subsection"/>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6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spacing w:before="60"/>
        <w:rPr>
          <w:snapToGrid w:val="0"/>
        </w:rPr>
      </w:pPr>
      <w:r>
        <w:rPr>
          <w:snapToGrid w:val="0"/>
        </w:rPr>
        <w:tab/>
        <w:t>(i)</w:t>
      </w:r>
      <w:r>
        <w:rPr>
          <w:snapToGrid w:val="0"/>
        </w:rPr>
        <w:tab/>
        <w:t>has access to such facilities; and</w:t>
      </w:r>
    </w:p>
    <w:p>
      <w:pPr>
        <w:pStyle w:val="Indenti"/>
        <w:spacing w:before="60"/>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spacing w:before="60"/>
        <w:rPr>
          <w:snapToGrid w:val="0"/>
        </w:rPr>
      </w:pPr>
      <w:r>
        <w:rPr>
          <w:snapToGrid w:val="0"/>
        </w:rPr>
        <w:tab/>
        <w:t>(i)</w:t>
      </w:r>
      <w:r>
        <w:rPr>
          <w:snapToGrid w:val="0"/>
        </w:rPr>
        <w:tab/>
        <w:t>those premises; or</w:t>
      </w:r>
    </w:p>
    <w:p>
      <w:pPr>
        <w:pStyle w:val="Indenti"/>
        <w:spacing w:before="60"/>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60"/>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34" w:name="_Toc371600447"/>
      <w:r>
        <w:rPr>
          <w:rStyle w:val="CharSectno"/>
        </w:rPr>
        <w:t>10A</w:t>
      </w:r>
      <w:r>
        <w:rPr>
          <w:snapToGrid w:val="0"/>
        </w:rPr>
        <w:t>.</w:t>
      </w:r>
      <w:r>
        <w:rPr>
          <w:snapToGrid w:val="0"/>
        </w:rPr>
        <w:tab/>
        <w:t>Condition prescribed (Act s. 55(2))</w:t>
      </w:r>
      <w:bookmarkEnd w:id="34"/>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35" w:name="_Toc371600448"/>
      <w:r>
        <w:rPr>
          <w:rStyle w:val="CharSectno"/>
        </w:rPr>
        <w:t>11</w:t>
      </w:r>
      <w:r>
        <w:rPr>
          <w:snapToGrid w:val="0"/>
        </w:rPr>
        <w:t>.</w:t>
      </w:r>
      <w:r>
        <w:rPr>
          <w:snapToGrid w:val="0"/>
        </w:rPr>
        <w:tab/>
        <w:t>Plans and specifications, requirements for (Act s. 66(4) and (5))</w:t>
      </w:r>
      <w:bookmarkEnd w:id="35"/>
    </w:p>
    <w:p>
      <w:pPr>
        <w:pStyle w:val="Subsection"/>
      </w:pPr>
      <w:r>
        <w:tab/>
        <w:t>(1)</w:t>
      </w:r>
      <w:r>
        <w:tab/>
        <w:t>In this regulation —</w:t>
      </w:r>
    </w:p>
    <w:p>
      <w:pPr>
        <w:pStyle w:val="Defstart"/>
        <w:spacing w:before="60"/>
      </w:pPr>
      <w:r>
        <w:rPr>
          <w:b/>
        </w:rPr>
        <w:tab/>
      </w:r>
      <w:r>
        <w:rPr>
          <w:rStyle w:val="CharDefText"/>
        </w:rPr>
        <w:t>bar</w:t>
      </w:r>
      <w:r>
        <w:t xml:space="preserve"> means an area that contains a fixed structure at which liquor is, or is to be, served and consumed;</w:t>
      </w:r>
    </w:p>
    <w:p>
      <w:pPr>
        <w:pStyle w:val="Defstart"/>
        <w:spacing w:before="60"/>
      </w:pPr>
      <w:r>
        <w:rPr>
          <w:b/>
        </w:rPr>
        <w:tab/>
      </w:r>
      <w:r>
        <w:rPr>
          <w:rStyle w:val="CharDefText"/>
        </w:rPr>
        <w:t>relevant lot</w:t>
      </w:r>
      <w:r>
        <w:t xml:space="preserve"> means the area of land on which the relevant premises are, or are to be, situated;</w:t>
      </w:r>
    </w:p>
    <w:p>
      <w:pPr>
        <w:pStyle w:val="Defstart"/>
        <w:spacing w:before="60"/>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spacing w:before="260"/>
      </w:pPr>
      <w:r>
        <w:t>[</w:t>
      </w:r>
      <w:r>
        <w:rPr>
          <w:b/>
          <w:bCs/>
        </w:rPr>
        <w:t>12.</w:t>
      </w:r>
      <w:r>
        <w:tab/>
        <w:t>Deleted in Gazette 28 Sep 2007 p. 4928.]</w:t>
      </w:r>
    </w:p>
    <w:p>
      <w:pPr>
        <w:pStyle w:val="Ednotesection"/>
        <w:keepNext/>
        <w:tabs>
          <w:tab w:val="clear" w:pos="893"/>
        </w:tabs>
        <w:spacing w:before="260"/>
        <w:ind w:left="0" w:firstLine="0"/>
      </w:pPr>
      <w:r>
        <w:t>[</w:t>
      </w:r>
      <w:r>
        <w:rPr>
          <w:b/>
        </w:rPr>
        <w:t>12A</w:t>
      </w:r>
      <w:r>
        <w:rPr>
          <w:b/>
        </w:rPr>
        <w:noBreakHyphen/>
        <w:t>12D.</w:t>
      </w:r>
      <w:r>
        <w:tab/>
        <w:t>Omitted under the Reprints Act 1984 s. 7(4)(e).]</w:t>
      </w:r>
    </w:p>
    <w:p>
      <w:pPr>
        <w:pStyle w:val="Heading5"/>
        <w:spacing w:before="260"/>
        <w:rPr>
          <w:snapToGrid w:val="0"/>
        </w:rPr>
      </w:pPr>
      <w:bookmarkStart w:id="36" w:name="_Toc371600449"/>
      <w:r>
        <w:rPr>
          <w:rStyle w:val="CharSectno"/>
        </w:rPr>
        <w:t>13</w:t>
      </w:r>
      <w:r>
        <w:rPr>
          <w:snapToGrid w:val="0"/>
        </w:rPr>
        <w:t>.</w:t>
      </w:r>
      <w:r>
        <w:rPr>
          <w:snapToGrid w:val="0"/>
        </w:rPr>
        <w:tab/>
        <w:t>Records as to applicant, requirements for (Act s. 68(1)(b))</w:t>
      </w:r>
      <w:bookmarkEnd w:id="36"/>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spacing w:before="260"/>
      </w:pPr>
      <w:r>
        <w:t>[</w:t>
      </w:r>
      <w:r>
        <w:rPr>
          <w:b/>
          <w:bCs/>
        </w:rPr>
        <w:t>14.</w:t>
      </w:r>
      <w:r>
        <w:tab/>
        <w:t>Deleted in Gazette 28 Sep 2007 p. 4928.]</w:t>
      </w:r>
    </w:p>
    <w:p>
      <w:pPr>
        <w:pStyle w:val="Heading5"/>
        <w:spacing w:before="260"/>
      </w:pPr>
      <w:bookmarkStart w:id="37" w:name="_Toc371600450"/>
      <w:r>
        <w:rPr>
          <w:rStyle w:val="CharSectno"/>
        </w:rPr>
        <w:t>14A</w:t>
      </w:r>
      <w:r>
        <w:t>.</w:t>
      </w:r>
      <w:r>
        <w:tab/>
        <w:t xml:space="preserve">Types etc. of premises prescribed </w:t>
      </w:r>
      <w:r>
        <w:rPr>
          <w:snapToGrid w:val="0"/>
        </w:rPr>
        <w:t>(Act s. 77(5a)(b))</w:t>
      </w:r>
      <w:bookmarkEnd w:id="37"/>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38" w:name="_Toc371600451"/>
      <w:r>
        <w:rPr>
          <w:rStyle w:val="CharSectno"/>
        </w:rPr>
        <w:t>14AB</w:t>
      </w:r>
      <w:r>
        <w:t>.</w:t>
      </w:r>
      <w:r>
        <w:tab/>
        <w:t xml:space="preserve">Requirement for lodgment of application prescribed </w:t>
      </w:r>
      <w:r>
        <w:rPr>
          <w:snapToGrid w:val="0"/>
        </w:rPr>
        <w:t>(Act s. </w:t>
      </w:r>
      <w:r>
        <w:t>75(1)(b))</w:t>
      </w:r>
      <w:bookmarkEnd w:id="38"/>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spacing w:before="100"/>
        <w:ind w:left="890" w:hanging="890"/>
      </w:pPr>
      <w:r>
        <w:tab/>
        <w:t>[Regulation 14AB inserted in Gazette 1 May 2007 p. 1876</w:t>
      </w:r>
      <w:r>
        <w:noBreakHyphen/>
        <w:t>7; amended in Gazette 22 Oct 2010 p. 5227.]</w:t>
      </w:r>
    </w:p>
    <w:p>
      <w:pPr>
        <w:pStyle w:val="Heading5"/>
      </w:pPr>
      <w:bookmarkStart w:id="39" w:name="_Toc371600452"/>
      <w:r>
        <w:rPr>
          <w:rStyle w:val="CharSectno"/>
        </w:rPr>
        <w:t>14AC</w:t>
      </w:r>
      <w:r>
        <w:t>.</w:t>
      </w:r>
      <w:r>
        <w:tab/>
        <w:t xml:space="preserve">Requirement for lodgment of application prescribed </w:t>
      </w:r>
      <w:r>
        <w:rPr>
          <w:snapToGrid w:val="0"/>
        </w:rPr>
        <w:t>(Act s. </w:t>
      </w:r>
      <w:r>
        <w:t>76(1)(b))</w:t>
      </w:r>
      <w:bookmarkEnd w:id="39"/>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pPr>
      <w:bookmarkStart w:id="40" w:name="_Toc371600453"/>
      <w:r>
        <w:rPr>
          <w:rStyle w:val="CharSectno"/>
        </w:rPr>
        <w:t>14ADA</w:t>
      </w:r>
      <w:r>
        <w:t>.</w:t>
      </w:r>
      <w:r>
        <w:tab/>
        <w:t>Manager’s approval, application for (Act s. 102B)</w:t>
      </w:r>
      <w:bookmarkEnd w:id="40"/>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spacing w:before="280"/>
      </w:pPr>
      <w:bookmarkStart w:id="41" w:name="_Toc371600454"/>
      <w:r>
        <w:rPr>
          <w:rStyle w:val="CharSectno"/>
        </w:rPr>
        <w:t>14ADB</w:t>
      </w:r>
      <w:r>
        <w:t>.</w:t>
      </w:r>
      <w:r>
        <w:tab/>
        <w:t>Manager’s approval, conditions on (Act s. 102C)</w:t>
      </w:r>
      <w:bookmarkEnd w:id="41"/>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spacing w:before="260"/>
      </w:pPr>
      <w:bookmarkStart w:id="42" w:name="_Toc371600455"/>
      <w:r>
        <w:rPr>
          <w:rStyle w:val="CharSectno"/>
        </w:rPr>
        <w:t>14ADC</w:t>
      </w:r>
      <w:r>
        <w:t>.</w:t>
      </w:r>
      <w:r>
        <w:tab/>
        <w:t>Manager’s approval, duration of (Act s. 102D)</w:t>
      </w:r>
      <w:bookmarkEnd w:id="42"/>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spacing w:before="260"/>
      </w:pPr>
      <w:bookmarkStart w:id="43" w:name="_Toc371600456"/>
      <w:r>
        <w:rPr>
          <w:rStyle w:val="CharSectno"/>
        </w:rPr>
        <w:t>14ADD</w:t>
      </w:r>
      <w:r>
        <w:t>.</w:t>
      </w:r>
      <w:r>
        <w:tab/>
        <w:t>Manager’s approval, renewal of (Act s. 102E)</w:t>
      </w:r>
      <w:bookmarkEnd w:id="43"/>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44" w:name="_Toc371600457"/>
      <w:r>
        <w:rPr>
          <w:rStyle w:val="CharSectno"/>
        </w:rPr>
        <w:t>14ADE</w:t>
      </w:r>
      <w:r>
        <w:t>.</w:t>
      </w:r>
      <w:r>
        <w:tab/>
        <w:t>Approved manager, identification card for</w:t>
      </w:r>
      <w:bookmarkEnd w:id="44"/>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45" w:name="_Toc371600458"/>
      <w:r>
        <w:rPr>
          <w:rStyle w:val="CharSectno"/>
        </w:rPr>
        <w:t>14ADF</w:t>
      </w:r>
      <w:r>
        <w:t>.</w:t>
      </w:r>
      <w:r>
        <w:tab/>
        <w:t>Lost etc. identification card, replacement of</w:t>
      </w:r>
      <w:bookmarkEnd w:id="45"/>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46" w:name="_Toc371600459"/>
      <w:r>
        <w:rPr>
          <w:rStyle w:val="CharSectno"/>
        </w:rPr>
        <w:t>14ADG</w:t>
      </w:r>
      <w:r>
        <w:t>.</w:t>
      </w:r>
      <w:r>
        <w:tab/>
        <w:t>Transitioned approvals (Act Sch. 1B)</w:t>
      </w:r>
      <w:bookmarkEnd w:id="46"/>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47" w:name="_Toc371600460"/>
      <w:r>
        <w:rPr>
          <w:rStyle w:val="CharSectno"/>
        </w:rPr>
        <w:t>14AD</w:t>
      </w:r>
      <w:r>
        <w:t>.</w:t>
      </w:r>
      <w:r>
        <w:tab/>
        <w:t xml:space="preserve">Responsible practices in selling etc. liquor, courses on required </w:t>
      </w:r>
      <w:r>
        <w:rPr>
          <w:snapToGrid w:val="0"/>
        </w:rPr>
        <w:t>(Act s. </w:t>
      </w:r>
      <w:r>
        <w:t>103A(1)(a))</w:t>
      </w:r>
      <w:bookmarkEnd w:id="47"/>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48" w:name="_Toc371600461"/>
      <w:r>
        <w:rPr>
          <w:rStyle w:val="CharSectno"/>
        </w:rPr>
        <w:t>14AE</w:t>
      </w:r>
      <w:r>
        <w:t>.</w:t>
      </w:r>
      <w:r>
        <w:tab/>
        <w:t>Offences for r. 14AD</w:t>
      </w:r>
      <w:bookmarkEnd w:id="48"/>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4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4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spacing w:before="80"/>
        <w:ind w:left="890" w:hanging="890"/>
      </w:pPr>
      <w:r>
        <w:tab/>
        <w:t>[Regulation 14AE inserted in Gazette 1 May 2007 p. 1879; amended in Gazette 2 Oct 2007 p. 4974; 22 Oct 2010 p. 5228.]</w:t>
      </w:r>
    </w:p>
    <w:p>
      <w:pPr>
        <w:pStyle w:val="Heading5"/>
        <w:spacing w:before="180"/>
      </w:pPr>
      <w:bookmarkStart w:id="49" w:name="_Toc371600462"/>
      <w:r>
        <w:rPr>
          <w:rStyle w:val="CharSectno"/>
        </w:rPr>
        <w:t>14AF</w:t>
      </w:r>
      <w:r>
        <w:t>.</w:t>
      </w:r>
      <w:r>
        <w:tab/>
        <w:t>Transitional provisions for r. 14AD</w:t>
      </w:r>
      <w:bookmarkEnd w:id="49"/>
    </w:p>
    <w:p>
      <w:pPr>
        <w:pStyle w:val="Subsection"/>
        <w:spacing w:before="14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4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80"/>
        <w:ind w:left="890" w:hanging="890"/>
      </w:pPr>
      <w:r>
        <w:tab/>
        <w:t>[Regulation 14AF inserted in Gazette 1 May 2007 p. 1879</w:t>
      </w:r>
      <w:r>
        <w:noBreakHyphen/>
        <w:t>80.]</w:t>
      </w:r>
    </w:p>
    <w:p>
      <w:pPr>
        <w:pStyle w:val="Heading5"/>
      </w:pPr>
      <w:bookmarkStart w:id="50" w:name="_Toc371600463"/>
      <w:r>
        <w:rPr>
          <w:rStyle w:val="CharSectno"/>
        </w:rPr>
        <w:t>14AG</w:t>
      </w:r>
      <w:r>
        <w:t>.</w:t>
      </w:r>
      <w:r>
        <w:tab/>
        <w:t>Licensee to maintain register </w:t>
      </w:r>
      <w:r>
        <w:rPr>
          <w:snapToGrid w:val="0"/>
        </w:rPr>
        <w:t>(Act s. </w:t>
      </w:r>
      <w:r>
        <w:t>103A(1)(b))</w:t>
      </w:r>
      <w:bookmarkEnd w:id="50"/>
    </w:p>
    <w:p>
      <w:pPr>
        <w:pStyle w:val="Subsection"/>
        <w:spacing w:before="14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spacing w:before="60"/>
      </w:pPr>
      <w:r>
        <w:tab/>
        <w:t>(a)</w:t>
      </w:r>
      <w:r>
        <w:tab/>
        <w:t>the name of the person; and</w:t>
      </w:r>
    </w:p>
    <w:p>
      <w:pPr>
        <w:pStyle w:val="Indenta"/>
        <w:spacing w:before="60"/>
      </w:pPr>
      <w:r>
        <w:tab/>
        <w:t>(b)</w:t>
      </w:r>
      <w:r>
        <w:tab/>
        <w:t>the date the person began his or her employment or engagement at the licensed premises; and</w:t>
      </w:r>
    </w:p>
    <w:p>
      <w:pPr>
        <w:pStyle w:val="Indenta"/>
        <w:spacing w:before="60"/>
      </w:pPr>
      <w:r>
        <w:tab/>
        <w:t>(c)</w:t>
      </w:r>
      <w:r>
        <w:tab/>
        <w:t>the name of the provider of the course of training or assessment; and</w:t>
      </w:r>
    </w:p>
    <w:p>
      <w:pPr>
        <w:pStyle w:val="Indenta"/>
        <w:spacing w:before="60"/>
      </w:pPr>
      <w:r>
        <w:tab/>
        <w:t>(d)</w:t>
      </w:r>
      <w:r>
        <w:tab/>
        <w:t>the State or Territory in which the person completed the course of training or assessment; and</w:t>
      </w:r>
    </w:p>
    <w:p>
      <w:pPr>
        <w:pStyle w:val="Indenta"/>
        <w:spacing w:before="60"/>
      </w:pPr>
      <w:r>
        <w:tab/>
        <w:t>(e)</w:t>
      </w:r>
      <w:r>
        <w:tab/>
        <w:t>the date of any certificate or other qualification obtained by the person on the completion of the course of training or assessment.</w:t>
      </w:r>
    </w:p>
    <w:p>
      <w:pPr>
        <w:pStyle w:val="Subsection"/>
        <w:spacing w:before="140"/>
      </w:pPr>
      <w:r>
        <w:tab/>
        <w:t>(1a)</w:t>
      </w:r>
      <w:r>
        <w:tab/>
        <w:t>A licensee who fails to maintain a register in accordance with subregulation (1) commits an offence.</w:t>
      </w:r>
    </w:p>
    <w:p>
      <w:pPr>
        <w:pStyle w:val="Penstart"/>
      </w:pPr>
      <w:r>
        <w:tab/>
        <w:t>Penalty: $5 000.</w:t>
      </w:r>
    </w:p>
    <w:p>
      <w:pPr>
        <w:pStyle w:val="Subsection"/>
        <w:spacing w:before="140"/>
      </w:pPr>
      <w:r>
        <w:tab/>
        <w:t>(2)</w:t>
      </w:r>
      <w:r>
        <w:tab/>
        <w:t>The licensee is required to keep a copy of the certificate or other qualification referred to in subregulation (1)(e).</w:t>
      </w:r>
    </w:p>
    <w:p>
      <w:pPr>
        <w:pStyle w:val="Footnotesection"/>
        <w:spacing w:before="100"/>
        <w:ind w:left="890" w:hanging="890"/>
      </w:pPr>
      <w:r>
        <w:tab/>
        <w:t>[Regulation 14AG inserted in Gazette 1 May 2007 p. 1880; amended in Gazette 28 Sep 2007 p. 4929.]</w:t>
      </w:r>
    </w:p>
    <w:p>
      <w:pPr>
        <w:pStyle w:val="Ednotesection"/>
        <w:spacing w:before="200"/>
      </w:pPr>
      <w:r>
        <w:t>[</w:t>
      </w:r>
      <w:r>
        <w:rPr>
          <w:b/>
          <w:bCs/>
        </w:rPr>
        <w:t>15.</w:t>
      </w:r>
      <w:r>
        <w:tab/>
        <w:t>Deleted in Gazette 28 Sep 2007 p. 4929.]</w:t>
      </w:r>
    </w:p>
    <w:p>
      <w:pPr>
        <w:pStyle w:val="Heading5"/>
        <w:spacing w:before="200"/>
        <w:rPr>
          <w:snapToGrid w:val="0"/>
        </w:rPr>
      </w:pPr>
      <w:bookmarkStart w:id="51" w:name="_Toc371600464"/>
      <w:r>
        <w:rPr>
          <w:rStyle w:val="CharSectno"/>
        </w:rPr>
        <w:t>16</w:t>
      </w:r>
      <w:r>
        <w:rPr>
          <w:snapToGrid w:val="0"/>
        </w:rPr>
        <w:t>.</w:t>
      </w:r>
      <w:r>
        <w:rPr>
          <w:snapToGrid w:val="0"/>
        </w:rPr>
        <w:tab/>
        <w:t>Amount of liability prescribed (Act s. 107)</w:t>
      </w:r>
      <w:bookmarkEnd w:id="51"/>
    </w:p>
    <w:p>
      <w:pPr>
        <w:pStyle w:val="Subsection"/>
        <w:spacing w:before="14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52" w:name="_Toc371600465"/>
      <w:r>
        <w:rPr>
          <w:rStyle w:val="CharSectno"/>
        </w:rPr>
        <w:t>17A</w:t>
      </w:r>
      <w:r>
        <w:t>.</w:t>
      </w:r>
      <w:r>
        <w:tab/>
        <w:t xml:space="preserve">Sports arenas prescribed (Act s. 110(4B) </w:t>
      </w:r>
      <w:r>
        <w:rPr>
          <w:i/>
        </w:rPr>
        <w:t>sports arena</w:t>
      </w:r>
      <w:r>
        <w:t>)</w:t>
      </w:r>
      <w:bookmarkEnd w:id="52"/>
    </w:p>
    <w:p>
      <w:pPr>
        <w:pStyle w:val="Subsection"/>
        <w:spacing w:before="140"/>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spacing w:before="60"/>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spacing w:before="60"/>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spacing w:before="60"/>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spacing w:before="60"/>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spacing w:before="60"/>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spacing w:before="60"/>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spacing w:before="60"/>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spacing w:before="60"/>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spacing w:before="60"/>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spacing w:before="60"/>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spacing w:before="100"/>
        <w:ind w:left="890" w:hanging="890"/>
      </w:pPr>
      <w:r>
        <w:tab/>
        <w:t>[Regulation 17A inserted in Gazette 4 Sep 2012 p. 4249-50.]</w:t>
      </w:r>
    </w:p>
    <w:p>
      <w:pPr>
        <w:pStyle w:val="Heading5"/>
        <w:spacing w:before="210"/>
        <w:rPr>
          <w:snapToGrid w:val="0"/>
        </w:rPr>
      </w:pPr>
      <w:bookmarkStart w:id="53" w:name="_Toc371600466"/>
      <w:r>
        <w:rPr>
          <w:rStyle w:val="CharSectno"/>
        </w:rPr>
        <w:t>17</w:t>
      </w:r>
      <w:r>
        <w:rPr>
          <w:snapToGrid w:val="0"/>
        </w:rPr>
        <w:t>.</w:t>
      </w:r>
      <w:r>
        <w:rPr>
          <w:snapToGrid w:val="0"/>
        </w:rPr>
        <w:tab/>
        <w:t>Out of bounds area, notice for (Act s. 121(6))</w:t>
      </w:r>
      <w:bookmarkEnd w:id="53"/>
    </w:p>
    <w:p>
      <w:pPr>
        <w:pStyle w:val="Subsection"/>
        <w:keepNext/>
        <w:keepLines/>
        <w:spacing w:before="140"/>
        <w:rPr>
          <w:snapToGrid w:val="0"/>
        </w:rPr>
      </w:pPr>
      <w:r>
        <w:rPr>
          <w:snapToGrid w:val="0"/>
        </w:rPr>
        <w:tab/>
      </w:r>
      <w:r>
        <w:rPr>
          <w:snapToGrid w:val="0"/>
        </w:rPr>
        <w:tab/>
        <w:t>A notice for the purposes of section 121(6) shall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spacing w:before="60"/>
        <w:rPr>
          <w:snapToGrid w:val="0"/>
        </w:rPr>
      </w:pPr>
      <w:r>
        <w:rPr>
          <w:snapToGrid w:val="0"/>
        </w:rPr>
        <w:tab/>
        <w:t>(i)</w:t>
      </w:r>
      <w:r>
        <w:rPr>
          <w:snapToGrid w:val="0"/>
        </w:rPr>
        <w:tab/>
        <w:t>in the heading, at least 20 mm in height; and</w:t>
      </w:r>
    </w:p>
    <w:p>
      <w:pPr>
        <w:pStyle w:val="Indenti"/>
        <w:spacing w:before="60"/>
        <w:rPr>
          <w:snapToGrid w:val="0"/>
        </w:rPr>
      </w:pPr>
      <w:r>
        <w:rPr>
          <w:snapToGrid w:val="0"/>
        </w:rPr>
        <w:tab/>
        <w:t>(ii)</w:t>
      </w:r>
      <w:r>
        <w:rPr>
          <w:snapToGrid w:val="0"/>
        </w:rPr>
        <w:tab/>
        <w:t>otherwise, at least 10 mm in height.</w:t>
      </w:r>
    </w:p>
    <w:p>
      <w:pPr>
        <w:pStyle w:val="Footnotesection"/>
        <w:spacing w:before="100"/>
        <w:ind w:left="890" w:hanging="890"/>
      </w:pPr>
      <w:r>
        <w:tab/>
        <w:t>[Regulation 17 amended in Gazette 1 May 2007 p. 1881.]</w:t>
      </w:r>
    </w:p>
    <w:p>
      <w:pPr>
        <w:pStyle w:val="Heading5"/>
      </w:pPr>
      <w:bookmarkStart w:id="54" w:name="_Toc371600467"/>
      <w:r>
        <w:rPr>
          <w:rStyle w:val="CharSectno"/>
        </w:rPr>
        <w:t>18</w:t>
      </w:r>
      <w:r>
        <w:t>.</w:t>
      </w:r>
      <w:r>
        <w:tab/>
        <w:t>Premises prescribed to be regulated premises (Act s. 122(1)(f))</w:t>
      </w:r>
      <w:bookmarkEnd w:id="54"/>
    </w:p>
    <w:p>
      <w:pPr>
        <w:pStyle w:val="Subsection"/>
        <w:spacing w:before="140"/>
      </w:pPr>
      <w:r>
        <w:tab/>
      </w:r>
      <w:r>
        <w:tab/>
        <w:t xml:space="preserve">For the purposes of section 122, the following premises are regulated premises — </w:t>
      </w:r>
    </w:p>
    <w:p>
      <w:pPr>
        <w:pStyle w:val="Indenta"/>
        <w:spacing w:before="60"/>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rPr>
          <w:snapToGrid w:val="0"/>
        </w:rPr>
      </w:pPr>
      <w:bookmarkStart w:id="55" w:name="_Toc371600468"/>
      <w:r>
        <w:rPr>
          <w:rStyle w:val="CharSectno"/>
        </w:rPr>
        <w:t>18A</w:t>
      </w:r>
      <w:r>
        <w:rPr>
          <w:snapToGrid w:val="0"/>
        </w:rPr>
        <w:t>.</w:t>
      </w:r>
      <w:r>
        <w:rPr>
          <w:snapToGrid w:val="0"/>
        </w:rPr>
        <w:tab/>
        <w:t>Documents prescribed as evidence of age etc. (Act s. 126(1)(b)(i)(III) and s. 160(1))</w:t>
      </w:r>
      <w:bookmarkEnd w:id="55"/>
    </w:p>
    <w:p>
      <w:pPr>
        <w:pStyle w:val="Subsection"/>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 xml:space="preserve">a learner’s permit as defined in the </w:t>
      </w:r>
      <w:r>
        <w:rPr>
          <w:i/>
        </w:rPr>
        <w:t>Road Traffic Act 1974</w:t>
      </w:r>
      <w:r>
        <w:t xml:space="preserve"> section 5(1); or</w:t>
      </w:r>
    </w:p>
    <w:p>
      <w:pPr>
        <w:pStyle w:val="Defpara"/>
      </w:pPr>
      <w:r>
        <w:tab/>
        <w:t>(b)</w:t>
      </w:r>
      <w:r>
        <w:tab/>
        <w:t>a permit or other authorisation granted to a person under the law of another State or Territory authorising the person to drive a motor vehicle on a road for the purpose of learning to drive it.</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w:t>
      </w:r>
      <w:r>
        <w:tab/>
        <w:t>a current Australian learner driver permit with a photograph.</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1.]</w:t>
      </w:r>
    </w:p>
    <w:p>
      <w:pPr>
        <w:pStyle w:val="Heading5"/>
        <w:rPr>
          <w:snapToGrid w:val="0"/>
        </w:rPr>
      </w:pPr>
      <w:bookmarkStart w:id="56" w:name="_Toc371600469"/>
      <w:r>
        <w:rPr>
          <w:rStyle w:val="CharSectno"/>
        </w:rPr>
        <w:t>18B</w:t>
      </w:r>
      <w:r>
        <w:rPr>
          <w:snapToGrid w:val="0"/>
        </w:rPr>
        <w:t>.</w:t>
      </w:r>
      <w:r>
        <w:rPr>
          <w:snapToGrid w:val="0"/>
        </w:rPr>
        <w:tab/>
        <w:t>Proof of age card, issue of etc.</w:t>
      </w:r>
      <w:bookmarkEnd w:id="56"/>
    </w:p>
    <w:p>
      <w:pPr>
        <w:pStyle w:val="Subsection"/>
        <w:spacing w:before="10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00"/>
      </w:pPr>
      <w:r>
        <w:tab/>
        <w:t>(2)</w:t>
      </w:r>
      <w:r>
        <w:tab/>
        <w:t>An application for a proof of age card is to be made in a form approved by the Director and be accompanied by —</w:t>
      </w:r>
    </w:p>
    <w:p>
      <w:pPr>
        <w:pStyle w:val="Indenta"/>
        <w:spacing w:before="50"/>
      </w:pPr>
      <w:r>
        <w:tab/>
        <w:t>(a)</w:t>
      </w:r>
      <w:r>
        <w:tab/>
        <w:t>such proof of the applicant’s identity and residential address in this State as the Director may require; and</w:t>
      </w:r>
    </w:p>
    <w:p>
      <w:pPr>
        <w:pStyle w:val="Indenta"/>
        <w:spacing w:before="50"/>
      </w:pPr>
      <w:r>
        <w:tab/>
        <w:t>(b)</w:t>
      </w:r>
      <w:r>
        <w:tab/>
        <w:t>the appropriate fee set out in Schedule 3.</w:t>
      </w:r>
    </w:p>
    <w:p>
      <w:pPr>
        <w:pStyle w:val="Subsection"/>
        <w:spacing w:before="10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spacing w:before="100"/>
      </w:pPr>
      <w:r>
        <w:tab/>
        <w:t>(3AA)</w:t>
      </w:r>
      <w:r>
        <w:tab/>
        <w:t>This subregulation applies if the applicant is unable to sign because of a permanent disability.</w:t>
      </w:r>
    </w:p>
    <w:p>
      <w:pPr>
        <w:pStyle w:val="Subsection"/>
        <w:spacing w:before="100"/>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0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0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spacing w:before="8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rPr>
          <w:snapToGrid w:val="0"/>
        </w:rPr>
      </w:pPr>
      <w:bookmarkStart w:id="57" w:name="_Toc371600470"/>
      <w:r>
        <w:rPr>
          <w:rStyle w:val="CharSectno"/>
        </w:rPr>
        <w:t>18C</w:t>
      </w:r>
      <w:r>
        <w:rPr>
          <w:snapToGrid w:val="0"/>
        </w:rPr>
        <w:t>.</w:t>
      </w:r>
      <w:r>
        <w:rPr>
          <w:snapToGrid w:val="0"/>
        </w:rPr>
        <w:tab/>
        <w:t>Proof of age card, form etc. of (r. 18B)</w:t>
      </w:r>
      <w:bookmarkEnd w:id="57"/>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rPr>
          <w:snapToGrid w:val="0"/>
        </w:rPr>
      </w:pPr>
      <w:bookmarkStart w:id="58" w:name="_Toc371600471"/>
      <w:r>
        <w:rPr>
          <w:rStyle w:val="CharSectno"/>
        </w:rPr>
        <w:t>18D</w:t>
      </w:r>
      <w:r>
        <w:rPr>
          <w:snapToGrid w:val="0"/>
        </w:rPr>
        <w:t>.</w:t>
      </w:r>
      <w:r>
        <w:rPr>
          <w:snapToGrid w:val="0"/>
        </w:rPr>
        <w:tab/>
        <w:t>Lost etc. proof of age card, replacement of</w:t>
      </w:r>
      <w:bookmarkEnd w:id="58"/>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Lines w:val="0"/>
        <w:rPr>
          <w:snapToGrid w:val="0"/>
        </w:rPr>
      </w:pPr>
      <w:bookmarkStart w:id="59" w:name="_Toc371600472"/>
      <w:r>
        <w:rPr>
          <w:rStyle w:val="CharSectno"/>
        </w:rPr>
        <w:t>18E</w:t>
      </w:r>
      <w:r>
        <w:rPr>
          <w:snapToGrid w:val="0"/>
        </w:rPr>
        <w:t>.</w:t>
      </w:r>
      <w:r>
        <w:rPr>
          <w:snapToGrid w:val="0"/>
        </w:rPr>
        <w:tab/>
        <w:t>Agreement or arrangement prescribed (Act s. 104(2))</w:t>
      </w:r>
      <w:bookmarkEnd w:id="59"/>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pPr>
      <w:bookmarkStart w:id="60" w:name="_Toc371600473"/>
      <w:r>
        <w:rPr>
          <w:rStyle w:val="CharSectno"/>
        </w:rPr>
        <w:t>18EA</w:t>
      </w:r>
      <w:r>
        <w:t>.</w:t>
      </w:r>
      <w:r>
        <w:tab/>
        <w:t>Information prescribed for websites (Act s. 113A)</w:t>
      </w:r>
      <w:bookmarkEnd w:id="60"/>
    </w:p>
    <w:p>
      <w:pPr>
        <w:pStyle w:val="Subsection"/>
        <w:keepNext/>
        <w:keepLines/>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spacing w:before="200"/>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61" w:name="_Toc371600474"/>
      <w:r>
        <w:rPr>
          <w:rStyle w:val="CharSectno"/>
        </w:rPr>
        <w:t>18EBA</w:t>
      </w:r>
      <w:r>
        <w:t>.</w:t>
      </w:r>
      <w:r>
        <w:tab/>
        <w:t xml:space="preserve">Persons prescribed (Act s. 115AC(1A) </w:t>
      </w:r>
      <w:r>
        <w:rPr>
          <w:i/>
        </w:rPr>
        <w:t>secure webpage</w:t>
      </w:r>
      <w:r>
        <w:t>)</w:t>
      </w:r>
      <w:bookmarkEnd w:id="61"/>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62" w:name="_Toc371600475"/>
      <w:r>
        <w:rPr>
          <w:rStyle w:val="CharSectno"/>
        </w:rPr>
        <w:t>18EB</w:t>
      </w:r>
      <w:r>
        <w:t>.</w:t>
      </w:r>
      <w:r>
        <w:tab/>
        <w:t>Incidents and information prescribed for register (Act s. 116A)</w:t>
      </w:r>
      <w:bookmarkEnd w:id="62"/>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63" w:name="_Toc371600476"/>
      <w:r>
        <w:rPr>
          <w:rStyle w:val="CharSectno"/>
        </w:rPr>
        <w:t>18F</w:t>
      </w:r>
      <w:r>
        <w:t>.</w:t>
      </w:r>
      <w:r>
        <w:tab/>
        <w:t>Training courses prescribed (Act s. 121(11)(d))</w:t>
      </w:r>
      <w:bookmarkEnd w:id="63"/>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pPr>
      <w:bookmarkStart w:id="64" w:name="_Toc371600477"/>
      <w:r>
        <w:rPr>
          <w:rStyle w:val="CharSectno"/>
        </w:rPr>
        <w:t>18G</w:t>
      </w:r>
      <w:r>
        <w:t>.</w:t>
      </w:r>
      <w:r>
        <w:tab/>
        <w:t>Confiscated document, how to be dealt with (Act s. 126(2b))</w:t>
      </w:r>
      <w:bookmarkEnd w:id="64"/>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65" w:name="_Toc371600478"/>
      <w:r>
        <w:rPr>
          <w:rStyle w:val="CharSectno"/>
        </w:rPr>
        <w:t>18H</w:t>
      </w:r>
      <w:r>
        <w:t>.</w:t>
      </w:r>
      <w:r>
        <w:tab/>
        <w:t>Provisions prescribed (Act s. 126E(4))</w:t>
      </w:r>
      <w:bookmarkEnd w:id="65"/>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66" w:name="_Toc371600479"/>
      <w:r>
        <w:rPr>
          <w:rStyle w:val="CharSectno"/>
        </w:rPr>
        <w:t>19</w:t>
      </w:r>
      <w:r>
        <w:rPr>
          <w:snapToGrid w:val="0"/>
        </w:rPr>
        <w:t>.</w:t>
      </w:r>
      <w:r>
        <w:rPr>
          <w:snapToGrid w:val="0"/>
        </w:rPr>
        <w:tab/>
        <w:t>Subsidy, application for</w:t>
      </w:r>
      <w:bookmarkEnd w:id="66"/>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67" w:name="_Toc371600480"/>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67"/>
    </w:p>
    <w:p>
      <w:pPr>
        <w:pStyle w:val="Subsection"/>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68" w:name="_Toc371600481"/>
      <w:r>
        <w:rPr>
          <w:rStyle w:val="CharSectno"/>
        </w:rPr>
        <w:t>21</w:t>
      </w:r>
      <w:r>
        <w:t>.</w:t>
      </w:r>
      <w:r>
        <w:tab/>
        <w:t>Wholesaler, subsidy for (Act s. 130)</w:t>
      </w:r>
      <w:bookmarkEnd w:id="68"/>
    </w:p>
    <w:p>
      <w:pPr>
        <w:pStyle w:val="Subsection"/>
        <w:spacing w:before="140"/>
      </w:pPr>
      <w:r>
        <w:tab/>
        <w:t>(1)</w:t>
      </w:r>
      <w:r>
        <w:tab/>
        <w:t>For the purposes of section 130(3), the subsidy for a wholesaler in respect of sales of wine in a tax period is to be calculated as follows:</w:t>
      </w:r>
    </w:p>
    <w:p>
      <w:pPr>
        <w:pStyle w:val="Equation"/>
        <w:spacing w:before="6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4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80"/>
        <w:ind w:left="890" w:hanging="890"/>
      </w:pPr>
      <w:r>
        <w:tab/>
        <w:t>[Regulation 21 inserted in Gazette 28 Jul 2000 p. 4030; amended in Gazette 28 Jun 2002 p. 3106</w:t>
      </w:r>
      <w:r>
        <w:rPr>
          <w:rFonts w:ascii="Times" w:hAnsi="Times"/>
        </w:rPr>
        <w:t>; 9</w:t>
      </w:r>
      <w:r>
        <w:t> Jul 2004 p. 2774; 1 May 2007 p. 1888.]</w:t>
      </w:r>
    </w:p>
    <w:p>
      <w:pPr>
        <w:pStyle w:val="Heading5"/>
        <w:spacing w:before="200"/>
      </w:pPr>
      <w:bookmarkStart w:id="69" w:name="_Toc371600482"/>
      <w:r>
        <w:rPr>
          <w:rStyle w:val="CharSectno"/>
        </w:rPr>
        <w:t>21A</w:t>
      </w:r>
      <w:r>
        <w:t>.</w:t>
      </w:r>
      <w:r>
        <w:tab/>
        <w:t>Wine producer, subsidy for (Act s. 130)</w:t>
      </w:r>
      <w:bookmarkEnd w:id="69"/>
    </w:p>
    <w:p>
      <w:pPr>
        <w:pStyle w:val="Subsection"/>
        <w:keepLines/>
        <w:spacing w:before="14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5pt" o:ole="">
            <v:imagedata r:id="rId21" o:title=""/>
          </v:shape>
          <o:OLEObject Type="Embed" ProgID="Equation.3" ShapeID="_x0000_i1025" DrawAspect="Content" ObjectID="_1644263262" r:id="rId22"/>
        </w:obje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70" w:name="_Toc371600483"/>
      <w:r>
        <w:rPr>
          <w:rStyle w:val="CharSectno"/>
        </w:rPr>
        <w:t>21AC</w:t>
      </w:r>
      <w:r>
        <w:rPr>
          <w:snapToGrid w:val="0"/>
        </w:rPr>
        <w:t>.</w:t>
      </w:r>
      <w:r>
        <w:rPr>
          <w:snapToGrid w:val="0"/>
        </w:rPr>
        <w:tab/>
        <w:t>Subsidy payable once in respect of sale of liquor</w:t>
      </w:r>
      <w:bookmarkEnd w:id="70"/>
    </w:p>
    <w:p>
      <w:pPr>
        <w:pStyle w:val="Subsection"/>
        <w:keepNext/>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71" w:name="_Toc371600484"/>
      <w:r>
        <w:rPr>
          <w:rStyle w:val="CharSectno"/>
        </w:rPr>
        <w:t>21B</w:t>
      </w:r>
      <w:r>
        <w:rPr>
          <w:snapToGrid w:val="0"/>
        </w:rPr>
        <w:t>.</w:t>
      </w:r>
      <w:r>
        <w:rPr>
          <w:snapToGrid w:val="0"/>
        </w:rPr>
        <w:tab/>
        <w:t xml:space="preserve">Subsidy, conditions imposed by Director as to </w:t>
      </w:r>
      <w:r>
        <w:t>(Act s. 130(2))</w:t>
      </w:r>
      <w:bookmarkEnd w:id="71"/>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72" w:name="_Toc371600485"/>
      <w:r>
        <w:rPr>
          <w:rStyle w:val="CharSectno"/>
        </w:rPr>
        <w:t>21C</w:t>
      </w:r>
      <w:r>
        <w:rPr>
          <w:snapToGrid w:val="0"/>
        </w:rPr>
        <w:t>.</w:t>
      </w:r>
      <w:r>
        <w:rPr>
          <w:snapToGrid w:val="0"/>
        </w:rPr>
        <w:tab/>
        <w:t>Licensees prescribed </w:t>
      </w:r>
      <w:r>
        <w:t>(Act s. </w:t>
      </w:r>
      <w:r>
        <w:rPr>
          <w:snapToGrid w:val="0"/>
        </w:rPr>
        <w:t>145(1))</w:t>
      </w:r>
      <w:bookmarkEnd w:id="72"/>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73" w:name="_Toc371600486"/>
      <w:r>
        <w:rPr>
          <w:rStyle w:val="CharSectno"/>
        </w:rPr>
        <w:t>22</w:t>
      </w:r>
      <w:r>
        <w:rPr>
          <w:snapToGrid w:val="0"/>
        </w:rPr>
        <w:t>.</w:t>
      </w:r>
      <w:r>
        <w:rPr>
          <w:snapToGrid w:val="0"/>
        </w:rPr>
        <w:tab/>
        <w:t xml:space="preserve">Records prescribed etc. </w:t>
      </w:r>
      <w:r>
        <w:t>(Act s. </w:t>
      </w:r>
      <w:r>
        <w:rPr>
          <w:snapToGrid w:val="0"/>
        </w:rPr>
        <w:t>145)</w:t>
      </w:r>
      <w:bookmarkEnd w:id="73"/>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74" w:name="_Toc371600487"/>
      <w:r>
        <w:rPr>
          <w:rStyle w:val="CharSectno"/>
        </w:rPr>
        <w:t>23</w:t>
      </w:r>
      <w:r>
        <w:rPr>
          <w:snapToGrid w:val="0"/>
        </w:rPr>
        <w:t>.</w:t>
      </w:r>
      <w:r>
        <w:rPr>
          <w:snapToGrid w:val="0"/>
        </w:rPr>
        <w:tab/>
        <w:t xml:space="preserve">Returns, verification and lodgment of </w:t>
      </w:r>
      <w:r>
        <w:t>(Act s. 146)</w:t>
      </w:r>
      <w:bookmarkEnd w:id="74"/>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75" w:name="_Toc371600488"/>
      <w:r>
        <w:rPr>
          <w:rStyle w:val="CharSectno"/>
        </w:rPr>
        <w:t>24</w:t>
      </w:r>
      <w:r>
        <w:rPr>
          <w:snapToGrid w:val="0"/>
        </w:rPr>
        <w:t>.</w:t>
      </w:r>
      <w:r>
        <w:rPr>
          <w:snapToGrid w:val="0"/>
        </w:rPr>
        <w:tab/>
        <w:t xml:space="preserve">Return of information required etc. </w:t>
      </w:r>
      <w:r>
        <w:t>(Act s. 145)</w:t>
      </w:r>
      <w:bookmarkEnd w:id="75"/>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7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spacing w:before="70"/>
        <w:rPr>
          <w:snapToGrid w:val="0"/>
        </w:rPr>
      </w:pPr>
      <w:r>
        <w:rPr>
          <w:snapToGrid w:val="0"/>
        </w:rPr>
        <w:tab/>
        <w:t>(i)</w:t>
      </w:r>
      <w:r>
        <w:rPr>
          <w:snapToGrid w:val="0"/>
        </w:rPr>
        <w:tab/>
        <w:t>to liquor merchants who in the relevant period held or hold a licence under the Act; and</w:t>
      </w:r>
    </w:p>
    <w:p>
      <w:pPr>
        <w:pStyle w:val="Indenti"/>
        <w:spacing w:before="70"/>
        <w:rPr>
          <w:snapToGrid w:val="0"/>
        </w:rPr>
      </w:pPr>
      <w:r>
        <w:rPr>
          <w:snapToGrid w:val="0"/>
        </w:rPr>
        <w:tab/>
        <w:t>(ii)</w:t>
      </w:r>
      <w:r>
        <w:rPr>
          <w:snapToGrid w:val="0"/>
        </w:rPr>
        <w:tab/>
        <w:t>to persons other than liquor merchants, including transactions involving the sale of liquor —</w:t>
      </w:r>
    </w:p>
    <w:p>
      <w:pPr>
        <w:pStyle w:val="IndentI0"/>
        <w:spacing w:before="70"/>
        <w:rPr>
          <w:snapToGrid w:val="0"/>
        </w:rPr>
      </w:pPr>
      <w:r>
        <w:rPr>
          <w:snapToGrid w:val="0"/>
        </w:rPr>
        <w:tab/>
        <w:t>(A)</w:t>
      </w:r>
      <w:r>
        <w:rPr>
          <w:snapToGrid w:val="0"/>
        </w:rPr>
        <w:tab/>
        <w:t xml:space="preserve">to any person who held or holds only an occasional licence under the Act; or </w:t>
      </w:r>
    </w:p>
    <w:p>
      <w:pPr>
        <w:pStyle w:val="IndentI0"/>
        <w:spacing w:before="7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spacing w:before="70"/>
        <w:rPr>
          <w:snapToGrid w:val="0"/>
        </w:rPr>
      </w:pPr>
      <w:r>
        <w:rPr>
          <w:snapToGrid w:val="0"/>
        </w:rPr>
        <w:tab/>
        <w:t>(C)</w:t>
      </w:r>
      <w:r>
        <w:rPr>
          <w:snapToGrid w:val="0"/>
        </w:rPr>
        <w:tab/>
        <w:t>pursuant to an occasional licence held by the licensee; or</w:t>
      </w:r>
    </w:p>
    <w:p>
      <w:pPr>
        <w:pStyle w:val="IndentI0"/>
        <w:keepLines/>
        <w:spacing w:before="7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spacing w:before="7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spacing w:before="70"/>
        <w:rPr>
          <w:snapToGrid w:val="0"/>
        </w:rPr>
      </w:pPr>
      <w:r>
        <w:rPr>
          <w:snapToGrid w:val="0"/>
        </w:rPr>
        <w:tab/>
      </w:r>
      <w:r>
        <w:rPr>
          <w:snapToGrid w:val="0"/>
        </w:rPr>
        <w:tab/>
        <w:t>and</w:t>
      </w:r>
      <w:r>
        <w:rPr>
          <w:snapToGrid w:val="0"/>
        </w:rPr>
        <w:tab/>
      </w:r>
    </w:p>
    <w:p>
      <w:pPr>
        <w:pStyle w:val="Indenti"/>
        <w:spacing w:before="70"/>
        <w:rPr>
          <w:snapToGrid w:val="0"/>
        </w:rPr>
      </w:pPr>
      <w:r>
        <w:rPr>
          <w:snapToGrid w:val="0"/>
        </w:rPr>
        <w:tab/>
        <w:t>(iii)</w:t>
      </w:r>
      <w:r>
        <w:rPr>
          <w:snapToGrid w:val="0"/>
        </w:rPr>
        <w:tab/>
        <w:t>to liquor merchants not licensed under the Act; and</w:t>
      </w:r>
    </w:p>
    <w:p>
      <w:pPr>
        <w:pStyle w:val="Indenti"/>
        <w:spacing w:before="70"/>
        <w:rPr>
          <w:snapToGrid w:val="0"/>
        </w:rPr>
      </w:pPr>
      <w:r>
        <w:rPr>
          <w:snapToGrid w:val="0"/>
        </w:rPr>
        <w:tab/>
        <w:t>(iv)</w:t>
      </w:r>
      <w:r>
        <w:rPr>
          <w:snapToGrid w:val="0"/>
        </w:rPr>
        <w:tab/>
        <w:t>to employees of the licensee; and</w:t>
      </w:r>
    </w:p>
    <w:p>
      <w:pPr>
        <w:pStyle w:val="Indenti"/>
        <w:spacing w:before="70"/>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spacing w:before="70"/>
        <w:rPr>
          <w:snapToGrid w:val="0"/>
        </w:rPr>
      </w:pPr>
      <w:r>
        <w:rPr>
          <w:snapToGrid w:val="0"/>
        </w:rPr>
        <w:tab/>
      </w:r>
      <w:r>
        <w:rPr>
          <w:snapToGrid w:val="0"/>
        </w:rPr>
        <w:tab/>
        <w:t>and</w:t>
      </w:r>
      <w:r>
        <w:rPr>
          <w:snapToGrid w:val="0"/>
        </w:rPr>
        <w:tab/>
      </w:r>
    </w:p>
    <w:p>
      <w:pPr>
        <w:pStyle w:val="Indenta"/>
        <w:spacing w:before="70"/>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76" w:name="_Toc371600489"/>
      <w:r>
        <w:rPr>
          <w:rStyle w:val="CharSectno"/>
        </w:rPr>
        <w:t>25A</w:t>
      </w:r>
      <w:r>
        <w:t>.</w:t>
      </w:r>
      <w:r>
        <w:tab/>
        <w:t>Class of persons prescribed (Act s. 152P(4)(b))</w:t>
      </w:r>
      <w:bookmarkEnd w:id="76"/>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77" w:name="_Toc371600490"/>
      <w:r>
        <w:rPr>
          <w:rStyle w:val="CharSectno"/>
        </w:rPr>
        <w:t>25</w:t>
      </w:r>
      <w:r>
        <w:rPr>
          <w:snapToGrid w:val="0"/>
        </w:rPr>
        <w:t>.</w:t>
      </w:r>
      <w:r>
        <w:rPr>
          <w:snapToGrid w:val="0"/>
        </w:rPr>
        <w:tab/>
        <w:t>Money payable under Act, how payable</w:t>
      </w:r>
      <w:bookmarkEnd w:id="77"/>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spacing w:before="140"/>
        <w:ind w:left="890" w:hanging="890"/>
      </w:pPr>
      <w:r>
        <w:tab/>
        <w:t>[Regulation 25 amended in Gazette 24 Aug 1990 p. 4337; 30 Oct 1998 p. 6015; 1 May 2007 p. 1885.]</w:t>
      </w:r>
    </w:p>
    <w:p>
      <w:pPr>
        <w:pStyle w:val="Heading5"/>
        <w:keepLines w:val="0"/>
        <w:spacing w:before="300"/>
        <w:rPr>
          <w:snapToGrid w:val="0"/>
        </w:rPr>
      </w:pPr>
      <w:bookmarkStart w:id="78" w:name="_Toc371600491"/>
      <w:r>
        <w:rPr>
          <w:rStyle w:val="CharSectno"/>
        </w:rPr>
        <w:t>26</w:t>
      </w:r>
      <w:r>
        <w:rPr>
          <w:snapToGrid w:val="0"/>
        </w:rPr>
        <w:t>.</w:t>
      </w:r>
      <w:r>
        <w:rPr>
          <w:snapToGrid w:val="0"/>
        </w:rPr>
        <w:tab/>
        <w:t>Fees generally (Sch. 3)</w:t>
      </w:r>
      <w:bookmarkEnd w:id="78"/>
    </w:p>
    <w:p>
      <w:pPr>
        <w:pStyle w:val="Subsection"/>
        <w:spacing w:before="180"/>
      </w:pPr>
      <w:r>
        <w:tab/>
        <w:t>(1)</w:t>
      </w:r>
      <w:r>
        <w:tab/>
        <w:t>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spacing w:before="100"/>
      </w:pPr>
      <w:r>
        <w:tab/>
        <w:t>(a)</w:t>
      </w:r>
      <w:r>
        <w:tab/>
        <w:t>if no more than 2 such permits have been issued — an additional amount of $257; or</w:t>
      </w:r>
    </w:p>
    <w:p>
      <w:pPr>
        <w:pStyle w:val="Indenta"/>
        <w:spacing w:before="100"/>
      </w:pPr>
      <w:r>
        <w:tab/>
        <w:t>(b)</w:t>
      </w:r>
      <w:r>
        <w:tab/>
        <w:t>if 3 or more such permits have been issued — an additional amount of $514.</w:t>
      </w:r>
    </w:p>
    <w:p>
      <w:pPr>
        <w:pStyle w:val="Subsection"/>
        <w:spacing w:before="180"/>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Ednotesubsection"/>
      </w:pPr>
      <w:r>
        <w:tab/>
        <w:t>[(4), (5)</w:t>
      </w:r>
      <w:r>
        <w:tab/>
        <w:t>deleted]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w:t>
      </w:r>
    </w:p>
    <w:p>
      <w:pPr>
        <w:pStyle w:val="Heading5"/>
        <w:rPr>
          <w:snapToGrid w:val="0"/>
        </w:rPr>
      </w:pPr>
      <w:bookmarkStart w:id="79" w:name="_Toc371600492"/>
      <w:r>
        <w:rPr>
          <w:rStyle w:val="CharSectno"/>
        </w:rPr>
        <w:t>27</w:t>
      </w:r>
      <w:r>
        <w:rPr>
          <w:snapToGrid w:val="0"/>
        </w:rPr>
        <w:t>.</w:t>
      </w:r>
      <w:r>
        <w:rPr>
          <w:snapToGrid w:val="0"/>
        </w:rPr>
        <w:tab/>
        <w:t>Infringement notices, forms etc. prescribed for (Act s. 167)</w:t>
      </w:r>
      <w:bookmarkEnd w:id="79"/>
    </w:p>
    <w:p>
      <w:pPr>
        <w:pStyle w:val="Subsection"/>
        <w:keepNext/>
        <w:rPr>
          <w:snapToGrid w:val="0"/>
        </w:rPr>
      </w:pPr>
      <w:r>
        <w:rPr>
          <w:snapToGrid w:val="0"/>
        </w:rPr>
        <w:tab/>
        <w:t>(1)</w:t>
      </w:r>
      <w:r>
        <w:rPr>
          <w:snapToGrid w:val="0"/>
        </w:rPr>
        <w:tab/>
        <w:t>For the purposes of section 167 —</w:t>
      </w:r>
    </w:p>
    <w:p>
      <w:pPr>
        <w:pStyle w:val="Indenta"/>
        <w:spacing w:before="60"/>
        <w:rPr>
          <w:snapToGrid w:val="0"/>
        </w:rPr>
      </w:pPr>
      <w:r>
        <w:rPr>
          <w:snapToGrid w:val="0"/>
        </w:rPr>
        <w:tab/>
        <w:t>(a)</w:t>
      </w:r>
      <w:r>
        <w:rPr>
          <w:snapToGrid w:val="0"/>
        </w:rPr>
        <w:tab/>
        <w:t>the notice to be given to a person under section 167(2) shall be in the form set out in Form 21 in Schedule 1; and</w:t>
      </w:r>
    </w:p>
    <w:p>
      <w:pPr>
        <w:pStyle w:val="Indenta"/>
        <w:spacing w:before="60"/>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spacing w:before="60"/>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p>
            <w:pPr>
              <w:pStyle w:val="TableNAm"/>
              <w:spacing w:before="60"/>
              <w:ind w:left="170" w:hanging="170"/>
            </w:pPr>
            <w:r>
              <w:t>s. 51(2)</w:t>
            </w:r>
          </w:p>
          <w:p>
            <w:pPr>
              <w:pStyle w:val="TableNAm"/>
              <w:spacing w:before="60"/>
              <w:ind w:left="170" w:hanging="170"/>
            </w:pPr>
            <w:r>
              <w:t>s. 51(4)</w:t>
            </w:r>
          </w:p>
          <w:p>
            <w:pPr>
              <w:pStyle w:val="TableNAm"/>
              <w:spacing w:before="60"/>
              <w:ind w:left="170" w:hanging="170"/>
            </w:pPr>
            <w:r>
              <w:t>s. 65(1)</w:t>
            </w:r>
          </w:p>
          <w:p>
            <w:pPr>
              <w:pStyle w:val="TableNAm"/>
              <w:spacing w:before="60"/>
              <w:ind w:left="170" w:hanging="170"/>
            </w:pPr>
            <w:r>
              <w:t>s. 77(1)</w:t>
            </w:r>
          </w:p>
          <w:p>
            <w:pPr>
              <w:pStyle w:val="TableNAm"/>
              <w:spacing w:before="60"/>
              <w:ind w:left="170" w:hanging="170"/>
            </w:pPr>
            <w:r>
              <w:t>s. 100(2)</w:t>
            </w:r>
          </w:p>
          <w:p>
            <w:pPr>
              <w:pStyle w:val="TableNAm"/>
              <w:spacing w:before="60"/>
              <w:ind w:left="170" w:hanging="170"/>
            </w:pPr>
            <w:r>
              <w:t>s. 100(2a)</w:t>
            </w:r>
          </w:p>
          <w:p>
            <w:pPr>
              <w:pStyle w:val="TableNAm"/>
              <w:spacing w:before="60"/>
              <w:ind w:left="170" w:hanging="170"/>
            </w:pPr>
            <w:r>
              <w:t>s. 100(5)</w:t>
            </w:r>
          </w:p>
          <w:p>
            <w:pPr>
              <w:pStyle w:val="TableNAm"/>
              <w:spacing w:before="60"/>
              <w:ind w:left="170" w:hanging="170"/>
            </w:pPr>
            <w:r>
              <w:t>s. 100(8)</w:t>
            </w:r>
          </w:p>
          <w:p>
            <w:pPr>
              <w:pStyle w:val="TableNAm"/>
              <w:spacing w:before="60"/>
              <w:ind w:left="170" w:hanging="170"/>
            </w:pPr>
            <w:r>
              <w:t>s. 101(3)</w:t>
            </w:r>
          </w:p>
          <w:p>
            <w:pPr>
              <w:pStyle w:val="TableNAm"/>
              <w:keepNext/>
              <w:keepLines/>
              <w:spacing w:before="60"/>
              <w:ind w:left="170" w:hanging="170"/>
            </w:pPr>
            <w:r>
              <w:t>s. 102(1)</w:t>
            </w:r>
          </w:p>
          <w:p>
            <w:pPr>
              <w:pStyle w:val="TableNAm"/>
              <w:keepNext/>
              <w:keepLines/>
              <w:spacing w:before="60"/>
              <w:ind w:left="170" w:hanging="170"/>
            </w:pPr>
            <w:r>
              <w:t>s. 103(3)</w:t>
            </w:r>
          </w:p>
          <w:p>
            <w:pPr>
              <w:pStyle w:val="TableNAm"/>
              <w:keepNext/>
              <w:keepLines/>
              <w:spacing w:before="60"/>
              <w:ind w:left="170" w:hanging="170"/>
            </w:pPr>
            <w:r>
              <w:t>s. 104(1)</w:t>
            </w:r>
          </w:p>
          <w:p>
            <w:pPr>
              <w:pStyle w:val="TableNAm"/>
              <w:spacing w:before="60"/>
              <w:ind w:left="170" w:hanging="170"/>
            </w:pPr>
            <w:r>
              <w:t>s. 106(1) (where the alleged offender is a lodger)</w:t>
            </w:r>
          </w:p>
          <w:p>
            <w:pPr>
              <w:pStyle w:val="TableNAm"/>
              <w:spacing w:before="60"/>
              <w:ind w:left="170" w:hanging="170"/>
            </w:pPr>
            <w:r>
              <w:t>s. 106(3)</w:t>
            </w:r>
          </w:p>
          <w:p>
            <w:pPr>
              <w:pStyle w:val="TableNAm"/>
              <w:spacing w:before="60"/>
              <w:ind w:left="170" w:hanging="170"/>
            </w:pPr>
            <w:r>
              <w:t>s. 108</w:t>
            </w:r>
          </w:p>
          <w:p>
            <w:pPr>
              <w:pStyle w:val="TableNAm"/>
              <w:spacing w:before="60"/>
              <w:ind w:left="170" w:hanging="170"/>
            </w:pPr>
            <w:r>
              <w:t>s. 110(1)</w:t>
            </w:r>
          </w:p>
          <w:p>
            <w:pPr>
              <w:pStyle w:val="TableNAm"/>
              <w:spacing w:before="60"/>
              <w:ind w:left="170" w:hanging="170"/>
            </w:pPr>
            <w:r>
              <w:t>s. 110(2)</w:t>
            </w:r>
          </w:p>
          <w:p>
            <w:pPr>
              <w:pStyle w:val="TableNAm"/>
              <w:spacing w:before="60"/>
              <w:ind w:left="170" w:hanging="170"/>
            </w:pPr>
            <w:r>
              <w:t>s. 110(3)</w:t>
            </w:r>
          </w:p>
          <w:p>
            <w:pPr>
              <w:pStyle w:val="TableNAm"/>
              <w:spacing w:before="60"/>
              <w:ind w:left="170" w:hanging="170"/>
            </w:pPr>
            <w:r>
              <w:t>s. 110(4A)</w:t>
            </w:r>
          </w:p>
          <w:p>
            <w:pPr>
              <w:pStyle w:val="TableNAm"/>
              <w:spacing w:before="60"/>
              <w:ind w:left="170" w:hanging="170"/>
            </w:pPr>
            <w:r>
              <w:t>s. 110(4)</w:t>
            </w:r>
          </w:p>
          <w:p>
            <w:pPr>
              <w:pStyle w:val="TableNAm"/>
              <w:spacing w:before="60"/>
              <w:ind w:left="170" w:hanging="170"/>
            </w:pPr>
            <w:r>
              <w:t>s. 110(5)</w:t>
            </w:r>
          </w:p>
          <w:p>
            <w:pPr>
              <w:pStyle w:val="TableNAm"/>
              <w:spacing w:before="60"/>
              <w:ind w:left="170" w:hanging="170"/>
            </w:pPr>
            <w:r>
              <w:t>s. 110(7)</w:t>
            </w:r>
          </w:p>
          <w:p>
            <w:pPr>
              <w:pStyle w:val="TableNAm"/>
              <w:spacing w:before="60"/>
              <w:ind w:left="170" w:hanging="170"/>
            </w:pPr>
            <w:r>
              <w:t>s. 111(1)</w:t>
            </w:r>
          </w:p>
          <w:p>
            <w:pPr>
              <w:pStyle w:val="TableNAm"/>
              <w:spacing w:before="60"/>
              <w:ind w:left="170" w:hanging="170"/>
            </w:pPr>
            <w:r>
              <w:t>s. 111(2)</w:t>
            </w:r>
          </w:p>
          <w:p>
            <w:pPr>
              <w:pStyle w:val="TableNAm"/>
              <w:spacing w:before="60"/>
              <w:ind w:left="170" w:hanging="170"/>
            </w:pPr>
            <w:r>
              <w:t>s. 113A</w:t>
            </w:r>
          </w:p>
          <w:p>
            <w:pPr>
              <w:pStyle w:val="TableNAm"/>
              <w:spacing w:before="60"/>
              <w:ind w:left="170" w:hanging="170"/>
            </w:pPr>
            <w:r>
              <w:t>s. 115(1)</w:t>
            </w:r>
          </w:p>
          <w:p>
            <w:pPr>
              <w:pStyle w:val="TableNAm"/>
              <w:spacing w:before="60"/>
              <w:ind w:left="170" w:hanging="170"/>
            </w:pPr>
            <w:r>
              <w:t>s. 115(2)</w:t>
            </w:r>
          </w:p>
          <w:p>
            <w:pPr>
              <w:pStyle w:val="TableNAm"/>
              <w:spacing w:before="60"/>
              <w:ind w:left="170" w:hanging="170"/>
            </w:pPr>
            <w:r>
              <w:t>s. 115(5)</w:t>
            </w:r>
          </w:p>
          <w:p>
            <w:pPr>
              <w:pStyle w:val="TableNAm"/>
              <w:spacing w:before="60"/>
              <w:ind w:left="170" w:hanging="170"/>
            </w:pPr>
            <w:r>
              <w:t>s. 115(6)</w:t>
            </w:r>
          </w:p>
          <w:p>
            <w:pPr>
              <w:pStyle w:val="TableNAm"/>
              <w:spacing w:before="60"/>
              <w:ind w:left="170" w:hanging="170"/>
            </w:pPr>
            <w:r>
              <w:t>s. 115(7)</w:t>
            </w:r>
          </w:p>
          <w:p>
            <w:pPr>
              <w:pStyle w:val="TableNAm"/>
              <w:spacing w:before="60"/>
              <w:ind w:left="170" w:hanging="170"/>
            </w:pPr>
            <w:r>
              <w:t>s. 115A(2)</w:t>
            </w:r>
          </w:p>
          <w:p>
            <w:pPr>
              <w:pStyle w:val="TableNAm"/>
              <w:spacing w:before="60"/>
              <w:ind w:left="170" w:hanging="170"/>
            </w:pPr>
            <w:r>
              <w:t>s. 116</w:t>
            </w:r>
          </w:p>
          <w:p>
            <w:pPr>
              <w:pStyle w:val="TableNAm"/>
              <w:spacing w:before="60"/>
              <w:ind w:left="170" w:hanging="170"/>
            </w:pPr>
            <w:r>
              <w:t>s. 116A(1)</w:t>
            </w:r>
          </w:p>
          <w:p>
            <w:pPr>
              <w:pStyle w:val="TableNAm"/>
              <w:spacing w:before="60"/>
              <w:ind w:left="170" w:hanging="170"/>
            </w:pPr>
            <w:r>
              <w:t>s. 116A(3)</w:t>
            </w:r>
          </w:p>
          <w:p>
            <w:pPr>
              <w:pStyle w:val="TableNAm"/>
              <w:spacing w:before="60"/>
              <w:ind w:left="170" w:hanging="170"/>
            </w:pPr>
            <w:r>
              <w:t>s. 118(3)</w:t>
            </w:r>
          </w:p>
          <w:p>
            <w:pPr>
              <w:pStyle w:val="TableNAm"/>
              <w:spacing w:before="60"/>
              <w:ind w:left="170" w:hanging="170"/>
            </w:pPr>
            <w:r>
              <w:t>s. 119(1)</w:t>
            </w:r>
          </w:p>
          <w:p>
            <w:pPr>
              <w:pStyle w:val="TableNAm"/>
              <w:spacing w:before="60"/>
              <w:ind w:left="170" w:hanging="170"/>
            </w:pPr>
            <w:r>
              <w:t>s. 119(2)</w:t>
            </w:r>
          </w:p>
        </w:tc>
        <w:tc>
          <w:tcPr>
            <w:tcW w:w="2693" w:type="dxa"/>
          </w:tcPr>
          <w:p>
            <w:pPr>
              <w:pStyle w:val="TableNAm"/>
              <w:spacing w:before="60"/>
              <w:ind w:left="170" w:hanging="170"/>
            </w:pPr>
            <w:r>
              <w:t>s. 119(4)</w:t>
            </w:r>
          </w:p>
          <w:p>
            <w:pPr>
              <w:pStyle w:val="TableNAm"/>
              <w:spacing w:before="60"/>
              <w:ind w:left="170" w:hanging="170"/>
            </w:pPr>
            <w:r>
              <w:t>s. 119(5)</w:t>
            </w:r>
          </w:p>
          <w:p>
            <w:pPr>
              <w:pStyle w:val="TableNAm"/>
              <w:spacing w:before="60"/>
              <w:ind w:left="170" w:hanging="170"/>
            </w:pPr>
            <w:r>
              <w:t>s. 119(7)</w:t>
            </w:r>
          </w:p>
          <w:p>
            <w:pPr>
              <w:pStyle w:val="TableNAm"/>
              <w:spacing w:before="60"/>
              <w:ind w:left="170" w:hanging="170"/>
            </w:pPr>
            <w:r>
              <w:t>s. 119(11)</w:t>
            </w:r>
          </w:p>
          <w:p>
            <w:pPr>
              <w:pStyle w:val="TableNAm"/>
              <w:spacing w:before="60"/>
              <w:ind w:left="170" w:hanging="170"/>
            </w:pPr>
            <w:r>
              <w:t>s. 119A(4)</w:t>
            </w:r>
          </w:p>
          <w:p>
            <w:pPr>
              <w:pStyle w:val="TableNAm"/>
              <w:spacing w:before="60"/>
              <w:ind w:left="170" w:hanging="170"/>
            </w:pPr>
            <w:r>
              <w:t>s. 119A(5)</w:t>
            </w:r>
          </w:p>
          <w:p>
            <w:pPr>
              <w:pStyle w:val="TableNAm"/>
              <w:spacing w:before="60"/>
              <w:ind w:left="170" w:hanging="170"/>
            </w:pPr>
            <w:r>
              <w:t>s. 121(1)</w:t>
            </w:r>
          </w:p>
          <w:p>
            <w:pPr>
              <w:pStyle w:val="TableNAm"/>
              <w:spacing w:before="60"/>
              <w:ind w:left="170" w:hanging="170"/>
            </w:pPr>
            <w:r>
              <w:t>s. 121(2)</w:t>
            </w:r>
          </w:p>
          <w:p>
            <w:pPr>
              <w:pStyle w:val="TableNAm"/>
              <w:spacing w:before="60"/>
              <w:ind w:left="170" w:hanging="170"/>
            </w:pPr>
            <w:r>
              <w:t>s. 121(3)</w:t>
            </w:r>
          </w:p>
          <w:p>
            <w:pPr>
              <w:pStyle w:val="TableNAm"/>
              <w:spacing w:before="60"/>
              <w:ind w:left="170" w:hanging="170"/>
            </w:pPr>
            <w:r>
              <w:t>s. 121(4) (where the alleged offender is the licensee or a juvenile)</w:t>
            </w:r>
          </w:p>
          <w:p>
            <w:pPr>
              <w:pStyle w:val="TableNAm"/>
              <w:spacing w:before="60"/>
              <w:ind w:left="170" w:hanging="170"/>
            </w:pPr>
            <w:r>
              <w:t>s. 121(7)</w:t>
            </w:r>
          </w:p>
          <w:p>
            <w:pPr>
              <w:pStyle w:val="TableNAm"/>
              <w:spacing w:before="60"/>
              <w:ind w:left="170" w:hanging="170"/>
            </w:pPr>
            <w:r>
              <w:t>s. 121(7a)</w:t>
            </w:r>
          </w:p>
          <w:p>
            <w:pPr>
              <w:pStyle w:val="TableNAm"/>
              <w:spacing w:before="60"/>
              <w:ind w:left="170" w:hanging="170"/>
            </w:pPr>
            <w:r>
              <w:t>s. 121(9)</w:t>
            </w:r>
          </w:p>
          <w:p>
            <w:pPr>
              <w:pStyle w:val="TableNAm"/>
              <w:spacing w:before="60"/>
              <w:ind w:left="170" w:hanging="170"/>
            </w:pPr>
            <w:r>
              <w:t>s. 121(10)</w:t>
            </w:r>
          </w:p>
          <w:p>
            <w:pPr>
              <w:pStyle w:val="TableNAm"/>
              <w:spacing w:before="60"/>
              <w:ind w:left="170" w:hanging="170"/>
            </w:pPr>
            <w:r>
              <w:t>s. 122(2)</w:t>
            </w:r>
          </w:p>
          <w:p>
            <w:pPr>
              <w:pStyle w:val="TableNAm"/>
              <w:spacing w:before="60"/>
              <w:ind w:left="170" w:hanging="170"/>
            </w:pPr>
            <w:r>
              <w:t>s. 122(3)</w:t>
            </w:r>
          </w:p>
          <w:p>
            <w:pPr>
              <w:pStyle w:val="TableNAm"/>
              <w:spacing w:before="60"/>
              <w:ind w:left="170" w:hanging="170"/>
            </w:pPr>
            <w:r>
              <w:t>s. 123(1)</w:t>
            </w:r>
          </w:p>
          <w:p>
            <w:pPr>
              <w:pStyle w:val="TableNAm"/>
              <w:spacing w:before="60"/>
              <w:ind w:left="170" w:hanging="170"/>
            </w:pPr>
            <w:r>
              <w:t>s. 123(2)</w:t>
            </w:r>
          </w:p>
          <w:p>
            <w:pPr>
              <w:pStyle w:val="TableNAm"/>
              <w:spacing w:before="60"/>
              <w:ind w:left="170" w:hanging="170"/>
            </w:pPr>
            <w:r>
              <w:t>s. 124</w:t>
            </w:r>
          </w:p>
          <w:p>
            <w:pPr>
              <w:pStyle w:val="TableNAm"/>
              <w:spacing w:before="60"/>
              <w:ind w:left="170" w:hanging="170"/>
            </w:pPr>
            <w:r>
              <w:t>s. 126(2)</w:t>
            </w:r>
          </w:p>
          <w:p>
            <w:pPr>
              <w:pStyle w:val="TableNAm"/>
              <w:spacing w:before="60"/>
              <w:ind w:left="170" w:hanging="170"/>
            </w:pPr>
            <w:r>
              <w:t>s. 126(4)</w:t>
            </w:r>
          </w:p>
          <w:p>
            <w:pPr>
              <w:pStyle w:val="TableNAm"/>
              <w:spacing w:before="60"/>
              <w:ind w:left="170" w:hanging="170"/>
            </w:pPr>
            <w:r>
              <w:t>s. 126(5)</w:t>
            </w:r>
          </w:p>
          <w:p>
            <w:pPr>
              <w:pStyle w:val="TableNAm"/>
              <w:spacing w:before="60"/>
              <w:ind w:left="170" w:hanging="170"/>
            </w:pPr>
            <w:r>
              <w:t>s. 126D(2)</w:t>
            </w:r>
          </w:p>
          <w:p>
            <w:pPr>
              <w:pStyle w:val="TableNAm"/>
              <w:spacing w:before="60"/>
              <w:ind w:left="170" w:hanging="170"/>
            </w:pPr>
            <w:r>
              <w:t>s. 135(3)</w:t>
            </w:r>
          </w:p>
          <w:p>
            <w:pPr>
              <w:pStyle w:val="TableNAm"/>
              <w:spacing w:before="60"/>
              <w:ind w:left="170" w:hanging="170"/>
            </w:pPr>
            <w:r>
              <w:t>s. 145(4)</w:t>
            </w:r>
          </w:p>
          <w:p>
            <w:pPr>
              <w:pStyle w:val="TableNAm"/>
              <w:spacing w:before="60"/>
              <w:ind w:left="170" w:hanging="170"/>
            </w:pPr>
            <w:r>
              <w:t>s. 146(1)</w:t>
            </w:r>
          </w:p>
          <w:p>
            <w:pPr>
              <w:pStyle w:val="TableNAm"/>
              <w:spacing w:before="60"/>
              <w:ind w:left="170" w:hanging="170"/>
            </w:pPr>
            <w:r>
              <w:t>s. 150(2)</w:t>
            </w:r>
          </w:p>
          <w:p>
            <w:pPr>
              <w:pStyle w:val="TableNAm"/>
              <w:spacing w:before="60"/>
              <w:ind w:left="170" w:hanging="170"/>
            </w:pPr>
            <w:r>
              <w:t>s. 152L(1)</w:t>
            </w:r>
          </w:p>
          <w:p>
            <w:pPr>
              <w:pStyle w:val="TableNAm"/>
              <w:spacing w:before="60"/>
              <w:ind w:left="170" w:hanging="170"/>
            </w:pPr>
            <w:r>
              <w:t>s. 152L(2)</w:t>
            </w:r>
          </w:p>
          <w:p>
            <w:pPr>
              <w:pStyle w:val="TableNAm"/>
              <w:spacing w:before="60"/>
              <w:ind w:left="170" w:hanging="170"/>
            </w:pPr>
            <w:r>
              <w:t>s. 152O(1)</w:t>
            </w:r>
          </w:p>
          <w:p>
            <w:pPr>
              <w:pStyle w:val="TableNAm"/>
              <w:spacing w:before="60"/>
              <w:ind w:left="170" w:hanging="170"/>
            </w:pPr>
            <w:r>
              <w:t>s. 152S(2)</w:t>
            </w:r>
          </w:p>
          <w:p>
            <w:pPr>
              <w:pStyle w:val="TableNAm"/>
              <w:spacing w:before="60"/>
              <w:ind w:left="170" w:hanging="170"/>
            </w:pPr>
            <w:r>
              <w:t>s. 152S(5)</w:t>
            </w:r>
          </w:p>
          <w:p>
            <w:pPr>
              <w:pStyle w:val="TableNAm"/>
              <w:spacing w:before="60"/>
              <w:ind w:left="170" w:hanging="170"/>
            </w:pPr>
            <w:r>
              <w:t>s. 152T(3)</w:t>
            </w:r>
          </w:p>
          <w:p>
            <w:pPr>
              <w:pStyle w:val="TableNAm"/>
              <w:spacing w:before="60"/>
              <w:ind w:left="170" w:hanging="170"/>
            </w:pPr>
            <w:r>
              <w:t>s. 154(3)</w:t>
            </w:r>
          </w:p>
          <w:p>
            <w:pPr>
              <w:pStyle w:val="TableNAm"/>
              <w:spacing w:before="60"/>
              <w:ind w:left="170" w:hanging="170"/>
            </w:pPr>
            <w:r>
              <w:t>s. 158(1)</w:t>
            </w:r>
          </w:p>
          <w:p>
            <w:pPr>
              <w:pStyle w:val="TableNAm"/>
              <w:spacing w:before="60"/>
              <w:ind w:left="170" w:hanging="170"/>
            </w:pPr>
            <w:r>
              <w:t>s. 159(1)</w:t>
            </w:r>
          </w:p>
          <w:p>
            <w:pPr>
              <w:pStyle w:val="TableNAm"/>
              <w:spacing w:before="60"/>
              <w:ind w:left="170" w:hanging="170"/>
            </w:pPr>
            <w:r>
              <w:t>s. 159(3)</w:t>
            </w:r>
          </w:p>
          <w:p>
            <w:pPr>
              <w:pStyle w:val="TableNAm"/>
              <w:spacing w:before="60"/>
              <w:ind w:left="170" w:hanging="170"/>
            </w:pPr>
            <w:r>
              <w:t>s. 160(4)</w:t>
            </w:r>
          </w:p>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bookmarkStart w:id="80" w:name="RuleErr_4"/>
            <w:r>
              <w:rPr>
                <w:i/>
                <w:iCs/>
              </w:rPr>
              <w:t>Liquor Control (Bayulu Restricted Area) Regulations 2013</w:t>
            </w:r>
            <w:bookmarkEnd w:id="80"/>
            <w:r>
              <w:rPr>
                <w:iCs/>
              </w:rPr>
              <w:t xml:space="preserve"> </w:t>
            </w:r>
            <w:r>
              <w:t>regulation 7(1)</w:t>
            </w:r>
          </w:p>
        </w:tc>
      </w:tr>
      <w:tr>
        <w:tc>
          <w:tcPr>
            <w:tcW w:w="5245" w:type="dxa"/>
          </w:tcPr>
          <w:p>
            <w:pPr>
              <w:pStyle w:val="TableNAm"/>
              <w:rPr>
                <w:i/>
                <w:iCs/>
              </w:rPr>
            </w:pPr>
            <w:r>
              <w:rPr>
                <w:i/>
                <w:iCs/>
              </w:rPr>
              <w:t xml:space="preserve">Liquor Control (Cheeditha Restricted Area) Regulations 2012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keepNext/>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rPr>
              <w:t>Liquor Control (Warralong Restricted Area) Regulations 2013</w:t>
            </w:r>
            <w:r>
              <w:t xml:space="preserve"> regulation 7(1)</w:t>
            </w:r>
          </w:p>
        </w:tc>
      </w:tr>
      <w:tr>
        <w:tc>
          <w:tcPr>
            <w:tcW w:w="5245" w:type="dxa"/>
          </w:tcPr>
          <w:p>
            <w:pPr>
              <w:pStyle w:val="TableNAm"/>
              <w:keepNext/>
              <w:rPr>
                <w:i/>
                <w:iCs/>
              </w:rPr>
            </w:pPr>
            <w:r>
              <w:rPr>
                <w:i/>
                <w:iCs/>
              </w:rPr>
              <w:t xml:space="preserve">Liquor Control (Yakanarra Restricted Area) Regulations 2010 </w:t>
            </w:r>
            <w:r>
              <w:t>regulation 7(1)</w:t>
            </w:r>
          </w:p>
        </w:tc>
      </w:tr>
    </w:tbl>
    <w:p>
      <w:pPr>
        <w:pStyle w:val="Footnotesection"/>
        <w:keepLines w:val="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w:t>
      </w:r>
    </w:p>
    <w:p>
      <w:pPr>
        <w:pStyle w:val="Ednotesection"/>
        <w:spacing w:before="180"/>
        <w:ind w:left="890" w:hanging="890"/>
      </w:pPr>
      <w:r>
        <w:t>[</w:t>
      </w:r>
      <w:r>
        <w:rPr>
          <w:b/>
        </w:rPr>
        <w:t>28.</w:t>
      </w:r>
      <w:r>
        <w:rPr>
          <w:b/>
        </w:rPr>
        <w:tab/>
      </w:r>
      <w:r>
        <w:t>Deleted in Gazette 30 Jan 1998 p. 568.]</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81" w:name="_Toc367366828"/>
      <w:bookmarkStart w:id="82" w:name="_Toc371600493"/>
      <w:r>
        <w:rPr>
          <w:rStyle w:val="CharSchNo"/>
        </w:rPr>
        <w:t>Schedule 1</w:t>
      </w:r>
      <w:bookmarkEnd w:id="81"/>
      <w:bookmarkEnd w:id="82"/>
    </w:p>
    <w:p>
      <w:pPr>
        <w:pStyle w:val="yShoulderClause"/>
        <w:spacing w:before="60"/>
        <w:rPr>
          <w:snapToGrid w:val="0"/>
        </w:rPr>
      </w:pPr>
      <w:r>
        <w:rPr>
          <w:snapToGrid w:val="0"/>
        </w:rPr>
        <w:t>[Regulation 3]</w:t>
      </w:r>
    </w:p>
    <w:p>
      <w:pPr>
        <w:pStyle w:val="yHeading2"/>
        <w:outlineLvl w:val="9"/>
      </w:pPr>
      <w:bookmarkStart w:id="83" w:name="_Toc367366829"/>
      <w:bookmarkStart w:id="84" w:name="_Toc371600494"/>
      <w:r>
        <w:rPr>
          <w:rStyle w:val="CharSchText"/>
        </w:rPr>
        <w:t>Forms</w:t>
      </w:r>
      <w:bookmarkEnd w:id="83"/>
      <w:bookmarkEnd w:id="84"/>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w:t>
            </w:r>
            <w:r>
              <w:rPr>
                <w:sz w:val="20"/>
                <w:vertAlign w:val="superscript"/>
              </w:rPr>
              <w:t>st</w:t>
            </w:r>
            <w:r>
              <w:rPr>
                <w:sz w:val="20"/>
              </w:rPr>
              <w:t xml:space="preserve">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 amended in Gazette 20 Aug 2013 p. 3855.]</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yScheduleHeading"/>
      </w:pPr>
      <w:bookmarkStart w:id="85" w:name="_Toc367366830"/>
      <w:bookmarkStart w:id="86" w:name="_Toc371600495"/>
      <w:r>
        <w:rPr>
          <w:rStyle w:val="CharSchNo"/>
        </w:rPr>
        <w:t>Schedule 2</w:t>
      </w:r>
      <w:bookmarkEnd w:id="85"/>
      <w:bookmarkEnd w:id="86"/>
    </w:p>
    <w:p>
      <w:pPr>
        <w:pStyle w:val="yShoulderClause"/>
        <w:spacing w:before="60"/>
        <w:rPr>
          <w:snapToGrid w:val="0"/>
        </w:rPr>
      </w:pPr>
      <w:r>
        <w:rPr>
          <w:snapToGrid w:val="0"/>
        </w:rPr>
        <w:t>[Regulation 13]</w:t>
      </w:r>
    </w:p>
    <w:p>
      <w:pPr>
        <w:pStyle w:val="yHeading2"/>
        <w:spacing w:before="120" w:after="80"/>
      </w:pPr>
      <w:bookmarkStart w:id="87" w:name="_Toc367366831"/>
      <w:bookmarkStart w:id="88" w:name="_Toc371600496"/>
      <w:r>
        <w:rPr>
          <w:rStyle w:val="CharSchText"/>
        </w:rPr>
        <w:t>Details of applicant</w:t>
      </w:r>
      <w:bookmarkEnd w:id="87"/>
      <w:bookmarkEnd w:id="88"/>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sz w:val="20"/>
              </w:rPr>
            </w:pPr>
            <w:r>
              <w:rPr>
                <w:b/>
                <w:bCs/>
                <w:sz w:val="20"/>
              </w:rPr>
              <w:t>Item</w:t>
            </w:r>
          </w:p>
        </w:tc>
        <w:tc>
          <w:tcPr>
            <w:tcW w:w="2296" w:type="dxa"/>
            <w:tcBorders>
              <w:top w:val="single" w:sz="4" w:space="0" w:color="auto"/>
              <w:bottom w:val="single" w:sz="4" w:space="0" w:color="auto"/>
            </w:tcBorders>
          </w:tcPr>
          <w:p>
            <w:pPr>
              <w:pStyle w:val="yTableNAm"/>
              <w:spacing w:before="60" w:after="60"/>
              <w:rPr>
                <w:b/>
                <w:bCs/>
                <w:sz w:val="20"/>
              </w:rPr>
            </w:pPr>
            <w:r>
              <w:rPr>
                <w:b/>
                <w:bCs/>
                <w:sz w:val="20"/>
              </w:rPr>
              <w:t>Category of applicant</w:t>
            </w:r>
          </w:p>
        </w:tc>
        <w:tc>
          <w:tcPr>
            <w:tcW w:w="4253" w:type="dxa"/>
            <w:tcBorders>
              <w:top w:val="single" w:sz="4" w:space="0" w:color="auto"/>
              <w:bottom w:val="single" w:sz="4" w:space="0" w:color="auto"/>
            </w:tcBorders>
          </w:tcPr>
          <w:p>
            <w:pPr>
              <w:pStyle w:val="yTableNAm"/>
              <w:spacing w:before="60" w:after="60"/>
              <w:rPr>
                <w:b/>
                <w:bCs/>
                <w:sz w:val="20"/>
              </w:rPr>
            </w:pPr>
            <w:r>
              <w:rPr>
                <w:b/>
                <w:bCs/>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89" w:name="_Toc367366832"/>
      <w:bookmarkStart w:id="90" w:name="_Toc371600497"/>
      <w:r>
        <w:rPr>
          <w:rStyle w:val="CharSchNo"/>
        </w:rPr>
        <w:t>Schedule 3</w:t>
      </w:r>
      <w:r>
        <w:rPr>
          <w:rStyle w:val="CharSDivNo"/>
        </w:rPr>
        <w:t> </w:t>
      </w:r>
      <w:r>
        <w:t>—</w:t>
      </w:r>
      <w:r>
        <w:rPr>
          <w:rStyle w:val="CharSDivText"/>
        </w:rPr>
        <w:t> </w:t>
      </w:r>
      <w:r>
        <w:rPr>
          <w:rStyle w:val="CharSchText"/>
        </w:rPr>
        <w:t>Fees</w:t>
      </w:r>
      <w:bookmarkEnd w:id="89"/>
      <w:bookmarkEnd w:id="90"/>
    </w:p>
    <w:p>
      <w:pPr>
        <w:pStyle w:val="yShoulderClause"/>
      </w:pPr>
      <w:r>
        <w:t>[r. 11, 14ADF, 18B and 26]</w:t>
      </w:r>
    </w:p>
    <w:p>
      <w:pPr>
        <w:pStyle w:val="yFootnoteheading"/>
        <w:spacing w:after="60"/>
      </w:pPr>
      <w:r>
        <w:tab/>
        <w:t>[Heading inserted in Gazette 16 Nov 2012 p. 5653.]</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Pr>
          <w:p>
            <w:pPr>
              <w:pStyle w:val="yTableNAm"/>
              <w:tabs>
                <w:tab w:val="left" w:leader="dot" w:pos="5387"/>
              </w:tabs>
              <w:rPr>
                <w:b/>
              </w:rPr>
            </w:pPr>
            <w:r>
              <w:rPr>
                <w:b/>
              </w:rPr>
              <w:t>Item</w:t>
            </w:r>
          </w:p>
        </w:tc>
        <w:tc>
          <w:tcPr>
            <w:tcW w:w="5529" w:type="dxa"/>
          </w:tcPr>
          <w:p>
            <w:pPr>
              <w:pStyle w:val="yTableNAm"/>
              <w:tabs>
                <w:tab w:val="left" w:leader="dot" w:pos="5387"/>
              </w:tabs>
              <w:rPr>
                <w:b/>
              </w:rPr>
            </w:pPr>
            <w:r>
              <w:rPr>
                <w:b/>
              </w:rPr>
              <w:t>Description</w:t>
            </w:r>
          </w:p>
        </w:tc>
        <w:tc>
          <w:tcPr>
            <w:tcW w:w="855" w:type="dxa"/>
          </w:tcPr>
          <w:p>
            <w:pPr>
              <w:pStyle w:val="yTableNAm"/>
              <w:tabs>
                <w:tab w:val="clear" w:pos="567"/>
                <w:tab w:val="left" w:leader="dot" w:pos="5387"/>
              </w:tabs>
              <w:jc w:val="center"/>
              <w:rPr>
                <w:b/>
              </w:rPr>
            </w:pPr>
            <w:r>
              <w:rPr>
                <w:b/>
              </w:rPr>
              <w:t>Fee</w:t>
            </w:r>
            <w:r>
              <w:rPr>
                <w:b/>
              </w:rPr>
              <w:br/>
              <w:t>$</w:t>
            </w:r>
          </w:p>
        </w:tc>
      </w:tr>
      <w:tr>
        <w:trPr>
          <w:cantSplit/>
        </w:trPr>
        <w:tc>
          <w:tcPr>
            <w:tcW w:w="684" w:type="dxa"/>
          </w:tcPr>
          <w:p>
            <w:pPr>
              <w:pStyle w:val="yTableNAm"/>
              <w:tabs>
                <w:tab w:val="left" w:leader="dot" w:pos="5387"/>
              </w:tabs>
            </w:pPr>
            <w:r>
              <w:t>1.</w:t>
            </w:r>
          </w:p>
        </w:tc>
        <w:tc>
          <w:tcPr>
            <w:tcW w:w="5529" w:type="dxa"/>
          </w:tcPr>
          <w:p>
            <w:pPr>
              <w:pStyle w:val="yTableNAm"/>
              <w:tabs>
                <w:tab w:val="left" w:leader="dot" w:pos="5387"/>
              </w:tabs>
            </w:pPr>
            <w:r>
              <w:t xml:space="preserve">Application for the grant or removal of a hotel licence, nightclub licence, casino liquor licence, special facility licence or liquor store licence </w:t>
            </w:r>
            <w:r>
              <w:tab/>
            </w:r>
          </w:p>
        </w:tc>
        <w:tc>
          <w:tcPr>
            <w:tcW w:w="855" w:type="dxa"/>
          </w:tcPr>
          <w:p>
            <w:pPr>
              <w:pStyle w:val="yTableNAm"/>
              <w:tabs>
                <w:tab w:val="clear" w:pos="567"/>
                <w:tab w:val="left" w:leader="dot" w:pos="5387"/>
              </w:tabs>
              <w:jc w:val="right"/>
            </w:pPr>
            <w:r>
              <w:br/>
            </w:r>
            <w:r>
              <w:br/>
              <w:t>3 186</w:t>
            </w:r>
          </w:p>
        </w:tc>
      </w:tr>
      <w:tr>
        <w:trPr>
          <w:cantSplit/>
        </w:trPr>
        <w:tc>
          <w:tcPr>
            <w:tcW w:w="684" w:type="dxa"/>
          </w:tcPr>
          <w:p>
            <w:pPr>
              <w:pStyle w:val="yTableNAm"/>
              <w:tabs>
                <w:tab w:val="left" w:leader="dot" w:pos="5387"/>
              </w:tabs>
            </w:pPr>
            <w:r>
              <w:t>2.</w:t>
            </w:r>
          </w:p>
        </w:tc>
        <w:tc>
          <w:tcPr>
            <w:tcW w:w="5529" w:type="dxa"/>
          </w:tcPr>
          <w:p>
            <w:pPr>
              <w:pStyle w:val="yTableNAm"/>
              <w:tabs>
                <w:tab w:val="left" w:leader="dot" w:pos="5387"/>
              </w:tabs>
            </w:pPr>
            <w:r>
              <w:t xml:space="preserve">Application for the grant or removal of a club licence, restaurant licence, producer’s licence or wholesaler’s licence </w:t>
            </w:r>
          </w:p>
        </w:tc>
        <w:tc>
          <w:tcPr>
            <w:tcW w:w="855" w:type="dxa"/>
          </w:tcPr>
          <w:p>
            <w:pPr>
              <w:pStyle w:val="yTableNAm"/>
              <w:tabs>
                <w:tab w:val="clear" w:pos="567"/>
                <w:tab w:val="left" w:leader="dot" w:pos="5387"/>
              </w:tabs>
              <w:jc w:val="right"/>
            </w:pPr>
            <w:r>
              <w:br/>
              <w:t>822</w:t>
            </w:r>
          </w:p>
        </w:tc>
      </w:tr>
      <w:tr>
        <w:trPr>
          <w:cantSplit/>
        </w:trPr>
        <w:tc>
          <w:tcPr>
            <w:tcW w:w="684" w:type="dxa"/>
          </w:tcPr>
          <w:p>
            <w:pPr>
              <w:pStyle w:val="yTableNAm"/>
              <w:tabs>
                <w:tab w:val="left" w:leader="dot" w:pos="5387"/>
              </w:tabs>
            </w:pPr>
            <w:r>
              <w:t>3.</w:t>
            </w:r>
          </w:p>
        </w:tc>
        <w:tc>
          <w:tcPr>
            <w:tcW w:w="5529" w:type="dxa"/>
          </w:tcPr>
          <w:p>
            <w:pPr>
              <w:pStyle w:val="yTableNAm"/>
              <w:tabs>
                <w:tab w:val="left" w:leader="dot" w:pos="5387"/>
              </w:tabs>
            </w:pPr>
            <w:r>
              <w:t xml:space="preserve">Application for the transfer of a licence </w:t>
            </w:r>
            <w:r>
              <w:tab/>
            </w:r>
          </w:p>
        </w:tc>
        <w:tc>
          <w:tcPr>
            <w:tcW w:w="855" w:type="dxa"/>
          </w:tcPr>
          <w:p>
            <w:pPr>
              <w:pStyle w:val="yTableNAm"/>
              <w:tabs>
                <w:tab w:val="clear" w:pos="567"/>
                <w:tab w:val="left" w:leader="dot" w:pos="5387"/>
              </w:tabs>
              <w:jc w:val="right"/>
            </w:pPr>
            <w:r>
              <w:t>785</w:t>
            </w:r>
          </w:p>
        </w:tc>
      </w:tr>
      <w:tr>
        <w:trPr>
          <w:cantSplit/>
        </w:trPr>
        <w:tc>
          <w:tcPr>
            <w:tcW w:w="684" w:type="dxa"/>
          </w:tcPr>
          <w:p>
            <w:pPr>
              <w:pStyle w:val="yTableNAm"/>
              <w:tabs>
                <w:tab w:val="left" w:leader="dot" w:pos="5387"/>
              </w:tabs>
            </w:pPr>
            <w:r>
              <w:t>4.</w:t>
            </w:r>
          </w:p>
        </w:tc>
        <w:tc>
          <w:tcPr>
            <w:tcW w:w="5529" w:type="dxa"/>
          </w:tcPr>
          <w:p>
            <w:pPr>
              <w:pStyle w:val="yTableNAm"/>
              <w:tabs>
                <w:tab w:val="left" w:leader="dot" w:pos="5387"/>
              </w:tabs>
            </w:pPr>
            <w:r>
              <w:t xml:space="preserve">Licence fee for any licence other than a club restricted licence </w:t>
            </w:r>
            <w:r>
              <w:tab/>
            </w:r>
          </w:p>
        </w:tc>
        <w:tc>
          <w:tcPr>
            <w:tcW w:w="855" w:type="dxa"/>
          </w:tcPr>
          <w:p>
            <w:pPr>
              <w:pStyle w:val="yTableNAm"/>
              <w:tabs>
                <w:tab w:val="clear" w:pos="567"/>
                <w:tab w:val="left" w:leader="dot" w:pos="5387"/>
              </w:tabs>
              <w:jc w:val="right"/>
            </w:pPr>
            <w:r>
              <w:br/>
              <w:t>539</w:t>
            </w:r>
          </w:p>
        </w:tc>
      </w:tr>
      <w:tr>
        <w:trPr>
          <w:cantSplit/>
        </w:trPr>
        <w:tc>
          <w:tcPr>
            <w:tcW w:w="684" w:type="dxa"/>
            <w:tcBorders>
              <w:bottom w:val="single" w:sz="4" w:space="0" w:color="auto"/>
            </w:tcBorders>
          </w:tcPr>
          <w:p>
            <w:pPr>
              <w:pStyle w:val="yTableNAm"/>
              <w:tabs>
                <w:tab w:val="left" w:leader="dot" w:pos="5387"/>
              </w:tabs>
            </w:pPr>
            <w:r>
              <w:t>5.</w:t>
            </w:r>
          </w:p>
        </w:tc>
        <w:tc>
          <w:tcPr>
            <w:tcW w:w="5529" w:type="dxa"/>
            <w:tcBorders>
              <w:bottom w:val="single" w:sz="4" w:space="0" w:color="auto"/>
            </w:tcBorders>
          </w:tcPr>
          <w:p>
            <w:pPr>
              <w:pStyle w:val="yTableNAm"/>
              <w:tabs>
                <w:tab w:val="left" w:leader="dot" w:pos="5387"/>
              </w:tabs>
            </w:pPr>
            <w:r>
              <w:t xml:space="preserve">Licence fee for a club restricted licence </w:t>
            </w:r>
            <w:r>
              <w:tab/>
            </w:r>
          </w:p>
        </w:tc>
        <w:tc>
          <w:tcPr>
            <w:tcW w:w="855" w:type="dxa"/>
            <w:tcBorders>
              <w:bottom w:val="single" w:sz="4" w:space="0" w:color="auto"/>
            </w:tcBorders>
          </w:tcPr>
          <w:p>
            <w:pPr>
              <w:pStyle w:val="yTableNAm"/>
              <w:tabs>
                <w:tab w:val="clear" w:pos="567"/>
                <w:tab w:val="left" w:leader="dot" w:pos="5387"/>
              </w:tabs>
              <w:jc w:val="right"/>
            </w:pPr>
            <w:r>
              <w:t>267</w:t>
            </w:r>
          </w:p>
        </w:tc>
      </w:tr>
      <w:tr>
        <w:trPr>
          <w:cantSplit/>
        </w:trPr>
        <w:tc>
          <w:tcPr>
            <w:tcW w:w="684" w:type="dxa"/>
            <w:tcBorders>
              <w:top w:val="single" w:sz="4" w:space="0" w:color="auto"/>
              <w:bottom w:val="nil"/>
            </w:tcBorders>
          </w:tcPr>
          <w:p>
            <w:pPr>
              <w:pStyle w:val="yTableNAm"/>
              <w:tabs>
                <w:tab w:val="left" w:leader="dot" w:pos="5387"/>
              </w:tabs>
            </w:pPr>
            <w:r>
              <w:t>6.</w:t>
            </w:r>
          </w:p>
        </w:tc>
        <w:tc>
          <w:tcPr>
            <w:tcW w:w="5529" w:type="dxa"/>
            <w:tcBorders>
              <w:top w:val="single" w:sz="4" w:space="0" w:color="auto"/>
              <w:bottom w:val="nil"/>
            </w:tcBorders>
          </w:tcPr>
          <w:p>
            <w:pPr>
              <w:pStyle w:val="yTableNAm"/>
              <w:tabs>
                <w:tab w:val="left" w:leader="dot" w:pos="5387"/>
              </w:tabs>
            </w:pPr>
            <w:r>
              <w:t xml:space="preserve">Application for an occasional licence if the anticipated number of patrons is — </w:t>
            </w:r>
          </w:p>
          <w:p>
            <w:pPr>
              <w:pStyle w:val="yTableNAm"/>
              <w:tabs>
                <w:tab w:val="left" w:leader="dot" w:pos="5387"/>
              </w:tabs>
            </w:pPr>
            <w:r>
              <w:t>(a)</w:t>
            </w:r>
            <w:r>
              <w:tab/>
              <w:t xml:space="preserve">up to 250 </w:t>
            </w:r>
            <w:r>
              <w:tab/>
            </w:r>
          </w:p>
          <w:p>
            <w:pPr>
              <w:pStyle w:val="yTableNAm"/>
              <w:tabs>
                <w:tab w:val="left" w:leader="dot" w:pos="5387"/>
              </w:tabs>
            </w:pPr>
            <w:r>
              <w:t>(b)</w:t>
            </w:r>
            <w:r>
              <w:tab/>
              <w:t xml:space="preserve">between 251 and 500 </w:t>
            </w:r>
            <w:r>
              <w:tab/>
            </w:r>
          </w:p>
        </w:tc>
        <w:tc>
          <w:tcPr>
            <w:tcW w:w="855" w:type="dxa"/>
            <w:tcBorders>
              <w:top w:val="single" w:sz="4" w:space="0" w:color="auto"/>
              <w:bottom w:val="nil"/>
            </w:tcBorders>
          </w:tcPr>
          <w:p>
            <w:pPr>
              <w:pStyle w:val="yTableNAm"/>
              <w:tabs>
                <w:tab w:val="clear" w:pos="567"/>
                <w:tab w:val="left" w:leader="dot" w:pos="5387"/>
              </w:tabs>
              <w:jc w:val="right"/>
            </w:pPr>
            <w:r>
              <w:br/>
            </w:r>
          </w:p>
          <w:p>
            <w:pPr>
              <w:pStyle w:val="yTableNAm"/>
              <w:tabs>
                <w:tab w:val="clear" w:pos="567"/>
                <w:tab w:val="left" w:leader="dot" w:pos="5387"/>
              </w:tabs>
              <w:jc w:val="right"/>
            </w:pPr>
            <w:r>
              <w:t>50</w:t>
            </w:r>
          </w:p>
          <w:p>
            <w:pPr>
              <w:pStyle w:val="yTableNAm"/>
              <w:tabs>
                <w:tab w:val="clear" w:pos="567"/>
                <w:tab w:val="left" w:leader="dot" w:pos="5387"/>
              </w:tabs>
              <w:jc w:val="right"/>
            </w:pPr>
            <w:r>
              <w:t>103</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leader="dot" w:pos="5387"/>
              </w:tabs>
            </w:pPr>
            <w:r>
              <w:t>(c)</w:t>
            </w:r>
            <w:r>
              <w:tab/>
              <w:t xml:space="preserve">between 501 and 1 000 </w:t>
            </w:r>
            <w:r>
              <w:tab/>
            </w:r>
          </w:p>
          <w:p>
            <w:pPr>
              <w:pStyle w:val="yTableNAm"/>
              <w:tabs>
                <w:tab w:val="left" w:leader="dot" w:pos="5387"/>
              </w:tabs>
            </w:pPr>
            <w:r>
              <w:t>(d)</w:t>
            </w:r>
            <w:r>
              <w:tab/>
              <w:t xml:space="preserve">between 1 001 and 5 000 </w:t>
            </w:r>
            <w:r>
              <w:tab/>
            </w:r>
          </w:p>
          <w:p>
            <w:pPr>
              <w:pStyle w:val="yTableNAm"/>
              <w:tabs>
                <w:tab w:val="left" w:leader="dot" w:pos="5387"/>
              </w:tabs>
            </w:pPr>
            <w:r>
              <w:t>(e)</w:t>
            </w:r>
            <w:r>
              <w:tab/>
              <w:t xml:space="preserve">between 5 001 and 10 000 </w:t>
            </w:r>
            <w:r>
              <w:tab/>
            </w:r>
          </w:p>
          <w:p>
            <w:pPr>
              <w:pStyle w:val="yTableNAm"/>
              <w:tabs>
                <w:tab w:val="left" w:leader="dot" w:pos="5387"/>
              </w:tabs>
            </w:pPr>
            <w:r>
              <w:t>(f)</w:t>
            </w:r>
            <w:r>
              <w:tab/>
              <w:t xml:space="preserve">over 10 000 </w:t>
            </w:r>
            <w:r>
              <w:tab/>
            </w:r>
          </w:p>
        </w:tc>
        <w:tc>
          <w:tcPr>
            <w:tcW w:w="855" w:type="dxa"/>
            <w:tcBorders>
              <w:top w:val="nil"/>
              <w:bottom w:val="single" w:sz="4" w:space="0" w:color="auto"/>
            </w:tcBorders>
          </w:tcPr>
          <w:p>
            <w:pPr>
              <w:pStyle w:val="yTableNAm"/>
              <w:tabs>
                <w:tab w:val="clear" w:pos="567"/>
                <w:tab w:val="left" w:leader="dot" w:pos="5387"/>
              </w:tabs>
              <w:jc w:val="right"/>
            </w:pPr>
            <w:r>
              <w:t>210</w:t>
            </w:r>
          </w:p>
          <w:p>
            <w:pPr>
              <w:pStyle w:val="yTableNAm"/>
              <w:tabs>
                <w:tab w:val="clear" w:pos="567"/>
                <w:tab w:val="left" w:leader="dot" w:pos="5387"/>
              </w:tabs>
              <w:jc w:val="right"/>
            </w:pPr>
            <w:r>
              <w:t>1 050</w:t>
            </w:r>
          </w:p>
          <w:p>
            <w:pPr>
              <w:pStyle w:val="yTableNAm"/>
              <w:tabs>
                <w:tab w:val="clear" w:pos="567"/>
                <w:tab w:val="left" w:leader="dot" w:pos="5387"/>
              </w:tabs>
              <w:jc w:val="right"/>
            </w:pPr>
            <w:r>
              <w:t>2 100</w:t>
            </w:r>
          </w:p>
          <w:p>
            <w:pPr>
              <w:pStyle w:val="yTableNAm"/>
              <w:tabs>
                <w:tab w:val="clear" w:pos="567"/>
                <w:tab w:val="left" w:leader="dot" w:pos="5387"/>
              </w:tabs>
              <w:jc w:val="right"/>
            </w:pPr>
            <w:r>
              <w:t>4 205</w:t>
            </w:r>
          </w:p>
        </w:tc>
      </w:tr>
      <w:tr>
        <w:trPr>
          <w:cantSplit/>
        </w:trPr>
        <w:tc>
          <w:tcPr>
            <w:tcW w:w="684" w:type="dxa"/>
            <w:tcBorders>
              <w:top w:val="nil"/>
              <w:bottom w:val="single" w:sz="4" w:space="0" w:color="auto"/>
            </w:tcBorders>
          </w:tcPr>
          <w:p>
            <w:pPr>
              <w:pStyle w:val="yTableNAm"/>
              <w:tabs>
                <w:tab w:val="left" w:leader="dot" w:pos="5387"/>
              </w:tabs>
            </w:pPr>
            <w:r>
              <w:t>7.</w:t>
            </w:r>
          </w:p>
        </w:tc>
        <w:tc>
          <w:tcPr>
            <w:tcW w:w="5529" w:type="dxa"/>
            <w:tcBorders>
              <w:top w:val="nil"/>
              <w:bottom w:val="single" w:sz="4" w:space="0" w:color="auto"/>
            </w:tcBorders>
          </w:tcPr>
          <w:p>
            <w:pPr>
              <w:pStyle w:val="yTableNAm"/>
              <w:tabs>
                <w:tab w:val="left" w:leader="dot" w:pos="5387"/>
              </w:tabs>
            </w:pPr>
            <w:r>
              <w:t>Application for extended trading permit for a period of over 21 days —</w:t>
            </w:r>
          </w:p>
        </w:tc>
        <w:tc>
          <w:tcPr>
            <w:tcW w:w="855" w:type="dxa"/>
            <w:tcBorders>
              <w:top w:val="nil"/>
              <w:bottom w:val="single" w:sz="4" w:space="0" w:color="auto"/>
            </w:tcBorders>
            <w:vAlign w:val="center"/>
          </w:tcPr>
          <w:p>
            <w:pPr>
              <w:pStyle w:val="yTableNAm"/>
              <w:tabs>
                <w:tab w:val="clear" w:pos="567"/>
                <w:tab w:val="left" w:leader="dot" w:pos="5387"/>
              </w:tabs>
              <w:jc w:val="both"/>
              <w:rPr>
                <w:rFonts w:ascii="Arial" w:hAnsi="Arial"/>
                <w:b/>
              </w:rPr>
            </w:pPr>
            <w:r>
              <w:br/>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pos="1005"/>
                <w:tab w:val="left" w:leader="dot" w:pos="5954"/>
              </w:tabs>
              <w:ind w:left="567" w:hanging="567"/>
              <w:rPr>
                <w:rFonts w:ascii="Arial" w:hAnsi="Arial"/>
                <w:b/>
              </w:rPr>
            </w:pPr>
            <w:r>
              <w:t>(a)</w:t>
            </w:r>
            <w:r>
              <w:tab/>
              <w:t xml:space="preserve">issued for the purpose referred to in section 60(4)(ca) — </w:t>
            </w:r>
          </w:p>
          <w:p>
            <w:pPr>
              <w:pStyle w:val="yTableNAm"/>
              <w:tabs>
                <w:tab w:val="left" w:pos="1005"/>
                <w:tab w:val="left" w:leader="dot" w:pos="5954"/>
              </w:tabs>
              <w:rPr>
                <w:rFonts w:ascii="Arial" w:hAnsi="Arial"/>
                <w:b/>
              </w:rPr>
            </w:pPr>
            <w:r>
              <w:tab/>
              <w:t>(i)</w:t>
            </w:r>
            <w:r>
              <w:tab/>
              <w:t xml:space="preserve">if regulation 9F(2) applies </w:t>
            </w:r>
            <w:r>
              <w:tab/>
            </w:r>
          </w:p>
          <w:p>
            <w:pPr>
              <w:pStyle w:val="yTableNAm"/>
              <w:tabs>
                <w:tab w:val="left" w:pos="1005"/>
                <w:tab w:val="left" w:leader="dot" w:pos="5954"/>
              </w:tabs>
              <w:rPr>
                <w:rFonts w:ascii="Arial" w:hAnsi="Arial"/>
                <w:b/>
              </w:rPr>
            </w:pPr>
            <w:r>
              <w:tab/>
              <w:t>(ii)</w:t>
            </w:r>
            <w:r>
              <w:tab/>
              <w:t>if regulation 9F(2) does not apply</w:t>
            </w:r>
            <w:r>
              <w:tab/>
            </w:r>
          </w:p>
        </w:tc>
        <w:tc>
          <w:tcPr>
            <w:tcW w:w="855" w:type="dxa"/>
            <w:tcBorders>
              <w:top w:val="nil"/>
              <w:bottom w:val="single" w:sz="4" w:space="0" w:color="auto"/>
            </w:tcBorders>
            <w:vAlign w:val="center"/>
          </w:tcPr>
          <w:p>
            <w:pPr>
              <w:pStyle w:val="yTableNAm"/>
              <w:jc w:val="right"/>
              <w:rPr>
                <w:rFonts w:ascii="Arial" w:hAnsi="Arial"/>
                <w:b/>
              </w:rPr>
            </w:pPr>
            <w:r>
              <w:br/>
            </w:r>
          </w:p>
          <w:p>
            <w:pPr>
              <w:pStyle w:val="yTableNAm"/>
              <w:jc w:val="right"/>
            </w:pPr>
            <w:r>
              <w:t>50</w:t>
            </w:r>
          </w:p>
          <w:p>
            <w:pPr>
              <w:pStyle w:val="yTableNAm"/>
              <w:tabs>
                <w:tab w:val="clear" w:pos="567"/>
                <w:tab w:val="left" w:leader="dot" w:pos="5387"/>
              </w:tabs>
              <w:jc w:val="right"/>
            </w:pPr>
            <w:r>
              <w:t>431</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pos="1005"/>
                <w:tab w:val="left" w:leader="dot" w:pos="5954"/>
              </w:tabs>
              <w:ind w:left="567" w:hanging="567"/>
              <w:rPr>
                <w:rFonts w:ascii="Arial" w:hAnsi="Arial"/>
                <w:b/>
              </w:rPr>
            </w:pPr>
            <w:r>
              <w:t>(b)</w:t>
            </w:r>
            <w:r>
              <w:tab/>
              <w:t xml:space="preserve">issued for the purpose referred to in </w:t>
            </w:r>
            <w:r>
              <w:br/>
              <w:t xml:space="preserve">section 60(4)(h) </w:t>
            </w:r>
            <w:r>
              <w:tab/>
            </w:r>
          </w:p>
        </w:tc>
        <w:tc>
          <w:tcPr>
            <w:tcW w:w="855" w:type="dxa"/>
            <w:tcBorders>
              <w:top w:val="nil"/>
              <w:bottom w:val="single" w:sz="4" w:space="0" w:color="auto"/>
            </w:tcBorders>
            <w:vAlign w:val="center"/>
          </w:tcPr>
          <w:p>
            <w:pPr>
              <w:pStyle w:val="yTableNAm"/>
              <w:jc w:val="right"/>
              <w:rPr>
                <w:rFonts w:ascii="Arial" w:hAnsi="Arial"/>
                <w:b/>
              </w:rPr>
            </w:pPr>
            <w:r>
              <w:br/>
              <w:t>323</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leader="dot" w:pos="5954"/>
              </w:tabs>
              <w:jc w:val="both"/>
              <w:rPr>
                <w:rFonts w:ascii="Arial" w:hAnsi="Arial"/>
                <w:b/>
              </w:rPr>
            </w:pPr>
            <w:r>
              <w:t>(c)</w:t>
            </w:r>
            <w:r>
              <w:tab/>
              <w:t xml:space="preserve">issued for any other purpose </w:t>
            </w:r>
            <w:r>
              <w:tab/>
            </w:r>
          </w:p>
        </w:tc>
        <w:tc>
          <w:tcPr>
            <w:tcW w:w="855" w:type="dxa"/>
            <w:tcBorders>
              <w:top w:val="nil"/>
              <w:bottom w:val="single" w:sz="4" w:space="0" w:color="auto"/>
            </w:tcBorders>
            <w:vAlign w:val="center"/>
          </w:tcPr>
          <w:p>
            <w:pPr>
              <w:pStyle w:val="yTableNAm"/>
              <w:jc w:val="right"/>
              <w:rPr>
                <w:rFonts w:ascii="Arial" w:hAnsi="Arial"/>
                <w:b/>
              </w:rPr>
            </w:pPr>
            <w:r>
              <w:t>1 079</w:t>
            </w:r>
          </w:p>
        </w:tc>
      </w:tr>
      <w:tr>
        <w:trPr>
          <w:cantSplit/>
        </w:trPr>
        <w:tc>
          <w:tcPr>
            <w:tcW w:w="684" w:type="dxa"/>
            <w:tcBorders>
              <w:top w:val="single" w:sz="4" w:space="0" w:color="auto"/>
              <w:bottom w:val="nil"/>
            </w:tcBorders>
          </w:tcPr>
          <w:p>
            <w:pPr>
              <w:pStyle w:val="yTableNAm"/>
              <w:keepNext/>
              <w:tabs>
                <w:tab w:val="left" w:leader="dot" w:pos="5387"/>
              </w:tabs>
            </w:pPr>
            <w:r>
              <w:t>8.</w:t>
            </w:r>
          </w:p>
        </w:tc>
        <w:tc>
          <w:tcPr>
            <w:tcW w:w="5529" w:type="dxa"/>
            <w:tcBorders>
              <w:top w:val="single" w:sz="4" w:space="0" w:color="auto"/>
              <w:bottom w:val="nil"/>
            </w:tcBorders>
          </w:tcPr>
          <w:p>
            <w:pPr>
              <w:pStyle w:val="yTableNAm"/>
              <w:keepNext/>
              <w:tabs>
                <w:tab w:val="left" w:leader="dot" w:pos="5387"/>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bottom w:val="nil"/>
            </w:tcBorders>
          </w:tcPr>
          <w:p>
            <w:pPr>
              <w:pStyle w:val="yTableNAm"/>
              <w:keepNext/>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up to 500 </w:t>
            </w:r>
            <w:r>
              <w:tab/>
            </w:r>
          </w:p>
        </w:tc>
        <w:tc>
          <w:tcPr>
            <w:tcW w:w="855" w:type="dxa"/>
            <w:tcBorders>
              <w:top w:val="nil"/>
              <w:bottom w:val="nil"/>
            </w:tcBorders>
          </w:tcPr>
          <w:p>
            <w:pPr>
              <w:pStyle w:val="yTableNAm"/>
              <w:tabs>
                <w:tab w:val="clear" w:pos="567"/>
                <w:tab w:val="left" w:leader="dot" w:pos="5387"/>
              </w:tabs>
              <w:jc w:val="right"/>
            </w:pPr>
            <w:r>
              <w:t>103</w:t>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(b)</w:t>
            </w:r>
            <w:r>
              <w:tab/>
              <w:t xml:space="preserve">between 501 and 1 000 </w:t>
            </w:r>
            <w:r>
              <w:tab/>
            </w:r>
          </w:p>
        </w:tc>
        <w:tc>
          <w:tcPr>
            <w:tcW w:w="855" w:type="dxa"/>
            <w:tcBorders>
              <w:top w:val="nil"/>
              <w:bottom w:val="nil"/>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Borders>
              <w:top w:val="single" w:sz="4" w:space="0" w:color="auto"/>
              <w:bottom w:val="single" w:sz="4" w:space="0" w:color="auto"/>
            </w:tcBorders>
          </w:tcPr>
          <w:p>
            <w:pPr>
              <w:pStyle w:val="yTableNAm"/>
              <w:tabs>
                <w:tab w:val="left" w:leader="dot" w:pos="5387"/>
              </w:tabs>
            </w:pPr>
            <w:r>
              <w:t>9A.</w:t>
            </w:r>
          </w:p>
        </w:tc>
        <w:tc>
          <w:tcPr>
            <w:tcW w:w="5529" w:type="dxa"/>
            <w:tcBorders>
              <w:top w:val="single" w:sz="4" w:space="0" w:color="auto"/>
              <w:bottom w:val="single" w:sz="4" w:space="0" w:color="auto"/>
            </w:tcBorders>
          </w:tcPr>
          <w:p>
            <w:pPr>
              <w:pStyle w:val="yTableNAm"/>
              <w:tabs>
                <w:tab w:val="left" w:leader="dot" w:pos="5387"/>
              </w:tabs>
            </w:pPr>
            <w:r>
              <w:t xml:space="preserve">Application for extended trading permit (in respect of a club restricted licence) for a period of 21 days or less </w:t>
            </w:r>
            <w:r>
              <w:tab/>
            </w:r>
          </w:p>
        </w:tc>
        <w:tc>
          <w:tcPr>
            <w:tcW w:w="855" w:type="dxa"/>
            <w:tcBorders>
              <w:top w:val="single" w:sz="4" w:space="0" w:color="auto"/>
              <w:bottom w:val="single" w:sz="4" w:space="0" w:color="auto"/>
            </w:tcBorders>
          </w:tcPr>
          <w:p>
            <w:pPr>
              <w:pStyle w:val="yTableNAm"/>
              <w:tabs>
                <w:tab w:val="clear" w:pos="567"/>
                <w:tab w:val="left" w:leader="dot" w:pos="5387"/>
              </w:tabs>
              <w:jc w:val="right"/>
            </w:pPr>
            <w:r>
              <w:br/>
              <w:t>40</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165</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15</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10B.</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renewal of manager’s approval (transitioned approval under r. 14ADG)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for 1 year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70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30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for 3 years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115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75</w:t>
            </w:r>
          </w:p>
        </w:tc>
      </w:tr>
      <w:tr>
        <w:trPr>
          <w:cantSplit/>
        </w:trPr>
        <w:tc>
          <w:tcPr>
            <w:tcW w:w="684" w:type="dxa"/>
            <w:tcBorders>
              <w:top w:val="single" w:sz="4" w:space="0" w:color="auto"/>
              <w:left w:val="single" w:sz="4" w:space="0" w:color="auto"/>
              <w:bottom w:val="nil"/>
              <w:right w:val="single" w:sz="4" w:space="0" w:color="auto"/>
            </w:tcBorders>
          </w:tcPr>
          <w:p>
            <w:pPr>
              <w:pStyle w:val="yTableNAm"/>
              <w:keepNext/>
              <w:tabs>
                <w:tab w:val="left" w:leader="dot" w:pos="5387"/>
              </w:tabs>
            </w:pP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387"/>
              </w:tabs>
            </w:pPr>
            <w:r>
              <w:t>(c)</w:t>
            </w:r>
            <w:r>
              <w:tab/>
              <w:t xml:space="preserve">for 5 years — </w:t>
            </w:r>
          </w:p>
        </w:tc>
        <w:tc>
          <w:tcPr>
            <w:tcW w:w="855" w:type="dxa"/>
            <w:tcBorders>
              <w:top w:val="single" w:sz="4" w:space="0" w:color="auto"/>
              <w:left w:val="single" w:sz="4" w:space="0" w:color="auto"/>
              <w:bottom w:val="nil"/>
              <w:right w:val="single" w:sz="4" w:space="0" w:color="auto"/>
            </w:tcBorders>
          </w:tcPr>
          <w:p>
            <w:pPr>
              <w:pStyle w:val="yTableNAm"/>
              <w:keepNext/>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10C.</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replacement identification card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10</w:t>
            </w:r>
          </w:p>
        </w:tc>
      </w:tr>
      <w:tr>
        <w:trPr>
          <w:cantSplit/>
        </w:trPr>
        <w:tc>
          <w:tcPr>
            <w:tcW w:w="684" w:type="dxa"/>
            <w:tcBorders>
              <w:bottom w:val="nil"/>
            </w:tcBorders>
          </w:tcPr>
          <w:p>
            <w:pPr>
              <w:pStyle w:val="yTableNAm"/>
              <w:tabs>
                <w:tab w:val="left" w:leader="dot" w:pos="5387"/>
              </w:tabs>
            </w:pPr>
            <w:r>
              <w:t>10.</w:t>
            </w:r>
          </w:p>
        </w:tc>
        <w:tc>
          <w:tcPr>
            <w:tcW w:w="5529" w:type="dxa"/>
            <w:tcBorders>
              <w:bottom w:val="nil"/>
            </w:tcBorders>
          </w:tcPr>
          <w:p>
            <w:pPr>
              <w:pStyle w:val="yTableNAm"/>
              <w:tabs>
                <w:tab w:val="left" w:leader="dot" w:pos="5387"/>
              </w:tabs>
            </w:pPr>
            <w:r>
              <w:t xml:space="preserve">Application for approval of person in position of authority — </w:t>
            </w:r>
          </w:p>
        </w:tc>
        <w:tc>
          <w:tcPr>
            <w:tcW w:w="855" w:type="dxa"/>
            <w:tcBorders>
              <w:bottom w:val="nil"/>
            </w:tcBorders>
          </w:tcPr>
          <w:p>
            <w:pPr>
              <w:pStyle w:val="yTableNAm"/>
              <w:tabs>
                <w:tab w:val="clear" w:pos="567"/>
                <w:tab w:val="left" w:leader="dot" w:pos="5387"/>
              </w:tabs>
              <w:jc w:val="right"/>
            </w:pPr>
            <w:r>
              <w:br/>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ind w:left="567" w:hanging="567"/>
            </w:pPr>
            <w:r>
              <w:t>(a)</w:t>
            </w:r>
            <w:r>
              <w:tab/>
              <w:t xml:space="preserve">under licence other than club licence or club restricted licence </w:t>
            </w:r>
            <w:r>
              <w:tab/>
            </w:r>
          </w:p>
        </w:tc>
        <w:tc>
          <w:tcPr>
            <w:tcW w:w="855" w:type="dxa"/>
            <w:tcBorders>
              <w:top w:val="nil"/>
              <w:bottom w:val="nil"/>
            </w:tcBorders>
          </w:tcPr>
          <w:p>
            <w:pPr>
              <w:pStyle w:val="yTableNAm"/>
              <w:tabs>
                <w:tab w:val="clear" w:pos="567"/>
                <w:tab w:val="left" w:leader="dot" w:pos="5387"/>
              </w:tabs>
              <w:jc w:val="right"/>
            </w:pPr>
            <w:r>
              <w:br/>
              <w:t>149</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under club licence or club restricted licence </w:t>
            </w:r>
            <w:r>
              <w:tab/>
            </w:r>
          </w:p>
        </w:tc>
        <w:tc>
          <w:tcPr>
            <w:tcW w:w="855" w:type="dxa"/>
            <w:tcBorders>
              <w:top w:val="nil"/>
            </w:tcBorders>
          </w:tcPr>
          <w:p>
            <w:pPr>
              <w:pStyle w:val="yTableNAm"/>
              <w:tabs>
                <w:tab w:val="clear" w:pos="567"/>
                <w:tab w:val="left" w:leader="dot" w:pos="5387"/>
              </w:tabs>
              <w:jc w:val="right"/>
            </w:pPr>
            <w:r>
              <w:t>102</w:t>
            </w:r>
          </w:p>
        </w:tc>
      </w:tr>
      <w:tr>
        <w:trPr>
          <w:cantSplit/>
        </w:trPr>
        <w:tc>
          <w:tcPr>
            <w:tcW w:w="684" w:type="dxa"/>
          </w:tcPr>
          <w:p>
            <w:pPr>
              <w:pStyle w:val="yTableNAm"/>
              <w:tabs>
                <w:tab w:val="left" w:leader="dot" w:pos="5387"/>
              </w:tabs>
            </w:pPr>
            <w:r>
              <w:t>11.</w:t>
            </w:r>
          </w:p>
        </w:tc>
        <w:tc>
          <w:tcPr>
            <w:tcW w:w="5529" w:type="dxa"/>
          </w:tcPr>
          <w:p>
            <w:pPr>
              <w:pStyle w:val="yTableNAm"/>
              <w:tabs>
                <w:tab w:val="left" w:leader="dot" w:pos="5387"/>
              </w:tabs>
            </w:pPr>
            <w:r>
              <w:t xml:space="preserve">Application for approval for alteration or redefinition of licensed premises </w:t>
            </w:r>
            <w:r>
              <w:tab/>
            </w:r>
          </w:p>
        </w:tc>
        <w:tc>
          <w:tcPr>
            <w:tcW w:w="855" w:type="dxa"/>
          </w:tcPr>
          <w:p>
            <w:pPr>
              <w:pStyle w:val="yTableNAm"/>
              <w:tabs>
                <w:tab w:val="clear" w:pos="567"/>
                <w:tab w:val="left" w:leader="dot" w:pos="5387"/>
              </w:tabs>
              <w:jc w:val="right"/>
            </w:pPr>
            <w:r>
              <w:br/>
              <w:t>370</w:t>
            </w:r>
          </w:p>
        </w:tc>
      </w:tr>
      <w:tr>
        <w:trPr>
          <w:cantSplit/>
        </w:trPr>
        <w:tc>
          <w:tcPr>
            <w:tcW w:w="684" w:type="dxa"/>
          </w:tcPr>
          <w:p>
            <w:pPr>
              <w:pStyle w:val="yTableNAm"/>
              <w:tabs>
                <w:tab w:val="left" w:leader="dot" w:pos="5387"/>
              </w:tabs>
            </w:pPr>
            <w:r>
              <w:t>12.</w:t>
            </w:r>
          </w:p>
        </w:tc>
        <w:tc>
          <w:tcPr>
            <w:tcW w:w="5529" w:type="dxa"/>
          </w:tcPr>
          <w:p>
            <w:pPr>
              <w:pStyle w:val="yTableNAm"/>
              <w:tabs>
                <w:tab w:val="left" w:leader="dot" w:pos="5387"/>
              </w:tabs>
            </w:pPr>
            <w:r>
              <w:t xml:space="preserve">Application for a protection order under section 87(1) </w:t>
            </w:r>
            <w:r>
              <w:tab/>
            </w:r>
          </w:p>
        </w:tc>
        <w:tc>
          <w:tcPr>
            <w:tcW w:w="855" w:type="dxa"/>
          </w:tcPr>
          <w:p>
            <w:pPr>
              <w:pStyle w:val="yTableNAm"/>
              <w:tabs>
                <w:tab w:val="clear" w:pos="567"/>
                <w:tab w:val="left" w:leader="dot" w:pos="5387"/>
              </w:tabs>
              <w:jc w:val="right"/>
            </w:pPr>
            <w:r>
              <w:t>215</w:t>
            </w:r>
          </w:p>
        </w:tc>
      </w:tr>
      <w:tr>
        <w:trPr>
          <w:cantSplit/>
        </w:trPr>
        <w:tc>
          <w:tcPr>
            <w:tcW w:w="684" w:type="dxa"/>
          </w:tcPr>
          <w:p>
            <w:pPr>
              <w:pStyle w:val="yTableNAm"/>
              <w:tabs>
                <w:tab w:val="left" w:leader="dot" w:pos="5387"/>
              </w:tabs>
            </w:pPr>
            <w:r>
              <w:t>13.</w:t>
            </w:r>
          </w:p>
        </w:tc>
        <w:tc>
          <w:tcPr>
            <w:tcW w:w="5529" w:type="dxa"/>
          </w:tcPr>
          <w:p>
            <w:pPr>
              <w:pStyle w:val="yTableNAm"/>
              <w:tabs>
                <w:tab w:val="left" w:leader="dot" w:pos="5387"/>
              </w:tabs>
            </w:pPr>
            <w:r>
              <w:t xml:space="preserve">Application for duplicate licence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14.</w:t>
            </w:r>
          </w:p>
        </w:tc>
        <w:tc>
          <w:tcPr>
            <w:tcW w:w="5529" w:type="dxa"/>
          </w:tcPr>
          <w:p>
            <w:pPr>
              <w:pStyle w:val="yTableNAm"/>
              <w:tabs>
                <w:tab w:val="left" w:leader="dot" w:pos="5387"/>
              </w:tabs>
            </w:pPr>
            <w:r>
              <w:t xml:space="preserve">Application for approval of change of name of licensed premises </w:t>
            </w:r>
            <w:r>
              <w:tab/>
            </w:r>
          </w:p>
        </w:tc>
        <w:tc>
          <w:tcPr>
            <w:tcW w:w="855" w:type="dxa"/>
          </w:tcPr>
          <w:p>
            <w:pPr>
              <w:pStyle w:val="yTableNAm"/>
              <w:tabs>
                <w:tab w:val="clear" w:pos="567"/>
                <w:tab w:val="left" w:leader="dot" w:pos="5387"/>
              </w:tabs>
              <w:jc w:val="right"/>
            </w:pPr>
            <w:r>
              <w:br/>
              <w:t>70</w:t>
            </w:r>
          </w:p>
        </w:tc>
      </w:tr>
      <w:tr>
        <w:trPr>
          <w:cantSplit/>
        </w:trPr>
        <w:tc>
          <w:tcPr>
            <w:tcW w:w="684" w:type="dxa"/>
            <w:tcBorders>
              <w:bottom w:val="nil"/>
            </w:tcBorders>
          </w:tcPr>
          <w:p>
            <w:pPr>
              <w:pStyle w:val="yTableNAm"/>
              <w:tabs>
                <w:tab w:val="left" w:leader="dot" w:pos="5387"/>
              </w:tabs>
            </w:pPr>
            <w:r>
              <w:t>15.</w:t>
            </w:r>
          </w:p>
        </w:tc>
        <w:tc>
          <w:tcPr>
            <w:tcW w:w="5529" w:type="dxa"/>
            <w:tcBorders>
              <w:bottom w:val="nil"/>
            </w:tcBorders>
          </w:tcPr>
          <w:p>
            <w:pPr>
              <w:pStyle w:val="yTableNAm"/>
              <w:tabs>
                <w:tab w:val="left" w:leader="dot" w:pos="5387"/>
              </w:tabs>
            </w:pPr>
            <w:r>
              <w:t xml:space="preserve">Application to add, vary or cancel condition of licence or permit (other than club restricted licence)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for a period of over 21 days </w:t>
            </w:r>
            <w:r>
              <w:tab/>
            </w:r>
          </w:p>
        </w:tc>
        <w:tc>
          <w:tcPr>
            <w:tcW w:w="855" w:type="dxa"/>
            <w:tcBorders>
              <w:top w:val="nil"/>
              <w:bottom w:val="nil"/>
            </w:tcBorders>
          </w:tcPr>
          <w:p>
            <w:pPr>
              <w:pStyle w:val="yTableNAm"/>
              <w:tabs>
                <w:tab w:val="clear" w:pos="567"/>
                <w:tab w:val="left" w:leader="dot" w:pos="5387"/>
              </w:tabs>
              <w:jc w:val="right"/>
            </w:pPr>
            <w:r>
              <w:t>221</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103</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(iv)</w:t>
            </w:r>
            <w:r>
              <w:tab/>
              <w:t>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Pr>
          <w:p>
            <w:pPr>
              <w:pStyle w:val="yTableNAm"/>
              <w:tabs>
                <w:tab w:val="left" w:leader="dot" w:pos="5387"/>
              </w:tabs>
            </w:pPr>
            <w:r>
              <w:t>16.</w:t>
            </w:r>
          </w:p>
        </w:tc>
        <w:tc>
          <w:tcPr>
            <w:tcW w:w="5529" w:type="dxa"/>
          </w:tcPr>
          <w:p>
            <w:pPr>
              <w:pStyle w:val="yTableNAm"/>
              <w:tabs>
                <w:tab w:val="left" w:leader="dot" w:pos="5387"/>
              </w:tabs>
            </w:pPr>
            <w:r>
              <w:t xml:space="preserve">Application to add, vary or cancel condition of club restricted licence </w:t>
            </w:r>
            <w:r>
              <w:tab/>
            </w:r>
          </w:p>
        </w:tc>
        <w:tc>
          <w:tcPr>
            <w:tcW w:w="855" w:type="dxa"/>
          </w:tcPr>
          <w:p>
            <w:pPr>
              <w:pStyle w:val="yTableNAm"/>
              <w:tabs>
                <w:tab w:val="clear" w:pos="567"/>
                <w:tab w:val="left" w:leader="dot" w:pos="5387"/>
              </w:tabs>
              <w:jc w:val="right"/>
            </w:pPr>
            <w:r>
              <w:br/>
              <w:t>41</w:t>
            </w:r>
          </w:p>
        </w:tc>
      </w:tr>
      <w:tr>
        <w:trPr>
          <w:cantSplit/>
        </w:trPr>
        <w:tc>
          <w:tcPr>
            <w:tcW w:w="684" w:type="dxa"/>
          </w:tcPr>
          <w:p>
            <w:pPr>
              <w:pStyle w:val="yTableNAm"/>
              <w:tabs>
                <w:tab w:val="left" w:leader="dot" w:pos="5387"/>
              </w:tabs>
            </w:pPr>
            <w:r>
              <w:t>17.</w:t>
            </w:r>
          </w:p>
        </w:tc>
        <w:tc>
          <w:tcPr>
            <w:tcW w:w="5529" w:type="dxa"/>
          </w:tcPr>
          <w:p>
            <w:pPr>
              <w:pStyle w:val="yTableNAm"/>
              <w:tabs>
                <w:tab w:val="left" w:leader="dot" w:pos="5387"/>
              </w:tabs>
            </w:pPr>
            <w:r>
              <w:t xml:space="preserve">Application under section 62(6) to vary any plans or specifications the subject of a condition </w:t>
            </w:r>
            <w:r>
              <w:tab/>
            </w:r>
          </w:p>
        </w:tc>
        <w:tc>
          <w:tcPr>
            <w:tcW w:w="855" w:type="dxa"/>
          </w:tcPr>
          <w:p>
            <w:pPr>
              <w:pStyle w:val="yTableNAm"/>
              <w:tabs>
                <w:tab w:val="clear" w:pos="567"/>
                <w:tab w:val="left" w:leader="dot" w:pos="5387"/>
              </w:tabs>
              <w:jc w:val="right"/>
            </w:pPr>
            <w:r>
              <w:br/>
              <w:t>257</w:t>
            </w:r>
          </w:p>
        </w:tc>
      </w:tr>
      <w:tr>
        <w:trPr>
          <w:cantSplit/>
        </w:trPr>
        <w:tc>
          <w:tcPr>
            <w:tcW w:w="684" w:type="dxa"/>
          </w:tcPr>
          <w:p>
            <w:pPr>
              <w:pStyle w:val="yTableNAm"/>
              <w:tabs>
                <w:tab w:val="left" w:leader="dot" w:pos="5387"/>
              </w:tabs>
            </w:pPr>
            <w:r>
              <w:t>18.</w:t>
            </w:r>
          </w:p>
        </w:tc>
        <w:tc>
          <w:tcPr>
            <w:tcW w:w="5529" w:type="dxa"/>
          </w:tcPr>
          <w:p>
            <w:pPr>
              <w:pStyle w:val="yTableNAm"/>
              <w:tabs>
                <w:tab w:val="left" w:leader="dot" w:pos="5387"/>
              </w:tabs>
            </w:pPr>
            <w:r>
              <w:t xml:space="preserve">Application for approval of agreement or arrangement </w:t>
            </w:r>
            <w:r>
              <w:tab/>
            </w:r>
          </w:p>
          <w:p>
            <w:pPr>
              <w:pStyle w:val="yTableNAm"/>
              <w:tabs>
                <w:tab w:val="left" w:leader="dot" w:pos="5387"/>
              </w:tabs>
            </w:pPr>
            <w:r>
              <w:t>and</w:t>
            </w:r>
          </w:p>
          <w:p>
            <w:pPr>
              <w:pStyle w:val="yTableNAm"/>
              <w:tabs>
                <w:tab w:val="left" w:leader="dot" w:pos="5387"/>
              </w:tabs>
            </w:pPr>
            <w:r>
              <w:t xml:space="preserve">for each person who is a party to the agreement or arrangement and in relation to whom a background check is sought from the Police Service </w:t>
            </w:r>
            <w:r>
              <w:tab/>
            </w:r>
          </w:p>
        </w:tc>
        <w:tc>
          <w:tcPr>
            <w:tcW w:w="855" w:type="dxa"/>
          </w:tcPr>
          <w:p>
            <w:pPr>
              <w:pStyle w:val="yTableNAm"/>
              <w:tabs>
                <w:tab w:val="clear" w:pos="567"/>
                <w:tab w:val="left" w:leader="dot" w:pos="5387"/>
              </w:tabs>
              <w:jc w:val="right"/>
            </w:pPr>
            <w:r>
              <w:t>215</w:t>
            </w:r>
          </w:p>
          <w:p>
            <w:pPr>
              <w:pStyle w:val="yTableNAm"/>
              <w:tabs>
                <w:tab w:val="clear" w:pos="567"/>
                <w:tab w:val="left" w:leader="dot" w:pos="5387"/>
              </w:tabs>
              <w:jc w:val="right"/>
            </w:pPr>
          </w:p>
          <w:p>
            <w:pPr>
              <w:pStyle w:val="yTableNAm"/>
              <w:tabs>
                <w:tab w:val="clear" w:pos="567"/>
                <w:tab w:val="left" w:leader="dot" w:pos="5387"/>
              </w:tabs>
              <w:jc w:val="right"/>
            </w:pPr>
            <w:r>
              <w:br/>
            </w:r>
            <w:r>
              <w:br/>
              <w:t>140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228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r>
            <w:r>
              <w:br/>
              <w:t>250</w:t>
            </w:r>
          </w:p>
        </w:tc>
      </w:tr>
      <w:tr>
        <w:trPr>
          <w:cantSplit/>
        </w:trPr>
        <w:tc>
          <w:tcPr>
            <w:tcW w:w="684" w:type="dxa"/>
          </w:tcPr>
          <w:p>
            <w:pPr>
              <w:pStyle w:val="yTableNAm"/>
              <w:tabs>
                <w:tab w:val="left" w:leader="dot" w:pos="5387"/>
              </w:tabs>
            </w:pPr>
            <w:r>
              <w:t>19.</w:t>
            </w:r>
          </w:p>
        </w:tc>
        <w:tc>
          <w:tcPr>
            <w:tcW w:w="5529" w:type="dxa"/>
          </w:tcPr>
          <w:p>
            <w:pPr>
              <w:pStyle w:val="yTableNAm"/>
              <w:tabs>
                <w:tab w:val="left" w:leader="dot" w:pos="5387"/>
              </w:tabs>
            </w:pPr>
            <w:r>
              <w:t xml:space="preserve">Application under section 126A for approval of entertainment for juveniles on licensed premises </w:t>
            </w:r>
            <w:r>
              <w:tab/>
            </w:r>
          </w:p>
        </w:tc>
        <w:tc>
          <w:tcPr>
            <w:tcW w:w="855" w:type="dxa"/>
          </w:tcPr>
          <w:p>
            <w:pPr>
              <w:pStyle w:val="yTableNAm"/>
              <w:tabs>
                <w:tab w:val="clear" w:pos="567"/>
                <w:tab w:val="left" w:leader="dot" w:pos="5387"/>
              </w:tabs>
              <w:jc w:val="right"/>
            </w:pPr>
            <w:r>
              <w:br/>
              <w:t>61</w:t>
            </w:r>
          </w:p>
        </w:tc>
      </w:tr>
      <w:tr>
        <w:trPr>
          <w:cantSplit/>
        </w:trPr>
        <w:tc>
          <w:tcPr>
            <w:tcW w:w="684" w:type="dxa"/>
          </w:tcPr>
          <w:p>
            <w:pPr>
              <w:pStyle w:val="yTableNAm"/>
              <w:tabs>
                <w:tab w:val="left" w:leader="dot" w:pos="5387"/>
              </w:tabs>
            </w:pPr>
            <w:r>
              <w:t>20.</w:t>
            </w:r>
          </w:p>
        </w:tc>
        <w:tc>
          <w:tcPr>
            <w:tcW w:w="5529" w:type="dxa"/>
          </w:tcPr>
          <w:p>
            <w:pPr>
              <w:pStyle w:val="yTableNAm"/>
              <w:tabs>
                <w:tab w:val="left" w:leader="dot" w:pos="5387"/>
              </w:tabs>
            </w:pPr>
            <w:r>
              <w:t xml:space="preserve">Application for Proof of Age Card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21.</w:t>
            </w:r>
          </w:p>
        </w:tc>
        <w:tc>
          <w:tcPr>
            <w:tcW w:w="5529" w:type="dxa"/>
          </w:tcPr>
          <w:p>
            <w:pPr>
              <w:pStyle w:val="yTableNAm"/>
              <w:tabs>
                <w:tab w:val="left" w:leader="dot" w:pos="5387"/>
              </w:tabs>
            </w:pPr>
            <w:r>
              <w:t xml:space="preserve">Supply of a list of licensed premises or a list of owners of licensed premises </w:t>
            </w:r>
            <w:r>
              <w:tab/>
            </w:r>
          </w:p>
        </w:tc>
        <w:tc>
          <w:tcPr>
            <w:tcW w:w="855" w:type="dxa"/>
          </w:tcPr>
          <w:p>
            <w:pPr>
              <w:pStyle w:val="yTableNAm"/>
              <w:tabs>
                <w:tab w:val="clear" w:pos="567"/>
                <w:tab w:val="left" w:leader="dot" w:pos="5387"/>
              </w:tabs>
              <w:jc w:val="right"/>
            </w:pPr>
            <w:r>
              <w:br/>
              <w:t>85</w:t>
            </w:r>
          </w:p>
        </w:tc>
      </w:tr>
      <w:tr>
        <w:trPr>
          <w:cantSplit/>
        </w:trPr>
        <w:tc>
          <w:tcPr>
            <w:tcW w:w="684" w:type="dxa"/>
          </w:tcPr>
          <w:p>
            <w:pPr>
              <w:pStyle w:val="yTableNAm"/>
              <w:tabs>
                <w:tab w:val="left" w:leader="dot" w:pos="5387"/>
              </w:tabs>
            </w:pPr>
            <w:r>
              <w:t>22.</w:t>
            </w:r>
          </w:p>
        </w:tc>
        <w:tc>
          <w:tcPr>
            <w:tcW w:w="5529" w:type="dxa"/>
          </w:tcPr>
          <w:p>
            <w:pPr>
              <w:pStyle w:val="yTableNAm"/>
              <w:tabs>
                <w:tab w:val="left" w:leader="dot" w:pos="5387"/>
              </w:tabs>
            </w:pPr>
            <w:r>
              <w:t xml:space="preserve">Supply of a list of licensed premises on computer disk </w:t>
            </w:r>
            <w:r>
              <w:tab/>
            </w:r>
          </w:p>
        </w:tc>
        <w:tc>
          <w:tcPr>
            <w:tcW w:w="855" w:type="dxa"/>
          </w:tcPr>
          <w:p>
            <w:pPr>
              <w:pStyle w:val="yTableNAm"/>
              <w:tabs>
                <w:tab w:val="clear" w:pos="567"/>
                <w:tab w:val="left" w:leader="dot" w:pos="5387"/>
              </w:tabs>
              <w:jc w:val="right"/>
            </w:pPr>
            <w:r>
              <w:t>55</w:t>
            </w:r>
          </w:p>
        </w:tc>
      </w:tr>
      <w:tr>
        <w:trPr>
          <w:cantSplit/>
        </w:trPr>
        <w:tc>
          <w:tcPr>
            <w:tcW w:w="684" w:type="dxa"/>
          </w:tcPr>
          <w:p>
            <w:pPr>
              <w:pStyle w:val="yTableNAm"/>
              <w:tabs>
                <w:tab w:val="left" w:leader="dot" w:pos="5387"/>
              </w:tabs>
            </w:pPr>
            <w:r>
              <w:t>23.</w:t>
            </w:r>
          </w:p>
        </w:tc>
        <w:tc>
          <w:tcPr>
            <w:tcW w:w="5529" w:type="dxa"/>
          </w:tcPr>
          <w:p>
            <w:pPr>
              <w:pStyle w:val="yTableNAm"/>
              <w:tabs>
                <w:tab w:val="left" w:leader="dot" w:pos="5387"/>
              </w:tabs>
            </w:pPr>
            <w:r>
              <w:t xml:space="preserve">Supply of address labels for licensed premises </w:t>
            </w:r>
            <w:r>
              <w:tab/>
            </w:r>
          </w:p>
        </w:tc>
        <w:tc>
          <w:tcPr>
            <w:tcW w:w="855" w:type="dxa"/>
          </w:tcPr>
          <w:p>
            <w:pPr>
              <w:pStyle w:val="yTableNAm"/>
              <w:tabs>
                <w:tab w:val="clear" w:pos="567"/>
                <w:tab w:val="left" w:leader="dot" w:pos="5387"/>
              </w:tabs>
              <w:jc w:val="right"/>
            </w:pPr>
            <w:r>
              <w:t>135</w:t>
            </w:r>
          </w:p>
        </w:tc>
      </w:tr>
      <w:tr>
        <w:trPr>
          <w:cantSplit/>
        </w:trPr>
        <w:tc>
          <w:tcPr>
            <w:tcW w:w="684" w:type="dxa"/>
          </w:tcPr>
          <w:p>
            <w:pPr>
              <w:pStyle w:val="yTableNAm"/>
              <w:tabs>
                <w:tab w:val="left" w:leader="dot" w:pos="5387"/>
              </w:tabs>
            </w:pPr>
            <w:r>
              <w:t>24.</w:t>
            </w:r>
          </w:p>
        </w:tc>
        <w:tc>
          <w:tcPr>
            <w:tcW w:w="5529" w:type="dxa"/>
          </w:tcPr>
          <w:p>
            <w:pPr>
              <w:pStyle w:val="yTableNAm"/>
              <w:tabs>
                <w:tab w:val="left" w:leader="dot" w:pos="5387"/>
              </w:tabs>
            </w:pPr>
            <w:r>
              <w:t xml:space="preserve">Supply of approved heading for advertising an application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25.</w:t>
            </w:r>
          </w:p>
        </w:tc>
        <w:tc>
          <w:tcPr>
            <w:tcW w:w="5529" w:type="dxa"/>
          </w:tcPr>
          <w:p>
            <w:pPr>
              <w:pStyle w:val="yTableNAm"/>
              <w:tabs>
                <w:tab w:val="left" w:leader="dot" w:pos="5387"/>
              </w:tabs>
            </w:pPr>
            <w:r>
              <w:t xml:space="preserve">Supply of copy of plan — for each sheet </w:t>
            </w:r>
            <w:r>
              <w:tab/>
            </w:r>
          </w:p>
        </w:tc>
        <w:tc>
          <w:tcPr>
            <w:tcW w:w="855" w:type="dxa"/>
          </w:tcPr>
          <w:p>
            <w:pPr>
              <w:pStyle w:val="yTableNAm"/>
              <w:tabs>
                <w:tab w:val="clear" w:pos="567"/>
                <w:tab w:val="left" w:leader="dot" w:pos="5387"/>
              </w:tabs>
              <w:jc w:val="right"/>
            </w:pPr>
            <w:r>
              <w:t>25</w:t>
            </w:r>
            <w:r>
              <w:br/>
              <w:t>(up to a max. of 200)</w:t>
            </w:r>
          </w:p>
        </w:tc>
      </w:tr>
      <w:tr>
        <w:trPr>
          <w:cantSplit/>
        </w:trPr>
        <w:tc>
          <w:tcPr>
            <w:tcW w:w="684" w:type="dxa"/>
          </w:tcPr>
          <w:p>
            <w:pPr>
              <w:pStyle w:val="yTableNAm"/>
              <w:tabs>
                <w:tab w:val="left" w:leader="dot" w:pos="5387"/>
              </w:tabs>
            </w:pPr>
            <w:r>
              <w:t>26.</w:t>
            </w:r>
          </w:p>
        </w:tc>
        <w:tc>
          <w:tcPr>
            <w:tcW w:w="5529" w:type="dxa"/>
          </w:tcPr>
          <w:p>
            <w:pPr>
              <w:pStyle w:val="yTableNAm"/>
              <w:tabs>
                <w:tab w:val="left" w:leader="dot" w:pos="5387"/>
              </w:tabs>
            </w:pPr>
            <w:r>
              <w:t xml:space="preserve">Supply of certified copy of plan defining licensed premises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27.</w:t>
            </w:r>
          </w:p>
        </w:tc>
        <w:tc>
          <w:tcPr>
            <w:tcW w:w="5529" w:type="dxa"/>
          </w:tcPr>
          <w:p>
            <w:pPr>
              <w:pStyle w:val="yTableNAm"/>
              <w:tabs>
                <w:tab w:val="left" w:leader="dot" w:pos="538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28.</w:t>
            </w:r>
          </w:p>
        </w:tc>
        <w:tc>
          <w:tcPr>
            <w:tcW w:w="5529" w:type="dxa"/>
          </w:tcPr>
          <w:p>
            <w:pPr>
              <w:pStyle w:val="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29.</w:t>
            </w:r>
          </w:p>
        </w:tc>
        <w:tc>
          <w:tcPr>
            <w:tcW w:w="5529" w:type="dxa"/>
          </w:tcPr>
          <w:p>
            <w:pPr>
              <w:pStyle w:val="yTableNAm"/>
              <w:tabs>
                <w:tab w:val="left" w:leader="dot" w:pos="5387"/>
              </w:tabs>
            </w:pPr>
            <w:r>
              <w:t xml:space="preserve">Supply of copy of documentation, other than that already prescribed, per page </w:t>
            </w:r>
            <w:r>
              <w:tab/>
            </w:r>
          </w:p>
        </w:tc>
        <w:tc>
          <w:tcPr>
            <w:tcW w:w="855" w:type="dxa"/>
          </w:tcPr>
          <w:p>
            <w:pPr>
              <w:pStyle w:val="yTableNAm"/>
              <w:tabs>
                <w:tab w:val="clear" w:pos="567"/>
                <w:tab w:val="left" w:leader="dot" w:pos="5387"/>
              </w:tabs>
              <w:jc w:val="right"/>
            </w:pPr>
            <w:r>
              <w:br/>
              <w:t>4</w:t>
            </w:r>
          </w:p>
        </w:tc>
      </w:tr>
      <w:tr>
        <w:trPr>
          <w:cantSplit/>
        </w:trPr>
        <w:tc>
          <w:tcPr>
            <w:tcW w:w="684" w:type="dxa"/>
          </w:tcPr>
          <w:p>
            <w:pPr>
              <w:pStyle w:val="yTableNAm"/>
              <w:tabs>
                <w:tab w:val="left" w:leader="dot" w:pos="5387"/>
              </w:tabs>
            </w:pPr>
            <w:r>
              <w:t>30.</w:t>
            </w:r>
          </w:p>
        </w:tc>
        <w:tc>
          <w:tcPr>
            <w:tcW w:w="5529" w:type="dxa"/>
          </w:tcPr>
          <w:p>
            <w:pPr>
              <w:pStyle w:val="yTableNAm"/>
              <w:tabs>
                <w:tab w:val="left" w:leader="dot" w:pos="5387"/>
              </w:tabs>
            </w:pPr>
            <w:r>
              <w:t xml:space="preserve">Issue of a summons to a witness </w:t>
            </w:r>
            <w:r>
              <w:tab/>
            </w:r>
          </w:p>
        </w:tc>
        <w:tc>
          <w:tcPr>
            <w:tcW w:w="855" w:type="dxa"/>
          </w:tcPr>
          <w:p>
            <w:pPr>
              <w:pStyle w:val="yTableNAm"/>
              <w:tabs>
                <w:tab w:val="clear" w:pos="567"/>
                <w:tab w:val="left" w:leader="dot" w:pos="5387"/>
              </w:tabs>
              <w:jc w:val="right"/>
            </w:pPr>
            <w:r>
              <w:t>20</w:t>
            </w:r>
          </w:p>
        </w:tc>
      </w:tr>
      <w:tr>
        <w:trPr>
          <w:cantSplit/>
        </w:trPr>
        <w:tc>
          <w:tcPr>
            <w:tcW w:w="684" w:type="dxa"/>
          </w:tcPr>
          <w:p>
            <w:pPr>
              <w:pStyle w:val="yTableNAm"/>
              <w:tabs>
                <w:tab w:val="left" w:leader="dot" w:pos="5387"/>
              </w:tabs>
            </w:pPr>
            <w:r>
              <w:t>31.</w:t>
            </w:r>
          </w:p>
        </w:tc>
        <w:tc>
          <w:tcPr>
            <w:tcW w:w="5529" w:type="dxa"/>
          </w:tcPr>
          <w:p>
            <w:pPr>
              <w:pStyle w:val="yTableNAm"/>
              <w:tabs>
                <w:tab w:val="left" w:leader="dot" w:pos="5387"/>
              </w:tabs>
            </w:pPr>
            <w:r>
              <w:t xml:space="preserve">For a search of the database of records of licences — per licence </w:t>
            </w:r>
            <w:r>
              <w:tab/>
            </w:r>
          </w:p>
        </w:tc>
        <w:tc>
          <w:tcPr>
            <w:tcW w:w="855" w:type="dxa"/>
          </w:tcPr>
          <w:p>
            <w:pPr>
              <w:pStyle w:val="yTableNAm"/>
              <w:tabs>
                <w:tab w:val="clear" w:pos="567"/>
                <w:tab w:val="left" w:leader="dot" w:pos="5387"/>
              </w:tabs>
              <w:jc w:val="right"/>
            </w:pPr>
            <w:r>
              <w:br/>
              <w:t>35</w:t>
            </w:r>
          </w:p>
        </w:tc>
      </w:tr>
      <w:tr>
        <w:trPr>
          <w:cantSplit/>
        </w:trPr>
        <w:tc>
          <w:tcPr>
            <w:tcW w:w="684" w:type="dxa"/>
          </w:tcPr>
          <w:p>
            <w:pPr>
              <w:pStyle w:val="yTableNAm"/>
              <w:tabs>
                <w:tab w:val="left" w:leader="dot" w:pos="5387"/>
              </w:tabs>
            </w:pPr>
            <w:r>
              <w:t>32.</w:t>
            </w:r>
          </w:p>
        </w:tc>
        <w:tc>
          <w:tcPr>
            <w:tcW w:w="5529" w:type="dxa"/>
          </w:tcPr>
          <w:p>
            <w:pPr>
              <w:pStyle w:val="yTableNAm"/>
              <w:tabs>
                <w:tab w:val="left" w:leader="dot" w:pos="5387"/>
              </w:tabs>
            </w:pPr>
            <w:r>
              <w:t xml:space="preserve">For a full search of a licence record </w:t>
            </w:r>
            <w:r>
              <w:tab/>
            </w:r>
          </w:p>
        </w:tc>
        <w:tc>
          <w:tcPr>
            <w:tcW w:w="855" w:type="dxa"/>
          </w:tcPr>
          <w:p>
            <w:pPr>
              <w:pStyle w:val="yTableNAm"/>
              <w:tabs>
                <w:tab w:val="clear" w:pos="567"/>
                <w:tab w:val="left" w:leader="dot" w:pos="5387"/>
              </w:tabs>
              <w:jc w:val="right"/>
            </w:pPr>
            <w:r>
              <w:t>50</w:t>
            </w:r>
          </w:p>
        </w:tc>
      </w:tr>
      <w:tr>
        <w:trPr>
          <w:cantSplit/>
        </w:trPr>
        <w:tc>
          <w:tcPr>
            <w:tcW w:w="684" w:type="dxa"/>
            <w:tcBorders>
              <w:bottom w:val="nil"/>
            </w:tcBorders>
          </w:tcPr>
          <w:p>
            <w:pPr>
              <w:pStyle w:val="yTableNAm"/>
              <w:tabs>
                <w:tab w:val="left" w:leader="dot" w:pos="5387"/>
              </w:tabs>
            </w:pPr>
            <w:r>
              <w:t>33.</w:t>
            </w:r>
          </w:p>
        </w:tc>
        <w:tc>
          <w:tcPr>
            <w:tcW w:w="5529" w:type="dxa"/>
            <w:tcBorders>
              <w:bottom w:val="nil"/>
            </w:tcBorders>
          </w:tcPr>
          <w:p>
            <w:pPr>
              <w:pStyle w:val="yTableNAm"/>
              <w:tabs>
                <w:tab w:val="left" w:leader="dot" w:pos="5387"/>
              </w:tabs>
            </w:pPr>
            <w:r>
              <w:t>For a search of postcodes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1 to 10 postcodes </w:t>
            </w:r>
            <w:r>
              <w:tab/>
            </w:r>
          </w:p>
        </w:tc>
        <w:tc>
          <w:tcPr>
            <w:tcW w:w="855" w:type="dxa"/>
            <w:tcBorders>
              <w:top w:val="nil"/>
              <w:bottom w:val="nil"/>
            </w:tcBorders>
          </w:tcPr>
          <w:p>
            <w:pPr>
              <w:pStyle w:val="yTableNAm"/>
              <w:tabs>
                <w:tab w:val="clear" w:pos="567"/>
                <w:tab w:val="left" w:leader="dot" w:pos="5387"/>
              </w:tabs>
              <w:jc w:val="right"/>
            </w:pPr>
            <w:r>
              <w:t>35</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more than 10 postcodes </w:t>
            </w:r>
            <w:r>
              <w:tab/>
            </w:r>
          </w:p>
        </w:tc>
        <w:tc>
          <w:tcPr>
            <w:tcW w:w="855" w:type="dxa"/>
            <w:tcBorders>
              <w:top w:val="nil"/>
            </w:tcBorders>
          </w:tcPr>
          <w:p>
            <w:pPr>
              <w:pStyle w:val="yTableNAm"/>
              <w:tabs>
                <w:tab w:val="clear" w:pos="567"/>
                <w:tab w:val="left" w:leader="dot" w:pos="5387"/>
              </w:tabs>
              <w:jc w:val="right"/>
            </w:pPr>
            <w:r>
              <w:t>75</w:t>
            </w:r>
          </w:p>
        </w:tc>
      </w:tr>
    </w:tbl>
    <w:p>
      <w:pPr>
        <w:pStyle w:val="yFootnotesection"/>
      </w:pPr>
      <w:r>
        <w:tab/>
        <w:t>[Schedule 3 inserted in Gazette 16 Nov 2012 p. 5653</w:t>
      </w:r>
      <w:r>
        <w:noBreakHyphen/>
        <w:t>6; amended in Gazette 31 May 2013 p. 2119.]</w:t>
      </w:r>
    </w:p>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91" w:name="_Toc367366833"/>
      <w:bookmarkStart w:id="92" w:name="_Toc371600498"/>
      <w:r>
        <w:t>Notes</w:t>
      </w:r>
      <w:bookmarkEnd w:id="91"/>
      <w:bookmarkEnd w:id="92"/>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3" w:name="_Toc371600499"/>
      <w:r>
        <w:rPr>
          <w:snapToGrid w:val="0"/>
        </w:rPr>
        <w:t>Compilation table</w:t>
      </w:r>
      <w:bookmarkEnd w:id="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lang w:val="en-US"/>
              </w:rPr>
              <w:t>r. 1 and 2: 28 Sep 2007 (see r. 2(a));</w:t>
            </w:r>
            <w:r>
              <w:rPr>
                <w:rFonts w:ascii="Times" w:hAnsi="Times"/>
                <w:snapToGrid w:val="0"/>
                <w:sz w:val="19"/>
                <w:lang w:val="en-US"/>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lang w:val="en-US"/>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lang w:val="en-US"/>
              </w:rPr>
              <w:t>r. 1 and 2: 9 Oct 2007 (see r. 2(a));</w:t>
            </w:r>
            <w:r>
              <w:rPr>
                <w:rFonts w:ascii="Times" w:hAnsi="Times"/>
                <w:snapToGrid w:val="0"/>
                <w:sz w:val="19"/>
                <w:lang w:val="en-US"/>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Apr 2008 (see r. 2(a));</w:t>
            </w:r>
            <w:r>
              <w:rPr>
                <w:rFonts w:ascii="Times" w:hAnsi="Times"/>
                <w:snapToGrid w:val="0"/>
                <w:sz w:val="19"/>
                <w:lang w:val="en-US"/>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May 2008 (see r. 2(a));</w:t>
            </w:r>
            <w:r>
              <w:rPr>
                <w:rFonts w:ascii="Times" w:hAnsi="Times"/>
                <w:snapToGrid w:val="0"/>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Oct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Oct 2008</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before="30"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28 Oct 2008 (see r. 2(a));</w:t>
            </w:r>
            <w:r>
              <w:rPr>
                <w:rFonts w:ascii="Times" w:hAnsi="Times"/>
                <w:snapToGrid w:val="0"/>
                <w:sz w:val="19"/>
                <w:lang w:val="en-US"/>
              </w:rPr>
              <w:br/>
              <w:t>Regulations other than r. 1 and 2: 1 Jan 2009 (see r. 2(b))</w:t>
            </w:r>
          </w:p>
        </w:tc>
      </w:tr>
      <w:tr>
        <w:trPr>
          <w:cantSplit/>
        </w:trPr>
        <w:tc>
          <w:tcPr>
            <w:tcW w:w="3119" w:type="dxa"/>
          </w:tcPr>
          <w:p>
            <w:pPr>
              <w:pStyle w:val="nTable"/>
              <w:spacing w:before="30" w:after="40"/>
              <w:rPr>
                <w:rFonts w:ascii="Times" w:hAnsi="Times"/>
                <w:i/>
                <w:iCs/>
                <w:sz w:val="19"/>
              </w:rPr>
            </w:pPr>
            <w:r>
              <w:rPr>
                <w:rFonts w:ascii="Times" w:hAnsi="Times"/>
                <w:i/>
                <w:iCs/>
                <w:sz w:val="19"/>
              </w:rPr>
              <w:t>Liquor Control Amendment Regulations (No. 5) 2008</w:t>
            </w:r>
          </w:p>
        </w:tc>
        <w:tc>
          <w:tcPr>
            <w:tcW w:w="1276" w:type="dxa"/>
          </w:tcPr>
          <w:p>
            <w:pPr>
              <w:pStyle w:val="nTable"/>
              <w:spacing w:before="30"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7 Nov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8 Nov 2008</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8) 2008</w:t>
            </w:r>
          </w:p>
        </w:tc>
        <w:tc>
          <w:tcPr>
            <w:tcW w:w="1276" w:type="dxa"/>
          </w:tcPr>
          <w:p>
            <w:pPr>
              <w:pStyle w:val="nTable"/>
              <w:spacing w:before="30"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6 Feb 2009 (see r. 2(a));</w:t>
            </w:r>
            <w:r>
              <w:rPr>
                <w:rFonts w:ascii="Times" w:hAnsi="Times"/>
                <w:snapToGrid w:val="0"/>
                <w:sz w:val="19"/>
                <w:lang w:val="en-US"/>
              </w:rPr>
              <w:br/>
              <w:t>Regulations other than r. 1 and 2: 7 Feb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2009</w:t>
            </w:r>
          </w:p>
        </w:tc>
        <w:tc>
          <w:tcPr>
            <w:tcW w:w="1276" w:type="dxa"/>
          </w:tcPr>
          <w:p>
            <w:pPr>
              <w:pStyle w:val="nTable"/>
              <w:spacing w:before="30"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13 Mar 2009 (see r. 2(a));</w:t>
            </w:r>
            <w:r>
              <w:rPr>
                <w:rFonts w:ascii="Times" w:hAnsi="Times"/>
                <w:snapToGrid w:val="0"/>
                <w:sz w:val="19"/>
                <w:lang w:val="en-US"/>
              </w:rPr>
              <w:br/>
              <w:t>Regulations other than r. 1 and 2: 14 Mar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2) 2009</w:t>
            </w:r>
          </w:p>
        </w:tc>
        <w:tc>
          <w:tcPr>
            <w:tcW w:w="1276" w:type="dxa"/>
          </w:tcPr>
          <w:p>
            <w:pPr>
              <w:pStyle w:val="nTable"/>
              <w:spacing w:before="30"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 May 2009 (see r. 2(a));</w:t>
            </w:r>
            <w:r>
              <w:rPr>
                <w:rFonts w:ascii="Times" w:hAnsi="Times"/>
                <w:snapToGrid w:val="0"/>
                <w:sz w:val="19"/>
                <w:lang w:val="en-US"/>
              </w:rPr>
              <w:br/>
              <w:t>Regulations other than r. 1 and 2: 2 May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6) 2009</w:t>
            </w:r>
          </w:p>
        </w:tc>
        <w:tc>
          <w:tcPr>
            <w:tcW w:w="1276" w:type="dxa"/>
          </w:tcPr>
          <w:p>
            <w:pPr>
              <w:pStyle w:val="nTable"/>
              <w:spacing w:before="30"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9 Jun 2009 (see r. 2(a));</w:t>
            </w:r>
            <w:r>
              <w:rPr>
                <w:rFonts w:ascii="Times" w:hAnsi="Times"/>
                <w:snapToGrid w:val="0"/>
                <w:sz w:val="19"/>
                <w:lang w:val="en-US"/>
              </w:rPr>
              <w:br/>
              <w:t>Regulations other than r. 1 and 2: 10 Jun 2009 (see r. 2(b)(i))</w:t>
            </w:r>
          </w:p>
        </w:tc>
      </w:tr>
      <w:tr>
        <w:trPr>
          <w:cantSplit/>
        </w:trPr>
        <w:tc>
          <w:tcPr>
            <w:tcW w:w="7088" w:type="dxa"/>
            <w:gridSpan w:val="3"/>
          </w:tcPr>
          <w:p>
            <w:pPr>
              <w:pStyle w:val="nTable"/>
              <w:spacing w:before="30" w:after="40"/>
              <w:rPr>
                <w:rFonts w:ascii="Times" w:hAnsi="Times"/>
                <w:snapToGrid w:val="0"/>
                <w:sz w:val="19"/>
                <w:lang w:val="en-US"/>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3) 2009</w:t>
            </w:r>
          </w:p>
        </w:tc>
        <w:tc>
          <w:tcPr>
            <w:tcW w:w="1276" w:type="dxa"/>
          </w:tcPr>
          <w:p>
            <w:pPr>
              <w:pStyle w:val="nTable"/>
              <w:spacing w:before="30" w:after="40"/>
              <w:rPr>
                <w:rFonts w:ascii="Times" w:hAnsi="Times"/>
                <w:sz w:val="19"/>
              </w:rPr>
            </w:pPr>
            <w:r>
              <w:rPr>
                <w:rFonts w:ascii="Times" w:hAnsi="Times"/>
                <w:sz w:val="19"/>
              </w:rPr>
              <w:t>24 Jul 2009 p. 2949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4) 2009</w:t>
            </w:r>
          </w:p>
        </w:tc>
        <w:tc>
          <w:tcPr>
            <w:tcW w:w="1276" w:type="dxa"/>
          </w:tcPr>
          <w:p>
            <w:pPr>
              <w:pStyle w:val="nTable"/>
              <w:spacing w:before="30" w:after="40"/>
              <w:rPr>
                <w:rFonts w:ascii="Times" w:hAnsi="Times"/>
                <w:sz w:val="19"/>
              </w:rPr>
            </w:pPr>
            <w:r>
              <w:rPr>
                <w:rFonts w:ascii="Times" w:hAnsi="Times"/>
                <w:sz w:val="19"/>
              </w:rPr>
              <w:t>24 Jul 2009 p. 2952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before="30"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before="30"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before="30"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before="30"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before="30" w:after="40"/>
              <w:rPr>
                <w:rFonts w:ascii="Times" w:hAnsi="Times"/>
                <w:sz w:val="19"/>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2010</w:t>
            </w:r>
          </w:p>
        </w:tc>
        <w:tc>
          <w:tcPr>
            <w:tcW w:w="1276" w:type="dxa"/>
          </w:tcPr>
          <w:p>
            <w:pPr>
              <w:pStyle w:val="nTable"/>
              <w:spacing w:before="30"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 Mar 2010 (see r. 2(a));</w:t>
            </w:r>
            <w:r>
              <w:rPr>
                <w:rFonts w:ascii="Times" w:hAnsi="Times"/>
                <w:snapToGrid w:val="0"/>
                <w:sz w:val="19"/>
                <w:lang w:val="en-US"/>
              </w:rPr>
              <w:br/>
              <w:t>Regulations other than r. 1 and 2: 3 Mar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before="30" w:after="40"/>
              <w:rPr>
                <w:rFonts w:ascii="Times" w:hAnsi="Times"/>
                <w:sz w:val="19"/>
              </w:rPr>
            </w:pPr>
            <w:r>
              <w:rPr>
                <w:rFonts w:ascii="Times" w:hAnsi="Times"/>
                <w:sz w:val="19"/>
              </w:rPr>
              <w:t>28 May 2010 p. 2301</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28 May 2010 (see  r. 2(a));</w:t>
            </w:r>
            <w:r>
              <w:rPr>
                <w:rFonts w:ascii="Times" w:hAnsi="Times"/>
                <w:snapToGrid w:val="0"/>
                <w:sz w:val="19"/>
                <w:lang w:val="en-US"/>
              </w:rPr>
              <w:br/>
              <w:t>Regulations other than r. 1 and 2: 29 May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before="30" w:after="40"/>
              <w:rPr>
                <w:rFonts w:ascii="Times" w:hAnsi="Times"/>
                <w:sz w:val="19"/>
              </w:rPr>
            </w:pPr>
            <w:r>
              <w:rPr>
                <w:rFonts w:ascii="Times" w:hAnsi="Times"/>
                <w:sz w:val="19"/>
              </w:rPr>
              <w:t>8 Jun 2010 p. 2619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8 Jun 2010 (see r. 2(a));</w:t>
            </w:r>
            <w:r>
              <w:rPr>
                <w:rFonts w:ascii="Times" w:hAnsi="Times"/>
                <w:snapToGrid w:val="0"/>
                <w:sz w:val="19"/>
                <w:lang w:val="en-US"/>
              </w:rPr>
              <w:br/>
              <w:t>Regulations other than r. 1 and 2: 9 Jun 2010 (see r. 2(b))</w:t>
            </w:r>
          </w:p>
        </w:tc>
      </w:tr>
      <w:tr>
        <w:trPr>
          <w:cantSplit/>
        </w:trPr>
        <w:tc>
          <w:tcPr>
            <w:tcW w:w="7088" w:type="dxa"/>
            <w:gridSpan w:val="3"/>
          </w:tcPr>
          <w:p>
            <w:pPr>
              <w:pStyle w:val="nTable"/>
              <w:spacing w:before="30" w:after="40"/>
              <w:rPr>
                <w:rFonts w:ascii="Times" w:hAnsi="Times"/>
                <w:snapToGrid w:val="0"/>
                <w:sz w:val="19"/>
                <w:lang w:val="en-US"/>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before="30" w:after="40"/>
              <w:rPr>
                <w:rFonts w:ascii="Times" w:hAnsi="Times"/>
                <w:sz w:val="19"/>
              </w:rPr>
            </w:pPr>
            <w:r>
              <w:rPr>
                <w:rFonts w:ascii="Times" w:hAnsi="Times"/>
                <w:sz w:val="19"/>
              </w:rPr>
              <w:t>17 Sep 2010 p. 4762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before="30" w:after="40"/>
              <w:rPr>
                <w:rFonts w:ascii="Times" w:hAnsi="Times"/>
                <w:sz w:val="19"/>
              </w:rPr>
            </w:pPr>
            <w:r>
              <w:rPr>
                <w:rFonts w:ascii="Times" w:hAnsi="Times"/>
                <w:sz w:val="19"/>
              </w:rPr>
              <w:t>17 Sep 2010 p. 4765</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before="30" w:after="40"/>
              <w:rPr>
                <w:rFonts w:ascii="Times" w:hAnsi="Times"/>
                <w:sz w:val="19"/>
              </w:rPr>
            </w:pPr>
            <w:r>
              <w:rPr>
                <w:rFonts w:ascii="Times" w:hAnsi="Times"/>
                <w:sz w:val="19"/>
              </w:rPr>
              <w:t>17 Sep 2010 p. 4768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before="30"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22 Oct 2010 (see r. 2(a));</w:t>
            </w:r>
            <w:r>
              <w:rPr>
                <w:rFonts w:ascii="Times" w:hAnsi="Times"/>
                <w:snapToGrid w:val="0"/>
                <w:sz w:val="19"/>
                <w:lang w:val="en-US"/>
              </w:rPr>
              <w:br/>
              <w:t>Regulations other than r. 1 and 2: 23 Oct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before="30"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before="30"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before="30"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May 2011 (see r. 2(a));</w:t>
            </w:r>
            <w:r>
              <w:rPr>
                <w:rFonts w:ascii="Times" w:hAnsi="Times"/>
                <w:snapToGrid w:val="0"/>
                <w:sz w:val="19"/>
                <w:lang w:val="en-US"/>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lang w:val="en-US"/>
              </w:rPr>
            </w:pPr>
            <w:r>
              <w:rPr>
                <w:rFonts w:ascii="Times" w:hAnsi="Times"/>
                <w:snapToGrid w:val="0"/>
                <w:sz w:val="19"/>
                <w:lang w:val="en-US"/>
              </w:rPr>
              <w:t>Pt. 1: 3 Jun 2011 (see r. 2(a));</w:t>
            </w:r>
            <w:r>
              <w:rPr>
                <w:rFonts w:ascii="Times" w:hAnsi="Times"/>
                <w:snapToGrid w:val="0"/>
                <w:sz w:val="19"/>
                <w:lang w:val="en-US"/>
              </w:rPr>
              <w:br/>
              <w:t xml:space="preserve">Regulations other than Pt. 1: 7 Jun 2011 (see r. 2(b) and </w:t>
            </w:r>
            <w:r>
              <w:rPr>
                <w:rFonts w:ascii="Times" w:hAnsi="Times"/>
                <w:i/>
                <w:snapToGrid w:val="0"/>
                <w:sz w:val="19"/>
                <w:lang w:val="en-US"/>
              </w:rPr>
              <w:t>Gazette</w:t>
            </w:r>
            <w:r>
              <w:rPr>
                <w:rFonts w:ascii="Times" w:hAnsi="Times"/>
                <w:snapToGrid w:val="0"/>
                <w:sz w:val="19"/>
                <w:lang w:val="en-US"/>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Jul 2011 (see r. 2(a));</w:t>
            </w:r>
            <w:r>
              <w:rPr>
                <w:rFonts w:ascii="Times" w:hAnsi="Times"/>
                <w:snapToGrid w:val="0"/>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Sep 2011 (see r. 2(a));</w:t>
            </w:r>
            <w:r>
              <w:rPr>
                <w:rFonts w:ascii="Times" w:hAnsi="Times"/>
                <w:snapToGrid w:val="0"/>
                <w:sz w:val="19"/>
                <w:lang w:val="en-US"/>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7 Oct 2011 (see r. 2(a));</w:t>
            </w:r>
            <w:r>
              <w:rPr>
                <w:rFonts w:ascii="Times" w:hAnsi="Times"/>
                <w:snapToGrid w:val="0"/>
                <w:sz w:val="19"/>
                <w:lang w:val="en-US"/>
              </w:rPr>
              <w:br/>
              <w:t xml:space="preserve">Regulations other than r. 1 and 2: 8 Oct 2011 (see r. 2(b) and </w:t>
            </w:r>
            <w:r>
              <w:rPr>
                <w:rFonts w:ascii="Times" w:hAnsi="Times"/>
                <w:i/>
                <w:snapToGrid w:val="0"/>
                <w:sz w:val="19"/>
                <w:lang w:val="en-US"/>
              </w:rPr>
              <w:t xml:space="preserve">Gazette </w:t>
            </w:r>
            <w:r>
              <w:rPr>
                <w:rFonts w:ascii="Times" w:hAnsi="Times"/>
                <w:snapToGrid w:val="0"/>
                <w:sz w:val="19"/>
                <w:lang w:val="en-US"/>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Nov 2011 (see r. 2(a));</w:t>
            </w:r>
            <w:r>
              <w:rPr>
                <w:rFonts w:ascii="Times" w:hAnsi="Times"/>
                <w:snapToGrid w:val="0"/>
                <w:sz w:val="19"/>
                <w:lang w:val="en-US"/>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 xml:space="preserve">Regulations other than r. 1 and 2: 1 Jan 2012 (see r. 2(b) and </w:t>
            </w:r>
            <w:r>
              <w:rPr>
                <w:rFonts w:ascii="Times" w:hAnsi="Times"/>
                <w:i/>
                <w:snapToGrid w:val="0"/>
                <w:sz w:val="19"/>
                <w:lang w:val="en-US"/>
              </w:rPr>
              <w:t>Gazette</w:t>
            </w:r>
            <w:r>
              <w:rPr>
                <w:rFonts w:ascii="Times" w:hAnsi="Times"/>
                <w:snapToGrid w:val="0"/>
                <w:sz w:val="19"/>
                <w:lang w:val="en-US"/>
              </w:rPr>
              <w:t xml:space="preserve"> 4 Nov 2011 p. 4640-4)</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Jan 2012 (see r. 2(a));</w:t>
            </w:r>
            <w:r>
              <w:rPr>
                <w:rFonts w:ascii="Times" w:hAnsi="Times"/>
                <w:snapToGrid w:val="0"/>
                <w:sz w:val="19"/>
                <w:lang w:val="en-US"/>
              </w:rPr>
              <w:br/>
              <w:t>Regulations other than r. 1 and 2: 7 Jan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shd w:val="clear" w:color="auto" w:fill="auto"/>
          </w:tcPr>
          <w:p>
            <w:pPr>
              <w:pStyle w:val="nTable"/>
              <w:spacing w:after="40"/>
              <w:rPr>
                <w:rFonts w:ascii="Times" w:hAnsi="Times"/>
                <w:sz w:val="19"/>
              </w:rPr>
            </w:pPr>
            <w:r>
              <w:rPr>
                <w:rFonts w:ascii="Times" w:hAnsi="Times"/>
                <w:sz w:val="19"/>
              </w:rPr>
              <w:t>10 Aug 2012 p. 3810-11</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10 Aug 2012 (see r. 2(a));</w:t>
            </w:r>
            <w:r>
              <w:rPr>
                <w:rFonts w:ascii="Times" w:hAnsi="Times"/>
                <w:snapToGrid w:val="0"/>
                <w:sz w:val="19"/>
                <w:lang w:val="en-US"/>
              </w:rPr>
              <w:br/>
              <w:t>Regulations other than r. 1 and 2: 11 Aug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2012</w:t>
            </w:r>
          </w:p>
        </w:tc>
        <w:tc>
          <w:tcPr>
            <w:tcW w:w="1276" w:type="dxa"/>
            <w:shd w:val="clear" w:color="auto" w:fill="auto"/>
          </w:tcPr>
          <w:p>
            <w:pPr>
              <w:pStyle w:val="nTable"/>
              <w:spacing w:after="40"/>
              <w:rPr>
                <w:rFonts w:ascii="Times" w:hAnsi="Times"/>
                <w:sz w:val="19"/>
              </w:rPr>
            </w:pPr>
            <w:r>
              <w:rPr>
                <w:rFonts w:ascii="Times" w:hAnsi="Times"/>
                <w:sz w:val="19"/>
              </w:rPr>
              <w:t>4 Sep 2012 p. 4249-50</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4 Sep 2012 (see r. 2(a));</w:t>
            </w:r>
            <w:r>
              <w:rPr>
                <w:rFonts w:ascii="Times" w:hAnsi="Times"/>
                <w:snapToGrid w:val="0"/>
                <w:sz w:val="19"/>
                <w:lang w:val="en-US"/>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sz w:val="19"/>
              </w:rPr>
            </w:pPr>
            <w:r>
              <w:rPr>
                <w:i/>
                <w:sz w:val="19"/>
              </w:rPr>
              <w:t>Liquor Control Amendment Regulations (No. 3) 2012</w:t>
            </w:r>
          </w:p>
        </w:tc>
        <w:tc>
          <w:tcPr>
            <w:tcW w:w="1276" w:type="dxa"/>
            <w:shd w:val="clear" w:color="auto" w:fill="auto"/>
          </w:tcPr>
          <w:p>
            <w:pPr>
              <w:pStyle w:val="nTable"/>
              <w:spacing w:after="40"/>
              <w:rPr>
                <w:rFonts w:ascii="Times" w:hAnsi="Times"/>
                <w:sz w:val="19"/>
              </w:rPr>
            </w:pPr>
            <w:r>
              <w:rPr>
                <w:sz w:val="19"/>
              </w:rPr>
              <w:t>16 Nov 2012 p. 5652-6</w:t>
            </w:r>
          </w:p>
        </w:tc>
        <w:tc>
          <w:tcPr>
            <w:tcW w:w="2693" w:type="dxa"/>
            <w:shd w:val="clear" w:color="auto" w:fill="auto"/>
          </w:tcPr>
          <w:p>
            <w:pPr>
              <w:pStyle w:val="nTable"/>
              <w:spacing w:after="40"/>
              <w:rPr>
                <w:rFonts w:ascii="Times" w:hAnsi="Times"/>
                <w:snapToGrid w:val="0"/>
                <w:sz w:val="19"/>
                <w:lang w:val="en-US"/>
              </w:rPr>
            </w:pPr>
            <w:r>
              <w:rPr>
                <w:snapToGrid w:val="0"/>
                <w:sz w:val="19"/>
                <w:lang w:val="en-US"/>
              </w:rPr>
              <w:t>r. 1 and 2: 16 Nov 2012 (see r. 2(a));</w:t>
            </w:r>
            <w:r>
              <w:rPr>
                <w:snapToGrid w:val="0"/>
                <w:sz w:val="19"/>
                <w:lang w:val="en-US"/>
              </w:rPr>
              <w:br/>
              <w:t xml:space="preserve">Regulations other than r. 1 and 2: </w:t>
            </w:r>
            <w:r>
              <w:rPr>
                <w:sz w:val="19"/>
              </w:rPr>
              <w:t>1 Jan 2013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6) 2012</w:t>
            </w:r>
          </w:p>
        </w:tc>
        <w:tc>
          <w:tcPr>
            <w:tcW w:w="1276" w:type="dxa"/>
            <w:shd w:val="clear" w:color="auto" w:fill="auto"/>
          </w:tcPr>
          <w:p>
            <w:pPr>
              <w:pStyle w:val="nTable"/>
              <w:spacing w:after="40"/>
              <w:rPr>
                <w:sz w:val="19"/>
              </w:rPr>
            </w:pPr>
            <w:r>
              <w:rPr>
                <w:rFonts w:ascii="Times" w:hAnsi="Times"/>
                <w:sz w:val="19"/>
              </w:rPr>
              <w:t>16 Nov 2012 p. 5657</w:t>
            </w:r>
            <w:r>
              <w:rPr>
                <w:rFonts w:ascii="Times" w:hAnsi="Times"/>
                <w:sz w:val="19"/>
              </w:rPr>
              <w:noBreakHyphen/>
              <w:t>8</w:t>
            </w:r>
          </w:p>
        </w:tc>
        <w:tc>
          <w:tcPr>
            <w:tcW w:w="2693" w:type="dxa"/>
            <w:shd w:val="clear" w:color="auto" w:fill="auto"/>
          </w:tcPr>
          <w:p>
            <w:pPr>
              <w:pStyle w:val="nTable"/>
              <w:spacing w:after="40"/>
              <w:rPr>
                <w:snapToGrid w:val="0"/>
                <w:sz w:val="19"/>
                <w:lang w:val="en-US"/>
              </w:rPr>
            </w:pPr>
            <w:r>
              <w:rPr>
                <w:rFonts w:ascii="Times" w:hAnsi="Times"/>
                <w:snapToGrid w:val="0"/>
                <w:sz w:val="19"/>
                <w:lang w:val="en-US"/>
              </w:rPr>
              <w:t>r. 1 and 2: 16 Nov 2012 (see r. 2(a));</w:t>
            </w:r>
            <w:r>
              <w:rPr>
                <w:rFonts w:ascii="Times" w:hAnsi="Times"/>
                <w:snapToGrid w:val="0"/>
                <w:sz w:val="19"/>
                <w:lang w:val="en-US"/>
              </w:rPr>
              <w:br/>
              <w:t>Regulations other than r. 1 and 2: 17 Nov 2012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7) 2012</w:t>
            </w:r>
          </w:p>
        </w:tc>
        <w:tc>
          <w:tcPr>
            <w:tcW w:w="1276" w:type="dxa"/>
            <w:shd w:val="clear" w:color="auto" w:fill="auto"/>
          </w:tcPr>
          <w:p>
            <w:pPr>
              <w:pStyle w:val="nTable"/>
              <w:spacing w:after="40"/>
              <w:rPr>
                <w:sz w:val="19"/>
              </w:rPr>
            </w:pPr>
            <w:r>
              <w:rPr>
                <w:rFonts w:ascii="Times" w:hAnsi="Times"/>
                <w:sz w:val="19"/>
              </w:rPr>
              <w:t>18 Dec 2012 p. 6596-7</w:t>
            </w:r>
          </w:p>
        </w:tc>
        <w:tc>
          <w:tcPr>
            <w:tcW w:w="2693" w:type="dxa"/>
            <w:shd w:val="clear" w:color="auto" w:fill="auto"/>
          </w:tcPr>
          <w:p>
            <w:pPr>
              <w:pStyle w:val="nTable"/>
              <w:spacing w:after="40"/>
              <w:rPr>
                <w:snapToGrid w:val="0"/>
                <w:sz w:val="19"/>
                <w:lang w:val="en-US"/>
              </w:rPr>
            </w:pPr>
            <w:r>
              <w:rPr>
                <w:rFonts w:ascii="Times" w:hAnsi="Times"/>
                <w:snapToGrid w:val="0"/>
                <w:sz w:val="19"/>
                <w:lang w:val="en-US"/>
              </w:rPr>
              <w:t>r. 1 and 2: 18 Dec 2012 (see r. 2(a));</w:t>
            </w:r>
            <w:r>
              <w:rPr>
                <w:rFonts w:ascii="Times" w:hAnsi="Times"/>
                <w:snapToGrid w:val="0"/>
                <w:sz w:val="19"/>
                <w:lang w:val="en-US"/>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sz w:val="19"/>
                <w:lang w:val="en-US"/>
              </w:rPr>
            </w:pPr>
            <w:r>
              <w:rPr>
                <w:b/>
                <w:sz w:val="19"/>
              </w:rPr>
              <w:t xml:space="preserve">Reprint 11: The </w:t>
            </w:r>
            <w:r>
              <w:rPr>
                <w:b/>
                <w:i/>
                <w:sz w:val="19"/>
              </w:rPr>
              <w:t>Liquor Control Regulations 1989</w:t>
            </w:r>
            <w:r>
              <w:rPr>
                <w:b/>
                <w:sz w:val="19"/>
              </w:rPr>
              <w:t xml:space="preserve"> as at 11 Jan 2013 </w:t>
            </w:r>
            <w:r>
              <w:rPr>
                <w:sz w:val="19"/>
              </w:rPr>
              <w:t>(includes amendments listed above)</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3) 2013</w:t>
            </w:r>
          </w:p>
        </w:tc>
        <w:tc>
          <w:tcPr>
            <w:tcW w:w="1276" w:type="dxa"/>
            <w:shd w:val="clear" w:color="auto" w:fill="auto"/>
          </w:tcPr>
          <w:p>
            <w:pPr>
              <w:pStyle w:val="nTable"/>
              <w:spacing w:after="40"/>
              <w:rPr>
                <w:rFonts w:ascii="Arial" w:hAnsi="Arial"/>
                <w:b/>
                <w:sz w:val="19"/>
              </w:rPr>
            </w:pPr>
            <w:r>
              <w:rPr>
                <w:rFonts w:ascii="Times" w:hAnsi="Times"/>
                <w:sz w:val="19"/>
              </w:rPr>
              <w:t>19 Apr 2013 p. 1570</w:t>
            </w:r>
            <w:r>
              <w:rPr>
                <w:rFonts w:ascii="Times" w:hAnsi="Times"/>
                <w:sz w:val="19"/>
              </w:rPr>
              <w:noBreakHyphen/>
              <w:t>1</w:t>
            </w:r>
          </w:p>
        </w:tc>
        <w:tc>
          <w:tcPr>
            <w:tcW w:w="2693" w:type="dxa"/>
            <w:shd w:val="clear" w:color="auto" w:fill="auto"/>
          </w:tcPr>
          <w:p>
            <w:pPr>
              <w:pStyle w:val="nTable"/>
              <w:spacing w:after="40"/>
              <w:rPr>
                <w:rFonts w:ascii="Arial" w:hAnsi="Arial"/>
                <w:b/>
                <w:snapToGrid w:val="0"/>
                <w:sz w:val="19"/>
                <w:lang w:val="en-US"/>
              </w:rPr>
            </w:pPr>
            <w:r>
              <w:rPr>
                <w:rFonts w:ascii="Times" w:hAnsi="Times"/>
                <w:snapToGrid w:val="0"/>
                <w:sz w:val="19"/>
                <w:lang w:val="en-US"/>
              </w:rPr>
              <w:t xml:space="preserve">r. 1 and 2: </w:t>
            </w:r>
            <w:r>
              <w:rPr>
                <w:rFonts w:ascii="Times" w:hAnsi="Times"/>
                <w:sz w:val="19"/>
              </w:rPr>
              <w:t>19 Apr 2013</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20 Apr 2013</w:t>
            </w:r>
            <w:r>
              <w:rPr>
                <w:rFonts w:ascii="Times" w:hAnsi="Times"/>
                <w:snapToGrid w:val="0"/>
                <w:sz w:val="19"/>
                <w:lang w:val="en-US"/>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2013</w:t>
            </w:r>
          </w:p>
        </w:tc>
        <w:tc>
          <w:tcPr>
            <w:tcW w:w="1276" w:type="dxa"/>
            <w:shd w:val="clear" w:color="auto" w:fill="auto"/>
          </w:tcPr>
          <w:p>
            <w:pPr>
              <w:pStyle w:val="nTable"/>
              <w:spacing w:after="40"/>
              <w:rPr>
                <w:rFonts w:ascii="Times" w:hAnsi="Times"/>
                <w:sz w:val="19"/>
              </w:rPr>
            </w:pPr>
            <w:r>
              <w:rPr>
                <w:rFonts w:ascii="Times" w:hAnsi="Times"/>
                <w:sz w:val="19"/>
              </w:rPr>
              <w:t>21 May 2013 p. 2014</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2</w:t>
            </w:r>
            <w:r>
              <w:rPr>
                <w:rFonts w:ascii="Times" w:hAnsi="Times"/>
                <w:sz w:val="19"/>
              </w:rPr>
              <w:t>1 May 2013</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22 Apr 2013</w:t>
            </w:r>
            <w:r>
              <w:rPr>
                <w:rFonts w:ascii="Times" w:hAnsi="Times"/>
                <w:snapToGrid w:val="0"/>
                <w:sz w:val="19"/>
                <w:lang w:val="en-US"/>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4) 2013</w:t>
            </w:r>
          </w:p>
        </w:tc>
        <w:tc>
          <w:tcPr>
            <w:tcW w:w="1276" w:type="dxa"/>
            <w:shd w:val="clear" w:color="auto" w:fill="auto"/>
          </w:tcPr>
          <w:p>
            <w:pPr>
              <w:pStyle w:val="nTable"/>
              <w:spacing w:after="40"/>
              <w:rPr>
                <w:rFonts w:ascii="Times" w:hAnsi="Times"/>
                <w:sz w:val="19"/>
              </w:rPr>
            </w:pPr>
            <w:r>
              <w:rPr>
                <w:rFonts w:ascii="Times" w:hAnsi="Times"/>
                <w:sz w:val="19"/>
              </w:rPr>
              <w:t>31 May 2013 p. 2118</w:t>
            </w:r>
            <w:r>
              <w:rPr>
                <w:rFonts w:ascii="Times" w:hAnsi="Times"/>
                <w:sz w:val="19"/>
              </w:rPr>
              <w:noBreakHyphen/>
              <w:t>19</w:t>
            </w:r>
          </w:p>
        </w:tc>
        <w:tc>
          <w:tcPr>
            <w:tcW w:w="2693" w:type="dxa"/>
            <w:shd w:val="clear" w:color="auto" w:fill="auto"/>
          </w:tcPr>
          <w:p>
            <w:pPr>
              <w:pStyle w:val="nTable"/>
              <w:spacing w:after="40"/>
              <w:rPr>
                <w:rFonts w:ascii="Times" w:hAnsi="Times"/>
                <w:b/>
                <w:snapToGrid w:val="0"/>
                <w:sz w:val="19"/>
                <w:lang w:val="en-US"/>
              </w:rPr>
            </w:pPr>
            <w:r>
              <w:rPr>
                <w:rFonts w:ascii="Times" w:hAnsi="Times"/>
                <w:snapToGrid w:val="0"/>
                <w:spacing w:val="-2"/>
                <w:sz w:val="19"/>
                <w:lang w:val="en-US"/>
              </w:rPr>
              <w:t>r. 1 and 2: 31 May 2013 (see r. 2(a));</w:t>
            </w:r>
            <w:r>
              <w:rPr>
                <w:rFonts w:ascii="Times" w:hAnsi="Times"/>
                <w:snapToGrid w:val="0"/>
                <w:spacing w:val="-2"/>
                <w:sz w:val="19"/>
                <w:lang w:val="en-US"/>
              </w:rPr>
              <w:br/>
              <w:t>Regulations other than r. 1 and 2: 1 Jun 2013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6) 2013</w:t>
            </w:r>
          </w:p>
        </w:tc>
        <w:tc>
          <w:tcPr>
            <w:tcW w:w="1276" w:type="dxa"/>
            <w:shd w:val="clear" w:color="auto" w:fill="auto"/>
          </w:tcPr>
          <w:p>
            <w:pPr>
              <w:pStyle w:val="nTable"/>
              <w:spacing w:after="40"/>
              <w:rPr>
                <w:rFonts w:ascii="Times" w:hAnsi="Times"/>
                <w:sz w:val="19"/>
              </w:rPr>
            </w:pPr>
            <w:r>
              <w:rPr>
                <w:rFonts w:ascii="Times" w:hAnsi="Times"/>
                <w:sz w:val="19"/>
              </w:rPr>
              <w:t>28 Jun 2013 p. 2799</w:t>
            </w:r>
          </w:p>
        </w:tc>
        <w:tc>
          <w:tcPr>
            <w:tcW w:w="2693" w:type="dxa"/>
            <w:shd w:val="clear" w:color="auto" w:fill="auto"/>
          </w:tcPr>
          <w:p>
            <w:pPr>
              <w:pStyle w:val="nTable"/>
              <w:spacing w:after="40"/>
              <w:rPr>
                <w:rFonts w:ascii="Times" w:hAnsi="Times"/>
                <w:b/>
                <w:snapToGrid w:val="0"/>
                <w:spacing w:val="-2"/>
                <w:sz w:val="19"/>
                <w:lang w:val="en-US"/>
              </w:rPr>
            </w:pPr>
            <w:r>
              <w:rPr>
                <w:rFonts w:ascii="Times" w:hAnsi="Times"/>
                <w:snapToGrid w:val="0"/>
                <w:spacing w:val="-2"/>
                <w:sz w:val="19"/>
                <w:lang w:val="en-US"/>
              </w:rPr>
              <w:t>r. 1 and 2: 28 Jun 2013 (see r. 2(a));</w:t>
            </w:r>
            <w:r>
              <w:rPr>
                <w:rFonts w:ascii="Times" w:hAnsi="Times"/>
                <w:snapToGrid w:val="0"/>
                <w:spacing w:val="-2"/>
                <w:sz w:val="19"/>
                <w:lang w:val="en-US"/>
              </w:rPr>
              <w:br/>
              <w:t xml:space="preserve">Regulations other than r. 1 and 2: 29 Jun 2013 (see r. 2(b) and </w:t>
            </w:r>
            <w:r>
              <w:rPr>
                <w:rFonts w:ascii="Times" w:hAnsi="Times"/>
                <w:i/>
                <w:snapToGrid w:val="0"/>
                <w:spacing w:val="-2"/>
                <w:sz w:val="19"/>
                <w:lang w:val="en-US"/>
              </w:rPr>
              <w:t>Gazette</w:t>
            </w:r>
            <w:r>
              <w:rPr>
                <w:rFonts w:ascii="Times" w:hAnsi="Times"/>
                <w:snapToGrid w:val="0"/>
                <w:spacing w:val="-2"/>
                <w:sz w:val="19"/>
                <w:lang w:val="en-US"/>
              </w:rPr>
              <w:t xml:space="preserve"> 28 Jun 2013 p. 2800)</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2013</w:t>
            </w:r>
          </w:p>
        </w:tc>
        <w:tc>
          <w:tcPr>
            <w:tcW w:w="1276" w:type="dxa"/>
            <w:shd w:val="clear" w:color="auto" w:fill="auto"/>
          </w:tcPr>
          <w:p>
            <w:pPr>
              <w:pStyle w:val="nTable"/>
              <w:spacing w:after="40"/>
              <w:rPr>
                <w:rFonts w:ascii="Times" w:hAnsi="Times"/>
                <w:sz w:val="19"/>
              </w:rPr>
            </w:pPr>
            <w:r>
              <w:rPr>
                <w:rFonts w:ascii="Times" w:hAnsi="Times"/>
                <w:sz w:val="19"/>
              </w:rPr>
              <w:t>20 Aug 2013 p. 3855</w:t>
            </w:r>
          </w:p>
        </w:tc>
        <w:tc>
          <w:tcPr>
            <w:tcW w:w="2693" w:type="dxa"/>
            <w:shd w:val="clear" w:color="auto" w:fill="auto"/>
          </w:tcPr>
          <w:p>
            <w:pPr>
              <w:pStyle w:val="nTable"/>
              <w:spacing w:after="40"/>
              <w:rPr>
                <w:rFonts w:ascii="Times" w:hAnsi="Times"/>
                <w:b/>
                <w:snapToGrid w:val="0"/>
                <w:spacing w:val="-2"/>
                <w:sz w:val="19"/>
                <w:lang w:val="en-US"/>
              </w:rPr>
            </w:pPr>
            <w:r>
              <w:rPr>
                <w:rFonts w:ascii="Times" w:hAnsi="Times"/>
                <w:snapToGrid w:val="0"/>
                <w:spacing w:val="-2"/>
                <w:sz w:val="19"/>
                <w:lang w:val="en-US"/>
              </w:rPr>
              <w:t>r. 1 and 2: 20 Aug 2013 (see r. 2(a));</w:t>
            </w:r>
            <w:r>
              <w:rPr>
                <w:rFonts w:ascii="Times" w:hAnsi="Times"/>
                <w:snapToGrid w:val="0"/>
                <w:spacing w:val="-2"/>
                <w:sz w:val="19"/>
                <w:lang w:val="en-US"/>
              </w:rPr>
              <w:br/>
              <w:t xml:space="preserve">Regulations other than r. 1 and 2: 21 Aug 2013 (see r. 2(b) and </w:t>
            </w:r>
            <w:r>
              <w:rPr>
                <w:rFonts w:ascii="Times" w:hAnsi="Times"/>
                <w:i/>
                <w:snapToGrid w:val="0"/>
                <w:spacing w:val="-2"/>
                <w:sz w:val="19"/>
                <w:lang w:val="en-US"/>
              </w:rPr>
              <w:t>Gazette</w:t>
            </w:r>
            <w:r>
              <w:rPr>
                <w:rFonts w:ascii="Times" w:hAnsi="Times"/>
                <w:snapToGrid w:val="0"/>
                <w:spacing w:val="-2"/>
                <w:sz w:val="19"/>
                <w:lang w:val="en-US"/>
              </w:rPr>
              <w:t xml:space="preserve"> 20 Aug 2013 p. 3815)</w:t>
            </w:r>
          </w:p>
        </w:tc>
      </w:tr>
      <w:tr>
        <w:trPr>
          <w:cantSplit/>
        </w:trPr>
        <w:tc>
          <w:tcPr>
            <w:tcW w:w="3119" w:type="dxa"/>
            <w:tcBorders>
              <w:bottom w:val="single" w:sz="8" w:space="0" w:color="auto"/>
            </w:tcBorders>
            <w:shd w:val="clear" w:color="auto" w:fill="auto"/>
          </w:tcPr>
          <w:p>
            <w:pPr>
              <w:pStyle w:val="nTable"/>
              <w:spacing w:after="40"/>
              <w:ind w:right="113"/>
              <w:rPr>
                <w:rFonts w:ascii="Times" w:hAnsi="Times"/>
                <w:i/>
                <w:sz w:val="19"/>
              </w:rPr>
            </w:pPr>
            <w:r>
              <w:rPr>
                <w:rFonts w:ascii="Times" w:hAnsi="Times"/>
                <w:i/>
                <w:sz w:val="19"/>
              </w:rPr>
              <w:t>Liquor Control Amendment Regulations (No. 5) 2013</w:t>
            </w:r>
          </w:p>
        </w:tc>
        <w:tc>
          <w:tcPr>
            <w:tcW w:w="1276" w:type="dxa"/>
            <w:tcBorders>
              <w:bottom w:val="single" w:sz="8" w:space="0" w:color="auto"/>
            </w:tcBorders>
            <w:shd w:val="clear" w:color="auto" w:fill="auto"/>
          </w:tcPr>
          <w:p>
            <w:pPr>
              <w:pStyle w:val="nTable"/>
              <w:spacing w:after="40"/>
              <w:rPr>
                <w:rFonts w:ascii="Times" w:hAnsi="Times"/>
                <w:sz w:val="19"/>
              </w:rPr>
            </w:pPr>
            <w:r>
              <w:rPr>
                <w:rFonts w:ascii="Times" w:hAnsi="Times"/>
                <w:sz w:val="19"/>
              </w:rPr>
              <w:t>20 Sep 2013 p. 4362</w:t>
            </w:r>
          </w:p>
        </w:tc>
        <w:tc>
          <w:tcPr>
            <w:tcW w:w="2693" w:type="dxa"/>
            <w:tcBorders>
              <w:bottom w:val="single" w:sz="8" w:space="0" w:color="auto"/>
            </w:tcBorders>
            <w:shd w:val="clear" w:color="auto" w:fill="auto"/>
          </w:tcPr>
          <w:p>
            <w:pPr>
              <w:pStyle w:val="nTable"/>
              <w:spacing w:after="40"/>
              <w:rPr>
                <w:rFonts w:ascii="Times" w:hAnsi="Times"/>
                <w:b/>
                <w:snapToGrid w:val="0"/>
                <w:spacing w:val="-2"/>
                <w:sz w:val="19"/>
                <w:lang w:val="en-US"/>
              </w:rPr>
            </w:pPr>
            <w:r>
              <w:rPr>
                <w:rFonts w:ascii="Times" w:hAnsi="Times"/>
                <w:snapToGrid w:val="0"/>
                <w:spacing w:val="-2"/>
                <w:sz w:val="19"/>
                <w:szCs w:val="19"/>
                <w:lang w:val="en-US"/>
              </w:rPr>
              <w:t>r. 1 and 2: 20 Sep 2013 (see r. 2(a));</w:t>
            </w:r>
            <w:r>
              <w:rPr>
                <w:rFonts w:ascii="Times" w:hAnsi="Times"/>
                <w:snapToGrid w:val="0"/>
                <w:spacing w:val="-2"/>
                <w:sz w:val="19"/>
                <w:szCs w:val="19"/>
                <w:lang w:val="en-US"/>
              </w:rPr>
              <w:br/>
              <w:t>Regulations other than r. 1 and 2: 21 Sep 2013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4" w:name="_Toc371600500"/>
      <w:r>
        <w:t>Provisions that have not come into operation</w:t>
      </w:r>
      <w:bookmarkEnd w:id="9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9" w:type="dxa"/>
          </w:tcPr>
          <w:p>
            <w:pPr>
              <w:pStyle w:val="nTable"/>
              <w:spacing w:after="40"/>
              <w:rPr>
                <w:sz w:val="19"/>
                <w:vertAlign w:val="superscript"/>
              </w:rPr>
            </w:pPr>
            <w:r>
              <w:rPr>
                <w:i/>
              </w:rPr>
              <w:t>Liquor Control Amendment Regulations (No. 7) 2013</w:t>
            </w:r>
            <w:r>
              <w:t xml:space="preserve"> r. 3</w:t>
            </w:r>
            <w:r>
              <w:noBreakHyphen/>
              <w:t>5 </w:t>
            </w:r>
            <w:r>
              <w:rPr>
                <w:vertAlign w:val="superscript"/>
              </w:rPr>
              <w:t>12</w:t>
            </w:r>
          </w:p>
        </w:tc>
        <w:tc>
          <w:tcPr>
            <w:tcW w:w="1276" w:type="dxa"/>
          </w:tcPr>
          <w:p>
            <w:pPr>
              <w:pStyle w:val="nTable"/>
              <w:spacing w:after="40"/>
              <w:rPr>
                <w:sz w:val="19"/>
              </w:rPr>
            </w:pPr>
            <w:r>
              <w:rPr>
                <w:sz w:val="19"/>
              </w:rPr>
              <w:t>8 Nov 2013 p. 4977</w:t>
            </w:r>
            <w:r>
              <w:rPr>
                <w:sz w:val="19"/>
              </w:rPr>
              <w:noBreakHyphen/>
              <w:t>80</w:t>
            </w:r>
          </w:p>
        </w:tc>
        <w:tc>
          <w:tcPr>
            <w:tcW w:w="2693" w:type="dxa"/>
          </w:tcPr>
          <w:p>
            <w:pPr>
              <w:pStyle w:val="nTable"/>
              <w:spacing w:after="40"/>
              <w:rPr>
                <w:sz w:val="19"/>
              </w:rPr>
            </w:pPr>
            <w:r>
              <w:rPr>
                <w:sz w:val="19"/>
              </w:rPr>
              <w:t>1 Jan 2014 (see. s. 2(b))</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Pr>
        <w:pStyle w:val="nSubsection"/>
        <w:spacing w:before="200"/>
        <w:rPr>
          <w:snapToGrid w:val="0"/>
        </w:rPr>
      </w:pPr>
      <w:r>
        <w:rPr>
          <w:snapToGrid w:val="0"/>
          <w:vertAlign w:val="superscript"/>
        </w:rPr>
        <w:t>12</w:t>
      </w:r>
      <w:r>
        <w:rPr>
          <w:snapToGrid w:val="0"/>
        </w:rPr>
        <w:tab/>
      </w:r>
      <w:r>
        <w:t xml:space="preserve">On </w:t>
      </w:r>
      <w:r>
        <w:rPr>
          <w:snapToGrid w:val="0"/>
        </w:rPr>
        <w:t>the</w:t>
      </w:r>
      <w:r>
        <w:t xml:space="preserve"> date as at which this compilation was prepared, </w:t>
      </w:r>
      <w:r>
        <w:rPr>
          <w:snapToGrid w:val="0"/>
        </w:rPr>
        <w:t xml:space="preserve">the </w:t>
      </w:r>
      <w:r>
        <w:rPr>
          <w:i/>
        </w:rPr>
        <w:t>Liquor Control Amendment Regulations (No. 7) 2013</w:t>
      </w:r>
      <w:r>
        <w:t xml:space="preserve"> r. 3</w:t>
      </w:r>
      <w:r>
        <w:noBreakHyphen/>
        <w:t>5 </w:t>
      </w:r>
      <w:r>
        <w:rPr>
          <w:snapToGrid w:val="0"/>
        </w:rPr>
        <w:t>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Liquor Control Regulations 1989</w:t>
      </w:r>
      <w:r>
        <w:t>.</w:t>
      </w:r>
    </w:p>
    <w:p>
      <w:pPr>
        <w:pStyle w:val="nzHeading5"/>
      </w:pPr>
      <w:r>
        <w:rPr>
          <w:rStyle w:val="CharSectno"/>
        </w:rPr>
        <w:t>4</w:t>
      </w:r>
      <w:r>
        <w:t>.</w:t>
      </w:r>
      <w:r>
        <w:tab/>
        <w:t>Regulation 26 amended</w:t>
      </w:r>
    </w:p>
    <w:p>
      <w:pPr>
        <w:pStyle w:val="nzSubsection"/>
      </w:pPr>
      <w:r>
        <w:tab/>
      </w:r>
      <w:r>
        <w:tab/>
        <w:t>In regulation 26(1aa):</w:t>
      </w:r>
    </w:p>
    <w:p>
      <w:pPr>
        <w:pStyle w:val="nzIndenta"/>
      </w:pPr>
      <w:r>
        <w:tab/>
        <w:t>(a)</w:t>
      </w:r>
      <w:r>
        <w:tab/>
        <w:t>in paragraph (a) delete “$257; or” and insert:</w:t>
      </w:r>
    </w:p>
    <w:p>
      <w:pPr>
        <w:pStyle w:val="BlankOpen"/>
      </w:pPr>
    </w:p>
    <w:p>
      <w:pPr>
        <w:pStyle w:val="nzIndenta"/>
      </w:pPr>
      <w:r>
        <w:tab/>
      </w:r>
      <w:r>
        <w:tab/>
        <w:t xml:space="preserve">$262; or </w:t>
      </w:r>
    </w:p>
    <w:p>
      <w:pPr>
        <w:pStyle w:val="BlankClose"/>
      </w:pPr>
    </w:p>
    <w:p>
      <w:pPr>
        <w:pStyle w:val="nzIndenta"/>
      </w:pPr>
      <w:r>
        <w:tab/>
        <w:t>(b)</w:t>
      </w:r>
      <w:r>
        <w:tab/>
        <w:t>in paragraph (b) delete “$514.” and insert:</w:t>
      </w:r>
    </w:p>
    <w:p>
      <w:pPr>
        <w:pStyle w:val="BlankOpen"/>
      </w:pPr>
    </w:p>
    <w:p>
      <w:pPr>
        <w:pStyle w:val="nzIndenta"/>
      </w:pPr>
      <w:r>
        <w:tab/>
      </w:r>
      <w:r>
        <w:tab/>
        <w:t>$524.</w:t>
      </w:r>
    </w:p>
    <w:p>
      <w:pPr>
        <w:pStyle w:val="BlankClose"/>
        <w:keepNext/>
      </w:pPr>
    </w:p>
    <w:p>
      <w:pPr>
        <w:pStyle w:val="nzHeading5"/>
      </w:pPr>
      <w:r>
        <w:rPr>
          <w:rStyle w:val="CharSectno"/>
        </w:rPr>
        <w:t>5</w:t>
      </w:r>
      <w:r>
        <w:t>.</w:t>
      </w:r>
      <w:r>
        <w:tab/>
        <w:t>Schedule 3 amended</w:t>
      </w:r>
    </w:p>
    <w:p>
      <w:pPr>
        <w:pStyle w:val="nzSubsection"/>
      </w:pPr>
      <w:r>
        <w:tab/>
      </w:r>
      <w:r>
        <w:tab/>
        <w:t>In Schedule 3 amend the provisions listed in the Table as set out in the Table.</w:t>
      </w:r>
    </w:p>
    <w:p>
      <w:pPr>
        <w:pStyle w:val="THeading"/>
      </w:pPr>
      <w:r>
        <w:t>Table</w:t>
      </w:r>
    </w:p>
    <w:p>
      <w:pPr>
        <w:pStyle w:val="BlankClos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nzTable"/>
              <w:rPr>
                <w:b/>
              </w:rPr>
            </w:pPr>
            <w:r>
              <w:rPr>
                <w:b/>
              </w:rPr>
              <w:t>Provision</w:t>
            </w:r>
          </w:p>
        </w:tc>
        <w:tc>
          <w:tcPr>
            <w:tcW w:w="2268" w:type="dxa"/>
          </w:tcPr>
          <w:p>
            <w:pPr>
              <w:pStyle w:val="nzTable"/>
              <w:rPr>
                <w:b/>
              </w:rPr>
            </w:pPr>
            <w:r>
              <w:rPr>
                <w:b/>
              </w:rPr>
              <w:t>Delete</w:t>
            </w:r>
          </w:p>
        </w:tc>
        <w:tc>
          <w:tcPr>
            <w:tcW w:w="2268" w:type="dxa"/>
          </w:tcPr>
          <w:p>
            <w:pPr>
              <w:pStyle w:val="nzTable"/>
              <w:rPr>
                <w:b/>
              </w:rPr>
            </w:pPr>
            <w:r>
              <w:rPr>
                <w:b/>
              </w:rPr>
              <w:t>Insert</w:t>
            </w:r>
          </w:p>
        </w:tc>
      </w:tr>
      <w:tr>
        <w:trPr>
          <w:cantSplit/>
          <w:jc w:val="center"/>
        </w:trPr>
        <w:tc>
          <w:tcPr>
            <w:tcW w:w="2268" w:type="dxa"/>
          </w:tcPr>
          <w:p>
            <w:pPr>
              <w:pStyle w:val="nzTable"/>
            </w:pPr>
            <w:r>
              <w:t>Sch. 3 it. 1</w:t>
            </w:r>
          </w:p>
        </w:tc>
        <w:tc>
          <w:tcPr>
            <w:tcW w:w="2268" w:type="dxa"/>
          </w:tcPr>
          <w:p>
            <w:pPr>
              <w:pStyle w:val="nzTable"/>
            </w:pPr>
            <w:r>
              <w:t>3 186</w:t>
            </w:r>
          </w:p>
        </w:tc>
        <w:tc>
          <w:tcPr>
            <w:tcW w:w="2268" w:type="dxa"/>
          </w:tcPr>
          <w:p>
            <w:pPr>
              <w:pStyle w:val="nzTable"/>
            </w:pPr>
            <w:r>
              <w:t>3 250</w:t>
            </w:r>
          </w:p>
        </w:tc>
      </w:tr>
      <w:tr>
        <w:trPr>
          <w:cantSplit/>
          <w:jc w:val="center"/>
        </w:trPr>
        <w:tc>
          <w:tcPr>
            <w:tcW w:w="2268" w:type="dxa"/>
          </w:tcPr>
          <w:p>
            <w:pPr>
              <w:pStyle w:val="nzTable"/>
            </w:pPr>
            <w:r>
              <w:t>Sch. 3 it. 2</w:t>
            </w:r>
          </w:p>
        </w:tc>
        <w:tc>
          <w:tcPr>
            <w:tcW w:w="2268" w:type="dxa"/>
          </w:tcPr>
          <w:p>
            <w:pPr>
              <w:pStyle w:val="nzTable"/>
            </w:pPr>
            <w:r>
              <w:t>822</w:t>
            </w:r>
          </w:p>
        </w:tc>
        <w:tc>
          <w:tcPr>
            <w:tcW w:w="2268" w:type="dxa"/>
          </w:tcPr>
          <w:p>
            <w:pPr>
              <w:pStyle w:val="nzTable"/>
            </w:pPr>
            <w:r>
              <w:t>835</w:t>
            </w:r>
          </w:p>
        </w:tc>
      </w:tr>
      <w:tr>
        <w:trPr>
          <w:cantSplit/>
          <w:jc w:val="center"/>
        </w:trPr>
        <w:tc>
          <w:tcPr>
            <w:tcW w:w="2268" w:type="dxa"/>
          </w:tcPr>
          <w:p>
            <w:pPr>
              <w:pStyle w:val="nzTable"/>
            </w:pPr>
            <w:r>
              <w:t>Sch. 3 it. 3</w:t>
            </w:r>
          </w:p>
        </w:tc>
        <w:tc>
          <w:tcPr>
            <w:tcW w:w="2268" w:type="dxa"/>
          </w:tcPr>
          <w:p>
            <w:pPr>
              <w:pStyle w:val="nzTable"/>
            </w:pPr>
            <w:r>
              <w:t>785</w:t>
            </w:r>
          </w:p>
        </w:tc>
        <w:tc>
          <w:tcPr>
            <w:tcW w:w="2268" w:type="dxa"/>
          </w:tcPr>
          <w:p>
            <w:pPr>
              <w:pStyle w:val="nzTable"/>
            </w:pPr>
            <w:r>
              <w:t>800</w:t>
            </w:r>
          </w:p>
        </w:tc>
      </w:tr>
      <w:tr>
        <w:trPr>
          <w:cantSplit/>
          <w:jc w:val="center"/>
        </w:trPr>
        <w:tc>
          <w:tcPr>
            <w:tcW w:w="2268" w:type="dxa"/>
          </w:tcPr>
          <w:p>
            <w:pPr>
              <w:pStyle w:val="nzTable"/>
            </w:pPr>
            <w:r>
              <w:t>Sch. 3 it. 4</w:t>
            </w:r>
          </w:p>
        </w:tc>
        <w:tc>
          <w:tcPr>
            <w:tcW w:w="2268" w:type="dxa"/>
          </w:tcPr>
          <w:p>
            <w:pPr>
              <w:pStyle w:val="nzTable"/>
            </w:pPr>
            <w:r>
              <w:t>539</w:t>
            </w:r>
          </w:p>
        </w:tc>
        <w:tc>
          <w:tcPr>
            <w:tcW w:w="2268" w:type="dxa"/>
          </w:tcPr>
          <w:p>
            <w:pPr>
              <w:pStyle w:val="nzTable"/>
            </w:pPr>
            <w:r>
              <w:t>550</w:t>
            </w:r>
          </w:p>
        </w:tc>
      </w:tr>
      <w:tr>
        <w:trPr>
          <w:cantSplit/>
          <w:jc w:val="center"/>
        </w:trPr>
        <w:tc>
          <w:tcPr>
            <w:tcW w:w="2268" w:type="dxa"/>
          </w:tcPr>
          <w:p>
            <w:pPr>
              <w:pStyle w:val="nzTable"/>
            </w:pPr>
            <w:r>
              <w:t>Sch. 3 it. 5</w:t>
            </w:r>
          </w:p>
        </w:tc>
        <w:tc>
          <w:tcPr>
            <w:tcW w:w="2268" w:type="dxa"/>
          </w:tcPr>
          <w:p>
            <w:pPr>
              <w:pStyle w:val="nzTable"/>
            </w:pPr>
            <w:r>
              <w:t>267</w:t>
            </w:r>
          </w:p>
        </w:tc>
        <w:tc>
          <w:tcPr>
            <w:tcW w:w="2268" w:type="dxa"/>
          </w:tcPr>
          <w:p>
            <w:pPr>
              <w:pStyle w:val="nzTable"/>
            </w:pPr>
            <w:r>
              <w:t>272</w:t>
            </w:r>
          </w:p>
        </w:tc>
      </w:tr>
      <w:tr>
        <w:trPr>
          <w:cantSplit/>
          <w:jc w:val="center"/>
        </w:trPr>
        <w:tc>
          <w:tcPr>
            <w:tcW w:w="2268" w:type="dxa"/>
          </w:tcPr>
          <w:p>
            <w:pPr>
              <w:pStyle w:val="nzTable"/>
            </w:pPr>
            <w:r>
              <w:t>Sch. 3 it. 6(a)</w:t>
            </w:r>
          </w:p>
        </w:tc>
        <w:tc>
          <w:tcPr>
            <w:tcW w:w="2268" w:type="dxa"/>
          </w:tcPr>
          <w:p>
            <w:pPr>
              <w:pStyle w:val="nzTable"/>
            </w:pPr>
            <w:r>
              <w:t>50</w:t>
            </w:r>
          </w:p>
        </w:tc>
        <w:tc>
          <w:tcPr>
            <w:tcW w:w="2268" w:type="dxa"/>
          </w:tcPr>
          <w:p>
            <w:pPr>
              <w:pStyle w:val="nzTable"/>
            </w:pPr>
            <w:r>
              <w:t>51</w:t>
            </w:r>
          </w:p>
        </w:tc>
      </w:tr>
      <w:tr>
        <w:trPr>
          <w:cantSplit/>
          <w:jc w:val="center"/>
        </w:trPr>
        <w:tc>
          <w:tcPr>
            <w:tcW w:w="2268" w:type="dxa"/>
          </w:tcPr>
          <w:p>
            <w:pPr>
              <w:pStyle w:val="nzTable"/>
            </w:pPr>
            <w:r>
              <w:t>Sch. 3 it. 6(b)</w:t>
            </w:r>
          </w:p>
        </w:tc>
        <w:tc>
          <w:tcPr>
            <w:tcW w:w="2268" w:type="dxa"/>
          </w:tcPr>
          <w:p>
            <w:pPr>
              <w:pStyle w:val="nzTable"/>
            </w:pPr>
            <w:r>
              <w:t>103</w:t>
            </w:r>
          </w:p>
        </w:tc>
        <w:tc>
          <w:tcPr>
            <w:tcW w:w="2268" w:type="dxa"/>
          </w:tcPr>
          <w:p>
            <w:pPr>
              <w:pStyle w:val="nzTable"/>
            </w:pPr>
            <w:r>
              <w:t>105</w:t>
            </w:r>
          </w:p>
        </w:tc>
      </w:tr>
      <w:tr>
        <w:trPr>
          <w:cantSplit/>
          <w:jc w:val="center"/>
        </w:trPr>
        <w:tc>
          <w:tcPr>
            <w:tcW w:w="2268" w:type="dxa"/>
          </w:tcPr>
          <w:p>
            <w:pPr>
              <w:pStyle w:val="nzTable"/>
            </w:pPr>
            <w:r>
              <w:t>Sch. 3 it. 6(c)</w:t>
            </w:r>
          </w:p>
        </w:tc>
        <w:tc>
          <w:tcPr>
            <w:tcW w:w="2268" w:type="dxa"/>
          </w:tcPr>
          <w:p>
            <w:pPr>
              <w:pStyle w:val="nzTable"/>
            </w:pPr>
            <w:r>
              <w:t>210</w:t>
            </w:r>
          </w:p>
        </w:tc>
        <w:tc>
          <w:tcPr>
            <w:tcW w:w="2268" w:type="dxa"/>
          </w:tcPr>
          <w:p>
            <w:pPr>
              <w:pStyle w:val="nzTable"/>
            </w:pPr>
            <w:r>
              <w:t>214</w:t>
            </w:r>
          </w:p>
        </w:tc>
      </w:tr>
      <w:tr>
        <w:trPr>
          <w:cantSplit/>
          <w:jc w:val="center"/>
        </w:trPr>
        <w:tc>
          <w:tcPr>
            <w:tcW w:w="2268" w:type="dxa"/>
          </w:tcPr>
          <w:p>
            <w:pPr>
              <w:pStyle w:val="nzTable"/>
            </w:pPr>
            <w:r>
              <w:t>Sch. 3 it. 6(d)</w:t>
            </w:r>
          </w:p>
        </w:tc>
        <w:tc>
          <w:tcPr>
            <w:tcW w:w="2268" w:type="dxa"/>
          </w:tcPr>
          <w:p>
            <w:pPr>
              <w:pStyle w:val="nzTable"/>
            </w:pPr>
            <w:r>
              <w:t>1 050</w:t>
            </w:r>
          </w:p>
        </w:tc>
        <w:tc>
          <w:tcPr>
            <w:tcW w:w="2268" w:type="dxa"/>
          </w:tcPr>
          <w:p>
            <w:pPr>
              <w:pStyle w:val="nzTable"/>
            </w:pPr>
            <w:r>
              <w:t>1 055</w:t>
            </w:r>
          </w:p>
        </w:tc>
      </w:tr>
      <w:tr>
        <w:trPr>
          <w:cantSplit/>
          <w:jc w:val="center"/>
        </w:trPr>
        <w:tc>
          <w:tcPr>
            <w:tcW w:w="2268" w:type="dxa"/>
          </w:tcPr>
          <w:p>
            <w:pPr>
              <w:pStyle w:val="nzTable"/>
            </w:pPr>
            <w:r>
              <w:t>Sch. 3 it. 6(e)</w:t>
            </w:r>
          </w:p>
        </w:tc>
        <w:tc>
          <w:tcPr>
            <w:tcW w:w="2268" w:type="dxa"/>
          </w:tcPr>
          <w:p>
            <w:pPr>
              <w:pStyle w:val="nzTable"/>
            </w:pPr>
            <w:r>
              <w:t>2 100</w:t>
            </w:r>
          </w:p>
        </w:tc>
        <w:tc>
          <w:tcPr>
            <w:tcW w:w="2268" w:type="dxa"/>
          </w:tcPr>
          <w:p>
            <w:pPr>
              <w:pStyle w:val="nzTable"/>
            </w:pPr>
            <w:r>
              <w:t>2 142</w:t>
            </w:r>
          </w:p>
        </w:tc>
      </w:tr>
      <w:tr>
        <w:trPr>
          <w:cantSplit/>
          <w:jc w:val="center"/>
        </w:trPr>
        <w:tc>
          <w:tcPr>
            <w:tcW w:w="2268" w:type="dxa"/>
          </w:tcPr>
          <w:p>
            <w:pPr>
              <w:pStyle w:val="nzTable"/>
            </w:pPr>
            <w:r>
              <w:t>Sch. 3 it. 6(f)</w:t>
            </w:r>
          </w:p>
        </w:tc>
        <w:tc>
          <w:tcPr>
            <w:tcW w:w="2268" w:type="dxa"/>
          </w:tcPr>
          <w:p>
            <w:pPr>
              <w:pStyle w:val="nzTable"/>
            </w:pPr>
            <w:r>
              <w:t>4 205</w:t>
            </w:r>
          </w:p>
        </w:tc>
        <w:tc>
          <w:tcPr>
            <w:tcW w:w="2268" w:type="dxa"/>
          </w:tcPr>
          <w:p>
            <w:pPr>
              <w:pStyle w:val="nzTable"/>
            </w:pPr>
            <w:r>
              <w:t>4 290</w:t>
            </w:r>
          </w:p>
        </w:tc>
      </w:tr>
      <w:tr>
        <w:trPr>
          <w:cantSplit/>
          <w:jc w:val="center"/>
        </w:trPr>
        <w:tc>
          <w:tcPr>
            <w:tcW w:w="2268" w:type="dxa"/>
          </w:tcPr>
          <w:p>
            <w:pPr>
              <w:pStyle w:val="nzTable"/>
            </w:pPr>
            <w:r>
              <w:t>Sch. 3 it. 7(a)(i)</w:t>
            </w:r>
          </w:p>
        </w:tc>
        <w:tc>
          <w:tcPr>
            <w:tcW w:w="2268" w:type="dxa"/>
          </w:tcPr>
          <w:p>
            <w:pPr>
              <w:pStyle w:val="nzTable"/>
            </w:pPr>
            <w:r>
              <w:t>50</w:t>
            </w:r>
          </w:p>
        </w:tc>
        <w:tc>
          <w:tcPr>
            <w:tcW w:w="2268" w:type="dxa"/>
          </w:tcPr>
          <w:p>
            <w:pPr>
              <w:pStyle w:val="nzTable"/>
            </w:pPr>
            <w:r>
              <w:t>51</w:t>
            </w:r>
          </w:p>
        </w:tc>
      </w:tr>
      <w:tr>
        <w:trPr>
          <w:cantSplit/>
          <w:jc w:val="center"/>
        </w:trPr>
        <w:tc>
          <w:tcPr>
            <w:tcW w:w="2268" w:type="dxa"/>
          </w:tcPr>
          <w:p>
            <w:pPr>
              <w:pStyle w:val="nzTable"/>
            </w:pPr>
            <w:r>
              <w:t>Sch. 3 it. 7(a)(ii)</w:t>
            </w:r>
          </w:p>
        </w:tc>
        <w:tc>
          <w:tcPr>
            <w:tcW w:w="2268" w:type="dxa"/>
          </w:tcPr>
          <w:p>
            <w:pPr>
              <w:pStyle w:val="nzTable"/>
            </w:pPr>
            <w:r>
              <w:t>431</w:t>
            </w:r>
          </w:p>
        </w:tc>
        <w:tc>
          <w:tcPr>
            <w:tcW w:w="2268" w:type="dxa"/>
          </w:tcPr>
          <w:p>
            <w:pPr>
              <w:pStyle w:val="nzTable"/>
            </w:pPr>
            <w:r>
              <w:t>439</w:t>
            </w:r>
          </w:p>
        </w:tc>
      </w:tr>
      <w:tr>
        <w:trPr>
          <w:cantSplit/>
          <w:jc w:val="center"/>
        </w:trPr>
        <w:tc>
          <w:tcPr>
            <w:tcW w:w="2268" w:type="dxa"/>
          </w:tcPr>
          <w:p>
            <w:pPr>
              <w:pStyle w:val="nzTable"/>
            </w:pPr>
            <w:r>
              <w:t>Sch. 3 it. 7(b)</w:t>
            </w:r>
          </w:p>
        </w:tc>
        <w:tc>
          <w:tcPr>
            <w:tcW w:w="2268" w:type="dxa"/>
          </w:tcPr>
          <w:p>
            <w:pPr>
              <w:pStyle w:val="nzTable"/>
            </w:pPr>
            <w:r>
              <w:t>323</w:t>
            </w:r>
          </w:p>
        </w:tc>
        <w:tc>
          <w:tcPr>
            <w:tcW w:w="2268" w:type="dxa"/>
          </w:tcPr>
          <w:p>
            <w:pPr>
              <w:pStyle w:val="nzTable"/>
            </w:pPr>
            <w:r>
              <w:t>329</w:t>
            </w:r>
          </w:p>
        </w:tc>
      </w:tr>
      <w:tr>
        <w:trPr>
          <w:cantSplit/>
          <w:jc w:val="center"/>
        </w:trPr>
        <w:tc>
          <w:tcPr>
            <w:tcW w:w="2268" w:type="dxa"/>
          </w:tcPr>
          <w:p>
            <w:pPr>
              <w:pStyle w:val="nzTable"/>
            </w:pPr>
            <w:r>
              <w:t>Sch. 3 it. 7(c)</w:t>
            </w:r>
          </w:p>
        </w:tc>
        <w:tc>
          <w:tcPr>
            <w:tcW w:w="2268" w:type="dxa"/>
          </w:tcPr>
          <w:p>
            <w:pPr>
              <w:pStyle w:val="nzTable"/>
            </w:pPr>
            <w:r>
              <w:t>1 079</w:t>
            </w:r>
          </w:p>
        </w:tc>
        <w:tc>
          <w:tcPr>
            <w:tcW w:w="2268" w:type="dxa"/>
          </w:tcPr>
          <w:p>
            <w:pPr>
              <w:pStyle w:val="nzTable"/>
            </w:pPr>
            <w:r>
              <w:t>1 100</w:t>
            </w:r>
          </w:p>
        </w:tc>
      </w:tr>
      <w:tr>
        <w:trPr>
          <w:cantSplit/>
          <w:jc w:val="center"/>
        </w:trPr>
        <w:tc>
          <w:tcPr>
            <w:tcW w:w="2268" w:type="dxa"/>
          </w:tcPr>
          <w:p>
            <w:pPr>
              <w:pStyle w:val="nzTable"/>
            </w:pPr>
            <w:r>
              <w:t>Sch. 3 it. 8(a)</w:t>
            </w:r>
          </w:p>
        </w:tc>
        <w:tc>
          <w:tcPr>
            <w:tcW w:w="2268" w:type="dxa"/>
          </w:tcPr>
          <w:p>
            <w:pPr>
              <w:pStyle w:val="nzTable"/>
            </w:pPr>
            <w:r>
              <w:t>103</w:t>
            </w:r>
          </w:p>
        </w:tc>
        <w:tc>
          <w:tcPr>
            <w:tcW w:w="2268" w:type="dxa"/>
          </w:tcPr>
          <w:p>
            <w:pPr>
              <w:pStyle w:val="nzTable"/>
            </w:pPr>
            <w:r>
              <w:t>105</w:t>
            </w:r>
          </w:p>
        </w:tc>
      </w:tr>
      <w:tr>
        <w:trPr>
          <w:cantSplit/>
          <w:jc w:val="center"/>
        </w:trPr>
        <w:tc>
          <w:tcPr>
            <w:tcW w:w="2268" w:type="dxa"/>
          </w:tcPr>
          <w:p>
            <w:pPr>
              <w:pStyle w:val="nzTable"/>
            </w:pPr>
            <w:r>
              <w:t>Sch. 3 it. 8(b)</w:t>
            </w:r>
          </w:p>
        </w:tc>
        <w:tc>
          <w:tcPr>
            <w:tcW w:w="2268" w:type="dxa"/>
          </w:tcPr>
          <w:p>
            <w:pPr>
              <w:pStyle w:val="nzTable"/>
            </w:pPr>
            <w:r>
              <w:t>210</w:t>
            </w:r>
          </w:p>
        </w:tc>
        <w:tc>
          <w:tcPr>
            <w:tcW w:w="2268" w:type="dxa"/>
          </w:tcPr>
          <w:p>
            <w:pPr>
              <w:pStyle w:val="nzTable"/>
            </w:pPr>
            <w:r>
              <w:t>214</w:t>
            </w:r>
          </w:p>
        </w:tc>
      </w:tr>
      <w:tr>
        <w:trPr>
          <w:cantSplit/>
          <w:jc w:val="center"/>
        </w:trPr>
        <w:tc>
          <w:tcPr>
            <w:tcW w:w="2268" w:type="dxa"/>
          </w:tcPr>
          <w:p>
            <w:pPr>
              <w:pStyle w:val="nzTable"/>
            </w:pPr>
            <w:r>
              <w:t>Sch. 3 it. 8(c)</w:t>
            </w:r>
          </w:p>
        </w:tc>
        <w:tc>
          <w:tcPr>
            <w:tcW w:w="2268" w:type="dxa"/>
          </w:tcPr>
          <w:p>
            <w:pPr>
              <w:pStyle w:val="nzTable"/>
            </w:pPr>
            <w:r>
              <w:t>1 050</w:t>
            </w:r>
          </w:p>
        </w:tc>
        <w:tc>
          <w:tcPr>
            <w:tcW w:w="2268" w:type="dxa"/>
          </w:tcPr>
          <w:p>
            <w:pPr>
              <w:pStyle w:val="nzTable"/>
            </w:pPr>
            <w:r>
              <w:t>1 071</w:t>
            </w:r>
          </w:p>
        </w:tc>
      </w:tr>
      <w:tr>
        <w:trPr>
          <w:cantSplit/>
          <w:jc w:val="center"/>
        </w:trPr>
        <w:tc>
          <w:tcPr>
            <w:tcW w:w="2268" w:type="dxa"/>
          </w:tcPr>
          <w:p>
            <w:pPr>
              <w:pStyle w:val="nzTable"/>
            </w:pPr>
            <w:r>
              <w:t>Sch. 3 it. 8(d)</w:t>
            </w:r>
          </w:p>
        </w:tc>
        <w:tc>
          <w:tcPr>
            <w:tcW w:w="2268" w:type="dxa"/>
          </w:tcPr>
          <w:p>
            <w:pPr>
              <w:pStyle w:val="nzTable"/>
            </w:pPr>
            <w:r>
              <w:t>2 100</w:t>
            </w:r>
          </w:p>
        </w:tc>
        <w:tc>
          <w:tcPr>
            <w:tcW w:w="2268" w:type="dxa"/>
          </w:tcPr>
          <w:p>
            <w:pPr>
              <w:pStyle w:val="nzTable"/>
            </w:pPr>
            <w:r>
              <w:t>2 142</w:t>
            </w:r>
          </w:p>
        </w:tc>
      </w:tr>
      <w:tr>
        <w:trPr>
          <w:cantSplit/>
          <w:jc w:val="center"/>
        </w:trPr>
        <w:tc>
          <w:tcPr>
            <w:tcW w:w="2268" w:type="dxa"/>
          </w:tcPr>
          <w:p>
            <w:pPr>
              <w:pStyle w:val="nzTable"/>
            </w:pPr>
            <w:r>
              <w:t>Sch. 3 it. 8(e)</w:t>
            </w:r>
          </w:p>
        </w:tc>
        <w:tc>
          <w:tcPr>
            <w:tcW w:w="2268" w:type="dxa"/>
          </w:tcPr>
          <w:p>
            <w:pPr>
              <w:pStyle w:val="nzTable"/>
            </w:pPr>
            <w:r>
              <w:t>4 205</w:t>
            </w:r>
          </w:p>
        </w:tc>
        <w:tc>
          <w:tcPr>
            <w:tcW w:w="2268" w:type="dxa"/>
          </w:tcPr>
          <w:p>
            <w:pPr>
              <w:pStyle w:val="nzTable"/>
            </w:pPr>
            <w:r>
              <w:t>4 290</w:t>
            </w:r>
          </w:p>
        </w:tc>
      </w:tr>
      <w:tr>
        <w:trPr>
          <w:cantSplit/>
          <w:jc w:val="center"/>
        </w:trPr>
        <w:tc>
          <w:tcPr>
            <w:tcW w:w="2268" w:type="dxa"/>
          </w:tcPr>
          <w:p>
            <w:pPr>
              <w:pStyle w:val="nzTable"/>
            </w:pPr>
            <w:r>
              <w:t>Sch. 3 it. 9A</w:t>
            </w:r>
          </w:p>
        </w:tc>
        <w:tc>
          <w:tcPr>
            <w:tcW w:w="2268" w:type="dxa"/>
          </w:tcPr>
          <w:p>
            <w:pPr>
              <w:pStyle w:val="nzTable"/>
            </w:pPr>
            <w:r>
              <w:t>40</w:t>
            </w:r>
          </w:p>
        </w:tc>
        <w:tc>
          <w:tcPr>
            <w:tcW w:w="2268" w:type="dxa"/>
          </w:tcPr>
          <w:p>
            <w:pPr>
              <w:pStyle w:val="nzTable"/>
            </w:pPr>
            <w:r>
              <w:t>41</w:t>
            </w:r>
          </w:p>
        </w:tc>
      </w:tr>
      <w:tr>
        <w:trPr>
          <w:cantSplit/>
          <w:jc w:val="center"/>
        </w:trPr>
        <w:tc>
          <w:tcPr>
            <w:tcW w:w="2268" w:type="dxa"/>
          </w:tcPr>
          <w:p>
            <w:pPr>
              <w:pStyle w:val="nzTable"/>
            </w:pPr>
            <w:r>
              <w:t>Sch. 3 it. 9(a)</w:t>
            </w:r>
          </w:p>
        </w:tc>
        <w:tc>
          <w:tcPr>
            <w:tcW w:w="2268" w:type="dxa"/>
          </w:tcPr>
          <w:p>
            <w:pPr>
              <w:pStyle w:val="nzTable"/>
            </w:pPr>
            <w:r>
              <w:t>165</w:t>
            </w:r>
          </w:p>
        </w:tc>
        <w:tc>
          <w:tcPr>
            <w:tcW w:w="2268" w:type="dxa"/>
          </w:tcPr>
          <w:p>
            <w:pPr>
              <w:pStyle w:val="nzTable"/>
            </w:pPr>
            <w:r>
              <w:t>168</w:t>
            </w:r>
          </w:p>
        </w:tc>
      </w:tr>
      <w:tr>
        <w:trPr>
          <w:cantSplit/>
          <w:jc w:val="center"/>
        </w:trPr>
        <w:tc>
          <w:tcPr>
            <w:tcW w:w="2268" w:type="dxa"/>
          </w:tcPr>
          <w:p>
            <w:pPr>
              <w:pStyle w:val="nzTable"/>
            </w:pPr>
            <w:r>
              <w:t>Sch. 3 it. 9(b)</w:t>
            </w:r>
          </w:p>
        </w:tc>
        <w:tc>
          <w:tcPr>
            <w:tcW w:w="2268" w:type="dxa"/>
          </w:tcPr>
          <w:p>
            <w:pPr>
              <w:pStyle w:val="nzTable"/>
            </w:pPr>
            <w:r>
              <w:t>55</w:t>
            </w:r>
          </w:p>
        </w:tc>
        <w:tc>
          <w:tcPr>
            <w:tcW w:w="2268" w:type="dxa"/>
          </w:tcPr>
          <w:p>
            <w:pPr>
              <w:pStyle w:val="nzTable"/>
            </w:pPr>
            <w:r>
              <w:t>56</w:t>
            </w:r>
          </w:p>
        </w:tc>
      </w:tr>
      <w:tr>
        <w:trPr>
          <w:cantSplit/>
          <w:jc w:val="center"/>
        </w:trPr>
        <w:tc>
          <w:tcPr>
            <w:tcW w:w="2268" w:type="dxa"/>
          </w:tcPr>
          <w:p>
            <w:pPr>
              <w:pStyle w:val="nzTable"/>
            </w:pPr>
            <w:r>
              <w:t>Sch. 3 it. 10A(a)</w:t>
            </w:r>
          </w:p>
        </w:tc>
        <w:tc>
          <w:tcPr>
            <w:tcW w:w="2268" w:type="dxa"/>
          </w:tcPr>
          <w:p>
            <w:pPr>
              <w:pStyle w:val="nzTable"/>
            </w:pPr>
            <w:r>
              <w:t>160</w:t>
            </w:r>
          </w:p>
        </w:tc>
        <w:tc>
          <w:tcPr>
            <w:tcW w:w="2268" w:type="dxa"/>
          </w:tcPr>
          <w:p>
            <w:pPr>
              <w:pStyle w:val="nzTable"/>
            </w:pPr>
            <w:r>
              <w:t>163</w:t>
            </w:r>
          </w:p>
        </w:tc>
      </w:tr>
      <w:tr>
        <w:trPr>
          <w:cantSplit/>
          <w:jc w:val="center"/>
        </w:trPr>
        <w:tc>
          <w:tcPr>
            <w:tcW w:w="2268" w:type="dxa"/>
          </w:tcPr>
          <w:p>
            <w:pPr>
              <w:pStyle w:val="nzTable"/>
            </w:pPr>
            <w:r>
              <w:t>Sch. 3 it. 10A(b)</w:t>
            </w:r>
          </w:p>
        </w:tc>
        <w:tc>
          <w:tcPr>
            <w:tcW w:w="2268" w:type="dxa"/>
          </w:tcPr>
          <w:p>
            <w:pPr>
              <w:pStyle w:val="nzTable"/>
            </w:pPr>
            <w:r>
              <w:t>120</w:t>
            </w:r>
          </w:p>
        </w:tc>
        <w:tc>
          <w:tcPr>
            <w:tcW w:w="2268" w:type="dxa"/>
          </w:tcPr>
          <w:p>
            <w:pPr>
              <w:pStyle w:val="nzTable"/>
            </w:pPr>
            <w:r>
              <w:t>122</w:t>
            </w:r>
          </w:p>
        </w:tc>
      </w:tr>
      <w:tr>
        <w:trPr>
          <w:cantSplit/>
          <w:jc w:val="center"/>
        </w:trPr>
        <w:tc>
          <w:tcPr>
            <w:tcW w:w="2268" w:type="dxa"/>
          </w:tcPr>
          <w:p>
            <w:pPr>
              <w:pStyle w:val="nzTable"/>
            </w:pPr>
            <w:r>
              <w:t>Sch. 3 it. 10B(a)(i)</w:t>
            </w:r>
          </w:p>
        </w:tc>
        <w:tc>
          <w:tcPr>
            <w:tcW w:w="2268" w:type="dxa"/>
          </w:tcPr>
          <w:p>
            <w:pPr>
              <w:pStyle w:val="nzTable"/>
            </w:pPr>
            <w:r>
              <w:t>70</w:t>
            </w:r>
          </w:p>
        </w:tc>
        <w:tc>
          <w:tcPr>
            <w:tcW w:w="2268" w:type="dxa"/>
          </w:tcPr>
          <w:p>
            <w:pPr>
              <w:pStyle w:val="nzTable"/>
            </w:pPr>
            <w:r>
              <w:t>71</w:t>
            </w:r>
          </w:p>
        </w:tc>
      </w:tr>
      <w:tr>
        <w:trPr>
          <w:cantSplit/>
          <w:jc w:val="center"/>
        </w:trPr>
        <w:tc>
          <w:tcPr>
            <w:tcW w:w="2268" w:type="dxa"/>
          </w:tcPr>
          <w:p>
            <w:pPr>
              <w:pStyle w:val="nzTable"/>
            </w:pPr>
            <w:r>
              <w:t>Sch. 3 it. 10B(b)(i)</w:t>
            </w:r>
          </w:p>
        </w:tc>
        <w:tc>
          <w:tcPr>
            <w:tcW w:w="2268" w:type="dxa"/>
          </w:tcPr>
          <w:p>
            <w:pPr>
              <w:pStyle w:val="nzTable"/>
            </w:pPr>
            <w:r>
              <w:t>115</w:t>
            </w:r>
          </w:p>
        </w:tc>
        <w:tc>
          <w:tcPr>
            <w:tcW w:w="2268" w:type="dxa"/>
          </w:tcPr>
          <w:p>
            <w:pPr>
              <w:pStyle w:val="nzTable"/>
            </w:pPr>
            <w:r>
              <w:t>117</w:t>
            </w:r>
          </w:p>
        </w:tc>
      </w:tr>
      <w:tr>
        <w:trPr>
          <w:cantSplit/>
          <w:jc w:val="center"/>
        </w:trPr>
        <w:tc>
          <w:tcPr>
            <w:tcW w:w="2268" w:type="dxa"/>
          </w:tcPr>
          <w:p>
            <w:pPr>
              <w:pStyle w:val="nzTable"/>
            </w:pPr>
            <w:r>
              <w:t>Sch. 3 it. 10B(b)(ii)</w:t>
            </w:r>
          </w:p>
        </w:tc>
        <w:tc>
          <w:tcPr>
            <w:tcW w:w="2268" w:type="dxa"/>
          </w:tcPr>
          <w:p>
            <w:pPr>
              <w:pStyle w:val="nzTable"/>
            </w:pPr>
            <w:r>
              <w:t>75</w:t>
            </w:r>
          </w:p>
        </w:tc>
        <w:tc>
          <w:tcPr>
            <w:tcW w:w="2268" w:type="dxa"/>
          </w:tcPr>
          <w:p>
            <w:pPr>
              <w:pStyle w:val="nzTable"/>
            </w:pPr>
            <w:r>
              <w:t>76</w:t>
            </w:r>
          </w:p>
        </w:tc>
      </w:tr>
      <w:tr>
        <w:trPr>
          <w:cantSplit/>
          <w:jc w:val="center"/>
        </w:trPr>
        <w:tc>
          <w:tcPr>
            <w:tcW w:w="2268" w:type="dxa"/>
          </w:tcPr>
          <w:p>
            <w:pPr>
              <w:pStyle w:val="nzTable"/>
            </w:pPr>
            <w:r>
              <w:t>Sch. 3 it. 10B(c)(i)</w:t>
            </w:r>
          </w:p>
        </w:tc>
        <w:tc>
          <w:tcPr>
            <w:tcW w:w="2268" w:type="dxa"/>
          </w:tcPr>
          <w:p>
            <w:pPr>
              <w:pStyle w:val="nzTable"/>
            </w:pPr>
            <w:r>
              <w:t>160</w:t>
            </w:r>
          </w:p>
        </w:tc>
        <w:tc>
          <w:tcPr>
            <w:tcW w:w="2268" w:type="dxa"/>
          </w:tcPr>
          <w:p>
            <w:pPr>
              <w:pStyle w:val="nzTable"/>
            </w:pPr>
            <w:r>
              <w:t>163</w:t>
            </w:r>
          </w:p>
        </w:tc>
      </w:tr>
      <w:tr>
        <w:trPr>
          <w:cantSplit/>
          <w:jc w:val="center"/>
        </w:trPr>
        <w:tc>
          <w:tcPr>
            <w:tcW w:w="2268" w:type="dxa"/>
          </w:tcPr>
          <w:p>
            <w:pPr>
              <w:pStyle w:val="nzTable"/>
            </w:pPr>
            <w:r>
              <w:t>Sch. 3 it. 10B(c)(ii)</w:t>
            </w:r>
          </w:p>
        </w:tc>
        <w:tc>
          <w:tcPr>
            <w:tcW w:w="2268" w:type="dxa"/>
          </w:tcPr>
          <w:p>
            <w:pPr>
              <w:pStyle w:val="nzTable"/>
            </w:pPr>
            <w:r>
              <w:t>120</w:t>
            </w:r>
          </w:p>
        </w:tc>
        <w:tc>
          <w:tcPr>
            <w:tcW w:w="2268" w:type="dxa"/>
          </w:tcPr>
          <w:p>
            <w:pPr>
              <w:pStyle w:val="nzTable"/>
            </w:pPr>
            <w:r>
              <w:t>122</w:t>
            </w:r>
          </w:p>
        </w:tc>
      </w:tr>
      <w:tr>
        <w:trPr>
          <w:cantSplit/>
          <w:jc w:val="center"/>
        </w:trPr>
        <w:tc>
          <w:tcPr>
            <w:tcW w:w="2268" w:type="dxa"/>
          </w:tcPr>
          <w:p>
            <w:pPr>
              <w:pStyle w:val="nzTable"/>
            </w:pPr>
            <w:r>
              <w:t>Sch. 3 it. 10C(a)</w:t>
            </w:r>
          </w:p>
        </w:tc>
        <w:tc>
          <w:tcPr>
            <w:tcW w:w="2268" w:type="dxa"/>
          </w:tcPr>
          <w:p>
            <w:pPr>
              <w:pStyle w:val="nzTable"/>
            </w:pPr>
            <w:r>
              <w:t>50</w:t>
            </w:r>
          </w:p>
        </w:tc>
        <w:tc>
          <w:tcPr>
            <w:tcW w:w="2268" w:type="dxa"/>
          </w:tcPr>
          <w:p>
            <w:pPr>
              <w:pStyle w:val="nzTable"/>
            </w:pPr>
            <w:r>
              <w:t>51</w:t>
            </w:r>
          </w:p>
        </w:tc>
      </w:tr>
      <w:tr>
        <w:trPr>
          <w:cantSplit/>
          <w:jc w:val="center"/>
        </w:trPr>
        <w:tc>
          <w:tcPr>
            <w:tcW w:w="2268" w:type="dxa"/>
          </w:tcPr>
          <w:p>
            <w:pPr>
              <w:pStyle w:val="nzTable"/>
            </w:pPr>
            <w:r>
              <w:t>Sch. 3 it. 10(a)</w:t>
            </w:r>
          </w:p>
        </w:tc>
        <w:tc>
          <w:tcPr>
            <w:tcW w:w="2268" w:type="dxa"/>
          </w:tcPr>
          <w:p>
            <w:pPr>
              <w:pStyle w:val="nzTable"/>
            </w:pPr>
            <w:r>
              <w:t>149</w:t>
            </w:r>
          </w:p>
        </w:tc>
        <w:tc>
          <w:tcPr>
            <w:tcW w:w="2268" w:type="dxa"/>
          </w:tcPr>
          <w:p>
            <w:pPr>
              <w:pStyle w:val="nzTable"/>
            </w:pPr>
            <w:r>
              <w:t>152</w:t>
            </w:r>
          </w:p>
        </w:tc>
      </w:tr>
      <w:tr>
        <w:trPr>
          <w:cantSplit/>
          <w:jc w:val="center"/>
        </w:trPr>
        <w:tc>
          <w:tcPr>
            <w:tcW w:w="2268" w:type="dxa"/>
          </w:tcPr>
          <w:p>
            <w:pPr>
              <w:pStyle w:val="nzTable"/>
            </w:pPr>
            <w:r>
              <w:t>Sch. 3 it. 10(b)</w:t>
            </w:r>
          </w:p>
        </w:tc>
        <w:tc>
          <w:tcPr>
            <w:tcW w:w="2268" w:type="dxa"/>
          </w:tcPr>
          <w:p>
            <w:pPr>
              <w:pStyle w:val="nzTable"/>
            </w:pPr>
            <w:r>
              <w:t>102</w:t>
            </w:r>
          </w:p>
        </w:tc>
        <w:tc>
          <w:tcPr>
            <w:tcW w:w="2268" w:type="dxa"/>
          </w:tcPr>
          <w:p>
            <w:pPr>
              <w:pStyle w:val="nzTable"/>
            </w:pPr>
            <w:r>
              <w:t>104</w:t>
            </w:r>
          </w:p>
        </w:tc>
      </w:tr>
      <w:tr>
        <w:trPr>
          <w:cantSplit/>
          <w:jc w:val="center"/>
        </w:trPr>
        <w:tc>
          <w:tcPr>
            <w:tcW w:w="2268" w:type="dxa"/>
          </w:tcPr>
          <w:p>
            <w:pPr>
              <w:pStyle w:val="nzTable"/>
            </w:pPr>
            <w:r>
              <w:t>Sch. 3 it. 11</w:t>
            </w:r>
          </w:p>
        </w:tc>
        <w:tc>
          <w:tcPr>
            <w:tcW w:w="2268" w:type="dxa"/>
          </w:tcPr>
          <w:p>
            <w:pPr>
              <w:pStyle w:val="nzTable"/>
            </w:pPr>
            <w:r>
              <w:t>370</w:t>
            </w:r>
          </w:p>
        </w:tc>
        <w:tc>
          <w:tcPr>
            <w:tcW w:w="2268" w:type="dxa"/>
          </w:tcPr>
          <w:p>
            <w:pPr>
              <w:pStyle w:val="nzTable"/>
            </w:pPr>
            <w:r>
              <w:t>377</w:t>
            </w:r>
          </w:p>
        </w:tc>
      </w:tr>
      <w:tr>
        <w:trPr>
          <w:cantSplit/>
          <w:jc w:val="center"/>
        </w:trPr>
        <w:tc>
          <w:tcPr>
            <w:tcW w:w="2268" w:type="dxa"/>
          </w:tcPr>
          <w:p>
            <w:pPr>
              <w:pStyle w:val="nzTable"/>
            </w:pPr>
            <w:r>
              <w:t>Sch. 3 it. 12</w:t>
            </w:r>
          </w:p>
        </w:tc>
        <w:tc>
          <w:tcPr>
            <w:tcW w:w="2268" w:type="dxa"/>
          </w:tcPr>
          <w:p>
            <w:pPr>
              <w:pStyle w:val="nzTable"/>
            </w:pPr>
            <w:r>
              <w:t>215</w:t>
            </w:r>
          </w:p>
        </w:tc>
        <w:tc>
          <w:tcPr>
            <w:tcW w:w="2268" w:type="dxa"/>
          </w:tcPr>
          <w:p>
            <w:pPr>
              <w:pStyle w:val="nzTable"/>
            </w:pPr>
            <w:r>
              <w:t>219</w:t>
            </w:r>
          </w:p>
        </w:tc>
      </w:tr>
      <w:tr>
        <w:trPr>
          <w:cantSplit/>
          <w:jc w:val="center"/>
        </w:trPr>
        <w:tc>
          <w:tcPr>
            <w:tcW w:w="2268" w:type="dxa"/>
          </w:tcPr>
          <w:p>
            <w:pPr>
              <w:pStyle w:val="nzTable"/>
            </w:pPr>
            <w:r>
              <w:t>Sch. 3 it. 14</w:t>
            </w:r>
          </w:p>
        </w:tc>
        <w:tc>
          <w:tcPr>
            <w:tcW w:w="2268" w:type="dxa"/>
          </w:tcPr>
          <w:p>
            <w:pPr>
              <w:pStyle w:val="nzTable"/>
            </w:pPr>
            <w:r>
              <w:t>70</w:t>
            </w:r>
          </w:p>
        </w:tc>
        <w:tc>
          <w:tcPr>
            <w:tcW w:w="2268" w:type="dxa"/>
          </w:tcPr>
          <w:p>
            <w:pPr>
              <w:pStyle w:val="nzTable"/>
            </w:pPr>
            <w:r>
              <w:t>71</w:t>
            </w:r>
          </w:p>
        </w:tc>
      </w:tr>
      <w:tr>
        <w:trPr>
          <w:cantSplit/>
          <w:jc w:val="center"/>
        </w:trPr>
        <w:tc>
          <w:tcPr>
            <w:tcW w:w="2268" w:type="dxa"/>
          </w:tcPr>
          <w:p>
            <w:pPr>
              <w:pStyle w:val="nzTable"/>
            </w:pPr>
            <w:r>
              <w:t>Sch. 3 it. 15(a)</w:t>
            </w:r>
          </w:p>
        </w:tc>
        <w:tc>
          <w:tcPr>
            <w:tcW w:w="2268" w:type="dxa"/>
          </w:tcPr>
          <w:p>
            <w:pPr>
              <w:pStyle w:val="nzTable"/>
            </w:pPr>
            <w:r>
              <w:t>221</w:t>
            </w:r>
          </w:p>
        </w:tc>
        <w:tc>
          <w:tcPr>
            <w:tcW w:w="2268" w:type="dxa"/>
          </w:tcPr>
          <w:p>
            <w:pPr>
              <w:pStyle w:val="nzTable"/>
            </w:pPr>
            <w:r>
              <w:t>225</w:t>
            </w:r>
          </w:p>
        </w:tc>
      </w:tr>
      <w:tr>
        <w:trPr>
          <w:cantSplit/>
          <w:jc w:val="center"/>
        </w:trPr>
        <w:tc>
          <w:tcPr>
            <w:tcW w:w="2268" w:type="dxa"/>
          </w:tcPr>
          <w:p>
            <w:pPr>
              <w:pStyle w:val="nzTable"/>
            </w:pPr>
            <w:r>
              <w:t>Sch. 3 it. 15(b)(i)</w:t>
            </w:r>
          </w:p>
        </w:tc>
        <w:tc>
          <w:tcPr>
            <w:tcW w:w="2268" w:type="dxa"/>
          </w:tcPr>
          <w:p>
            <w:pPr>
              <w:pStyle w:val="nzTable"/>
            </w:pPr>
            <w:r>
              <w:t>103</w:t>
            </w:r>
          </w:p>
        </w:tc>
        <w:tc>
          <w:tcPr>
            <w:tcW w:w="2268" w:type="dxa"/>
          </w:tcPr>
          <w:p>
            <w:pPr>
              <w:pStyle w:val="nzTable"/>
            </w:pPr>
            <w:r>
              <w:t>105</w:t>
            </w:r>
          </w:p>
        </w:tc>
      </w:tr>
      <w:tr>
        <w:trPr>
          <w:cantSplit/>
          <w:jc w:val="center"/>
        </w:trPr>
        <w:tc>
          <w:tcPr>
            <w:tcW w:w="2268" w:type="dxa"/>
          </w:tcPr>
          <w:p>
            <w:pPr>
              <w:pStyle w:val="nzTable"/>
            </w:pPr>
            <w:r>
              <w:t>Sch. 3 it. 15(b)(ii)</w:t>
            </w:r>
          </w:p>
        </w:tc>
        <w:tc>
          <w:tcPr>
            <w:tcW w:w="2268" w:type="dxa"/>
          </w:tcPr>
          <w:p>
            <w:pPr>
              <w:pStyle w:val="nzTable"/>
            </w:pPr>
            <w:r>
              <w:t>210</w:t>
            </w:r>
          </w:p>
        </w:tc>
        <w:tc>
          <w:tcPr>
            <w:tcW w:w="2268" w:type="dxa"/>
          </w:tcPr>
          <w:p>
            <w:pPr>
              <w:pStyle w:val="nzTable"/>
            </w:pPr>
            <w:r>
              <w:t>214</w:t>
            </w:r>
          </w:p>
        </w:tc>
      </w:tr>
      <w:tr>
        <w:trPr>
          <w:cantSplit/>
          <w:jc w:val="center"/>
        </w:trPr>
        <w:tc>
          <w:tcPr>
            <w:tcW w:w="2268" w:type="dxa"/>
          </w:tcPr>
          <w:p>
            <w:pPr>
              <w:pStyle w:val="nzTable"/>
            </w:pPr>
            <w:r>
              <w:t>Sch. 3 it. 15(b)(iii)</w:t>
            </w:r>
          </w:p>
        </w:tc>
        <w:tc>
          <w:tcPr>
            <w:tcW w:w="2268" w:type="dxa"/>
          </w:tcPr>
          <w:p>
            <w:pPr>
              <w:pStyle w:val="nzTable"/>
            </w:pPr>
            <w:r>
              <w:t>1 050</w:t>
            </w:r>
          </w:p>
        </w:tc>
        <w:tc>
          <w:tcPr>
            <w:tcW w:w="2268" w:type="dxa"/>
          </w:tcPr>
          <w:p>
            <w:pPr>
              <w:pStyle w:val="nzTable"/>
            </w:pPr>
            <w:r>
              <w:t>1 071</w:t>
            </w:r>
          </w:p>
        </w:tc>
      </w:tr>
      <w:tr>
        <w:trPr>
          <w:cantSplit/>
          <w:jc w:val="center"/>
        </w:trPr>
        <w:tc>
          <w:tcPr>
            <w:tcW w:w="2268" w:type="dxa"/>
          </w:tcPr>
          <w:p>
            <w:pPr>
              <w:pStyle w:val="nzTable"/>
            </w:pPr>
            <w:r>
              <w:t>Sch. 3 it. 15(b)(iv)</w:t>
            </w:r>
          </w:p>
        </w:tc>
        <w:tc>
          <w:tcPr>
            <w:tcW w:w="2268" w:type="dxa"/>
          </w:tcPr>
          <w:p>
            <w:pPr>
              <w:pStyle w:val="nzTable"/>
            </w:pPr>
            <w:r>
              <w:t>2 100</w:t>
            </w:r>
          </w:p>
        </w:tc>
        <w:tc>
          <w:tcPr>
            <w:tcW w:w="2268" w:type="dxa"/>
          </w:tcPr>
          <w:p>
            <w:pPr>
              <w:pStyle w:val="nzTable"/>
            </w:pPr>
            <w:r>
              <w:t>2 142</w:t>
            </w:r>
          </w:p>
        </w:tc>
      </w:tr>
      <w:tr>
        <w:trPr>
          <w:cantSplit/>
          <w:jc w:val="center"/>
        </w:trPr>
        <w:tc>
          <w:tcPr>
            <w:tcW w:w="2268" w:type="dxa"/>
          </w:tcPr>
          <w:p>
            <w:pPr>
              <w:pStyle w:val="nzTable"/>
            </w:pPr>
            <w:r>
              <w:t>Sch. 3 it. 15(b)(v)</w:t>
            </w:r>
          </w:p>
        </w:tc>
        <w:tc>
          <w:tcPr>
            <w:tcW w:w="2268" w:type="dxa"/>
          </w:tcPr>
          <w:p>
            <w:pPr>
              <w:pStyle w:val="nzTable"/>
            </w:pPr>
            <w:r>
              <w:t>4 205</w:t>
            </w:r>
          </w:p>
        </w:tc>
        <w:tc>
          <w:tcPr>
            <w:tcW w:w="2268" w:type="dxa"/>
          </w:tcPr>
          <w:p>
            <w:pPr>
              <w:pStyle w:val="nzTable"/>
            </w:pPr>
            <w:r>
              <w:t>4 290</w:t>
            </w:r>
          </w:p>
        </w:tc>
      </w:tr>
      <w:tr>
        <w:trPr>
          <w:cantSplit/>
          <w:jc w:val="center"/>
        </w:trPr>
        <w:tc>
          <w:tcPr>
            <w:tcW w:w="2268" w:type="dxa"/>
          </w:tcPr>
          <w:p>
            <w:pPr>
              <w:pStyle w:val="nzTable"/>
            </w:pPr>
            <w:r>
              <w:t>Sch. 3 it. 17</w:t>
            </w:r>
          </w:p>
        </w:tc>
        <w:tc>
          <w:tcPr>
            <w:tcW w:w="2268" w:type="dxa"/>
          </w:tcPr>
          <w:p>
            <w:pPr>
              <w:pStyle w:val="nzTable"/>
            </w:pPr>
            <w:r>
              <w:t>257</w:t>
            </w:r>
          </w:p>
        </w:tc>
        <w:tc>
          <w:tcPr>
            <w:tcW w:w="2268" w:type="dxa"/>
          </w:tcPr>
          <w:p>
            <w:pPr>
              <w:pStyle w:val="nzTable"/>
            </w:pPr>
            <w:r>
              <w:t>262</w:t>
            </w:r>
          </w:p>
        </w:tc>
      </w:tr>
      <w:tr>
        <w:trPr>
          <w:cantSplit/>
          <w:jc w:val="center"/>
        </w:trPr>
        <w:tc>
          <w:tcPr>
            <w:tcW w:w="2268" w:type="dxa"/>
          </w:tcPr>
          <w:p>
            <w:pPr>
              <w:pStyle w:val="nzTable"/>
            </w:pPr>
            <w:r>
              <w:t>Sch. 3 it. 18</w:t>
            </w:r>
          </w:p>
        </w:tc>
        <w:tc>
          <w:tcPr>
            <w:tcW w:w="2268" w:type="dxa"/>
          </w:tcPr>
          <w:p>
            <w:pPr>
              <w:pStyle w:val="nzTable"/>
            </w:pPr>
            <w:r>
              <w:t>215</w:t>
            </w:r>
          </w:p>
        </w:tc>
        <w:tc>
          <w:tcPr>
            <w:tcW w:w="2268" w:type="dxa"/>
          </w:tcPr>
          <w:p>
            <w:pPr>
              <w:pStyle w:val="nzTable"/>
            </w:pPr>
            <w:r>
              <w:t>219</w:t>
            </w:r>
          </w:p>
        </w:tc>
      </w:tr>
      <w:tr>
        <w:trPr>
          <w:cantSplit/>
          <w:jc w:val="center"/>
        </w:trPr>
        <w:tc>
          <w:tcPr>
            <w:tcW w:w="2268" w:type="dxa"/>
          </w:tcPr>
          <w:p>
            <w:pPr>
              <w:pStyle w:val="nzTable"/>
            </w:pPr>
            <w:r>
              <w:t>Sch. 3 it. 18</w:t>
            </w:r>
          </w:p>
        </w:tc>
        <w:tc>
          <w:tcPr>
            <w:tcW w:w="2268" w:type="dxa"/>
          </w:tcPr>
          <w:p>
            <w:pPr>
              <w:pStyle w:val="nzTable"/>
            </w:pPr>
            <w:r>
              <w:t>140</w:t>
            </w:r>
          </w:p>
        </w:tc>
        <w:tc>
          <w:tcPr>
            <w:tcW w:w="2268" w:type="dxa"/>
          </w:tcPr>
          <w:p>
            <w:pPr>
              <w:pStyle w:val="nzTable"/>
            </w:pPr>
            <w:r>
              <w:t>142</w:t>
            </w:r>
          </w:p>
        </w:tc>
      </w:tr>
      <w:tr>
        <w:trPr>
          <w:cantSplit/>
          <w:jc w:val="center"/>
        </w:trPr>
        <w:tc>
          <w:tcPr>
            <w:tcW w:w="2268" w:type="dxa"/>
          </w:tcPr>
          <w:p>
            <w:pPr>
              <w:pStyle w:val="nzTable"/>
            </w:pPr>
            <w:r>
              <w:t>Sch. 3 it. 19A</w:t>
            </w:r>
          </w:p>
        </w:tc>
        <w:tc>
          <w:tcPr>
            <w:tcW w:w="2268" w:type="dxa"/>
          </w:tcPr>
          <w:p>
            <w:pPr>
              <w:pStyle w:val="nzTable"/>
            </w:pPr>
            <w:r>
              <w:t>228</w:t>
            </w:r>
          </w:p>
        </w:tc>
        <w:tc>
          <w:tcPr>
            <w:tcW w:w="2268" w:type="dxa"/>
          </w:tcPr>
          <w:p>
            <w:pPr>
              <w:pStyle w:val="nzTable"/>
            </w:pPr>
            <w:r>
              <w:t>230</w:t>
            </w:r>
          </w:p>
        </w:tc>
      </w:tr>
      <w:tr>
        <w:trPr>
          <w:cantSplit/>
          <w:jc w:val="center"/>
        </w:trPr>
        <w:tc>
          <w:tcPr>
            <w:tcW w:w="2268" w:type="dxa"/>
          </w:tcPr>
          <w:p>
            <w:pPr>
              <w:pStyle w:val="nzTable"/>
            </w:pPr>
            <w:r>
              <w:t>Sch. 3 it. 19B</w:t>
            </w:r>
          </w:p>
        </w:tc>
        <w:tc>
          <w:tcPr>
            <w:tcW w:w="2268" w:type="dxa"/>
          </w:tcPr>
          <w:p>
            <w:pPr>
              <w:pStyle w:val="nzTable"/>
            </w:pPr>
            <w:r>
              <w:t>205</w:t>
            </w:r>
          </w:p>
        </w:tc>
        <w:tc>
          <w:tcPr>
            <w:tcW w:w="2268" w:type="dxa"/>
          </w:tcPr>
          <w:p>
            <w:pPr>
              <w:pStyle w:val="nzTable"/>
            </w:pPr>
            <w:r>
              <w:t>209</w:t>
            </w:r>
          </w:p>
        </w:tc>
      </w:tr>
      <w:tr>
        <w:trPr>
          <w:cantSplit/>
          <w:jc w:val="center"/>
        </w:trPr>
        <w:tc>
          <w:tcPr>
            <w:tcW w:w="2268" w:type="dxa"/>
          </w:tcPr>
          <w:p>
            <w:pPr>
              <w:pStyle w:val="nzTable"/>
            </w:pPr>
            <w:r>
              <w:t>Sch. 3 it. 19</w:t>
            </w:r>
          </w:p>
        </w:tc>
        <w:tc>
          <w:tcPr>
            <w:tcW w:w="2268" w:type="dxa"/>
          </w:tcPr>
          <w:p>
            <w:pPr>
              <w:pStyle w:val="nzTable"/>
            </w:pPr>
            <w:r>
              <w:t>61</w:t>
            </w:r>
          </w:p>
        </w:tc>
        <w:tc>
          <w:tcPr>
            <w:tcW w:w="2268" w:type="dxa"/>
          </w:tcPr>
          <w:p>
            <w:pPr>
              <w:pStyle w:val="nzTable"/>
            </w:pPr>
            <w:r>
              <w:t>62</w:t>
            </w:r>
          </w:p>
        </w:tc>
      </w:tr>
      <w:tr>
        <w:trPr>
          <w:cantSplit/>
          <w:jc w:val="center"/>
        </w:trPr>
        <w:tc>
          <w:tcPr>
            <w:tcW w:w="2268" w:type="dxa"/>
          </w:tcPr>
          <w:p>
            <w:pPr>
              <w:pStyle w:val="nzTable"/>
            </w:pPr>
            <w:r>
              <w:t>Sch. 3 it. 22</w:t>
            </w:r>
          </w:p>
        </w:tc>
        <w:tc>
          <w:tcPr>
            <w:tcW w:w="2268" w:type="dxa"/>
          </w:tcPr>
          <w:p>
            <w:pPr>
              <w:pStyle w:val="nzTable"/>
            </w:pPr>
            <w:r>
              <w:t>55</w:t>
            </w:r>
          </w:p>
        </w:tc>
        <w:tc>
          <w:tcPr>
            <w:tcW w:w="2268" w:type="dxa"/>
          </w:tcPr>
          <w:p>
            <w:pPr>
              <w:pStyle w:val="nzTable"/>
            </w:pPr>
            <w:r>
              <w:t>56</w:t>
            </w:r>
          </w:p>
        </w:tc>
      </w:tr>
    </w:tbl>
    <w:p>
      <w:pPr>
        <w:pStyle w:val="BlankClose"/>
      </w:pPr>
    </w:p>
    <w:p/>
    <w:p/>
    <w:p>
      <w:pPr>
        <w:sectPr>
          <w:headerReference w:type="even" r:id="rId36"/>
          <w:headerReference w:type="default" r:id="rId37"/>
          <w:headerReference w:type="first" r:id="rId38"/>
          <w:pgSz w:w="11906" w:h="16838" w:code="9"/>
          <w:pgMar w:top="2376" w:right="2404" w:bottom="3544" w:left="2404" w:header="720" w:footer="3379" w:gutter="0"/>
          <w:cols w:space="720"/>
          <w:noEndnote/>
          <w:docGrid w:linePitch="326"/>
        </w:sectPr>
      </w:pPr>
    </w:p>
    <w:p>
      <w:pPr>
        <w:pStyle w:val="nHeading2"/>
        <w:rPr>
          <w:sz w:val="28"/>
        </w:rPr>
      </w:pPr>
      <w:bookmarkStart w:id="95" w:name="_Toc367366835"/>
      <w:bookmarkStart w:id="96" w:name="_Toc371600501"/>
      <w:r>
        <w:rPr>
          <w:sz w:val="28"/>
        </w:rPr>
        <w:t>Defined terms</w:t>
      </w:r>
      <w:bookmarkEnd w:id="95"/>
      <w:bookmarkEnd w:id="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7" w:name="DefinedTerms"/>
      <w:bookmarkEnd w:id="97"/>
      <w:r>
        <w:t>accredited higher education course</w:t>
      </w:r>
      <w:r>
        <w:tab/>
        <w:t>18F(1)</w:t>
      </w:r>
    </w:p>
    <w:p>
      <w:pPr>
        <w:pStyle w:val="DefinedTerms"/>
      </w:pPr>
      <w:r>
        <w:t>aged person</w:t>
      </w:r>
      <w:r>
        <w:tab/>
        <w:t>8(2)</w:t>
      </w:r>
    </w:p>
    <w:p>
      <w:pPr>
        <w:pStyle w:val="DefinedTerms"/>
      </w:pPr>
      <w:r>
        <w:t>agricultural region</w:t>
      </w:r>
      <w:r>
        <w:tab/>
        <w:t>8D(1)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 xml:space="preserve">approval application </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 xml:space="preserve"> 14ADG(1)</w:t>
      </w:r>
    </w:p>
    <w:p>
      <w:pPr>
        <w:pStyle w:val="DefinedTerms"/>
      </w:pPr>
      <w:r>
        <w:t>commercial vessel</w:t>
      </w:r>
      <w:r>
        <w:tab/>
        <w:t>8(3)</w:t>
      </w:r>
    </w:p>
    <w:p>
      <w:pPr>
        <w:pStyle w:val="DefinedTerms"/>
      </w:pPr>
      <w:r>
        <w:t>country charter vehicle</w:t>
      </w:r>
      <w:r>
        <w:tab/>
        <w:t>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8A(3)</w:t>
      </w:r>
    </w:p>
    <w:p>
      <w:pPr>
        <w:pStyle w:val="DefinedTerms"/>
      </w:pPr>
      <w:r>
        <w:t>disabled person</w:t>
      </w:r>
      <w:r>
        <w:tab/>
        <w:t>8(2)</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w:t>
      </w:r>
      <w:r>
        <w:noBreakHyphen/>
        <w:t>State voyage</w:t>
      </w:r>
      <w:r>
        <w:tab/>
        <w:t>8(3)</w:t>
      </w:r>
    </w:p>
    <w:p>
      <w:pPr>
        <w:pStyle w:val="DefinedTerms"/>
      </w:pPr>
      <w:r>
        <w:t>live entertainment</w:t>
      </w:r>
      <w:r>
        <w:tab/>
        <w:t>8A(1)</w:t>
      </w:r>
    </w:p>
    <w:p>
      <w:pPr>
        <w:pStyle w:val="DefinedTerms"/>
      </w:pPr>
      <w:r>
        <w:t>lodgment fee</w:t>
      </w:r>
      <w:r>
        <w:tab/>
        <w:t>26(4)(b)</w:t>
      </w:r>
    </w:p>
    <w:p>
      <w:pPr>
        <w:pStyle w:val="DefinedTerms"/>
      </w:pPr>
      <w:r>
        <w:t>lodgment period</w:t>
      </w:r>
      <w:r>
        <w:tab/>
        <w:t>26(4)(a)</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prescribed permit</w:t>
      </w:r>
      <w:r>
        <w:tab/>
        <w:t>14AC(1)</w:t>
      </w:r>
    </w:p>
    <w:p>
      <w:pPr>
        <w:pStyle w:val="DefinedTerms"/>
      </w:pPr>
      <w:r>
        <w:t>primary production</w:t>
      </w:r>
      <w:r>
        <w:tab/>
        <w:t>8D(1)</w:t>
      </w:r>
    </w:p>
    <w:p>
      <w:pPr>
        <w:pStyle w:val="DefinedTerms"/>
      </w:pPr>
      <w:r>
        <w:t>producer</w:t>
      </w:r>
      <w:r>
        <w:tab/>
        <w:t>3A(1)</w:t>
      </w:r>
    </w:p>
    <w:p>
      <w:pPr>
        <w:pStyle w:val="DefinedTerms"/>
      </w:pPr>
      <w:r>
        <w:t>producers’ association</w:t>
      </w:r>
      <w:r>
        <w:tab/>
        <w:t>8D(1)</w:t>
      </w:r>
    </w:p>
    <w:p>
      <w:pPr>
        <w:pStyle w:val="DefinedTerms"/>
      </w:pPr>
      <w:r>
        <w:t>purchase</w:t>
      </w:r>
      <w:r>
        <w:tab/>
        <w:t>5(2)(b)</w:t>
      </w:r>
    </w:p>
    <w:p>
      <w:pPr>
        <w:pStyle w:val="DefinedTerms"/>
      </w:pPr>
      <w:r>
        <w:t>relevant body corporate</w:t>
      </w:r>
      <w:r>
        <w:tab/>
        <w:t>5B(2), (3) and (4)(a)</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school</w:t>
      </w:r>
      <w:r>
        <w:tab/>
        <w:t>8F(1)</w:t>
      </w:r>
    </w:p>
    <w:p>
      <w:pPr>
        <w:pStyle w:val="DefinedTerms"/>
      </w:pPr>
      <w:r>
        <w:t>small charter vehicle</w:t>
      </w:r>
      <w:r>
        <w:tab/>
        <w:t>8F(1)</w:t>
      </w:r>
    </w:p>
    <w:p>
      <w:pPr>
        <w:pStyle w:val="DefinedTerms"/>
      </w:pPr>
      <w:r>
        <w:t>special event</w:t>
      </w:r>
      <w:r>
        <w:tab/>
        <w:t>9A(10e)</w:t>
      </w:r>
    </w:p>
    <w:p>
      <w:pPr>
        <w:pStyle w:val="DefinedTerms"/>
      </w:pPr>
      <w:r>
        <w:t>specified</w:t>
      </w:r>
      <w:r>
        <w:tab/>
        <w:t>9A(3)</w:t>
      </w:r>
    </w:p>
    <w:p>
      <w:pPr>
        <w:pStyle w:val="DefinedTerms"/>
      </w:pPr>
      <w:r>
        <w:t>standard drink</w:t>
      </w:r>
      <w:r>
        <w:tab/>
        <w:t>8C(1)</w:t>
      </w:r>
    </w:p>
    <w:p>
      <w:pPr>
        <w:pStyle w:val="DefinedTerms"/>
      </w:pPr>
      <w:r>
        <w:t>tax period</w:t>
      </w:r>
      <w:r>
        <w:tab/>
        <w:t>3A(1)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60"/>
      <w:gridCol w:w="1494"/>
    </w:tblGrid>
    <w:tr>
      <w:trPr>
        <w:cantSplit/>
      </w:trPr>
      <w:tc>
        <w:tcPr>
          <w:tcW w:w="7254" w:type="dxa"/>
          <w:gridSpan w:val="2"/>
        </w:tcPr>
        <w:p>
          <w:pPr>
            <w:pStyle w:val="HeaderActNameRight"/>
          </w:pPr>
          <w:fldSimple w:instr=" Styleref &quot;Name of Act/Reg&quot; ">
            <w:r>
              <w:rPr>
                <w:noProof/>
              </w:rPr>
              <w:t>Liquor Control Regulations 1989</w:t>
            </w:r>
          </w:fldSimple>
        </w:p>
      </w:tc>
    </w:tr>
    <w:tr>
      <w:tc>
        <w:tcPr>
          <w:tcW w:w="5760" w:type="dxa"/>
        </w:tcPr>
        <w:p>
          <w:pPr>
            <w:pStyle w:val="HeaderTextRight"/>
          </w:pPr>
        </w:p>
      </w:tc>
      <w:tc>
        <w:tcPr>
          <w:tcW w:w="1494" w:type="dxa"/>
        </w:tcPr>
        <w:p>
          <w:pPr>
            <w:pStyle w:val="HeaderNumberRight"/>
          </w:pPr>
        </w:p>
      </w:tc>
    </w:tr>
    <w:tr>
      <w:tc>
        <w:tcPr>
          <w:tcW w:w="5760" w:type="dxa"/>
        </w:tcPr>
        <w:p>
          <w:pPr>
            <w:pStyle w:val="HeaderTextRight"/>
          </w:pPr>
        </w:p>
      </w:tc>
      <w:tc>
        <w:tcPr>
          <w:tcW w:w="1494" w:type="dxa"/>
        </w:tcPr>
        <w:p>
          <w:pPr>
            <w:pStyle w:val="HeaderNumberRight"/>
          </w:pPr>
        </w:p>
      </w:tc>
    </w:tr>
    <w:tr>
      <w:trPr>
        <w:cantSplit/>
      </w:trPr>
      <w:tc>
        <w:tcPr>
          <w:tcW w:w="7254"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2.xml"/><Relationship Id="rId42"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image" Target="media/image4.png"/><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3.wmf"/><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6DDA3-0BA0-46F9-8A46-974F60B3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25610</Words>
  <Characters>122420</Characters>
  <Application>Microsoft Office Word</Application>
  <DocSecurity>0</DocSecurity>
  <Lines>4372</Lines>
  <Paragraphs>2741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1989 - 11-h0-00</dc:title>
  <dc:subject/>
  <dc:creator/>
  <cp:keywords/>
  <dc:description/>
  <cp:lastModifiedBy>svcMRProcess</cp:lastModifiedBy>
  <cp:revision>4</cp:revision>
  <cp:lastPrinted>2013-01-22T02:27:00Z</cp:lastPrinted>
  <dcterms:created xsi:type="dcterms:W3CDTF">2020-02-26T15:01:00Z</dcterms:created>
  <dcterms:modified xsi:type="dcterms:W3CDTF">2020-02-26T15:01:00Z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20131108</vt:lpwstr>
  </property>
  <property fmtid="{D5CDD505-2E9C-101B-9397-08002B2CF9AE}" pid="4" name="DocumentType">
    <vt:lpwstr>Reg</vt:lpwstr>
  </property>
  <property fmtid="{D5CDD505-2E9C-101B-9397-08002B2CF9AE}" pid="5" name="OwlsUID">
    <vt:i4>4569</vt:i4>
  </property>
  <property fmtid="{D5CDD505-2E9C-101B-9397-08002B2CF9AE}" pid="6" name="AsAtDate">
    <vt:lpwstr>08 Nov 2013</vt:lpwstr>
  </property>
  <property fmtid="{D5CDD505-2E9C-101B-9397-08002B2CF9AE}" pid="7" name="Suffix">
    <vt:lpwstr>11-h0-00</vt:lpwstr>
  </property>
  <property fmtid="{D5CDD505-2E9C-101B-9397-08002B2CF9AE}" pid="8" name="ReprintNo">
    <vt:lpwstr>11</vt:lpwstr>
  </property>
  <property fmtid="{D5CDD505-2E9C-101B-9397-08002B2CF9AE}" pid="9" name="ReprintedAsAt">
    <vt:filetime>2013-01-10T16:00:00Z</vt:filetime>
  </property>
</Properties>
</file>