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_Toc371601159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_Toc371601160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Notice of appeal</w:t>
      </w:r>
      <w:r>
        <w:tab/>
      </w:r>
      <w:r>
        <w:fldChar w:fldCharType="begin"/>
      </w:r>
      <w:r>
        <w:instrText xml:space="preserve"> PAGEREF _Toc371601161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Fees in relation to appeals</w:t>
      </w:r>
      <w:r>
        <w:tab/>
      </w:r>
      <w:r>
        <w:fldChar w:fldCharType="begin"/>
      </w:r>
      <w:r>
        <w:instrText xml:space="preserve"> PAGEREF _Toc371601162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Notice of representation</w:t>
      </w:r>
      <w:r>
        <w:tab/>
      </w:r>
      <w:r>
        <w:fldChar w:fldCharType="begin"/>
      </w:r>
      <w:r>
        <w:instrText xml:space="preserve"> PAGEREF _Toc371601163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_Toc371601164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Fee for transcripts</w:t>
      </w:r>
      <w:r>
        <w:tab/>
      </w:r>
      <w:r>
        <w:fldChar w:fldCharType="begin"/>
      </w:r>
      <w:r>
        <w:instrText xml:space="preserve"> PAGEREF _Toc371601165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Duties of Registrar</w:t>
      </w:r>
      <w:r>
        <w:tab/>
      </w:r>
      <w:r>
        <w:fldChar w:fldCharType="begin"/>
      </w:r>
      <w:r>
        <w:instrText xml:space="preserve"> PAGEREF _Toc371601166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in which Chairperson or member alone may act</w:t>
      </w:r>
      <w:r>
        <w:tab/>
      </w:r>
      <w:r>
        <w:fldChar w:fldCharType="begin"/>
      </w:r>
      <w:r>
        <w:instrText xml:space="preserve"> PAGEREF _Toc371601167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_Toc371601170 \h </w:instrText>
      </w:r>
      <w:r>
        <w:fldChar w:fldCharType="separate"/>
      </w:r>
      <w:r>
        <w:t>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_Toc371601171 \h </w:instrText>
      </w:r>
      <w:r>
        <w:fldChar w:fldCharType="separate"/>
      </w:r>
      <w:r>
        <w:t>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371601159"/>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371601160"/>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371601161"/>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371601162"/>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$143; and</w:t>
      </w:r>
    </w:p>
    <w:p>
      <w:pPr>
        <w:pStyle w:val="Indenta"/>
        <w:rPr>
          <w:snapToGrid w:val="0"/>
        </w:rPr>
      </w:pPr>
      <w:r>
        <w:rPr>
          <w:snapToGrid w:val="0"/>
        </w:rPr>
        <w:tab/>
        <w:t>(b)</w:t>
      </w:r>
      <w:r>
        <w:rPr>
          <w:snapToGrid w:val="0"/>
        </w:rPr>
        <w:tab/>
        <w:t>for all other appeals, $349.</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$143; and</w:t>
      </w:r>
    </w:p>
    <w:p>
      <w:pPr>
        <w:pStyle w:val="Indenti"/>
        <w:rPr>
          <w:snapToGrid w:val="0"/>
        </w:rPr>
      </w:pPr>
      <w:r>
        <w:rPr>
          <w:snapToGrid w:val="0"/>
        </w:rPr>
        <w:tab/>
        <w:t>(ii)</w:t>
      </w:r>
      <w:r>
        <w:rPr>
          <w:snapToGrid w:val="0"/>
        </w:rPr>
        <w:tab/>
        <w:t>for all other appeals, $349;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$71.</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 16 Nov 2012 p. 5657.]</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371601163"/>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371601164"/>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371601165"/>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371601166"/>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371601167"/>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bookmarkStart w:id="83" w:name="_Toc281464932"/>
      <w:bookmarkStart w:id="84" w:name="_Toc308164516"/>
      <w:bookmarkStart w:id="85" w:name="_Toc312914131"/>
      <w:bookmarkStart w:id="86" w:name="_Toc340829806"/>
      <w:bookmarkStart w:id="87" w:name="_Toc343612801"/>
      <w:bookmarkStart w:id="88" w:name="_Toc371601168"/>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9" w:name="_Toc116989864"/>
      <w:bookmarkStart w:id="90" w:name="_Toc117047325"/>
      <w:bookmarkStart w:id="91" w:name="_Toc117047458"/>
      <w:bookmarkStart w:id="92" w:name="_Toc117047489"/>
      <w:bookmarkStart w:id="93" w:name="_Toc124142554"/>
      <w:bookmarkStart w:id="94" w:name="_Toc124142597"/>
      <w:bookmarkStart w:id="95" w:name="_Toc151199063"/>
      <w:bookmarkStart w:id="96" w:name="_Toc151261280"/>
      <w:bookmarkStart w:id="97" w:name="_Toc155067341"/>
      <w:bookmarkStart w:id="98" w:name="_Toc155085599"/>
      <w:bookmarkStart w:id="99" w:name="_Toc179691880"/>
      <w:bookmarkStart w:id="100" w:name="_Toc179709282"/>
      <w:bookmarkStart w:id="101" w:name="_Toc185654868"/>
      <w:bookmarkStart w:id="102" w:name="_Toc189539534"/>
      <w:bookmarkStart w:id="103" w:name="_Toc189540557"/>
      <w:bookmarkStart w:id="104" w:name="_Toc192561799"/>
      <w:bookmarkStart w:id="105" w:name="_Toc194915965"/>
      <w:bookmarkStart w:id="106" w:name="_Toc212947215"/>
      <w:bookmarkStart w:id="107" w:name="_Toc212947228"/>
      <w:bookmarkStart w:id="108" w:name="_Toc244662615"/>
      <w:bookmarkStart w:id="109" w:name="_Toc244662628"/>
      <w:bookmarkStart w:id="110" w:name="_Toc249257998"/>
      <w:bookmarkStart w:id="111" w:name="_Toc281464933"/>
      <w:bookmarkStart w:id="112" w:name="_Toc308164517"/>
      <w:bookmarkStart w:id="113" w:name="_Toc312914132"/>
      <w:bookmarkStart w:id="114" w:name="_Toc340829807"/>
      <w:bookmarkStart w:id="115" w:name="_Toc343612802"/>
      <w:bookmarkStart w:id="116" w:name="_Toc371601169"/>
      <w:r>
        <w:t>Notes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7" w:name="_Toc371601170"/>
      <w:r>
        <w:t>Compilation table</w:t>
      </w:r>
      <w:bookmarkEnd w:id="117"/>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Racing Penalties (Appeals) Amendment Regulations 2012</w:t>
            </w:r>
          </w:p>
        </w:tc>
        <w:tc>
          <w:tcPr>
            <w:tcW w:w="1276" w:type="dxa"/>
            <w:gridSpan w:val="2"/>
            <w:tcBorders>
              <w:bottom w:val="single" w:sz="4" w:space="0" w:color="auto"/>
            </w:tcBorders>
          </w:tcPr>
          <w:p>
            <w:pPr>
              <w:pStyle w:val="nTable"/>
              <w:spacing w:after="40"/>
              <w:rPr>
                <w:sz w:val="19"/>
              </w:rPr>
            </w:pPr>
            <w:r>
              <w:rPr>
                <w:sz w:val="19"/>
              </w:rPr>
              <w:t>16 Nov 2012 p. 5656-7</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371601171"/>
      <w:r>
        <w:t>Provisions that have not come into operation</w:t>
      </w:r>
      <w:bookmarkEnd w:id="1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szCs w:val="19"/>
                <w:vertAlign w:val="superscript"/>
              </w:rPr>
            </w:pPr>
            <w:r>
              <w:rPr>
                <w:i/>
                <w:sz w:val="19"/>
                <w:szCs w:val="19"/>
              </w:rPr>
              <w:t>Racing Penalties (Appeals) Amendment Regulations 2013</w:t>
            </w:r>
            <w:r>
              <w:rPr>
                <w:sz w:val="19"/>
                <w:szCs w:val="19"/>
              </w:rPr>
              <w:t xml:space="preserve"> r. 3 and 4 </w:t>
            </w:r>
            <w:r>
              <w:rPr>
                <w:sz w:val="19"/>
                <w:szCs w:val="19"/>
                <w:vertAlign w:val="superscript"/>
              </w:rPr>
              <w:t>2</w:t>
            </w:r>
          </w:p>
        </w:tc>
        <w:tc>
          <w:tcPr>
            <w:tcW w:w="1276" w:type="dxa"/>
          </w:tcPr>
          <w:p>
            <w:pPr>
              <w:pStyle w:val="nTable"/>
              <w:spacing w:after="40"/>
              <w:rPr>
                <w:sz w:val="19"/>
                <w:szCs w:val="19"/>
              </w:rPr>
            </w:pPr>
            <w:r>
              <w:rPr>
                <w:sz w:val="19"/>
                <w:szCs w:val="19"/>
              </w:rPr>
              <w:t>8 Nov 2013 p. 4981</w:t>
            </w:r>
            <w:r>
              <w:rPr>
                <w:sz w:val="19"/>
                <w:szCs w:val="19"/>
              </w:rPr>
              <w:noBreakHyphen/>
              <w:t>2</w:t>
            </w:r>
          </w:p>
        </w:tc>
        <w:tc>
          <w:tcPr>
            <w:tcW w:w="2693" w:type="dxa"/>
          </w:tcPr>
          <w:p>
            <w:pPr>
              <w:pStyle w:val="nTable"/>
              <w:spacing w:after="40"/>
              <w:rPr>
                <w:sz w:val="19"/>
                <w:szCs w:val="19"/>
              </w:rPr>
            </w:pPr>
            <w:r>
              <w:rPr>
                <w:sz w:val="19"/>
                <w:szCs w:val="19"/>
              </w:rPr>
              <w:t>1 Jan 2014 (see. s. 2(b))</w:t>
            </w:r>
          </w:p>
        </w:tc>
      </w:tr>
    </w:tbl>
    <w:p/>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Racing Penalties (Appeals) Amendment Regulations 2013</w:t>
      </w:r>
      <w:r>
        <w:t xml:space="preserve"> r. 3 and 4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Racing Penalties (Appeals) Regulations 1991</w:t>
      </w:r>
      <w:r>
        <w:t>.</w:t>
      </w:r>
    </w:p>
    <w:p>
      <w:pPr>
        <w:pStyle w:val="nzHeading5"/>
      </w:pPr>
      <w:r>
        <w:rPr>
          <w:rStyle w:val="CharSectno"/>
        </w:rPr>
        <w:t>4</w:t>
      </w:r>
      <w:r>
        <w:t>.</w:t>
      </w:r>
      <w:r>
        <w:tab/>
        <w:t>Regulation 4 amended</w:t>
      </w:r>
    </w:p>
    <w:p>
      <w:pPr>
        <w:pStyle w:val="nzSubsection"/>
      </w:pPr>
      <w:r>
        <w:tab/>
        <w:t>(1)</w:t>
      </w:r>
      <w:r>
        <w:tab/>
        <w:t>In regulation 4(1):</w:t>
      </w:r>
    </w:p>
    <w:p>
      <w:pPr>
        <w:pStyle w:val="nzIndenta"/>
      </w:pPr>
      <w:r>
        <w:tab/>
        <w:t>(a)</w:t>
      </w:r>
      <w:r>
        <w:tab/>
        <w:t>in paragraph (a) delete “$143; and” and insert:</w:t>
      </w:r>
    </w:p>
    <w:p>
      <w:pPr>
        <w:pStyle w:val="BlankOpen"/>
      </w:pPr>
    </w:p>
    <w:p>
      <w:pPr>
        <w:pStyle w:val="nzIndenta"/>
      </w:pPr>
      <w:r>
        <w:tab/>
      </w:r>
      <w:r>
        <w:tab/>
        <w:t>$145; and</w:t>
      </w:r>
    </w:p>
    <w:p>
      <w:pPr>
        <w:pStyle w:val="BlankClose"/>
      </w:pPr>
    </w:p>
    <w:p>
      <w:pPr>
        <w:pStyle w:val="nzIndenta"/>
        <w:keepNext/>
      </w:pPr>
      <w:r>
        <w:tab/>
        <w:t>(b)</w:t>
      </w:r>
      <w:r>
        <w:tab/>
        <w:t>in paragraph (b) delete “$349.” and insert:</w:t>
      </w:r>
    </w:p>
    <w:p>
      <w:pPr>
        <w:pStyle w:val="BlankOpen"/>
      </w:pPr>
    </w:p>
    <w:p>
      <w:pPr>
        <w:pStyle w:val="nzIndenta"/>
      </w:pPr>
      <w:r>
        <w:tab/>
      </w:r>
      <w:r>
        <w:tab/>
        <w:t>$355.</w:t>
      </w:r>
    </w:p>
    <w:p>
      <w:pPr>
        <w:pStyle w:val="BlankClose"/>
      </w:pPr>
    </w:p>
    <w:p>
      <w:pPr>
        <w:pStyle w:val="nzSubsection"/>
      </w:pPr>
      <w:r>
        <w:tab/>
        <w:t>(2)</w:t>
      </w:r>
      <w:r>
        <w:tab/>
        <w:t>In regulation 4(2):</w:t>
      </w:r>
    </w:p>
    <w:p>
      <w:pPr>
        <w:pStyle w:val="nzIndenta"/>
      </w:pPr>
      <w:r>
        <w:tab/>
        <w:t>(a)</w:t>
      </w:r>
      <w:r>
        <w:tab/>
        <w:t>in paragraph (a)(i) delete “$143; and” and insert:</w:t>
      </w:r>
    </w:p>
    <w:p>
      <w:pPr>
        <w:pStyle w:val="BlankOpen"/>
      </w:pPr>
    </w:p>
    <w:p>
      <w:pPr>
        <w:pStyle w:val="nzIndenta"/>
      </w:pPr>
      <w:r>
        <w:tab/>
      </w:r>
      <w:r>
        <w:tab/>
        <w:t>$145; and</w:t>
      </w:r>
    </w:p>
    <w:p>
      <w:pPr>
        <w:pStyle w:val="BlankClose"/>
      </w:pPr>
    </w:p>
    <w:p>
      <w:pPr>
        <w:pStyle w:val="nzIndenta"/>
      </w:pPr>
      <w:r>
        <w:tab/>
        <w:t>(b)</w:t>
      </w:r>
      <w:r>
        <w:tab/>
        <w:t>in paragraph (a)(ii) delete “$349;” and insert:</w:t>
      </w:r>
    </w:p>
    <w:p>
      <w:pPr>
        <w:pStyle w:val="BlankOpen"/>
      </w:pPr>
    </w:p>
    <w:p>
      <w:pPr>
        <w:pStyle w:val="nzIndenta"/>
      </w:pPr>
      <w:r>
        <w:tab/>
      </w:r>
      <w:r>
        <w:tab/>
        <w:t>$355;</w:t>
      </w:r>
    </w:p>
    <w:p>
      <w:pPr>
        <w:pStyle w:val="BlankClose"/>
      </w:pPr>
    </w:p>
    <w:p>
      <w:pPr>
        <w:pStyle w:val="nzIndenta"/>
      </w:pPr>
      <w:r>
        <w:tab/>
        <w:t>(c)</w:t>
      </w:r>
      <w:r>
        <w:tab/>
        <w:t>delete “$71.” and insert:</w:t>
      </w:r>
    </w:p>
    <w:p>
      <w:pPr>
        <w:pStyle w:val="BlankOpen"/>
      </w:pPr>
    </w:p>
    <w:p>
      <w:pPr>
        <w:pStyle w:val="nzIndenta"/>
      </w:pPr>
      <w:r>
        <w:tab/>
      </w:r>
      <w:r>
        <w:tab/>
        <w:t>$72.</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1618</Words>
  <Characters>7459</Characters>
  <Application>Microsoft Office Word</Application>
  <DocSecurity>0</DocSecurity>
  <Lines>298</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1991 - 02-l0-00</dc:title>
  <dc:subject/>
  <dc:creator/>
  <cp:keywords/>
  <dc:description/>
  <cp:lastModifiedBy>svcMRProcess</cp:lastModifiedBy>
  <cp:revision>4</cp:revision>
  <cp:lastPrinted>2008-03-07T04:43:00Z</cp:lastPrinted>
  <dcterms:created xsi:type="dcterms:W3CDTF">2020-02-27T17:05:00Z</dcterms:created>
  <dcterms:modified xsi:type="dcterms:W3CDTF">2020-02-27T17:05:00Z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4728</vt:i4>
  </property>
  <property fmtid="{D5CDD505-2E9C-101B-9397-08002B2CF9AE}" pid="6" name="AsAtDate">
    <vt:lpwstr>08 Nov 2013</vt:lpwstr>
  </property>
  <property fmtid="{D5CDD505-2E9C-101B-9397-08002B2CF9AE}" pid="7" name="Suffix">
    <vt:lpwstr>02-l0-00</vt:lpwstr>
  </property>
  <property fmtid="{D5CDD505-2E9C-101B-9397-08002B2CF9AE}" pid="8" name="ReprintNo">
    <vt:lpwstr>2</vt:lpwstr>
  </property>
</Properties>
</file>