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4" name="Picture 3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Magistrates Court Act 2004</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Magistrates Court (Fees) Regulations 2005</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Magistrates Court (Fees) Regulations 2005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tab/>
        <w:t>Citation</w:t>
      </w:r>
      <w:r>
        <w:tab/>
      </w:r>
      <w:r>
        <w:fldChar w:fldCharType="begin"/>
      </w:r>
      <w:r>
        <w:instrText xml:space="preserve"> PAGEREF _Toc377389072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_Toc377389073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_Toc377389074 \h </w:instrText>
      </w:r>
      <w:r>
        <w:fldChar w:fldCharType="separate"/>
      </w:r>
      <w:r>
        <w:t>1</w:t>
      </w:r>
      <w:r>
        <w:fldChar w:fldCharType="end"/>
      </w:r>
    </w:p>
    <w:p>
      <w:pPr>
        <w:pStyle w:val="TOC8"/>
        <w:rPr>
          <w:rFonts w:asciiTheme="minorHAnsi" w:eastAsiaTheme="minorEastAsia" w:hAnsiTheme="minorHAnsi" w:cstheme="minorBidi"/>
          <w:szCs w:val="22"/>
        </w:rPr>
      </w:pPr>
      <w:r>
        <w:t>4.</w:t>
      </w:r>
      <w:r>
        <w:tab/>
      </w:r>
      <w:r>
        <w:rPr>
          <w:snapToGrid w:val="0"/>
        </w:rPr>
        <w:t>Fees to be charged (Act s. 42)</w:t>
      </w:r>
      <w:r>
        <w:tab/>
      </w:r>
      <w:r>
        <w:fldChar w:fldCharType="begin"/>
      </w:r>
      <w:r>
        <w:instrText xml:space="preserve"> PAGEREF _Toc377389075 \h </w:instrText>
      </w:r>
      <w:r>
        <w:fldChar w:fldCharType="separate"/>
      </w:r>
      <w:r>
        <w:t>3</w:t>
      </w:r>
      <w:r>
        <w:fldChar w:fldCharType="end"/>
      </w:r>
    </w:p>
    <w:p>
      <w:pPr>
        <w:pStyle w:val="TOC8"/>
        <w:rPr>
          <w:rFonts w:asciiTheme="minorHAnsi" w:eastAsiaTheme="minorEastAsia" w:hAnsiTheme="minorHAnsi" w:cstheme="minorBidi"/>
          <w:szCs w:val="22"/>
        </w:rPr>
      </w:pPr>
      <w:r>
        <w:t>5.</w:t>
      </w:r>
      <w:r>
        <w:tab/>
      </w:r>
      <w:r>
        <w:rPr>
          <w:i/>
          <w:snapToGrid w:val="0"/>
        </w:rPr>
        <w:t xml:space="preserve">Restraining Orders Act 1997 </w:t>
      </w:r>
      <w:r>
        <w:rPr>
          <w:snapToGrid w:val="0"/>
        </w:rPr>
        <w:t>and</w:t>
      </w:r>
      <w:r>
        <w:rPr>
          <w:i/>
          <w:snapToGrid w:val="0"/>
        </w:rPr>
        <w:t xml:space="preserve"> Prohibited Behaviour Orders Act 2010</w:t>
      </w:r>
      <w:r>
        <w:rPr>
          <w:snapToGrid w:val="0"/>
        </w:rPr>
        <w:t>, certain applications under exempt from fees</w:t>
      </w:r>
      <w:r>
        <w:tab/>
      </w:r>
      <w:r>
        <w:fldChar w:fldCharType="begin"/>
      </w:r>
      <w:r>
        <w:instrText xml:space="preserve"> PAGEREF _Toc377389076 \h </w:instrText>
      </w:r>
      <w:r>
        <w:fldChar w:fldCharType="separate"/>
      </w:r>
      <w:r>
        <w:t>5</w:t>
      </w:r>
      <w:r>
        <w:fldChar w:fldCharType="end"/>
      </w:r>
    </w:p>
    <w:p>
      <w:pPr>
        <w:pStyle w:val="TOC8"/>
        <w:rPr>
          <w:rFonts w:asciiTheme="minorHAnsi" w:eastAsiaTheme="minorEastAsia" w:hAnsiTheme="minorHAnsi" w:cstheme="minorBidi"/>
          <w:szCs w:val="22"/>
        </w:rPr>
      </w:pPr>
      <w:r>
        <w:t>6.</w:t>
      </w:r>
      <w:r>
        <w:tab/>
        <w:t>Some fees subject to conditions or must be waived</w:t>
      </w:r>
      <w:r>
        <w:tab/>
      </w:r>
      <w:r>
        <w:fldChar w:fldCharType="begin"/>
      </w:r>
      <w:r>
        <w:instrText xml:space="preserve"> PAGEREF _Toc377389077 \h </w:instrText>
      </w:r>
      <w:r>
        <w:fldChar w:fldCharType="separate"/>
      </w:r>
      <w:r>
        <w:t>5</w:t>
      </w:r>
      <w:r>
        <w:fldChar w:fldCharType="end"/>
      </w:r>
    </w:p>
    <w:p>
      <w:pPr>
        <w:pStyle w:val="TOC8"/>
        <w:rPr>
          <w:rFonts w:asciiTheme="minorHAnsi" w:eastAsiaTheme="minorEastAsia" w:hAnsiTheme="minorHAnsi" w:cstheme="minorBidi"/>
          <w:szCs w:val="22"/>
        </w:rPr>
      </w:pPr>
      <w:r>
        <w:t>7.</w:t>
      </w:r>
      <w:r>
        <w:tab/>
        <w:t>F</w:t>
      </w:r>
      <w:r>
        <w:rPr>
          <w:snapToGrid w:val="0"/>
        </w:rPr>
        <w:t>ees to be paid before documents etc. filed</w:t>
      </w:r>
      <w:r>
        <w:tab/>
      </w:r>
      <w:r>
        <w:fldChar w:fldCharType="begin"/>
      </w:r>
      <w:r>
        <w:instrText xml:space="preserve"> PAGEREF _Toc377389078 \h </w:instrText>
      </w:r>
      <w:r>
        <w:fldChar w:fldCharType="separate"/>
      </w:r>
      <w:r>
        <w:t>6</w:t>
      </w:r>
      <w:r>
        <w:fldChar w:fldCharType="end"/>
      </w:r>
    </w:p>
    <w:p>
      <w:pPr>
        <w:pStyle w:val="TOC8"/>
        <w:rPr>
          <w:rFonts w:asciiTheme="minorHAnsi" w:eastAsiaTheme="minorEastAsia" w:hAnsiTheme="minorHAnsi" w:cstheme="minorBidi"/>
          <w:szCs w:val="22"/>
        </w:rPr>
      </w:pPr>
      <w:r>
        <w:t>8.</w:t>
      </w:r>
      <w:r>
        <w:tab/>
        <w:t>Financial hardship etc., waiving etc. fees in cases of</w:t>
      </w:r>
      <w:r>
        <w:tab/>
      </w:r>
      <w:r>
        <w:fldChar w:fldCharType="begin"/>
      </w:r>
      <w:r>
        <w:instrText xml:space="preserve"> PAGEREF _Toc377389079 \h </w:instrText>
      </w:r>
      <w:r>
        <w:fldChar w:fldCharType="separate"/>
      </w:r>
      <w:r>
        <w:t>7</w:t>
      </w:r>
      <w:r>
        <w:fldChar w:fldCharType="end"/>
      </w:r>
    </w:p>
    <w:p>
      <w:pPr>
        <w:pStyle w:val="TOC8"/>
        <w:rPr>
          <w:rFonts w:asciiTheme="minorHAnsi" w:eastAsiaTheme="minorEastAsia" w:hAnsiTheme="minorHAnsi" w:cstheme="minorBidi"/>
          <w:szCs w:val="22"/>
        </w:rPr>
      </w:pPr>
      <w:r>
        <w:t>9.</w:t>
      </w:r>
      <w:r>
        <w:tab/>
      </w:r>
      <w:r>
        <w:rPr>
          <w:snapToGrid w:val="0"/>
        </w:rPr>
        <w:t>Conventions</w:t>
      </w:r>
      <w:r>
        <w:tab/>
      </w:r>
      <w:r>
        <w:fldChar w:fldCharType="begin"/>
      </w:r>
      <w:r>
        <w:instrText xml:space="preserve"> PAGEREF _Toc377389080 \h </w:instrText>
      </w:r>
      <w:r>
        <w:fldChar w:fldCharType="separate"/>
      </w:r>
      <w:r>
        <w:t>9</w:t>
      </w:r>
      <w:r>
        <w:fldChar w:fldCharType="end"/>
      </w:r>
    </w:p>
    <w:p>
      <w:pPr>
        <w:pStyle w:val="TOC8"/>
        <w:rPr>
          <w:rFonts w:asciiTheme="minorHAnsi" w:eastAsiaTheme="minorEastAsia" w:hAnsiTheme="minorHAnsi" w:cstheme="minorBidi"/>
          <w:szCs w:val="22"/>
        </w:rPr>
      </w:pPr>
      <w:r>
        <w:t>10.</w:t>
      </w:r>
      <w:r>
        <w:tab/>
        <w:t>Fee for allocation of hearing dates etc. (Sch. 1 Div. 2 it. 5), when to be paid</w:t>
      </w:r>
      <w:r>
        <w:tab/>
      </w:r>
      <w:r>
        <w:fldChar w:fldCharType="begin"/>
      </w:r>
      <w:r>
        <w:instrText xml:space="preserve"> PAGEREF _Toc377389081 \h </w:instrText>
      </w:r>
      <w:r>
        <w:fldChar w:fldCharType="separate"/>
      </w:r>
      <w:r>
        <w:t>10</w:t>
      </w:r>
      <w:r>
        <w:fldChar w:fldCharType="end"/>
      </w:r>
    </w:p>
    <w:p>
      <w:pPr>
        <w:pStyle w:val="TOC8"/>
        <w:rPr>
          <w:rFonts w:asciiTheme="minorHAnsi" w:eastAsiaTheme="minorEastAsia" w:hAnsiTheme="minorHAnsi" w:cstheme="minorBidi"/>
          <w:szCs w:val="22"/>
        </w:rPr>
      </w:pPr>
      <w:r>
        <w:t>11.</w:t>
      </w:r>
      <w:r>
        <w:tab/>
        <w:t>Half daily hearing fee (Sch. 1 Div. 2 it. 6)</w:t>
      </w:r>
      <w:r>
        <w:tab/>
      </w:r>
      <w:r>
        <w:fldChar w:fldCharType="begin"/>
      </w:r>
      <w:r>
        <w:instrText xml:space="preserve"> PAGEREF _Toc377389082 \h </w:instrText>
      </w:r>
      <w:r>
        <w:fldChar w:fldCharType="separate"/>
      </w:r>
      <w:r>
        <w:t>10</w:t>
      </w:r>
      <w:r>
        <w:fldChar w:fldCharType="end"/>
      </w:r>
    </w:p>
    <w:p>
      <w:pPr>
        <w:pStyle w:val="TOC8"/>
        <w:rPr>
          <w:rFonts w:asciiTheme="minorHAnsi" w:eastAsiaTheme="minorEastAsia" w:hAnsiTheme="minorHAnsi" w:cstheme="minorBidi"/>
          <w:szCs w:val="22"/>
        </w:rPr>
      </w:pPr>
      <w:r>
        <w:t>12.</w:t>
      </w:r>
      <w:r>
        <w:tab/>
        <w:t>Court information, fees for</w:t>
      </w:r>
      <w:r>
        <w:tab/>
      </w:r>
      <w:r>
        <w:fldChar w:fldCharType="begin"/>
      </w:r>
      <w:r>
        <w:instrText xml:space="preserve"> PAGEREF _Toc377389083 \h </w:instrText>
      </w:r>
      <w:r>
        <w:fldChar w:fldCharType="separate"/>
      </w:r>
      <w:r>
        <w:t>10</w:t>
      </w:r>
      <w:r>
        <w:fldChar w:fldCharType="end"/>
      </w:r>
    </w:p>
    <w:p>
      <w:pPr>
        <w:pStyle w:val="TOC8"/>
        <w:rPr>
          <w:rFonts w:asciiTheme="minorHAnsi" w:eastAsiaTheme="minorEastAsia" w:hAnsiTheme="minorHAnsi" w:cstheme="minorBidi"/>
          <w:szCs w:val="22"/>
        </w:rPr>
      </w:pPr>
      <w:r>
        <w:t>13.</w:t>
      </w:r>
      <w:r>
        <w:tab/>
        <w:t>Disputes as to fees, determination of</w:t>
      </w:r>
      <w:r>
        <w:tab/>
      </w:r>
      <w:r>
        <w:fldChar w:fldCharType="begin"/>
      </w:r>
      <w:r>
        <w:instrText xml:space="preserve"> PAGEREF _Toc377389084 \h </w:instrText>
      </w:r>
      <w:r>
        <w:fldChar w:fldCharType="separate"/>
      </w:r>
      <w:r>
        <w:t>10</w:t>
      </w:r>
      <w:r>
        <w:fldChar w:fldCharType="end"/>
      </w:r>
    </w:p>
    <w:p>
      <w:pPr>
        <w:pStyle w:val="TOC8"/>
        <w:rPr>
          <w:rFonts w:asciiTheme="minorHAnsi" w:eastAsiaTheme="minorEastAsia" w:hAnsiTheme="minorHAnsi" w:cstheme="minorBidi"/>
          <w:szCs w:val="22"/>
        </w:rPr>
      </w:pPr>
      <w:r>
        <w:t>14.</w:t>
      </w:r>
      <w:r>
        <w:tab/>
        <w:t>Unpaid fees, recovery of</w:t>
      </w:r>
      <w:r>
        <w:tab/>
      </w:r>
      <w:r>
        <w:fldChar w:fldCharType="begin"/>
      </w:r>
      <w:r>
        <w:instrText xml:space="preserve"> PAGEREF _Toc377389085 \h </w:instrText>
      </w:r>
      <w:r>
        <w:fldChar w:fldCharType="separate"/>
      </w:r>
      <w:r>
        <w:t>11</w:t>
      </w:r>
      <w:r>
        <w:fldChar w:fldCharType="end"/>
      </w:r>
    </w:p>
    <w:p>
      <w:pPr>
        <w:pStyle w:val="TOC8"/>
        <w:rPr>
          <w:rFonts w:asciiTheme="minorHAnsi" w:eastAsiaTheme="minorEastAsia" w:hAnsiTheme="minorHAnsi" w:cstheme="minorBidi"/>
          <w:szCs w:val="22"/>
        </w:rPr>
      </w:pPr>
      <w:r>
        <w:t>15.</w:t>
      </w:r>
      <w:r>
        <w:tab/>
        <w:t>Transitional provisions</w:t>
      </w:r>
      <w:r>
        <w:tab/>
      </w:r>
      <w:r>
        <w:fldChar w:fldCharType="begin"/>
      </w:r>
      <w:r>
        <w:instrText xml:space="preserve"> PAGEREF _Toc377389086 \h </w:instrText>
      </w:r>
      <w:r>
        <w:fldChar w:fldCharType="separate"/>
      </w:r>
      <w:r>
        <w:t>11</w:t>
      </w:r>
      <w:r>
        <w:fldChar w:fldCharType="end"/>
      </w:r>
    </w:p>
    <w:p>
      <w:pPr>
        <w:pStyle w:val="TOC2"/>
        <w:tabs>
          <w:tab w:val="right" w:leader="dot" w:pos="7086"/>
        </w:tabs>
        <w:rPr>
          <w:rFonts w:asciiTheme="minorHAnsi" w:eastAsiaTheme="minorEastAsia" w:hAnsiTheme="minorHAnsi" w:cstheme="minorBidi"/>
          <w:b w:val="0"/>
          <w:sz w:val="22"/>
          <w:szCs w:val="22"/>
        </w:rPr>
      </w:pPr>
      <w:r>
        <w:t>Schedule 1 — Fees</w:t>
      </w:r>
    </w:p>
    <w:p>
      <w:pPr>
        <w:pStyle w:val="TOC4"/>
        <w:tabs>
          <w:tab w:val="right" w:leader="dot" w:pos="7086"/>
        </w:tabs>
        <w:rPr>
          <w:rFonts w:asciiTheme="minorHAnsi" w:eastAsiaTheme="minorEastAsia" w:hAnsiTheme="minorHAnsi" w:cstheme="minorBidi"/>
          <w:b w:val="0"/>
          <w:szCs w:val="22"/>
        </w:rPr>
      </w:pPr>
      <w:r>
        <w:t>Division 1 — General</w:t>
      </w:r>
    </w:p>
    <w:p>
      <w:pPr>
        <w:pStyle w:val="TOC4"/>
        <w:tabs>
          <w:tab w:val="right" w:leader="dot" w:pos="7086"/>
        </w:tabs>
        <w:rPr>
          <w:rFonts w:asciiTheme="minorHAnsi" w:eastAsiaTheme="minorEastAsia" w:hAnsiTheme="minorHAnsi" w:cstheme="minorBidi"/>
          <w:b w:val="0"/>
          <w:szCs w:val="22"/>
        </w:rPr>
      </w:pPr>
      <w:r>
        <w:t>Division 2</w:t>
      </w:r>
      <w:r>
        <w:rPr>
          <w:b w:val="0"/>
        </w:rPr>
        <w:t> — </w:t>
      </w:r>
      <w:r>
        <w:t>Civil jurisdiction</w:t>
      </w:r>
    </w:p>
    <w:p>
      <w:pPr>
        <w:pStyle w:val="TOC4"/>
        <w:tabs>
          <w:tab w:val="right" w:leader="dot" w:pos="7086"/>
        </w:tabs>
        <w:rPr>
          <w:rFonts w:asciiTheme="minorHAnsi" w:eastAsiaTheme="minorEastAsia" w:hAnsiTheme="minorHAnsi" w:cstheme="minorBidi"/>
          <w:b w:val="0"/>
          <w:szCs w:val="22"/>
        </w:rPr>
      </w:pPr>
      <w:r>
        <w:t>Division 3</w:t>
      </w:r>
      <w:r>
        <w:rPr>
          <w:b w:val="0"/>
        </w:rPr>
        <w:t> — </w:t>
      </w:r>
      <w:r>
        <w:t>Criminal jurisdiction</w:t>
      </w:r>
    </w:p>
    <w:p>
      <w:pPr>
        <w:pStyle w:val="TOC2"/>
        <w:tabs>
          <w:tab w:val="right" w:leader="dot" w:pos="7086"/>
        </w:tabs>
        <w:rPr>
          <w:rFonts w:asciiTheme="minorHAnsi" w:eastAsiaTheme="minorEastAsia" w:hAnsiTheme="minorHAnsi" w:cstheme="minorBidi"/>
          <w:b w:val="0"/>
          <w:sz w:val="22"/>
          <w:szCs w:val="22"/>
        </w:rPr>
      </w:pPr>
      <w:r>
        <w:t>Schedule 2 — Forms</w:t>
      </w:r>
    </w:p>
    <w:p>
      <w:pPr>
        <w:pStyle w:val="TOC8"/>
        <w:rPr>
          <w:rFonts w:asciiTheme="minorHAnsi" w:eastAsiaTheme="minorEastAsia" w:hAnsiTheme="minorHAnsi" w:cstheme="minorBidi"/>
          <w:szCs w:val="22"/>
        </w:rPr>
      </w:pPr>
      <w:r>
        <w:t>1.</w:t>
      </w:r>
      <w:r>
        <w:tab/>
        <w:t>Declaration that a person is a small business or a non</w:t>
      </w:r>
      <w:r>
        <w:noBreakHyphen/>
        <w:t>profit association</w:t>
      </w:r>
      <w:r>
        <w:tab/>
      </w:r>
      <w:r>
        <w:fldChar w:fldCharType="begin"/>
      </w:r>
      <w:r>
        <w:instrText xml:space="preserve"> PAGEREF _Toc377389092 \h </w:instrText>
      </w:r>
      <w:r>
        <w:fldChar w:fldCharType="separate"/>
      </w:r>
      <w:r>
        <w:t>21</w:t>
      </w:r>
      <w:r>
        <w:fldChar w:fldCharType="end"/>
      </w:r>
    </w:p>
    <w:p>
      <w:pPr>
        <w:pStyle w:val="TOC8"/>
        <w:rPr>
          <w:rFonts w:asciiTheme="minorHAnsi" w:eastAsiaTheme="minorEastAsia" w:hAnsiTheme="minorHAnsi" w:cstheme="minorBidi"/>
          <w:szCs w:val="22"/>
        </w:rPr>
      </w:pPr>
      <w:r>
        <w:t>2.</w:t>
      </w:r>
      <w:r>
        <w:tab/>
        <w:t>Application to remit fees</w:t>
      </w:r>
      <w:r>
        <w:tab/>
      </w:r>
      <w:r>
        <w:fldChar w:fldCharType="begin"/>
      </w:r>
      <w:r>
        <w:instrText xml:space="preserve"> PAGEREF _Toc377389093 \h </w:instrText>
      </w:r>
      <w:r>
        <w:fldChar w:fldCharType="separate"/>
      </w:r>
      <w:r>
        <w:t>23</w:t>
      </w:r>
      <w:r>
        <w:fldChar w:fldCharType="end"/>
      </w:r>
    </w:p>
    <w:p>
      <w:pPr>
        <w:pStyle w:val="TOC8"/>
        <w:rPr>
          <w:rFonts w:asciiTheme="minorHAnsi" w:eastAsiaTheme="minorEastAsia" w:hAnsiTheme="minorHAnsi" w:cstheme="minorBidi"/>
          <w:szCs w:val="22"/>
        </w:rPr>
      </w:pPr>
      <w:r>
        <w:t>3.</w:t>
      </w:r>
      <w:r>
        <w:tab/>
        <w:t>Application for determination of dispute about fees</w:t>
      </w:r>
      <w:r>
        <w:tab/>
      </w:r>
      <w:r>
        <w:fldChar w:fldCharType="begin"/>
      </w:r>
      <w:r>
        <w:instrText xml:space="preserve"> PAGEREF _Toc377389094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_Toc377389096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spacing w:before="120"/>
      </w:pPr>
      <w:r>
        <w:t>Magistrates Court Act 2004</w:t>
      </w:r>
    </w:p>
    <w:p>
      <w:pPr>
        <w:pStyle w:val="NameofActReg"/>
        <w:spacing w:before="600" w:after="720"/>
      </w:pPr>
      <w:r>
        <w:t>Magistrates Court (Fees) Regulations 2005</w:t>
      </w:r>
    </w:p>
    <w:p>
      <w:pPr>
        <w:pStyle w:val="Heading5"/>
      </w:pPr>
      <w:bookmarkStart w:id="1" w:name="_Toc377389072"/>
      <w:r>
        <w:rPr>
          <w:rStyle w:val="CharSectno"/>
        </w:rPr>
        <w:t>1</w:t>
      </w:r>
      <w:r>
        <w:t>.</w:t>
      </w:r>
      <w:r>
        <w:tab/>
        <w:t>Citation</w:t>
      </w:r>
      <w:bookmarkEnd w:id="1"/>
    </w:p>
    <w:p>
      <w:pPr>
        <w:pStyle w:val="Subsection"/>
        <w:rPr>
          <w:i/>
        </w:rPr>
      </w:pPr>
      <w:r>
        <w:tab/>
      </w:r>
      <w:r>
        <w:tab/>
      </w:r>
      <w:r>
        <w:rPr>
          <w:spacing w:val="-2"/>
        </w:rPr>
        <w:t>These</w:t>
      </w:r>
      <w:r>
        <w:t xml:space="preserve"> </w:t>
      </w:r>
      <w:r>
        <w:rPr>
          <w:spacing w:val="-2"/>
        </w:rPr>
        <w:t>regulations</w:t>
      </w:r>
      <w:r>
        <w:t xml:space="preserve"> are the </w:t>
      </w:r>
      <w:smartTag w:uri="urn:schemas-microsoft-com:office:smarttags" w:element="Street">
        <w:smartTag w:uri="urn:schemas-microsoft-com:office:smarttags" w:element="address">
          <w:r>
            <w:rPr>
              <w:i/>
            </w:rPr>
            <w:t>Magistrates Court</w:t>
          </w:r>
        </w:smartTag>
      </w:smartTag>
      <w:r>
        <w:rPr>
          <w:i/>
        </w:rPr>
        <w:t xml:space="preserve"> (Fees) Regulations 2005</w:t>
      </w:r>
      <w:r>
        <w:rPr>
          <w:vertAlign w:val="superscript"/>
        </w:rPr>
        <w:t> 1</w:t>
      </w:r>
      <w:r>
        <w:t>.</w:t>
      </w:r>
    </w:p>
    <w:p>
      <w:pPr>
        <w:pStyle w:val="Heading5"/>
        <w:rPr>
          <w:spacing w:val="-2"/>
        </w:rPr>
      </w:pPr>
      <w:bookmarkStart w:id="2" w:name="_Toc377389073"/>
      <w:r>
        <w:rPr>
          <w:rStyle w:val="CharSectno"/>
        </w:rPr>
        <w:t>2</w:t>
      </w:r>
      <w:r>
        <w:rPr>
          <w:spacing w:val="-2"/>
        </w:rPr>
        <w:t>.</w:t>
      </w:r>
      <w:r>
        <w:rPr>
          <w:spacing w:val="-2"/>
        </w:rPr>
        <w:tab/>
        <w:t>Commencement</w:t>
      </w:r>
      <w:bookmarkEnd w:id="2"/>
    </w:p>
    <w:p>
      <w:pPr>
        <w:pStyle w:val="Subsection"/>
        <w:rPr>
          <w:rFonts w:ascii="Times" w:hAnsi="Times"/>
        </w:rPr>
      </w:pPr>
      <w:r>
        <w:rPr>
          <w:spacing w:val="-2"/>
        </w:rPr>
        <w:tab/>
      </w:r>
      <w:r>
        <w:rPr>
          <w:spacing w:val="-2"/>
        </w:rPr>
        <w:tab/>
        <w:t xml:space="preserve">These regulations come into operation on the day on which the </w:t>
      </w:r>
      <w:smartTag w:uri="urn:schemas-microsoft-com:office:smarttags" w:element="Street">
        <w:smartTag w:uri="urn:schemas-microsoft-com:office:smarttags" w:element="address">
          <w:r>
            <w:rPr>
              <w:i/>
              <w:spacing w:val="-2"/>
            </w:rPr>
            <w:t>Magistrates Court</w:t>
          </w:r>
        </w:smartTag>
      </w:smartTag>
      <w:r>
        <w:rPr>
          <w:i/>
          <w:spacing w:val="-2"/>
        </w:rPr>
        <w:t xml:space="preserve"> Act 2004</w:t>
      </w:r>
      <w:r>
        <w:rPr>
          <w:spacing w:val="-2"/>
        </w:rPr>
        <w:t xml:space="preserve">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3" w:name="_Toc377389074"/>
      <w:r>
        <w:rPr>
          <w:rStyle w:val="CharSectno"/>
        </w:rPr>
        <w:t>3</w:t>
      </w:r>
      <w:r>
        <w:t>.</w:t>
      </w:r>
      <w:r>
        <w:tab/>
        <w:t>Terms used</w:t>
      </w:r>
      <w:bookmarkEnd w:id="3"/>
    </w:p>
    <w:p>
      <w:pPr>
        <w:pStyle w:val="Subsection"/>
      </w:pPr>
      <w:r>
        <w:tab/>
      </w:r>
      <w:r>
        <w:tab/>
        <w:t xml:space="preserve">In these regulations unless the contrary intention appears — </w:t>
      </w:r>
    </w:p>
    <w:p>
      <w:pPr>
        <w:pStyle w:val="Defstart"/>
      </w:pPr>
      <w:r>
        <w:rPr>
          <w:b/>
        </w:rPr>
        <w:tab/>
      </w:r>
      <w:r>
        <w:rPr>
          <w:rStyle w:val="CharDefText"/>
        </w:rPr>
        <w:t>case statement</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claim</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claimant</w:t>
      </w:r>
      <w:r>
        <w:t xml:space="preserve"> means a person who commences a case as defined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counterclaim</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9(1);</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minor cases procedure</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party</w:t>
      </w:r>
      <w:r>
        <w:t xml:space="preserve"> means a party to a case as defined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Defstart"/>
      </w:pPr>
      <w:r>
        <w:tab/>
      </w:r>
      <w:r>
        <w:rPr>
          <w:rStyle w:val="CharDefText"/>
        </w:rPr>
        <w:t>small business</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(d)</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meaning given to that term in section 9 of the </w:t>
      </w:r>
      <w:r>
        <w:rPr>
          <w:i/>
        </w:rPr>
        <w:t>Corporations Act 2001</w:t>
      </w:r>
      <w:r>
        <w:t xml:space="preserve"> of the Commonwealth.</w:t>
      </w:r>
    </w:p>
    <w:p>
      <w:pPr>
        <w:pStyle w:val="Footnotesection"/>
      </w:pPr>
      <w:r>
        <w:tab/>
        <w:t>[Regulation 3 amended in Gazette 23 Jun 2006 p. 2178.]</w:t>
      </w:r>
    </w:p>
    <w:p>
      <w:pPr>
        <w:pStyle w:val="Heading5"/>
        <w:rPr>
          <w:snapToGrid w:val="0"/>
        </w:rPr>
      </w:pPr>
      <w:bookmarkStart w:id="4" w:name="_Toc377389075"/>
      <w:r>
        <w:rPr>
          <w:rStyle w:val="CharSectno"/>
        </w:rPr>
        <w:t>4</w:t>
      </w:r>
      <w:r>
        <w:t>.</w:t>
      </w:r>
      <w:r>
        <w:tab/>
      </w:r>
      <w:r>
        <w:rPr>
          <w:snapToGrid w:val="0"/>
        </w:rPr>
        <w:t>Fees to be charged (Act s. 42)</w:t>
      </w:r>
      <w:bookmarkEnd w:id="4"/>
    </w:p>
    <w:p>
      <w:pPr>
        <w:pStyle w:val="Subsection"/>
        <w:rPr>
          <w:snapToGrid w:val="0"/>
        </w:rPr>
      </w:pPr>
      <w:r>
        <w:rPr>
          <w:snapToGrid w:val="0"/>
        </w:rPr>
        <w:tab/>
        <w:t>(1)</w:t>
      </w:r>
      <w:r>
        <w:rPr>
          <w:snapToGrid w:val="0"/>
        </w:rPr>
        <w:tab/>
        <w:t>Subject to the provisions of these regulations, the fees specified in Schedule 1 are to be charged in respect of the matters referred to in the Act section 42 in relation to which they are applicable.</w:t>
      </w:r>
    </w:p>
    <w:p>
      <w:pPr>
        <w:pStyle w:val="Subsection"/>
      </w:pPr>
      <w:r>
        <w:rPr>
          <w:snapToGrid w:val="0"/>
        </w:rPr>
        <w:tab/>
        <w:t>(2)</w:t>
      </w:r>
      <w:r>
        <w:rPr>
          <w:snapToGrid w:val="0"/>
        </w:rPr>
        <w:tab/>
      </w:r>
      <w:r>
        <w:t>In relation to a matter specified in Schedule 1</w:t>
      </w:r>
      <w:r>
        <w:rPr>
          <w:snapToGrid w:val="0"/>
        </w:rPr>
        <w:t xml:space="preserve"> Division </w:t>
      </w:r>
      <w:r>
        <w:t>2 column 2 that has 8 columns, the fee shown opposite the matter —</w:t>
      </w:r>
    </w:p>
    <w:p>
      <w:pPr>
        <w:pStyle w:val="Indenta"/>
      </w:pPr>
      <w:r>
        <w:tab/>
        <w:t>(a)</w:t>
      </w:r>
      <w:r>
        <w:tab/>
        <w:t>in column 3, 5 or 7 applies if an individual is required to pay the fee; or</w:t>
      </w:r>
    </w:p>
    <w:p>
      <w:pPr>
        <w:pStyle w:val="Indenta"/>
      </w:pPr>
      <w:r>
        <w:tab/>
        <w:t>(b)</w:t>
      </w:r>
      <w:r>
        <w:tab/>
        <w:t>in column 4, 6 or 8 applies if a person other an individual is required to pay the fee,</w:t>
      </w:r>
    </w:p>
    <w:p>
      <w:pPr>
        <w:pStyle w:val="Subsection"/>
      </w:pPr>
      <w:r>
        <w:tab/>
      </w:r>
      <w:r>
        <w:tab/>
        <w:t>as the case requires.</w:t>
      </w:r>
    </w:p>
    <w:p>
      <w:pPr>
        <w:pStyle w:val="Subsection"/>
        <w:rPr>
          <w:snapToGrid w:val="0"/>
        </w:rPr>
      </w:pPr>
      <w:r>
        <w:rPr>
          <w:snapToGrid w:val="0"/>
        </w:rPr>
        <w:tab/>
        <w:t>(3)</w:t>
      </w:r>
      <w:r>
        <w:rPr>
          <w:snapToGrid w:val="0"/>
        </w:rPr>
        <w:tab/>
        <w:t>A note to an item in Schedule 1 has effect according to its tenor as if it were a provision of these regulations.</w:t>
      </w:r>
    </w:p>
    <w:p>
      <w:pPr>
        <w:pStyle w:val="Subsection"/>
        <w:keepNext/>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spacing w:before="60"/>
        <w:rPr>
          <w:snapToGrid w:val="0"/>
        </w:rPr>
      </w:pPr>
      <w:r>
        <w:rPr>
          <w:snapToGrid w:val="0"/>
        </w:rPr>
        <w:tab/>
        <w:t>(b)</w:t>
      </w:r>
      <w:r>
        <w:rPr>
          <w:snapToGrid w:val="0"/>
        </w:rPr>
        <w:tab/>
        <w:t>filing a case statement;</w:t>
      </w:r>
    </w:p>
    <w:p>
      <w:pPr>
        <w:pStyle w:val="Indenta"/>
        <w:spacing w:before="60"/>
        <w:rPr>
          <w:snapToGrid w:val="0"/>
        </w:rPr>
      </w:pPr>
      <w:r>
        <w:rPr>
          <w:snapToGrid w:val="0"/>
        </w:rPr>
        <w:tab/>
        <w:t>(c)</w:t>
      </w:r>
      <w:r>
        <w:rPr>
          <w:snapToGrid w:val="0"/>
        </w:rPr>
        <w:tab/>
        <w:t>search by a party;</w:t>
      </w:r>
    </w:p>
    <w:p>
      <w:pPr>
        <w:pStyle w:val="Indenta"/>
        <w:spacing w:before="60"/>
        <w:rPr>
          <w:snapToGrid w:val="0"/>
        </w:rPr>
      </w:pPr>
      <w:r>
        <w:rPr>
          <w:snapToGrid w:val="0"/>
        </w:rPr>
        <w:tab/>
        <w:t>(d)</w:t>
      </w:r>
      <w:r>
        <w:rPr>
          <w:snapToGrid w:val="0"/>
        </w:rPr>
        <w:tab/>
        <w:t>sealing a copy of a document;</w:t>
      </w:r>
    </w:p>
    <w:p>
      <w:pPr>
        <w:pStyle w:val="Indenta"/>
        <w:spacing w:before="60"/>
        <w:rPr>
          <w:snapToGrid w:val="0"/>
        </w:rPr>
      </w:pPr>
      <w:r>
        <w:rPr>
          <w:snapToGrid w:val="0"/>
        </w:rPr>
        <w:tab/>
        <w:t>(e)</w:t>
      </w:r>
      <w:r>
        <w:rPr>
          <w:snapToGrid w:val="0"/>
        </w:rPr>
        <w:tab/>
        <w:t>drawing up, settling or signing a judgment or order;</w:t>
      </w:r>
    </w:p>
    <w:p>
      <w:pPr>
        <w:pStyle w:val="Indenta"/>
        <w:spacing w:before="60"/>
        <w:rPr>
          <w:snapToGrid w:val="0"/>
        </w:rPr>
      </w:pPr>
      <w:r>
        <w:rPr>
          <w:snapToGrid w:val="0"/>
        </w:rPr>
        <w:tab/>
        <w:t>(f)</w:t>
      </w:r>
      <w:r>
        <w:rPr>
          <w:snapToGrid w:val="0"/>
        </w:rPr>
        <w:tab/>
        <w:t>amending or supplementing a case statement;</w:t>
      </w:r>
    </w:p>
    <w:p>
      <w:pPr>
        <w:pStyle w:val="Indenta"/>
        <w:spacing w:before="60"/>
        <w:rPr>
          <w:snapToGrid w:val="0"/>
        </w:rPr>
      </w:pPr>
      <w:r>
        <w:rPr>
          <w:snapToGrid w:val="0"/>
        </w:rPr>
        <w:tab/>
        <w:t>(g)</w:t>
      </w:r>
      <w:r>
        <w:rPr>
          <w:snapToGrid w:val="0"/>
        </w:rPr>
        <w:tab/>
        <w:t>making a request under the rules of court;</w:t>
      </w:r>
    </w:p>
    <w:p>
      <w:pPr>
        <w:pStyle w:val="Indenta"/>
        <w:spacing w:before="60"/>
        <w:rPr>
          <w:snapToGrid w:val="0"/>
        </w:rPr>
      </w:pPr>
      <w:r>
        <w:rPr>
          <w:snapToGrid w:val="0"/>
        </w:rPr>
        <w:tab/>
        <w:t>(h)</w:t>
      </w:r>
      <w:r>
        <w:rPr>
          <w:snapToGrid w:val="0"/>
        </w:rPr>
        <w:tab/>
        <w:t>filing, depositing, giving, issuing or serving any other document required or permitted by the rules of court to be filed, deposited, given, issued or served in connection with proceedings in the Court.</w:t>
      </w:r>
    </w:p>
    <w:p>
      <w:pPr>
        <w:pStyle w:val="Subsection"/>
        <w:spacing w:before="120"/>
      </w:pPr>
      <w:r>
        <w:rPr>
          <w:snapToGrid w:val="0"/>
        </w:rPr>
        <w:tab/>
        <w:t>(5)</w:t>
      </w:r>
      <w:r>
        <w:rPr>
          <w:snapToGrid w:val="0"/>
        </w:rPr>
        <w:tab/>
      </w:r>
      <w:r>
        <w:t>No fee is to be charged in respect of any attendance in court if the attendance is required by an order of the Court made on its own motion.</w:t>
      </w:r>
    </w:p>
    <w:p>
      <w:pPr>
        <w:pStyle w:val="Subsection"/>
        <w:spacing w:before="120"/>
      </w:pPr>
      <w:r>
        <w:rPr>
          <w:snapToGrid w:val="0"/>
        </w:rPr>
        <w:tab/>
        <w:t>(6)</w:t>
      </w:r>
      <w:r>
        <w:rPr>
          <w:snapToGrid w:val="0"/>
        </w:rPr>
        <w:tab/>
        <w:t xml:space="preserve">On the lodgment </w:t>
      </w:r>
      <w:r>
        <w:t>of Form 1, a person that is a small business or a non</w:t>
      </w:r>
      <w:r>
        <w:noBreakHyphen/>
        <w:t>profit association is to be charged fees specified in Schedule 1 as if the person were an individual.</w:t>
      </w:r>
    </w:p>
    <w:p>
      <w:pPr>
        <w:pStyle w:val="Subsection"/>
        <w:spacing w:before="120"/>
      </w:pPr>
      <w:r>
        <w:tab/>
        <w:t>(7)</w:t>
      </w:r>
      <w:r>
        <w:tab/>
        <w:t>Subregulation (6) does not apply to fees payable by joint parties if at least one of the parties is not a small business or a non</w:t>
      </w:r>
      <w:r>
        <w:noBreakHyphen/>
        <w:t>profit association.</w:t>
      </w:r>
    </w:p>
    <w:p>
      <w:pPr>
        <w:pStyle w:val="Subsection"/>
        <w:spacing w:before="120"/>
      </w:pPr>
      <w:r>
        <w:tab/>
        <w:t>(8)</w:t>
      </w:r>
      <w:r>
        <w:tab/>
        <w:t>A person who has lodged a declaration under subregulation (6) must immediately advise a registrar if the person ceases to be a small business or a non</w:t>
      </w:r>
      <w:r>
        <w:noBreakHyphen/>
        <w:t>profit association.</w:t>
      </w:r>
    </w:p>
    <w:p>
      <w:pPr>
        <w:pStyle w:val="Penstart"/>
      </w:pPr>
      <w:r>
        <w:tab/>
        <w:t>Penalty: $1 000.</w:t>
      </w:r>
    </w:p>
    <w:p>
      <w:pPr>
        <w:pStyle w:val="Subsection"/>
        <w:spacing w:before="120"/>
      </w:pPr>
      <w:r>
        <w:tab/>
        <w:t>(9)</w:t>
      </w:r>
      <w:r>
        <w:tab/>
        <w:t>Whether or not the person has complied with subregulation (8), a person is not entitled to be charged fees as if the person were an individual if the person is not a small business or a non</w:t>
      </w:r>
      <w:r>
        <w:noBreakHyphen/>
        <w:t>profit association.</w:t>
      </w:r>
    </w:p>
    <w:p>
      <w:pPr>
        <w:pStyle w:val="Subsection"/>
        <w:spacing w:before="120"/>
      </w:pPr>
      <w:r>
        <w:tab/>
        <w:t>(10)</w:t>
      </w:r>
      <w:r>
        <w:tab/>
        <w:t>If a person is charged a fee under subregulation (6)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(11)</w:t>
      </w:r>
      <w:r>
        <w:tab/>
        <w:t xml:space="preserve">An order under subregulation (10)(b) may provide that — </w:t>
      </w:r>
    </w:p>
    <w:p>
      <w:pPr>
        <w:pStyle w:val="Indenta"/>
      </w:pPr>
      <w:r>
        <w:tab/>
        <w:t>(a)</w:t>
      </w:r>
      <w:r>
        <w:tab/>
        <w:t>a claim, case statement, application or other document must not be filed, issued or otherwise dealt with on the request of the person or that no other matter or thing is to be done in the Court or by an officer of the Court for the benefit of the person until the sum ordered to be paid is paid; and</w:t>
      </w:r>
    </w:p>
    <w:p>
      <w:pPr>
        <w:pStyle w:val="Indenta"/>
      </w:pPr>
      <w:r>
        <w:tab/>
        <w:t>(b)</w:t>
      </w:r>
      <w:r>
        <w:tab/>
        <w:t>a claim, case statement, application or other document filed, issued or otherwise dealt with on the request of the person or any other matter or thing done in the Court or by an officer of the Court for the benefit of the person is of no effect until the sum ordered to be paid is paid.</w:t>
      </w:r>
    </w:p>
    <w:p>
      <w:pPr>
        <w:pStyle w:val="Subsection"/>
      </w:pPr>
      <w:r>
        <w:tab/>
        <w:t>(12)</w:t>
      </w:r>
      <w:r>
        <w:tab/>
        <w:t>A person who makes a statement or representation in a declaration under subregulation (6) that the person knows or has reason to believe is false or misleading in a material particular commits an offence.</w:t>
      </w:r>
    </w:p>
    <w:p>
      <w:pPr>
        <w:pStyle w:val="Penstart"/>
      </w:pPr>
      <w:r>
        <w:tab/>
        <w:t>Penalty: $1 000.</w:t>
      </w:r>
    </w:p>
    <w:p>
      <w:pPr>
        <w:pStyle w:val="Heading5"/>
        <w:rPr>
          <w:snapToGrid w:val="0"/>
        </w:rPr>
      </w:pPr>
      <w:bookmarkStart w:id="5" w:name="_Toc377389076"/>
      <w:r>
        <w:rPr>
          <w:rStyle w:val="CharSectno"/>
        </w:rPr>
        <w:t>5</w:t>
      </w:r>
      <w:r>
        <w:t>.</w:t>
      </w:r>
      <w:r>
        <w:tab/>
      </w:r>
      <w:r>
        <w:rPr>
          <w:i/>
          <w:snapToGrid w:val="0"/>
        </w:rPr>
        <w:t xml:space="preserve">Restraining Orders Act 1997 </w:t>
      </w:r>
      <w:r>
        <w:rPr>
          <w:snapToGrid w:val="0"/>
        </w:rPr>
        <w:t>and</w:t>
      </w:r>
      <w:r>
        <w:rPr>
          <w:i/>
          <w:snapToGrid w:val="0"/>
        </w:rPr>
        <w:t xml:space="preserve"> Prohibited Behaviour Orders Act 2010</w:t>
      </w:r>
      <w:r>
        <w:rPr>
          <w:snapToGrid w:val="0"/>
        </w:rPr>
        <w:t>, certain applications under exempt from fees</w:t>
      </w:r>
      <w:bookmarkEnd w:id="5"/>
    </w:p>
    <w:p>
      <w:pPr>
        <w:pStyle w:val="Subsection"/>
        <w:rPr>
          <w:snapToGrid w:val="0"/>
        </w:rPr>
      </w:pPr>
      <w:r>
        <w:rPr>
          <w:snapToGrid w:val="0"/>
        </w:rPr>
        <w:tab/>
      </w:r>
      <w:r>
        <w:rPr>
          <w:snapToGrid w:val="0"/>
        </w:rPr>
        <w:tab/>
        <w:t xml:space="preserve">A fee is not to be charged in respect of — </w:t>
      </w:r>
    </w:p>
    <w:p>
      <w:pPr>
        <w:pStyle w:val="Indenta"/>
      </w:pPr>
      <w:r>
        <w:tab/>
        <w:t>(a)</w:t>
      </w:r>
      <w:r>
        <w:tab/>
      </w:r>
      <w:r>
        <w:rPr>
          <w:snapToGrid w:val="0"/>
        </w:rPr>
        <w:t xml:space="preserve">an application under the </w:t>
      </w:r>
      <w:r>
        <w:rPr>
          <w:i/>
          <w:snapToGrid w:val="0"/>
        </w:rPr>
        <w:t xml:space="preserve">Restraining Orders Act 1997 </w:t>
      </w:r>
      <w:r>
        <w:t>for a violence restraining order or to vary or cancel a restraining order; or</w:t>
      </w:r>
    </w:p>
    <w:p>
      <w:pPr>
        <w:pStyle w:val="Indenta"/>
        <w:keepNext/>
        <w:rPr>
          <w:snapToGrid w:val="0"/>
        </w:rPr>
      </w:pPr>
      <w:r>
        <w:tab/>
        <w:t>(b)</w:t>
      </w:r>
      <w:r>
        <w:tab/>
      </w:r>
      <w:r>
        <w:rPr>
          <w:snapToGrid w:val="0"/>
        </w:rPr>
        <w:t xml:space="preserve">an application under </w:t>
      </w:r>
      <w:r>
        <w:rPr>
          <w:i/>
          <w:snapToGrid w:val="0"/>
        </w:rPr>
        <w:t>Prohibited Behaviour Orders Act 2010</w:t>
      </w:r>
      <w:r>
        <w:rPr>
          <w:snapToGrid w:val="0"/>
        </w:rPr>
        <w:t xml:space="preserve"> for a prohibited behaviour order or to vary or cancel a prohibited behaviour order.</w:t>
      </w:r>
    </w:p>
    <w:p>
      <w:pPr>
        <w:pStyle w:val="Footnotesection"/>
        <w:keepLines w:val="0"/>
      </w:pPr>
      <w:r>
        <w:tab/>
        <w:t>[Regulation 5 inserted in Gazette 27 Mar 2012 p. 1507.]</w:t>
      </w:r>
    </w:p>
    <w:p>
      <w:pPr>
        <w:pStyle w:val="Heading5"/>
      </w:pPr>
      <w:bookmarkStart w:id="6" w:name="_Toc377389077"/>
      <w:r>
        <w:rPr>
          <w:rStyle w:val="CharSectno"/>
        </w:rPr>
        <w:t>6</w:t>
      </w:r>
      <w:r>
        <w:t>.</w:t>
      </w:r>
      <w:r>
        <w:tab/>
        <w:t>Some fees subject to conditions or must be waived</w:t>
      </w:r>
      <w:bookmarkEnd w:id="6"/>
    </w:p>
    <w:p>
      <w:pPr>
        <w:pStyle w:val="Subsection"/>
        <w:keepNext/>
        <w:keepLines/>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pPr>
      <w:r>
        <w:tab/>
        <w:t>(3)</w:t>
      </w:r>
      <w:r>
        <w:tab/>
        <w:t xml:space="preserve">If — </w:t>
      </w:r>
    </w:p>
    <w:p>
      <w:pPr>
        <w:pStyle w:val="Indenta"/>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pPr>
      <w:r>
        <w:tab/>
      </w:r>
      <w:r>
        <w:tab/>
        <w:t>the appropriate prescribed fees are payable only upon conviction of and recovery from the accused or the making of a restraining order and recovery from the respondent.</w:t>
      </w:r>
    </w:p>
    <w:p>
      <w:pPr>
        <w:pStyle w:val="Subsection"/>
      </w:pPr>
      <w:r>
        <w:tab/>
        <w:t>(4)</w:t>
      </w:r>
      <w:r>
        <w:tab/>
        <w:t xml:space="preserve">A registrar must, in the case where — </w:t>
      </w:r>
    </w:p>
    <w:p>
      <w:pPr>
        <w:pStyle w:val="Indenta"/>
      </w:pPr>
      <w:r>
        <w:tab/>
        <w:t>(a)</w:t>
      </w:r>
      <w:r>
        <w:tab/>
        <w:t>a respondent requests a copy of an application, either personally or by counsel or solicitor; and</w:t>
      </w:r>
    </w:p>
    <w:p>
      <w:pPr>
        <w:pStyle w:val="Indenta"/>
      </w:pPr>
      <w:r>
        <w:tab/>
        <w:t>(b)</w:t>
      </w:r>
      <w:r>
        <w:tab/>
        <w:t>the Court has not made a decision in relation to the application; and</w:t>
      </w:r>
    </w:p>
    <w:p>
      <w:pPr>
        <w:pStyle w:val="Indenta"/>
        <w:keepNext/>
      </w:pPr>
      <w:r>
        <w:tab/>
        <w:t>(c)</w:t>
      </w:r>
      <w:r>
        <w:tab/>
        <w:t>the respondent has not previously obtained a copy of the application under this subregulation,</w:t>
      </w:r>
    </w:p>
    <w:p>
      <w:pPr>
        <w:pStyle w:val="Subsection"/>
      </w:pPr>
      <w:r>
        <w:tab/>
      </w:r>
      <w:r>
        <w:tab/>
        <w:t>waive the fee for a copy of the application.</w:t>
      </w:r>
    </w:p>
    <w:p>
      <w:pPr>
        <w:pStyle w:val="Heading5"/>
        <w:rPr>
          <w:snapToGrid w:val="0"/>
        </w:rPr>
      </w:pPr>
      <w:bookmarkStart w:id="7" w:name="_Toc377389078"/>
      <w:r>
        <w:rPr>
          <w:rStyle w:val="CharSectno"/>
        </w:rPr>
        <w:t>7</w:t>
      </w:r>
      <w:r>
        <w:t>.</w:t>
      </w:r>
      <w:r>
        <w:tab/>
      </w:r>
      <w:r>
        <w:rPr>
          <w:rStyle w:val="CharSectno"/>
        </w:rPr>
        <w:t>F</w:t>
      </w:r>
      <w:r>
        <w:rPr>
          <w:snapToGrid w:val="0"/>
        </w:rPr>
        <w:t>ees to be paid before documents etc. filed</w:t>
      </w:r>
      <w:bookmarkEnd w:id="7"/>
    </w:p>
    <w:p>
      <w:pPr>
        <w:pStyle w:val="Subsection"/>
      </w:pPr>
      <w:r>
        <w:tab/>
        <w:t>(1)</w:t>
      </w:r>
      <w:r>
        <w:tab/>
        <w:t>This regulation applies to proceedings in the Court’s civil jurisdiction.</w:t>
      </w:r>
    </w:p>
    <w:p>
      <w:pPr>
        <w:pStyle w:val="Subsection"/>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 xml:space="preserve">a </w:t>
      </w:r>
      <w:r>
        <w:t xml:space="preserve">claim, </w:t>
      </w:r>
      <w:r>
        <w:rPr>
          <w:snapToGrid w:val="0"/>
        </w:rPr>
        <w:t>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 xml:space="preserve">unless the fee, if any, payable upon or in respect of filing, sealing, issuing or otherwise dealing with that </w:t>
      </w:r>
      <w:r>
        <w:t xml:space="preserve">claim, </w:t>
      </w:r>
      <w:r>
        <w:rPr>
          <w:snapToGrid w:val="0"/>
        </w:rPr>
        <w:t>application or other document or upon or in respect of the doing of that matter or thing, has been paid.</w:t>
      </w:r>
    </w:p>
    <w:p>
      <w:pPr>
        <w:pStyle w:val="Heading5"/>
        <w:rPr>
          <w:snapToGrid w:val="0"/>
        </w:rPr>
      </w:pPr>
      <w:bookmarkStart w:id="8" w:name="_Toc377389079"/>
      <w:r>
        <w:rPr>
          <w:rStyle w:val="CharSectno"/>
        </w:rPr>
        <w:t>8</w:t>
      </w:r>
      <w:r>
        <w:t>.</w:t>
      </w:r>
      <w:r>
        <w:tab/>
        <w:t>Financial hardship etc., waiving etc. fees in cases of</w:t>
      </w:r>
      <w:bookmarkEnd w:id="8"/>
    </w:p>
    <w:p>
      <w:pPr>
        <w:pStyle w:val="Subsection"/>
      </w:pPr>
      <w:r>
        <w:tab/>
        <w:t>(1)</w:t>
      </w:r>
      <w:r>
        <w:tab/>
        <w:t>This regulation does not apply to a fee referred to in Schedule 1 Division 1 items 2 and 3 and Division 2 item 9.</w:t>
      </w:r>
    </w:p>
    <w:p>
      <w:pPr>
        <w:pStyle w:val="Subsection"/>
        <w:rPr>
          <w:snapToGrid w:val="0"/>
        </w:rPr>
      </w:pPr>
      <w:r>
        <w:rPr>
          <w:snapToGrid w:val="0"/>
        </w:rPr>
        <w:tab/>
        <w:t>(2)</w:t>
      </w:r>
      <w:r>
        <w:rPr>
          <w:snapToGrid w:val="0"/>
        </w:rPr>
        <w:tab/>
        <w:t xml:space="preserve">The Court or a registrar may, in a particular case for </w:t>
      </w:r>
      <w:r>
        <w:t>financial hardship or if it is in the interests of justice to do so,</w:t>
      </w:r>
      <w:r>
        <w:rPr>
          <w:snapToGrid w:val="0"/>
        </w:rPr>
        <w:t xml:space="preserve"> direct — </w:t>
      </w:r>
    </w:p>
    <w:p>
      <w:pPr>
        <w:pStyle w:val="Indenta"/>
        <w:rPr>
          <w:snapToGrid w:val="0"/>
        </w:rPr>
      </w:pPr>
      <w:r>
        <w:rPr>
          <w:snapToGrid w:val="0"/>
        </w:rPr>
        <w:tab/>
        <w:t>(a)</w:t>
      </w:r>
      <w:r>
        <w:rPr>
          <w:snapToGrid w:val="0"/>
        </w:rPr>
        <w:tab/>
        <w:t>that a fee or fees be waived or reduced; or</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(3)</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or a registrar may direct that the payment of the whole or a part of a fee in relation to the filing of a claim,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(5)</w:t>
      </w:r>
      <w:r>
        <w:tab/>
        <w:t>The payment of a fee referred to in Schedule 1 Division 2 items 1</w:t>
      </w:r>
      <w:r>
        <w:noBreakHyphen/>
        <w:t xml:space="preserve">3, 7, 10 and 11 and Division 3 items 1 and 2 must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(6)</w:t>
      </w:r>
      <w:r>
        <w:rPr>
          <w:snapToGrid w:val="0"/>
        </w:rPr>
        <w:tab/>
      </w:r>
      <w:r>
        <w:t>Except as otherwise directed by a registrar, an application for a fee or fees to be waived, reduced, refunded or deferred must be in the form of Form 2.</w:t>
      </w:r>
    </w:p>
    <w:p>
      <w:pPr>
        <w:pStyle w:val="Subsection"/>
      </w:pPr>
      <w:r>
        <w:tab/>
        <w:t>(7)</w:t>
      </w:r>
      <w:r>
        <w:tab/>
        <w:t>Form 2 must be completed in accordance with the directions specified in it.</w:t>
      </w:r>
    </w:p>
    <w:p>
      <w:pPr>
        <w:pStyle w:val="Subsection"/>
      </w:pPr>
      <w:r>
        <w:tab/>
        <w:t>(8)</w:t>
      </w:r>
      <w:r>
        <w:tab/>
        <w:t>If an application under subregulation (2) is dealt with by a registrar, the registrar may, before determining the application, require the applicant to provide the registrar with such further information as the registrar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or a registrar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14.</w:t>
      </w:r>
    </w:p>
    <w:p>
      <w:pPr>
        <w:pStyle w:val="Subsection"/>
      </w:pPr>
      <w:r>
        <w:tab/>
        <w:t>(12)</w:t>
      </w:r>
      <w:r>
        <w:tab/>
        <w:t>Despite the provisions of these regulations, a fee is not to be charged in respect of an application under subregulation (2).</w:t>
      </w:r>
    </w:p>
    <w:p>
      <w:pPr>
        <w:pStyle w:val="Footnotesection"/>
      </w:pPr>
      <w:r>
        <w:tab/>
        <w:t xml:space="preserve">[Regulation 8 amended in Gazette </w:t>
      </w:r>
      <w:r>
        <w:rPr>
          <w:szCs w:val="24"/>
        </w:rPr>
        <w:t>8 Mar 2011 p. 788.]</w:t>
      </w:r>
    </w:p>
    <w:p>
      <w:pPr>
        <w:pStyle w:val="Heading5"/>
        <w:rPr>
          <w:snapToGrid w:val="0"/>
        </w:rPr>
      </w:pPr>
      <w:bookmarkStart w:id="9" w:name="_Toc377389080"/>
      <w:r>
        <w:rPr>
          <w:rStyle w:val="CharSectno"/>
        </w:rPr>
        <w:t>9</w:t>
      </w:r>
      <w:r>
        <w:t>.</w:t>
      </w:r>
      <w:r>
        <w:tab/>
      </w:r>
      <w:r>
        <w:rPr>
          <w:snapToGrid w:val="0"/>
        </w:rPr>
        <w:t>Conventions</w:t>
      </w:r>
      <w:bookmarkEnd w:id="9"/>
      <w:r>
        <w:rPr>
          <w:snapToGrid w:val="0"/>
        </w:rPr>
        <w:t xml:space="preserve"> </w:t>
      </w:r>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10" w:name="_Toc377389081"/>
      <w:r>
        <w:rPr>
          <w:rStyle w:val="CharSectno"/>
        </w:rPr>
        <w:t>10</w:t>
      </w:r>
      <w:r>
        <w:t>.</w:t>
      </w:r>
      <w:r>
        <w:tab/>
        <w:t>Fee for allocation of hearing dates etc. (Sch. 1 Div. 2 it. 5), when to be paid</w:t>
      </w:r>
      <w:bookmarkEnd w:id="10"/>
    </w:p>
    <w:p>
      <w:pPr>
        <w:pStyle w:val="Subsection"/>
      </w:pPr>
      <w:r>
        <w:tab/>
      </w:r>
      <w:r>
        <w:tab/>
        <w:t>The fee referred to in Schedule 1 Division 2 item 5 or so much of it as has not been waived or reduced under regulation 8 must be paid immediately after the Court determines the number of days to be allocated for the hearing.</w:t>
      </w:r>
    </w:p>
    <w:p>
      <w:pPr>
        <w:pStyle w:val="Heading5"/>
      </w:pPr>
      <w:bookmarkStart w:id="11" w:name="_Toc377389082"/>
      <w:r>
        <w:rPr>
          <w:rStyle w:val="CharSectno"/>
        </w:rPr>
        <w:t>11</w:t>
      </w:r>
      <w:r>
        <w:t>.</w:t>
      </w:r>
      <w:r>
        <w:tab/>
        <w:t>Half daily hearing fee (Sch. 1 Div. 2 it. 6)</w:t>
      </w:r>
      <w:bookmarkEnd w:id="11"/>
    </w:p>
    <w:p>
      <w:pPr>
        <w:pStyle w:val="Subsection"/>
      </w:pPr>
      <w:r>
        <w:tab/>
      </w:r>
      <w:r>
        <w:tab/>
        <w:t>If a fee is to be paid under Schedule 1 Division 2 item 6, the hearing is not to be reconvened until that fee has been paid or so much of it as has not been waived or reduced under regulation 8 has been paid.</w:t>
      </w:r>
    </w:p>
    <w:p>
      <w:pPr>
        <w:pStyle w:val="Heading5"/>
      </w:pPr>
      <w:bookmarkStart w:id="12" w:name="_Toc377389083"/>
      <w:r>
        <w:rPr>
          <w:rStyle w:val="CharSectno"/>
        </w:rPr>
        <w:t>12</w:t>
      </w:r>
      <w:r>
        <w:t>.</w:t>
      </w:r>
      <w:r>
        <w:tab/>
        <w:t>Court information, fees for</w:t>
      </w:r>
      <w:bookmarkEnd w:id="12"/>
    </w:p>
    <w:p>
      <w:pPr>
        <w:pStyle w:val="Subsection"/>
      </w:pPr>
      <w:r>
        <w:tab/>
      </w:r>
      <w:r>
        <w:tab/>
        <w:t xml:space="preserve">A person to whom information is provided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 is liable to —</w:t>
      </w:r>
    </w:p>
    <w:p>
      <w:pPr>
        <w:pStyle w:val="Indenta"/>
      </w:pPr>
      <w:r>
        <w:tab/>
        <w:t>(a)</w:t>
      </w:r>
      <w:r>
        <w:tab/>
        <w:t>if the information is not provided by email — a fee in the amount referred to in Schedule 1 Division 1 item 5(a) for each case specified in the information;</w:t>
      </w:r>
    </w:p>
    <w:p>
      <w:pPr>
        <w:pStyle w:val="Indenta"/>
      </w:pPr>
      <w:r>
        <w:tab/>
        <w:t>(b)</w:t>
      </w:r>
      <w:r>
        <w:tab/>
        <w:t>if the information is provided by email — an annual fee in the amount referred to in Schedule 1 Division 1 item 5(b) for all information provided in the relevant year.</w:t>
      </w:r>
    </w:p>
    <w:p>
      <w:pPr>
        <w:pStyle w:val="Footnotesection"/>
      </w:pPr>
      <w:r>
        <w:tab/>
        <w:t>[Regulation 12 inserted in Gazette 22 Aug 2008 p. 3670.]</w:t>
      </w:r>
    </w:p>
    <w:p>
      <w:pPr>
        <w:pStyle w:val="Heading5"/>
      </w:pPr>
      <w:bookmarkStart w:id="13" w:name="_Toc377389084"/>
      <w:r>
        <w:rPr>
          <w:rStyle w:val="CharSectno"/>
        </w:rPr>
        <w:t>13</w:t>
      </w:r>
      <w:r>
        <w:t>.</w:t>
      </w:r>
      <w:r>
        <w:tab/>
        <w:t>Disputes as to fees, determination of</w:t>
      </w:r>
      <w:bookmarkEnd w:id="13"/>
    </w:p>
    <w:p>
      <w:pPr>
        <w:pStyle w:val="Subsection"/>
      </w:pPr>
      <w:r>
        <w:tab/>
        <w:t>(1)</w:t>
      </w:r>
      <w:r>
        <w:tab/>
        <w:t>If a question arises as to the fee payable or applicable in a particular case, that question is to be determined by the Principal Registrar of the Court.</w:t>
      </w:r>
    </w:p>
    <w:p>
      <w:pPr>
        <w:pStyle w:val="Subsection"/>
      </w:pPr>
      <w:r>
        <w:tab/>
        <w:t>(2)</w:t>
      </w:r>
      <w:r>
        <w:tab/>
        <w:t>An application for a determination under subregulation (1) is to be in the form of Form 3.</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14" w:name="_Toc377389085"/>
      <w:r>
        <w:rPr>
          <w:rStyle w:val="CharSectno"/>
        </w:rPr>
        <w:t>14</w:t>
      </w:r>
      <w:r>
        <w:t>.</w:t>
      </w:r>
      <w:r>
        <w:tab/>
        <w:t>Unpaid fees, recovery of</w:t>
      </w:r>
      <w:bookmarkEnd w:id="14"/>
    </w:p>
    <w:p>
      <w:pPr>
        <w:pStyle w:val="Subsection"/>
      </w:pPr>
      <w:r>
        <w:tab/>
      </w:r>
      <w:r>
        <w:tab/>
        <w:t>Any unpaid fee is a debt due to the State and may be recovered by action in a court of competent jurisdiction.</w:t>
      </w:r>
    </w:p>
    <w:p>
      <w:pPr>
        <w:pStyle w:val="Heading5"/>
      </w:pPr>
      <w:bookmarkStart w:id="15" w:name="_Toc377389086"/>
      <w:r>
        <w:rPr>
          <w:rStyle w:val="CharSectno"/>
        </w:rPr>
        <w:t>15</w:t>
      </w:r>
      <w:r>
        <w:t>.</w:t>
      </w:r>
      <w:r>
        <w:tab/>
        <w:t>Transitional provisions</w:t>
      </w:r>
      <w:bookmarkEnd w:id="15"/>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these regulations come into operation.</w:t>
      </w:r>
    </w:p>
    <w:p>
      <w:pPr>
        <w:pStyle w:val="Subsection"/>
      </w:pPr>
      <w:r>
        <w:tab/>
        <w:t>(2)</w:t>
      </w:r>
      <w:r>
        <w:tab/>
        <w:t xml:space="preserve">A fee is not to be charged under Schedule 1 Division 2 item 5 or 6 in respect of days allocated for a hearing if — </w:t>
      </w:r>
    </w:p>
    <w:p>
      <w:pPr>
        <w:pStyle w:val="Indenta"/>
      </w:pPr>
      <w:r>
        <w:tab/>
        <w:t>(a)</w:t>
      </w:r>
      <w:r>
        <w:tab/>
        <w:t>the case was part heard before the commencement day; or</w:t>
      </w:r>
    </w:p>
    <w:p>
      <w:pPr>
        <w:pStyle w:val="Indenta"/>
      </w:pPr>
      <w:r>
        <w:tab/>
        <w:t>(b)</w:t>
      </w:r>
      <w:r>
        <w:tab/>
        <w:t>the case is one for which hearing days had been allocated before the commencement day; or</w:t>
      </w:r>
    </w:p>
    <w:p>
      <w:pPr>
        <w:pStyle w:val="Indenta"/>
      </w:pPr>
      <w:r>
        <w:tab/>
        <w:t>(c)</w:t>
      </w:r>
      <w:r>
        <w:tab/>
        <w:t xml:space="preserve">dates for a hearing were allocated before the commencement day, the hearing did not proceed on those dates on a </w:t>
      </w:r>
      <w:smartTag w:uri="urn:schemas-microsoft-com:office:smarttags" w:element="Street">
        <w:smartTag w:uri="urn:schemas-microsoft-com:office:smarttags" w:element="address">
          <w:r>
            <w:t>Local Court</w:t>
          </w:r>
        </w:smartTag>
      </w:smartTag>
      <w:r>
        <w:t>’s or the Court’s own motion, and the Court has allocated other hearing dates on or after the commencement day.</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6" w:name="_Toc377389087"/>
      <w:r>
        <w:rPr>
          <w:rStyle w:val="CharSchNo"/>
        </w:rPr>
        <w:t>Schedule 1</w:t>
      </w:r>
      <w:r>
        <w:t> — </w:t>
      </w:r>
      <w:r>
        <w:rPr>
          <w:rStyle w:val="CharSchText"/>
        </w:rPr>
        <w:t>Fees</w:t>
      </w:r>
      <w:bookmarkEnd w:id="16"/>
    </w:p>
    <w:p>
      <w:pPr>
        <w:pStyle w:val="yShoulderClause"/>
      </w:pPr>
      <w:r>
        <w:t>[r. 4]</w:t>
      </w:r>
    </w:p>
    <w:p>
      <w:pPr>
        <w:pStyle w:val="yFootnoteheading"/>
      </w:pPr>
      <w:r>
        <w:tab/>
        <w:t>[Heading inserted in Gazette 4 Sep 2009 p. 3473.]</w:t>
      </w:r>
    </w:p>
    <w:p>
      <w:pPr>
        <w:pStyle w:val="yHeading3"/>
      </w:pPr>
      <w:bookmarkStart w:id="17" w:name="_Toc377389088"/>
      <w:r>
        <w:rPr>
          <w:rStyle w:val="CharSDivNo"/>
        </w:rPr>
        <w:t>Division 1</w:t>
      </w:r>
      <w:r>
        <w:t> — </w:t>
      </w:r>
      <w:r>
        <w:rPr>
          <w:rStyle w:val="CharSDivText"/>
        </w:rPr>
        <w:t>General</w:t>
      </w:r>
      <w:bookmarkEnd w:id="17"/>
    </w:p>
    <w:p>
      <w:pPr>
        <w:pStyle w:val="yFootnoteheading"/>
        <w:spacing w:after="120"/>
      </w:pPr>
      <w:r>
        <w:tab/>
        <w:t>[Heading inserted in Gazette 4 Sep 2009 p. 3473.]</w:t>
      </w:r>
    </w:p>
    <w:tbl>
      <w:tblPr>
        <w:tblW w:w="6662" w:type="dxa"/>
        <w:tblInd w:w="250" w:type="dxa"/>
        <w:tblLayout w:type="fixed"/>
        <w:tblLook w:val="0000" w:firstRow="0" w:lastRow="0" w:firstColumn="0" w:lastColumn="0" w:noHBand="0" w:noVBand="0"/>
      </w:tblPr>
      <w:tblGrid>
        <w:gridCol w:w="709"/>
        <w:gridCol w:w="4669"/>
        <w:gridCol w:w="1284"/>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4669" w:type="dxa"/>
            <w:tcBorders>
              <w:top w:val="single" w:sz="4" w:space="0" w:color="auto"/>
              <w:bottom w:val="single" w:sz="4" w:space="0" w:color="auto"/>
            </w:tcBorders>
          </w:tcPr>
          <w:p>
            <w:pPr>
              <w:pStyle w:val="yTableNAm"/>
              <w:jc w:val="center"/>
              <w:rPr>
                <w:b/>
                <w:bCs/>
              </w:rPr>
            </w:pPr>
            <w:r>
              <w:rPr>
                <w:b/>
                <w:bCs/>
              </w:rPr>
              <w:t>Matter</w:t>
            </w:r>
          </w:p>
        </w:tc>
        <w:tc>
          <w:tcPr>
            <w:tcW w:w="1284" w:type="dxa"/>
            <w:tcBorders>
              <w:top w:val="single" w:sz="4" w:space="0" w:color="auto"/>
              <w:bottom w:val="single" w:sz="4" w:space="0" w:color="auto"/>
            </w:tcBorders>
          </w:tcPr>
          <w:p>
            <w:pPr>
              <w:pStyle w:val="yTableNAm"/>
              <w:jc w:val="center"/>
              <w:rPr>
                <w:b/>
                <w:bCs/>
              </w:rPr>
            </w:pPr>
            <w:r>
              <w:rPr>
                <w:b/>
                <w:bCs/>
              </w:rPr>
              <w:t>$</w:t>
            </w:r>
          </w:p>
        </w:tc>
      </w:tr>
      <w:tr>
        <w:trPr>
          <w:cantSplit/>
        </w:trPr>
        <w:tc>
          <w:tcPr>
            <w:tcW w:w="709" w:type="dxa"/>
            <w:tcBorders>
              <w:top w:val="single" w:sz="4" w:space="0" w:color="auto"/>
            </w:tcBorders>
          </w:tcPr>
          <w:p>
            <w:pPr>
              <w:pStyle w:val="yTableNAm"/>
            </w:pPr>
            <w:r>
              <w:t>1.</w:t>
            </w:r>
          </w:p>
        </w:tc>
        <w:tc>
          <w:tcPr>
            <w:tcW w:w="4669" w:type="dxa"/>
            <w:tcBorders>
              <w:top w:val="single" w:sz="4" w:space="0" w:color="auto"/>
            </w:tcBorders>
          </w:tcPr>
          <w:p>
            <w:pPr>
              <w:pStyle w:val="yTableNAm"/>
              <w:tabs>
                <w:tab w:val="clear" w:pos="567"/>
                <w:tab w:val="left" w:pos="601"/>
              </w:tabs>
              <w:ind w:left="601" w:hanging="601"/>
            </w:pPr>
            <w:r>
              <w:t>(a)</w:t>
            </w:r>
            <w:r>
              <w:tab/>
              <w:t>for every order or conviction drawn up in the Court’s criminal jurisdiction;</w:t>
            </w:r>
          </w:p>
          <w:p>
            <w:pPr>
              <w:pStyle w:val="yTableNAm"/>
              <w:tabs>
                <w:tab w:val="clear" w:pos="567"/>
                <w:tab w:val="left" w:pos="601"/>
              </w:tabs>
              <w:ind w:left="601" w:hanging="601"/>
            </w:pPr>
            <w:r>
              <w:t>(b)</w:t>
            </w:r>
            <w:r>
              <w:tab/>
              <w:t>issue of a duplicate document or order</w:t>
            </w:r>
          </w:p>
        </w:tc>
        <w:tc>
          <w:tcPr>
            <w:tcW w:w="1284" w:type="dxa"/>
            <w:tcBorders>
              <w:top w:val="single" w:sz="4" w:space="0" w:color="auto"/>
            </w:tcBorders>
            <w:vAlign w:val="bottom"/>
          </w:tcPr>
          <w:p>
            <w:pPr>
              <w:pStyle w:val="yTableNAm"/>
              <w:tabs>
                <w:tab w:val="clear" w:pos="567"/>
                <w:tab w:val="center" w:pos="558"/>
              </w:tabs>
            </w:pPr>
            <w:r>
              <w:rPr>
                <w:szCs w:val="22"/>
              </w:rPr>
              <w:tab/>
              <w:t>14.50</w:t>
            </w:r>
          </w:p>
        </w:tc>
      </w:tr>
      <w:tr>
        <w:trPr>
          <w:cantSplit/>
        </w:trPr>
        <w:tc>
          <w:tcPr>
            <w:tcW w:w="709" w:type="dxa"/>
          </w:tcPr>
          <w:p>
            <w:pPr>
              <w:pStyle w:val="yTableNAm"/>
            </w:pPr>
            <w:r>
              <w:t>2.</w:t>
            </w:r>
          </w:p>
        </w:tc>
        <w:tc>
          <w:tcPr>
            <w:tcW w:w="4669" w:type="dxa"/>
          </w:tcPr>
          <w:p>
            <w:pPr>
              <w:pStyle w:val="yTableNAm"/>
            </w:pPr>
            <w:r>
              <w:t>For the service of any application, summons, originating process, notice or order of the Court or any other process requiring service</w:t>
            </w:r>
          </w:p>
        </w:tc>
        <w:tc>
          <w:tcPr>
            <w:tcW w:w="1284" w:type="dxa"/>
            <w:vAlign w:val="bottom"/>
          </w:tcPr>
          <w:p>
            <w:pPr>
              <w:pStyle w:val="yTableNAm"/>
              <w:tabs>
                <w:tab w:val="clear" w:pos="567"/>
                <w:tab w:val="center" w:pos="558"/>
              </w:tabs>
            </w:pPr>
            <w:r>
              <w:rPr>
                <w:szCs w:val="22"/>
              </w:rPr>
              <w:tab/>
              <w:t>55.00</w:t>
            </w:r>
          </w:p>
        </w:tc>
      </w:tr>
      <w:tr>
        <w:trPr>
          <w:cantSplit/>
        </w:trPr>
        <w:tc>
          <w:tcPr>
            <w:tcW w:w="6662" w:type="dxa"/>
            <w:gridSpan w:val="3"/>
          </w:tcPr>
          <w:p>
            <w:pPr>
              <w:pStyle w:val="yTableNAm"/>
            </w:pPr>
            <w:r>
              <w:t>NOTE</w:t>
            </w:r>
            <w:r>
              <w:br/>
              <w:t>The fee is payable whether or not the service is successful and covers up to 3 attempts at service at the same address.</w:t>
            </w:r>
          </w:p>
        </w:tc>
      </w:tr>
      <w:tr>
        <w:trPr>
          <w:cantSplit/>
        </w:trPr>
        <w:tc>
          <w:tcPr>
            <w:tcW w:w="709" w:type="dxa"/>
          </w:tcPr>
          <w:p>
            <w:pPr>
              <w:pStyle w:val="yTableNAm"/>
              <w:jc w:val="center"/>
            </w:pPr>
            <w:r>
              <w:t>3.</w:t>
            </w:r>
          </w:p>
        </w:tc>
        <w:tc>
          <w:tcPr>
            <w:tcW w:w="4669" w:type="dxa"/>
          </w:tcPr>
          <w:p>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p>
            <w:pPr>
              <w:pStyle w:val="yTableNAm"/>
              <w:tabs>
                <w:tab w:val="clear" w:pos="567"/>
                <w:tab w:val="left" w:pos="601"/>
              </w:tabs>
              <w:ind w:left="601" w:hanging="601"/>
            </w:pPr>
            <w:r>
              <w:t>(a)</w:t>
            </w:r>
            <w:r>
              <w:tab/>
              <w:t>for each kilometre travelled (one way) in the metropolitan area;</w:t>
            </w:r>
          </w:p>
          <w:p>
            <w:pPr>
              <w:pStyle w:val="yTableNAm"/>
              <w:tabs>
                <w:tab w:val="clear" w:pos="567"/>
                <w:tab w:val="left" w:pos="601"/>
              </w:tabs>
              <w:ind w:left="601" w:hanging="601"/>
            </w:pPr>
            <w:r>
              <w:t>(b)</w:t>
            </w:r>
            <w:r>
              <w:tab/>
              <w:t>for each kilometre travelled (one way) outside the metropolitan area.</w:t>
            </w:r>
          </w:p>
        </w:tc>
        <w:tc>
          <w:tcPr>
            <w:tcW w:w="1284" w:type="dxa"/>
          </w:tcPr>
          <w:p>
            <w:pPr>
              <w:pStyle w:val="yTableNAm"/>
              <w:jc w:val="center"/>
            </w:pPr>
            <w:r>
              <w:br/>
            </w:r>
            <w:r>
              <w:br/>
            </w:r>
            <w:r>
              <w:br/>
            </w:r>
            <w:r>
              <w:br/>
            </w:r>
            <w:r>
              <w:br/>
            </w:r>
          </w:p>
          <w:p>
            <w:pPr>
              <w:pStyle w:val="yTableNAm"/>
              <w:tabs>
                <w:tab w:val="clear" w:pos="567"/>
                <w:tab w:val="decimal" w:pos="585"/>
              </w:tabs>
            </w:pPr>
            <w:r>
              <w:br/>
            </w:r>
            <w:r>
              <w:rPr>
                <w:szCs w:val="22"/>
              </w:rPr>
              <w:t>1.40</w:t>
            </w:r>
          </w:p>
          <w:p>
            <w:pPr>
              <w:pStyle w:val="yTableNAm"/>
              <w:tabs>
                <w:tab w:val="clear" w:pos="567"/>
                <w:tab w:val="decimal" w:pos="585"/>
              </w:tabs>
            </w:pPr>
            <w:r>
              <w:br/>
            </w:r>
            <w:r>
              <w:rPr>
                <w:szCs w:val="22"/>
              </w:rPr>
              <w:t>1.55</w:t>
            </w:r>
          </w:p>
        </w:tc>
      </w:tr>
      <w:tr>
        <w:trPr>
          <w:cantSplit/>
        </w:trPr>
        <w:tc>
          <w:tcPr>
            <w:tcW w:w="6662" w:type="dxa"/>
            <w:gridSpan w:val="3"/>
          </w:tcPr>
          <w:p>
            <w:pPr>
              <w:pStyle w:val="yTableNAm"/>
            </w:pPr>
            <w:r>
              <w:t>NOTE</w:t>
            </w:r>
            <w:r>
              <w:br/>
              <w:t>If more than one process or document is executed or served by an enforcement officer at the same time on the same person or on different persons at the same address, only one allowance for kilometres is chargeable.</w:t>
            </w:r>
          </w:p>
        </w:tc>
      </w:tr>
      <w:tr>
        <w:trPr>
          <w:cantSplit/>
        </w:trPr>
        <w:tc>
          <w:tcPr>
            <w:tcW w:w="709" w:type="dxa"/>
          </w:tcPr>
          <w:p>
            <w:pPr>
              <w:pStyle w:val="yTableNAm"/>
              <w:jc w:val="center"/>
            </w:pPr>
            <w:r>
              <w:t>4.</w:t>
            </w:r>
          </w:p>
        </w:tc>
        <w:tc>
          <w:tcPr>
            <w:tcW w:w="4669" w:type="dxa"/>
          </w:tcPr>
          <w:p>
            <w:pPr>
              <w:pStyle w:val="yTableNAm"/>
              <w:tabs>
                <w:tab w:val="clear" w:pos="567"/>
                <w:tab w:val="left" w:pos="601"/>
              </w:tabs>
              <w:ind w:left="601" w:hanging="601"/>
            </w:pPr>
            <w:r>
              <w:t>(a)</w:t>
            </w:r>
            <w:r>
              <w:tab/>
              <w:t>for searching any record or proceeding other than a search by or on behalf of a party to the proceedings in the Court’s civil jurisdiction</w:t>
            </w:r>
          </w:p>
          <w:p>
            <w:pPr>
              <w:pStyle w:val="yTableNAm"/>
              <w:tabs>
                <w:tab w:val="clear" w:pos="567"/>
                <w:tab w:val="left" w:pos="601"/>
              </w:tabs>
              <w:ind w:left="601" w:hanging="601"/>
            </w:pPr>
            <w:r>
              <w:t>(b)</w:t>
            </w:r>
            <w:r>
              <w:tab/>
              <w:t>listening to or viewing any electronic recording that requires supervision by an officer of the Court, a search fee of</w:t>
            </w:r>
          </w:p>
          <w:p>
            <w:pPr>
              <w:pStyle w:val="yTableNAm"/>
            </w:pPr>
            <w:r>
              <w:t>And in addition to the search fee, for each hour of the officer’s time</w:t>
            </w:r>
          </w:p>
        </w:tc>
        <w:tc>
          <w:tcPr>
            <w:tcW w:w="1284" w:type="dxa"/>
          </w:tcPr>
          <w:p>
            <w:pPr>
              <w:pStyle w:val="yTableNAm"/>
              <w:tabs>
                <w:tab w:val="clear" w:pos="567"/>
                <w:tab w:val="decimal" w:pos="585"/>
              </w:tabs>
              <w:rPr>
                <w:szCs w:val="22"/>
              </w:rPr>
            </w:pPr>
            <w:r>
              <w:br/>
            </w:r>
            <w:r>
              <w:br/>
            </w:r>
            <w:r>
              <w:br/>
            </w:r>
            <w:r>
              <w:rPr>
                <w:szCs w:val="22"/>
              </w:rPr>
              <w:t>31.90</w:t>
            </w:r>
          </w:p>
          <w:p>
            <w:pPr>
              <w:pStyle w:val="yTableNAm"/>
              <w:tabs>
                <w:tab w:val="clear" w:pos="567"/>
                <w:tab w:val="decimal" w:pos="585"/>
              </w:tabs>
              <w:rPr>
                <w:szCs w:val="22"/>
              </w:rPr>
            </w:pPr>
            <w:r>
              <w:rPr>
                <w:szCs w:val="22"/>
              </w:rPr>
              <w:br/>
            </w:r>
            <w:r>
              <w:rPr>
                <w:szCs w:val="22"/>
              </w:rPr>
              <w:br/>
              <w:t>31.90</w:t>
            </w:r>
          </w:p>
          <w:p>
            <w:pPr>
              <w:pStyle w:val="yTableNAm"/>
              <w:tabs>
                <w:tab w:val="clear" w:pos="567"/>
                <w:tab w:val="decimal" w:pos="585"/>
              </w:tabs>
            </w:pPr>
            <w:r>
              <w:rPr>
                <w:szCs w:val="22"/>
              </w:rPr>
              <w:br/>
              <w:t>79.00</w:t>
            </w:r>
          </w:p>
        </w:tc>
      </w:tr>
      <w:tr>
        <w:trPr>
          <w:cantSplit/>
        </w:trPr>
        <w:tc>
          <w:tcPr>
            <w:tcW w:w="6662" w:type="dxa"/>
            <w:gridSpan w:val="3"/>
          </w:tcPr>
          <w:p>
            <w:pPr>
              <w:pStyle w:val="yTableNAm"/>
            </w:pPr>
            <w:r>
              <w:t>NOTE</w:t>
            </w:r>
            <w:r>
              <w:br/>
              <w:t xml:space="preserve">Item 4(a) does not apply in relation to information provided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w:t>
            </w:r>
          </w:p>
        </w:tc>
      </w:tr>
      <w:tr>
        <w:trPr>
          <w:cantSplit/>
        </w:trPr>
        <w:tc>
          <w:tcPr>
            <w:tcW w:w="709" w:type="dxa"/>
          </w:tcPr>
          <w:p>
            <w:pPr>
              <w:pStyle w:val="yTableNAm"/>
              <w:jc w:val="center"/>
            </w:pPr>
            <w:r>
              <w:t>5.</w:t>
            </w:r>
          </w:p>
        </w:tc>
        <w:tc>
          <w:tcPr>
            <w:tcW w:w="4669" w:type="dxa"/>
          </w:tcPr>
          <w:p>
            <w:pPr>
              <w:pStyle w:val="yTableNAm"/>
            </w:pPr>
            <w:r>
              <w:t xml:space="preserve">For provision of information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 — </w:t>
            </w:r>
          </w:p>
          <w:p>
            <w:pPr>
              <w:pStyle w:val="yTableNAm"/>
              <w:tabs>
                <w:tab w:val="clear" w:pos="567"/>
                <w:tab w:val="left" w:pos="601"/>
              </w:tabs>
              <w:ind w:left="601" w:hanging="601"/>
            </w:pPr>
            <w:r>
              <w:t>(a)</w:t>
            </w:r>
            <w:r>
              <w:tab/>
              <w:t>fee per case specified in the information</w:t>
            </w:r>
          </w:p>
          <w:p>
            <w:pPr>
              <w:pStyle w:val="yTableNAm"/>
              <w:tabs>
                <w:tab w:val="clear" w:pos="567"/>
                <w:tab w:val="left" w:pos="601"/>
              </w:tabs>
              <w:ind w:left="601" w:hanging="601"/>
            </w:pPr>
            <w:r>
              <w:t>(b)</w:t>
            </w:r>
            <w:r>
              <w:tab/>
              <w:t>annual fee for information provided by email to approved recipient</w:t>
            </w:r>
          </w:p>
        </w:tc>
        <w:tc>
          <w:tcPr>
            <w:tcW w:w="1284" w:type="dxa"/>
          </w:tcPr>
          <w:p>
            <w:pPr>
              <w:pStyle w:val="yTableNAm"/>
              <w:jc w:val="center"/>
            </w:pPr>
            <w:r>
              <w:br/>
            </w:r>
            <w:r>
              <w:br/>
            </w:r>
          </w:p>
          <w:p>
            <w:pPr>
              <w:pStyle w:val="yTableNAm"/>
              <w:tabs>
                <w:tab w:val="clear" w:pos="567"/>
                <w:tab w:val="decimal" w:pos="585"/>
              </w:tabs>
              <w:rPr>
                <w:szCs w:val="22"/>
              </w:rPr>
            </w:pPr>
            <w:r>
              <w:rPr>
                <w:szCs w:val="22"/>
              </w:rPr>
              <w:t>1.40</w:t>
            </w:r>
          </w:p>
          <w:p>
            <w:pPr>
              <w:pStyle w:val="yTableNAm"/>
              <w:tabs>
                <w:tab w:val="clear" w:pos="567"/>
                <w:tab w:val="left" w:pos="252"/>
                <w:tab w:val="decimal" w:pos="585"/>
              </w:tabs>
              <w:ind w:left="-99" w:right="-30"/>
            </w:pPr>
            <w:r>
              <w:rPr>
                <w:szCs w:val="22"/>
              </w:rPr>
              <w:br/>
              <w:t>45 865.00</w:t>
            </w:r>
          </w:p>
        </w:tc>
      </w:tr>
      <w:tr>
        <w:trPr>
          <w:cantSplit/>
        </w:trPr>
        <w:tc>
          <w:tcPr>
            <w:tcW w:w="6662" w:type="dxa"/>
            <w:gridSpan w:val="3"/>
          </w:tcPr>
          <w:p>
            <w:pPr>
              <w:pStyle w:val="yTableNAm"/>
            </w:pPr>
            <w:r>
              <w:t>NOTE</w:t>
            </w:r>
            <w:r>
              <w:br/>
              <w:t>The fee under item 5(b) is payable on the date on which the recipient is approved by the Attorney General and on each anniversary of that date.</w:t>
            </w:r>
          </w:p>
        </w:tc>
      </w:tr>
      <w:tr>
        <w:trPr>
          <w:cantSplit/>
        </w:trPr>
        <w:tc>
          <w:tcPr>
            <w:tcW w:w="709" w:type="dxa"/>
          </w:tcPr>
          <w:p>
            <w:pPr>
              <w:pStyle w:val="yTableNAm"/>
              <w:jc w:val="center"/>
            </w:pPr>
            <w:r>
              <w:t>6.</w:t>
            </w:r>
          </w:p>
        </w:tc>
        <w:tc>
          <w:tcPr>
            <w:tcW w:w="4669" w:type="dxa"/>
          </w:tcPr>
          <w:p>
            <w:pPr>
              <w:pStyle w:val="yTableNAm"/>
              <w:tabs>
                <w:tab w:val="clear" w:pos="567"/>
                <w:tab w:val="left" w:pos="601"/>
              </w:tabs>
              <w:ind w:left="601" w:hanging="601"/>
            </w:pPr>
            <w:r>
              <w:t>(a)</w:t>
            </w:r>
            <w:r>
              <w:tab/>
              <w:t>on an application or summons for the production of records or documents that are required to be produced to any court, tribunal, arbitrator or umpire</w:t>
            </w:r>
          </w:p>
          <w:p>
            <w:pPr>
              <w:pStyle w:val="yTableNAm"/>
              <w:tabs>
                <w:tab w:val="clear" w:pos="567"/>
                <w:tab w:val="left" w:pos="601"/>
              </w:tabs>
              <w:ind w:left="601" w:hanging="601"/>
            </w:pPr>
            <w:r>
              <w:t>(b)</w:t>
            </w:r>
            <w:r>
              <w:tab/>
              <w:t>if an officer is required to attend at any court or place out of the Court building where the officer is based, the officer’s reasonable expenses and, in addition for each hour when the officer is necessarily absent from his or her office</w:t>
            </w:r>
          </w:p>
        </w:tc>
        <w:tc>
          <w:tcPr>
            <w:tcW w:w="1284" w:type="dxa"/>
          </w:tcPr>
          <w:p>
            <w:pPr>
              <w:pStyle w:val="yTableNAm"/>
              <w:tabs>
                <w:tab w:val="clear" w:pos="567"/>
                <w:tab w:val="decimal" w:pos="585"/>
              </w:tabs>
            </w:pPr>
            <w:r>
              <w:br/>
            </w:r>
            <w:r>
              <w:br/>
            </w:r>
            <w:r>
              <w:br/>
            </w:r>
            <w:r>
              <w:rPr>
                <w:szCs w:val="22"/>
              </w:rPr>
              <w:t>46.90</w:t>
            </w:r>
          </w:p>
          <w:p>
            <w:pPr>
              <w:pStyle w:val="yTableNAm"/>
              <w:tabs>
                <w:tab w:val="clear" w:pos="567"/>
                <w:tab w:val="decimal" w:pos="585"/>
              </w:tabs>
            </w:pPr>
            <w:r>
              <w:br/>
            </w:r>
            <w:r>
              <w:br/>
            </w:r>
            <w:r>
              <w:br/>
            </w:r>
            <w:r>
              <w:br/>
            </w:r>
            <w:r>
              <w:br/>
            </w:r>
            <w:r>
              <w:rPr>
                <w:szCs w:val="22"/>
              </w:rPr>
              <w:t>79.00</w:t>
            </w:r>
          </w:p>
        </w:tc>
      </w:tr>
      <w:tr>
        <w:tc>
          <w:tcPr>
            <w:tcW w:w="709" w:type="dxa"/>
          </w:tcPr>
          <w:p>
            <w:pPr>
              <w:pStyle w:val="yTableNAm"/>
              <w:keepNext/>
              <w:jc w:val="center"/>
            </w:pPr>
            <w:r>
              <w:t>7.</w:t>
            </w:r>
          </w:p>
        </w:tc>
        <w:tc>
          <w:tcPr>
            <w:tcW w:w="4669" w:type="dxa"/>
          </w:tcPr>
          <w:p>
            <w:pPr>
              <w:pStyle w:val="yTableNAm"/>
              <w:keepNext/>
              <w:tabs>
                <w:tab w:val="clear" w:pos="567"/>
                <w:tab w:val="left" w:pos="601"/>
              </w:tabs>
              <w:ind w:left="601" w:hanging="601"/>
            </w:pPr>
            <w:r>
              <w:t>(a)</w:t>
            </w:r>
            <w:r>
              <w:tab/>
              <w:t>copies of documents or exhibits for each page or part of a page</w:t>
            </w:r>
          </w:p>
          <w:p>
            <w:pPr>
              <w:pStyle w:val="yTableNAm"/>
              <w:keepNext/>
              <w:tabs>
                <w:tab w:val="clear" w:pos="567"/>
                <w:tab w:val="left" w:pos="601"/>
              </w:tabs>
              <w:ind w:left="601" w:hanging="601"/>
            </w:pPr>
            <w:r>
              <w:t>(b)</w:t>
            </w:r>
            <w:r>
              <w:tab/>
              <w:t xml:space="preserve">for a copy of reasons for judgment — </w:t>
            </w:r>
          </w:p>
          <w:p>
            <w:pPr>
              <w:pStyle w:val="yTableNAm"/>
              <w:keepNext/>
              <w:tabs>
                <w:tab w:val="left" w:pos="1081"/>
              </w:tabs>
              <w:ind w:left="1081" w:hanging="1081"/>
            </w:pPr>
            <w:r>
              <w:tab/>
              <w:t>(i)</w:t>
            </w:r>
            <w:r>
              <w:tab/>
              <w:t>for each copy consisting of not more than 10 pages issued to a person not a party to the proceedings and for each copy in excess of one copy issued to a party to the proceedings</w:t>
            </w:r>
          </w:p>
          <w:p>
            <w:pPr>
              <w:pStyle w:val="yTableNAm"/>
              <w:keepNext/>
              <w:tabs>
                <w:tab w:val="left" w:pos="1081"/>
              </w:tabs>
              <w:ind w:left="1081" w:hanging="1081"/>
            </w:pPr>
            <w:r>
              <w:rPr>
                <w:spacing w:val="-4"/>
              </w:rPr>
              <w:tab/>
              <w:t>(ii)</w:t>
            </w:r>
            <w:r>
              <w:rPr>
                <w:spacing w:val="-4"/>
              </w:rPr>
              <w:tab/>
              <w:t>for each copy consisting of 10 or more pages an additional fee per page of</w:t>
            </w:r>
          </w:p>
          <w:p>
            <w:pPr>
              <w:pStyle w:val="yTableNAm"/>
              <w:keepNext/>
              <w:tabs>
                <w:tab w:val="clear" w:pos="567"/>
                <w:tab w:val="left" w:pos="601"/>
              </w:tabs>
              <w:ind w:left="601" w:hanging="601"/>
            </w:pPr>
            <w:r>
              <w:t>(c)</w:t>
            </w:r>
            <w:r>
              <w:tab/>
              <w:t>for certifying that a document is a true copy, an additional fee of</w:t>
            </w:r>
          </w:p>
        </w:tc>
        <w:tc>
          <w:tcPr>
            <w:tcW w:w="1284" w:type="dxa"/>
          </w:tcPr>
          <w:p>
            <w:pPr>
              <w:pStyle w:val="yTableNAm"/>
              <w:tabs>
                <w:tab w:val="clear" w:pos="567"/>
                <w:tab w:val="decimal" w:pos="585"/>
              </w:tabs>
              <w:rPr>
                <w:szCs w:val="22"/>
              </w:rPr>
            </w:pPr>
            <w:r>
              <w:br/>
            </w:r>
            <w:r>
              <w:rPr>
                <w:szCs w:val="22"/>
              </w:rPr>
              <w:t>1.50</w:t>
            </w:r>
          </w:p>
          <w:p>
            <w:pPr>
              <w:pStyle w:val="yTableNAm"/>
              <w:tabs>
                <w:tab w:val="clear" w:pos="567"/>
                <w:tab w:val="decimal" w:pos="585"/>
              </w:tabs>
              <w:rPr>
                <w:szCs w:val="22"/>
              </w:rPr>
            </w:pPr>
            <w:r>
              <w:rPr>
                <w:szCs w:val="22"/>
              </w:rPr>
              <w:br/>
            </w:r>
          </w:p>
          <w:p>
            <w:pPr>
              <w:pStyle w:val="yTableNAm"/>
              <w:tabs>
                <w:tab w:val="clear" w:pos="567"/>
                <w:tab w:val="decimal" w:pos="585"/>
              </w:tabs>
              <w:rPr>
                <w:szCs w:val="22"/>
              </w:rPr>
            </w:pPr>
            <w:r>
              <w:rPr>
                <w:szCs w:val="22"/>
              </w:rPr>
              <w:br/>
            </w:r>
            <w:r>
              <w:rPr>
                <w:szCs w:val="22"/>
              </w:rPr>
              <w:br/>
            </w:r>
            <w:r>
              <w:rPr>
                <w:szCs w:val="22"/>
              </w:rPr>
              <w:br/>
              <w:t>11.10</w:t>
            </w:r>
          </w:p>
          <w:p>
            <w:pPr>
              <w:pStyle w:val="yTableNAm"/>
              <w:tabs>
                <w:tab w:val="clear" w:pos="567"/>
                <w:tab w:val="decimal" w:pos="585"/>
              </w:tabs>
              <w:rPr>
                <w:szCs w:val="22"/>
              </w:rPr>
            </w:pPr>
            <w:r>
              <w:rPr>
                <w:szCs w:val="22"/>
              </w:rPr>
              <w:br/>
              <w:t>1.40</w:t>
            </w:r>
          </w:p>
          <w:p>
            <w:pPr>
              <w:pStyle w:val="yTableNAm"/>
              <w:tabs>
                <w:tab w:val="clear" w:pos="567"/>
                <w:tab w:val="decimal" w:pos="585"/>
              </w:tabs>
            </w:pPr>
            <w:r>
              <w:rPr>
                <w:szCs w:val="22"/>
              </w:rPr>
              <w:br/>
              <w:t>15.35</w:t>
            </w:r>
          </w:p>
        </w:tc>
      </w:tr>
      <w:tr>
        <w:trPr>
          <w:cantSplit/>
        </w:trPr>
        <w:tc>
          <w:tcPr>
            <w:tcW w:w="6662" w:type="dxa"/>
            <w:gridSpan w:val="3"/>
          </w:tcPr>
          <w:p>
            <w:pPr>
              <w:pStyle w:val="yTableNAm"/>
            </w:pPr>
            <w:r>
              <w:t>NOTE</w:t>
            </w:r>
            <w:r>
              <w:br/>
              <w:t>Fee under item 7(a) for a copy of an application is not payable where circumstances under regulation 6(4) exist.</w:t>
            </w:r>
          </w:p>
        </w:tc>
      </w:tr>
      <w:tr>
        <w:trPr>
          <w:cantSplit/>
        </w:trPr>
        <w:tc>
          <w:tcPr>
            <w:tcW w:w="709" w:type="dxa"/>
          </w:tcPr>
          <w:p>
            <w:pPr>
              <w:pStyle w:val="yTableNAm"/>
              <w:jc w:val="center"/>
            </w:pPr>
            <w:r>
              <w:t>8.</w:t>
            </w:r>
          </w:p>
        </w:tc>
        <w:tc>
          <w:tcPr>
            <w:tcW w:w="4669" w:type="dxa"/>
          </w:tcPr>
          <w:p>
            <w:pPr>
              <w:pStyle w:val="yTableNAm"/>
              <w:tabs>
                <w:tab w:val="clear" w:pos="567"/>
                <w:tab w:val="left" w:pos="601"/>
              </w:tabs>
              <w:ind w:left="601" w:hanging="601"/>
            </w:pPr>
            <w:r>
              <w:t>(a)</w:t>
            </w:r>
            <w:r>
              <w:tab/>
              <w:t>for a copy of a transcript or notes of evidence, for each page or part of a page</w:t>
            </w:r>
          </w:p>
          <w:p>
            <w:pPr>
              <w:pStyle w:val="yTableNAm"/>
              <w:tabs>
                <w:tab w:val="clear" w:pos="567"/>
                <w:tab w:val="left" w:pos="601"/>
              </w:tabs>
              <w:ind w:left="601" w:hanging="601"/>
            </w:pPr>
            <w:r>
              <w:t>(b)</w:t>
            </w:r>
            <w:r>
              <w:tab/>
            </w:r>
            <w:r>
              <w:rPr>
                <w:spacing w:val="-4"/>
              </w:rPr>
              <w:t>for each copy of a transcript or notes of evidence in electronic format if a fee has been paid under paragraph (a) by the applicant for a copy of the transcript, for each day of transcript</w:t>
            </w:r>
          </w:p>
          <w:p>
            <w:pPr>
              <w:pStyle w:val="yTableNAm"/>
              <w:tabs>
                <w:tab w:val="clear" w:pos="567"/>
                <w:tab w:val="left" w:pos="601"/>
              </w:tabs>
              <w:ind w:left="601" w:hanging="601"/>
            </w:pPr>
            <w:r>
              <w:t>(c)</w:t>
            </w:r>
            <w:r>
              <w:tab/>
              <w:t>for each copy of a transcript or notes of evidence not in electronic format if a fee has been paid under paragraph (a) by the applicant for a copy of the transcript or notes, for each page or part of a page</w:t>
            </w:r>
          </w:p>
        </w:tc>
        <w:tc>
          <w:tcPr>
            <w:tcW w:w="1284" w:type="dxa"/>
          </w:tcPr>
          <w:p>
            <w:pPr>
              <w:pStyle w:val="yTableNAm"/>
              <w:tabs>
                <w:tab w:val="clear" w:pos="567"/>
                <w:tab w:val="decimal" w:pos="585"/>
              </w:tabs>
              <w:rPr>
                <w:szCs w:val="22"/>
              </w:rPr>
            </w:pPr>
            <w:r>
              <w:br/>
            </w:r>
            <w:r>
              <w:rPr>
                <w:szCs w:val="22"/>
              </w:rPr>
              <w:t>6.20</w:t>
            </w:r>
          </w:p>
          <w:p>
            <w:pPr>
              <w:pStyle w:val="yTableNAm"/>
              <w:tabs>
                <w:tab w:val="clear" w:pos="567"/>
                <w:tab w:val="decimal" w:pos="585"/>
              </w:tabs>
              <w:rPr>
                <w:szCs w:val="22"/>
              </w:rPr>
            </w:pPr>
            <w:r>
              <w:rPr>
                <w:szCs w:val="22"/>
              </w:rPr>
              <w:br/>
            </w:r>
            <w:r>
              <w:rPr>
                <w:szCs w:val="22"/>
              </w:rPr>
              <w:br/>
            </w:r>
            <w:r>
              <w:rPr>
                <w:szCs w:val="22"/>
              </w:rPr>
              <w:br/>
            </w:r>
            <w:r>
              <w:rPr>
                <w:szCs w:val="22"/>
              </w:rPr>
              <w:br/>
              <w:t>15.35</w:t>
            </w:r>
          </w:p>
          <w:p>
            <w:pPr>
              <w:pStyle w:val="yTableNAm"/>
              <w:tabs>
                <w:tab w:val="clear" w:pos="567"/>
                <w:tab w:val="decimal" w:pos="585"/>
              </w:tabs>
            </w:pPr>
            <w:r>
              <w:rPr>
                <w:szCs w:val="22"/>
              </w:rPr>
              <w:br/>
            </w:r>
            <w:r>
              <w:rPr>
                <w:szCs w:val="22"/>
              </w:rPr>
              <w:br/>
            </w:r>
            <w:r>
              <w:rPr>
                <w:szCs w:val="22"/>
              </w:rPr>
              <w:br/>
            </w:r>
            <w:r>
              <w:rPr>
                <w:szCs w:val="22"/>
              </w:rPr>
              <w:br/>
              <w:t>1.50</w:t>
            </w:r>
          </w:p>
        </w:tc>
      </w:tr>
      <w:tr>
        <w:trPr>
          <w:cantSplit/>
        </w:trPr>
        <w:tc>
          <w:tcPr>
            <w:tcW w:w="6662" w:type="dxa"/>
            <w:gridSpan w:val="3"/>
          </w:tcPr>
          <w:p>
            <w:pPr>
              <w:pStyle w:val="yTableNAm"/>
            </w:pPr>
            <w:r>
              <w:t>NOTE 1</w:t>
            </w:r>
            <w:r>
              <w:br/>
              <w:t>A minimum fee of $22.00</w:t>
            </w:r>
            <w:r>
              <w:rPr>
                <w:szCs w:val="22"/>
              </w:rPr>
              <w:t xml:space="preserve"> </w:t>
            </w:r>
            <w:r>
              <w:t>is payable under item 8(a).</w:t>
            </w:r>
          </w:p>
        </w:tc>
      </w:tr>
      <w:tr>
        <w:trPr>
          <w:cantSplit/>
        </w:trPr>
        <w:tc>
          <w:tcPr>
            <w:tcW w:w="6662" w:type="dxa"/>
            <w:gridSpan w:val="3"/>
          </w:tcPr>
          <w:p>
            <w:pPr>
              <w:pStyle w:val="yTableNAm"/>
              <w:keepNext/>
            </w:pPr>
            <w:r>
              <w:t>NOTE 2</w:t>
            </w:r>
            <w:r>
              <w:br/>
              <w:t>Fees under this item are payable in the case of an indictable offence dealt with summarily.</w:t>
            </w:r>
          </w:p>
        </w:tc>
      </w:tr>
    </w:tbl>
    <w:p>
      <w:pPr>
        <w:pStyle w:val="yFootnotesection"/>
      </w:pPr>
      <w:r>
        <w:tab/>
        <w:t>[Division 1 inserted in Gazette 4 Sep 2009 p. 3473-5; amended in Gazette 8 Mar 2011 p. 788; 20 Dec 2011 p. 5388; 30 Nov 2012 p. 5791</w:t>
      </w:r>
      <w:r>
        <w:noBreakHyphen/>
        <w:t>2; 15 Nov 2013 p. 5248-9.]</w:t>
      </w:r>
    </w:p>
    <w:p>
      <w:pPr>
        <w:pStyle w:val="yHeading3"/>
        <w:keepLines/>
      </w:pPr>
      <w:bookmarkStart w:id="18" w:name="_Toc377389089"/>
      <w:r>
        <w:rPr>
          <w:rStyle w:val="CharSDivNo"/>
        </w:rPr>
        <w:t>Division 2</w:t>
      </w:r>
      <w:r>
        <w:rPr>
          <w:b w:val="0"/>
        </w:rPr>
        <w:t> — </w:t>
      </w:r>
      <w:r>
        <w:rPr>
          <w:rStyle w:val="CharSDivText"/>
        </w:rPr>
        <w:t>Civil jurisdiction</w:t>
      </w:r>
      <w:bookmarkEnd w:id="18"/>
    </w:p>
    <w:p>
      <w:pPr>
        <w:pStyle w:val="yFootnoteheading"/>
        <w:keepNext/>
        <w:keepLines/>
        <w:spacing w:after="120"/>
      </w:pPr>
      <w:r>
        <w:tab/>
        <w:t>[Heading inserted in Gazette 4 Sep 2009 p. 3475.]</w:t>
      </w:r>
    </w:p>
    <w:tbl>
      <w:tblPr>
        <w:tblW w:w="7116" w:type="dxa"/>
        <w:tblInd w:w="57" w:type="dxa"/>
        <w:tblLayout w:type="fixed"/>
        <w:tblCellMar>
          <w:left w:w="85" w:type="dxa"/>
          <w:right w:w="85" w:type="dxa"/>
        </w:tblCellMar>
        <w:tblLook w:val="0000" w:firstRow="0" w:lastRow="0" w:firstColumn="0" w:lastColumn="0" w:noHBand="0" w:noVBand="0"/>
      </w:tblPr>
      <w:tblGrid>
        <w:gridCol w:w="595"/>
        <w:gridCol w:w="33"/>
        <w:gridCol w:w="1385"/>
        <w:gridCol w:w="45"/>
        <w:gridCol w:w="10"/>
        <w:gridCol w:w="795"/>
        <w:gridCol w:w="45"/>
        <w:gridCol w:w="806"/>
        <w:gridCol w:w="850"/>
        <w:gridCol w:w="851"/>
        <w:gridCol w:w="850"/>
        <w:gridCol w:w="851"/>
      </w:tblGrid>
      <w:tr>
        <w:trPr>
          <w:cantSplit/>
          <w:tblHeader/>
        </w:trPr>
        <w:tc>
          <w:tcPr>
            <w:tcW w:w="628" w:type="dxa"/>
            <w:gridSpan w:val="2"/>
            <w:tcBorders>
              <w:top w:val="single" w:sz="4" w:space="0" w:color="auto"/>
              <w:bottom w:val="single" w:sz="4" w:space="0" w:color="auto"/>
            </w:tcBorders>
          </w:tcPr>
          <w:p>
            <w:pPr>
              <w:pStyle w:val="yTableNAm"/>
              <w:keepNext/>
              <w:keepLines/>
              <w:jc w:val="center"/>
              <w:rPr>
                <w:b/>
                <w:bCs/>
                <w:sz w:val="18"/>
              </w:rPr>
            </w:pPr>
            <w:r>
              <w:rPr>
                <w:b/>
                <w:bCs/>
                <w:sz w:val="18"/>
              </w:rPr>
              <w:t>Item</w:t>
            </w:r>
          </w:p>
        </w:tc>
        <w:tc>
          <w:tcPr>
            <w:tcW w:w="1440" w:type="dxa"/>
            <w:gridSpan w:val="3"/>
            <w:tcBorders>
              <w:top w:val="single" w:sz="4" w:space="0" w:color="auto"/>
              <w:bottom w:val="single" w:sz="4" w:space="0" w:color="auto"/>
            </w:tcBorders>
          </w:tcPr>
          <w:p>
            <w:pPr>
              <w:pStyle w:val="yTableNAm"/>
              <w:keepNext/>
              <w:keepLines/>
              <w:jc w:val="center"/>
              <w:rPr>
                <w:b/>
                <w:bCs/>
                <w:sz w:val="18"/>
              </w:rPr>
            </w:pPr>
            <w:r>
              <w:rPr>
                <w:b/>
                <w:bCs/>
                <w:sz w:val="18"/>
              </w:rPr>
              <w:t>Matter</w:t>
            </w:r>
          </w:p>
        </w:tc>
        <w:tc>
          <w:tcPr>
            <w:tcW w:w="1646" w:type="dxa"/>
            <w:gridSpan w:val="3"/>
            <w:tcBorders>
              <w:top w:val="single" w:sz="4" w:space="0" w:color="auto"/>
              <w:bottom w:val="single" w:sz="4" w:space="0" w:color="auto"/>
            </w:tcBorders>
          </w:tcPr>
          <w:p>
            <w:pPr>
              <w:pStyle w:val="yTableNAm"/>
              <w:keepNext/>
              <w:keepLines/>
              <w:jc w:val="center"/>
              <w:rPr>
                <w:b/>
                <w:bCs/>
                <w:sz w:val="18"/>
              </w:rPr>
            </w:pPr>
            <w:r>
              <w:rPr>
                <w:b/>
                <w:bCs/>
                <w:sz w:val="18"/>
              </w:rPr>
              <w:t>Claim not exceeding $10 000</w:t>
            </w:r>
          </w:p>
        </w:tc>
        <w:tc>
          <w:tcPr>
            <w:tcW w:w="1701" w:type="dxa"/>
            <w:gridSpan w:val="2"/>
            <w:tcBorders>
              <w:top w:val="single" w:sz="4" w:space="0" w:color="auto"/>
              <w:bottom w:val="single" w:sz="4" w:space="0" w:color="auto"/>
            </w:tcBorders>
          </w:tcPr>
          <w:p>
            <w:pPr>
              <w:pStyle w:val="yTableNAm"/>
              <w:keepNext/>
              <w:keepLines/>
              <w:jc w:val="center"/>
              <w:rPr>
                <w:b/>
                <w:bCs/>
                <w:sz w:val="18"/>
              </w:rPr>
            </w:pPr>
            <w:r>
              <w:rPr>
                <w:b/>
                <w:bCs/>
                <w:sz w:val="18"/>
              </w:rPr>
              <w:t>Claim exceeding $10 000 but not exceeding $50 000</w:t>
            </w:r>
          </w:p>
        </w:tc>
        <w:tc>
          <w:tcPr>
            <w:tcW w:w="1701" w:type="dxa"/>
            <w:gridSpan w:val="2"/>
            <w:tcBorders>
              <w:top w:val="single" w:sz="4" w:space="0" w:color="auto"/>
              <w:bottom w:val="single" w:sz="4" w:space="0" w:color="auto"/>
            </w:tcBorders>
          </w:tcPr>
          <w:p>
            <w:pPr>
              <w:pStyle w:val="yTableNAm"/>
              <w:keepNext/>
              <w:keepLines/>
              <w:jc w:val="center"/>
              <w:rPr>
                <w:b/>
                <w:bCs/>
                <w:sz w:val="18"/>
              </w:rPr>
            </w:pPr>
            <w:r>
              <w:rPr>
                <w:b/>
                <w:bCs/>
                <w:sz w:val="18"/>
              </w:rPr>
              <w:t>Claim exceeding $50 000</w:t>
            </w:r>
          </w:p>
        </w:tc>
      </w:tr>
      <w:tr>
        <w:trPr>
          <w:cantSplit/>
          <w:tblHeader/>
        </w:trPr>
        <w:tc>
          <w:tcPr>
            <w:tcW w:w="628" w:type="dxa"/>
            <w:gridSpan w:val="2"/>
            <w:tcBorders>
              <w:top w:val="single" w:sz="4" w:space="0" w:color="auto"/>
              <w:bottom w:val="single" w:sz="4" w:space="0" w:color="auto"/>
            </w:tcBorders>
          </w:tcPr>
          <w:p>
            <w:pPr>
              <w:pStyle w:val="yTableNAm"/>
              <w:keepNext/>
              <w:keepLines/>
              <w:jc w:val="center"/>
              <w:rPr>
                <w:b/>
                <w:bCs/>
                <w:sz w:val="14"/>
              </w:rPr>
            </w:pPr>
          </w:p>
        </w:tc>
        <w:tc>
          <w:tcPr>
            <w:tcW w:w="1440" w:type="dxa"/>
            <w:gridSpan w:val="3"/>
            <w:tcBorders>
              <w:top w:val="single" w:sz="4" w:space="0" w:color="auto"/>
              <w:bottom w:val="single" w:sz="4" w:space="0" w:color="auto"/>
            </w:tcBorders>
          </w:tcPr>
          <w:p>
            <w:pPr>
              <w:pStyle w:val="yTableNAm"/>
              <w:keepNext/>
              <w:keepLines/>
              <w:jc w:val="center"/>
              <w:rPr>
                <w:b/>
                <w:bCs/>
                <w:sz w:val="14"/>
              </w:rPr>
            </w:pPr>
          </w:p>
        </w:tc>
        <w:tc>
          <w:tcPr>
            <w:tcW w:w="840" w:type="dxa"/>
            <w:gridSpan w:val="2"/>
            <w:tcBorders>
              <w:top w:val="single" w:sz="4" w:space="0" w:color="auto"/>
              <w:bottom w:val="single" w:sz="4" w:space="0" w:color="auto"/>
            </w:tcBorders>
          </w:tcPr>
          <w:p>
            <w:pPr>
              <w:pStyle w:val="yTableNAm"/>
              <w:keepNext/>
              <w:keepLines/>
              <w:jc w:val="center"/>
              <w:rPr>
                <w:b/>
                <w:bCs/>
                <w:sz w:val="14"/>
              </w:rPr>
            </w:pPr>
            <w:r>
              <w:rPr>
                <w:b/>
                <w:bCs/>
                <w:sz w:val="14"/>
              </w:rPr>
              <w:t xml:space="preserve">Individual </w:t>
            </w:r>
            <w:r>
              <w:rPr>
                <w:b/>
                <w:bCs/>
                <w:sz w:val="14"/>
              </w:rPr>
              <w:br/>
              <w:t>$</w:t>
            </w:r>
          </w:p>
        </w:tc>
        <w:tc>
          <w:tcPr>
            <w:tcW w:w="806"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c>
          <w:tcPr>
            <w:tcW w:w="850" w:type="dxa"/>
            <w:tcBorders>
              <w:top w:val="single" w:sz="4" w:space="0" w:color="auto"/>
              <w:bottom w:val="single" w:sz="4" w:space="0" w:color="auto"/>
            </w:tcBorders>
          </w:tcPr>
          <w:p>
            <w:pPr>
              <w:pStyle w:val="yTableNAm"/>
              <w:keepNext/>
              <w:keepLines/>
              <w:jc w:val="center"/>
              <w:rPr>
                <w:b/>
                <w:bCs/>
                <w:sz w:val="14"/>
              </w:rPr>
            </w:pPr>
            <w:r>
              <w:rPr>
                <w:b/>
                <w:bCs/>
                <w:sz w:val="14"/>
              </w:rPr>
              <w:t>Individual $</w:t>
            </w:r>
          </w:p>
        </w:tc>
        <w:tc>
          <w:tcPr>
            <w:tcW w:w="851"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c>
          <w:tcPr>
            <w:tcW w:w="850" w:type="dxa"/>
            <w:tcBorders>
              <w:top w:val="single" w:sz="4" w:space="0" w:color="auto"/>
              <w:bottom w:val="single" w:sz="4" w:space="0" w:color="auto"/>
            </w:tcBorders>
          </w:tcPr>
          <w:p>
            <w:pPr>
              <w:pStyle w:val="yTableNAm"/>
              <w:keepNext/>
              <w:keepLines/>
              <w:jc w:val="center"/>
              <w:rPr>
                <w:b/>
                <w:bCs/>
                <w:sz w:val="14"/>
              </w:rPr>
            </w:pPr>
            <w:r>
              <w:rPr>
                <w:b/>
                <w:bCs/>
                <w:sz w:val="14"/>
              </w:rPr>
              <w:t>Individual $</w:t>
            </w:r>
          </w:p>
        </w:tc>
        <w:tc>
          <w:tcPr>
            <w:tcW w:w="851"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r>
      <w:tr>
        <w:trPr>
          <w:cantSplit/>
        </w:trPr>
        <w:tc>
          <w:tcPr>
            <w:tcW w:w="628" w:type="dxa"/>
            <w:gridSpan w:val="2"/>
            <w:tcBorders>
              <w:top w:val="single" w:sz="4" w:space="0" w:color="auto"/>
            </w:tcBorders>
          </w:tcPr>
          <w:p>
            <w:pPr>
              <w:pStyle w:val="yTableNAm"/>
              <w:keepNext/>
              <w:keepLines/>
              <w:rPr>
                <w:sz w:val="18"/>
              </w:rPr>
            </w:pPr>
            <w:r>
              <w:rPr>
                <w:sz w:val="18"/>
              </w:rPr>
              <w:t>1.</w:t>
            </w:r>
          </w:p>
        </w:tc>
        <w:tc>
          <w:tcPr>
            <w:tcW w:w="1440" w:type="dxa"/>
            <w:gridSpan w:val="3"/>
            <w:tcBorders>
              <w:top w:val="single" w:sz="4" w:space="0" w:color="auto"/>
            </w:tcBorders>
          </w:tcPr>
          <w:p>
            <w:pPr>
              <w:pStyle w:val="yTableNAm"/>
              <w:keepNext/>
              <w:keepLines/>
              <w:rPr>
                <w:sz w:val="18"/>
              </w:rPr>
            </w:pPr>
            <w:r>
              <w:rPr>
                <w:sz w:val="18"/>
              </w:rPr>
              <w:t>On filing any claim or any originating process to commence proceedings in the Court</w:t>
            </w:r>
          </w:p>
        </w:tc>
        <w:tc>
          <w:tcPr>
            <w:tcW w:w="840" w:type="dxa"/>
            <w:gridSpan w:val="2"/>
            <w:tcBorders>
              <w:top w:val="single" w:sz="4" w:space="0" w:color="auto"/>
            </w:tcBorders>
            <w:vAlign w:val="bottom"/>
          </w:tcPr>
          <w:p>
            <w:pPr>
              <w:pStyle w:val="yTableNAm"/>
              <w:keepNext/>
              <w:keepLines/>
              <w:jc w:val="center"/>
              <w:rPr>
                <w:sz w:val="18"/>
                <w:szCs w:val="18"/>
              </w:rPr>
            </w:pPr>
            <w:r>
              <w:rPr>
                <w:sz w:val="18"/>
                <w:szCs w:val="18"/>
              </w:rPr>
              <w:t>92.00</w:t>
            </w:r>
          </w:p>
        </w:tc>
        <w:tc>
          <w:tcPr>
            <w:tcW w:w="806" w:type="dxa"/>
            <w:tcBorders>
              <w:top w:val="single" w:sz="4" w:space="0" w:color="auto"/>
            </w:tcBorders>
            <w:vAlign w:val="bottom"/>
          </w:tcPr>
          <w:p>
            <w:pPr>
              <w:pStyle w:val="yTableNAm"/>
              <w:keepNext/>
              <w:keepLines/>
              <w:jc w:val="center"/>
              <w:rPr>
                <w:sz w:val="18"/>
                <w:szCs w:val="18"/>
              </w:rPr>
            </w:pPr>
            <w:r>
              <w:rPr>
                <w:sz w:val="18"/>
                <w:szCs w:val="18"/>
              </w:rPr>
              <w:t>179.50</w:t>
            </w:r>
          </w:p>
        </w:tc>
        <w:tc>
          <w:tcPr>
            <w:tcW w:w="850" w:type="dxa"/>
            <w:tcBorders>
              <w:top w:val="single" w:sz="4" w:space="0" w:color="auto"/>
            </w:tcBorders>
            <w:vAlign w:val="bottom"/>
          </w:tcPr>
          <w:p>
            <w:pPr>
              <w:pStyle w:val="yTableNAm"/>
              <w:keepNext/>
              <w:keepLines/>
              <w:jc w:val="center"/>
              <w:rPr>
                <w:sz w:val="18"/>
                <w:szCs w:val="18"/>
              </w:rPr>
            </w:pPr>
            <w:r>
              <w:rPr>
                <w:sz w:val="18"/>
                <w:szCs w:val="18"/>
              </w:rPr>
              <w:t>234.00</w:t>
            </w:r>
          </w:p>
        </w:tc>
        <w:tc>
          <w:tcPr>
            <w:tcW w:w="851" w:type="dxa"/>
            <w:tcBorders>
              <w:top w:val="single" w:sz="4" w:space="0" w:color="auto"/>
            </w:tcBorders>
            <w:vAlign w:val="bottom"/>
          </w:tcPr>
          <w:p>
            <w:pPr>
              <w:pStyle w:val="yTableNAm"/>
              <w:keepNext/>
              <w:keepLines/>
              <w:jc w:val="center"/>
              <w:rPr>
                <w:sz w:val="18"/>
                <w:szCs w:val="18"/>
              </w:rPr>
            </w:pPr>
            <w:r>
              <w:rPr>
                <w:sz w:val="18"/>
                <w:szCs w:val="18"/>
              </w:rPr>
              <w:t>458.00</w:t>
            </w:r>
          </w:p>
        </w:tc>
        <w:tc>
          <w:tcPr>
            <w:tcW w:w="850" w:type="dxa"/>
            <w:tcBorders>
              <w:top w:val="single" w:sz="4" w:space="0" w:color="auto"/>
            </w:tcBorders>
            <w:vAlign w:val="bottom"/>
          </w:tcPr>
          <w:p>
            <w:pPr>
              <w:pStyle w:val="yTableNAm"/>
              <w:keepNext/>
              <w:keepLines/>
              <w:jc w:val="center"/>
              <w:rPr>
                <w:sz w:val="18"/>
                <w:szCs w:val="18"/>
              </w:rPr>
            </w:pPr>
            <w:r>
              <w:rPr>
                <w:sz w:val="18"/>
                <w:szCs w:val="18"/>
              </w:rPr>
              <w:t>373.00</w:t>
            </w:r>
          </w:p>
        </w:tc>
        <w:tc>
          <w:tcPr>
            <w:tcW w:w="851" w:type="dxa"/>
            <w:tcBorders>
              <w:top w:val="single" w:sz="4" w:space="0" w:color="auto"/>
            </w:tcBorders>
            <w:vAlign w:val="bottom"/>
          </w:tcPr>
          <w:p>
            <w:pPr>
              <w:pStyle w:val="yTableNAm"/>
              <w:keepNext/>
              <w:keepLines/>
              <w:jc w:val="center"/>
              <w:rPr>
                <w:sz w:val="18"/>
                <w:szCs w:val="18"/>
              </w:rPr>
            </w:pPr>
            <w:r>
              <w:rPr>
                <w:sz w:val="18"/>
                <w:szCs w:val="18"/>
              </w:rPr>
              <w:t>726.00</w:t>
            </w:r>
          </w:p>
        </w:tc>
      </w:tr>
      <w:tr>
        <w:trPr>
          <w:cantSplit/>
        </w:trPr>
        <w:tc>
          <w:tcPr>
            <w:tcW w:w="7116" w:type="dxa"/>
            <w:gridSpan w:val="12"/>
          </w:tcPr>
          <w:p>
            <w:pPr>
              <w:pStyle w:val="yTableNAm"/>
              <w:rPr>
                <w:sz w:val="18"/>
              </w:rPr>
            </w:pPr>
            <w:r>
              <w:rPr>
                <w:sz w:val="18"/>
              </w:rPr>
              <w:t>NOTE</w:t>
            </w:r>
            <w:r>
              <w:rPr>
                <w:sz w:val="18"/>
              </w:rPr>
              <w:br/>
              <w:t>Not payable in respect of applications made under item 10 or 11.</w:t>
            </w:r>
          </w:p>
        </w:tc>
      </w:tr>
      <w:tr>
        <w:trPr>
          <w:cantSplit/>
        </w:trPr>
        <w:tc>
          <w:tcPr>
            <w:tcW w:w="628" w:type="dxa"/>
            <w:gridSpan w:val="2"/>
          </w:tcPr>
          <w:p>
            <w:pPr>
              <w:pStyle w:val="yTableNAm"/>
              <w:rPr>
                <w:sz w:val="18"/>
              </w:rPr>
            </w:pPr>
            <w:r>
              <w:rPr>
                <w:sz w:val="18"/>
              </w:rPr>
              <w:t>2.</w:t>
            </w:r>
          </w:p>
        </w:tc>
        <w:tc>
          <w:tcPr>
            <w:tcW w:w="1430" w:type="dxa"/>
            <w:gridSpan w:val="2"/>
          </w:tcPr>
          <w:p>
            <w:pPr>
              <w:pStyle w:val="yTableNAm"/>
              <w:rPr>
                <w:sz w:val="18"/>
              </w:rPr>
            </w:pPr>
            <w:r>
              <w:rPr>
                <w:sz w:val="18"/>
              </w:rPr>
              <w:t xml:space="preserve">On filing — </w:t>
            </w:r>
          </w:p>
          <w:p>
            <w:pPr>
              <w:pStyle w:val="yTableNAm"/>
              <w:tabs>
                <w:tab w:val="clear" w:pos="567"/>
                <w:tab w:val="left" w:pos="275"/>
              </w:tabs>
              <w:ind w:left="275" w:hanging="275"/>
              <w:rPr>
                <w:sz w:val="18"/>
              </w:rPr>
            </w:pPr>
            <w:r>
              <w:rPr>
                <w:sz w:val="18"/>
              </w:rPr>
              <w:t>(a)</w:t>
            </w:r>
            <w:r>
              <w:rPr>
                <w:sz w:val="18"/>
              </w:rPr>
              <w:tab/>
              <w:t>a counterclaim or a set</w:t>
            </w:r>
            <w:r>
              <w:rPr>
                <w:sz w:val="18"/>
              </w:rPr>
              <w:noBreakHyphen/>
              <w:t>off;</w:t>
            </w:r>
          </w:p>
          <w:p>
            <w:pPr>
              <w:pStyle w:val="yTableNAm"/>
              <w:tabs>
                <w:tab w:val="clear" w:pos="567"/>
                <w:tab w:val="left" w:pos="275"/>
              </w:tabs>
              <w:ind w:left="275" w:hanging="275"/>
              <w:rPr>
                <w:sz w:val="18"/>
              </w:rPr>
            </w:pPr>
            <w:r>
              <w:rPr>
                <w:sz w:val="18"/>
              </w:rPr>
              <w:t>(b)</w:t>
            </w:r>
            <w:r>
              <w:rPr>
                <w:sz w:val="18"/>
              </w:rPr>
              <w:tab/>
              <w:t>a third party claim;</w:t>
            </w:r>
          </w:p>
          <w:p>
            <w:pPr>
              <w:pStyle w:val="yTableNAm"/>
              <w:tabs>
                <w:tab w:val="clear" w:pos="567"/>
                <w:tab w:val="left" w:pos="275"/>
              </w:tabs>
              <w:ind w:left="275" w:hanging="275"/>
              <w:rPr>
                <w:sz w:val="18"/>
              </w:rPr>
            </w:pPr>
            <w:r>
              <w:rPr>
                <w:sz w:val="18"/>
              </w:rPr>
              <w:t>(c)</w:t>
            </w:r>
            <w:r>
              <w:rPr>
                <w:sz w:val="18"/>
              </w:rPr>
              <w:tab/>
              <w:t>any other application for which no fee has been provided for in this Division</w:t>
            </w:r>
          </w:p>
        </w:tc>
        <w:tc>
          <w:tcPr>
            <w:tcW w:w="805" w:type="dxa"/>
            <w:gridSpan w:val="2"/>
            <w:vAlign w:val="bottom"/>
          </w:tcPr>
          <w:p>
            <w:pPr>
              <w:pStyle w:val="yTableNAm"/>
              <w:jc w:val="center"/>
              <w:rPr>
                <w:sz w:val="18"/>
                <w:szCs w:val="18"/>
              </w:rPr>
            </w:pPr>
            <w:r>
              <w:rPr>
                <w:sz w:val="18"/>
                <w:szCs w:val="18"/>
              </w:rPr>
              <w:t>59.50</w:t>
            </w:r>
          </w:p>
        </w:tc>
        <w:tc>
          <w:tcPr>
            <w:tcW w:w="851" w:type="dxa"/>
            <w:gridSpan w:val="2"/>
            <w:vAlign w:val="bottom"/>
          </w:tcPr>
          <w:p>
            <w:pPr>
              <w:pStyle w:val="yTableNAm"/>
              <w:jc w:val="center"/>
              <w:rPr>
                <w:sz w:val="18"/>
                <w:szCs w:val="18"/>
              </w:rPr>
            </w:pPr>
            <w:r>
              <w:rPr>
                <w:sz w:val="18"/>
                <w:szCs w:val="18"/>
              </w:rPr>
              <w:t>116.50</w:t>
            </w:r>
          </w:p>
        </w:tc>
        <w:tc>
          <w:tcPr>
            <w:tcW w:w="850" w:type="dxa"/>
            <w:vAlign w:val="bottom"/>
          </w:tcPr>
          <w:p>
            <w:pPr>
              <w:pStyle w:val="yTableNAm"/>
              <w:jc w:val="center"/>
              <w:rPr>
                <w:sz w:val="18"/>
                <w:szCs w:val="18"/>
              </w:rPr>
            </w:pPr>
            <w:r>
              <w:rPr>
                <w:sz w:val="18"/>
                <w:szCs w:val="18"/>
              </w:rPr>
              <w:t>109.00</w:t>
            </w:r>
          </w:p>
        </w:tc>
        <w:tc>
          <w:tcPr>
            <w:tcW w:w="851" w:type="dxa"/>
            <w:vAlign w:val="bottom"/>
          </w:tcPr>
          <w:p>
            <w:pPr>
              <w:pStyle w:val="yTableNAm"/>
              <w:jc w:val="center"/>
              <w:rPr>
                <w:sz w:val="18"/>
                <w:szCs w:val="18"/>
              </w:rPr>
            </w:pPr>
            <w:r>
              <w:rPr>
                <w:sz w:val="18"/>
                <w:szCs w:val="18"/>
              </w:rPr>
              <w:t>181.50</w:t>
            </w:r>
          </w:p>
        </w:tc>
        <w:tc>
          <w:tcPr>
            <w:tcW w:w="850" w:type="dxa"/>
            <w:vAlign w:val="bottom"/>
          </w:tcPr>
          <w:p>
            <w:pPr>
              <w:pStyle w:val="yTableNAm"/>
              <w:jc w:val="center"/>
              <w:rPr>
                <w:sz w:val="18"/>
                <w:szCs w:val="18"/>
              </w:rPr>
            </w:pPr>
            <w:r>
              <w:rPr>
                <w:sz w:val="18"/>
                <w:szCs w:val="18"/>
              </w:rPr>
              <w:t>174.00</w:t>
            </w:r>
          </w:p>
        </w:tc>
        <w:tc>
          <w:tcPr>
            <w:tcW w:w="851" w:type="dxa"/>
            <w:vAlign w:val="bottom"/>
          </w:tcPr>
          <w:p>
            <w:pPr>
              <w:pStyle w:val="yTableNAm"/>
              <w:jc w:val="center"/>
              <w:rPr>
                <w:sz w:val="18"/>
                <w:szCs w:val="18"/>
              </w:rPr>
            </w:pPr>
            <w:r>
              <w:rPr>
                <w:sz w:val="18"/>
                <w:szCs w:val="18"/>
              </w:rPr>
              <w:t>290.00</w:t>
            </w:r>
          </w:p>
        </w:tc>
      </w:tr>
      <w:tr>
        <w:trPr>
          <w:cantSplit/>
        </w:trPr>
        <w:tc>
          <w:tcPr>
            <w:tcW w:w="628" w:type="dxa"/>
            <w:gridSpan w:val="2"/>
          </w:tcPr>
          <w:p>
            <w:pPr>
              <w:pStyle w:val="yTableNAm"/>
              <w:rPr>
                <w:sz w:val="18"/>
              </w:rPr>
            </w:pPr>
            <w:r>
              <w:rPr>
                <w:sz w:val="18"/>
              </w:rPr>
              <w:t>3.</w:t>
            </w:r>
          </w:p>
        </w:tc>
        <w:tc>
          <w:tcPr>
            <w:tcW w:w="1430" w:type="dxa"/>
            <w:gridSpan w:val="2"/>
          </w:tcPr>
          <w:p>
            <w:pPr>
              <w:pStyle w:val="yTableNAm"/>
              <w:rPr>
                <w:sz w:val="18"/>
              </w:rPr>
            </w:pPr>
            <w:r>
              <w:rPr>
                <w:sz w:val="18"/>
              </w:rPr>
              <w:t>On commencing an appeal</w:t>
            </w:r>
          </w:p>
        </w:tc>
        <w:tc>
          <w:tcPr>
            <w:tcW w:w="805" w:type="dxa"/>
            <w:gridSpan w:val="2"/>
          </w:tcPr>
          <w:p>
            <w:pPr>
              <w:pStyle w:val="yTableNAm"/>
              <w:jc w:val="center"/>
              <w:rPr>
                <w:sz w:val="18"/>
              </w:rPr>
            </w:pPr>
            <w:r>
              <w:rPr>
                <w:sz w:val="18"/>
              </w:rPr>
              <w:br/>
            </w:r>
            <w:r>
              <w:rPr>
                <w:sz w:val="18"/>
                <w:szCs w:val="18"/>
              </w:rPr>
              <w:t>30.70</w:t>
            </w:r>
          </w:p>
        </w:tc>
        <w:tc>
          <w:tcPr>
            <w:tcW w:w="851" w:type="dxa"/>
            <w:gridSpan w:val="2"/>
          </w:tcPr>
          <w:p>
            <w:pPr>
              <w:pStyle w:val="yTableNAm"/>
              <w:jc w:val="center"/>
              <w:rPr>
                <w:sz w:val="18"/>
              </w:rPr>
            </w:pPr>
            <w:r>
              <w:rPr>
                <w:sz w:val="18"/>
              </w:rPr>
              <w:br/>
            </w:r>
            <w:r>
              <w:rPr>
                <w:sz w:val="18"/>
                <w:szCs w:val="18"/>
              </w:rPr>
              <w:t>79.00</w:t>
            </w:r>
          </w:p>
        </w:tc>
        <w:tc>
          <w:tcPr>
            <w:tcW w:w="850" w:type="dxa"/>
          </w:tcPr>
          <w:p>
            <w:pPr>
              <w:pStyle w:val="yTableNAm"/>
              <w:jc w:val="center"/>
              <w:rPr>
                <w:sz w:val="18"/>
              </w:rPr>
            </w:pPr>
            <w:r>
              <w:rPr>
                <w:sz w:val="18"/>
              </w:rPr>
              <w:br/>
            </w:r>
            <w:r>
              <w:rPr>
                <w:sz w:val="18"/>
                <w:szCs w:val="18"/>
              </w:rPr>
              <w:t>46.30</w:t>
            </w:r>
          </w:p>
        </w:tc>
        <w:tc>
          <w:tcPr>
            <w:tcW w:w="851" w:type="dxa"/>
          </w:tcPr>
          <w:p>
            <w:pPr>
              <w:pStyle w:val="yTableNAm"/>
              <w:jc w:val="center"/>
              <w:rPr>
                <w:sz w:val="18"/>
              </w:rPr>
            </w:pPr>
            <w:r>
              <w:rPr>
                <w:sz w:val="18"/>
              </w:rPr>
              <w:br/>
            </w:r>
            <w:r>
              <w:rPr>
                <w:sz w:val="18"/>
                <w:szCs w:val="18"/>
              </w:rPr>
              <w:t>120.50</w:t>
            </w:r>
          </w:p>
        </w:tc>
        <w:tc>
          <w:tcPr>
            <w:tcW w:w="850" w:type="dxa"/>
          </w:tcPr>
          <w:p>
            <w:pPr>
              <w:pStyle w:val="yTableNAm"/>
              <w:jc w:val="center"/>
              <w:rPr>
                <w:sz w:val="18"/>
              </w:rPr>
            </w:pPr>
            <w:r>
              <w:rPr>
                <w:sz w:val="18"/>
              </w:rPr>
              <w:br/>
            </w:r>
            <w:r>
              <w:rPr>
                <w:sz w:val="18"/>
                <w:szCs w:val="18"/>
              </w:rPr>
              <w:t>62.00</w:t>
            </w:r>
          </w:p>
        </w:tc>
        <w:tc>
          <w:tcPr>
            <w:tcW w:w="851" w:type="dxa"/>
          </w:tcPr>
          <w:p>
            <w:pPr>
              <w:pStyle w:val="yTableNAm"/>
              <w:jc w:val="center"/>
              <w:rPr>
                <w:sz w:val="18"/>
              </w:rPr>
            </w:pPr>
            <w:r>
              <w:rPr>
                <w:sz w:val="18"/>
              </w:rPr>
              <w:br/>
            </w:r>
            <w:r>
              <w:rPr>
                <w:sz w:val="18"/>
                <w:szCs w:val="18"/>
              </w:rPr>
              <w:t>161.50</w:t>
            </w:r>
          </w:p>
        </w:tc>
      </w:tr>
      <w:tr>
        <w:trPr>
          <w:cantSplit/>
        </w:trPr>
        <w:tc>
          <w:tcPr>
            <w:tcW w:w="628" w:type="dxa"/>
            <w:gridSpan w:val="2"/>
          </w:tcPr>
          <w:p>
            <w:pPr>
              <w:pStyle w:val="yTableNAm"/>
              <w:rPr>
                <w:sz w:val="18"/>
              </w:rPr>
            </w:pPr>
            <w:r>
              <w:rPr>
                <w:sz w:val="18"/>
              </w:rPr>
              <w:t>4.</w:t>
            </w:r>
          </w:p>
        </w:tc>
        <w:tc>
          <w:tcPr>
            <w:tcW w:w="1430" w:type="dxa"/>
            <w:gridSpan w:val="2"/>
          </w:tcPr>
          <w:p>
            <w:pPr>
              <w:pStyle w:val="yTableNAm"/>
              <w:rPr>
                <w:sz w:val="18"/>
              </w:rPr>
            </w:pPr>
            <w:r>
              <w:rPr>
                <w:sz w:val="18"/>
              </w:rPr>
              <w:t>Application for hearing</w:t>
            </w:r>
          </w:p>
        </w:tc>
        <w:tc>
          <w:tcPr>
            <w:tcW w:w="805" w:type="dxa"/>
            <w:gridSpan w:val="2"/>
          </w:tcPr>
          <w:p>
            <w:pPr>
              <w:pStyle w:val="yTableNAm"/>
              <w:jc w:val="center"/>
              <w:rPr>
                <w:sz w:val="18"/>
              </w:rPr>
            </w:pPr>
            <w:r>
              <w:rPr>
                <w:sz w:val="18"/>
              </w:rPr>
              <w:br/>
            </w:r>
            <w:r>
              <w:rPr>
                <w:sz w:val="18"/>
                <w:szCs w:val="18"/>
              </w:rPr>
              <w:t>145.50</w:t>
            </w:r>
          </w:p>
        </w:tc>
        <w:tc>
          <w:tcPr>
            <w:tcW w:w="851" w:type="dxa"/>
            <w:gridSpan w:val="2"/>
          </w:tcPr>
          <w:p>
            <w:pPr>
              <w:pStyle w:val="yTableNAm"/>
              <w:jc w:val="center"/>
              <w:rPr>
                <w:sz w:val="18"/>
              </w:rPr>
            </w:pPr>
            <w:r>
              <w:rPr>
                <w:sz w:val="18"/>
              </w:rPr>
              <w:br/>
            </w:r>
            <w:r>
              <w:rPr>
                <w:sz w:val="18"/>
                <w:szCs w:val="18"/>
              </w:rPr>
              <w:t>283.00</w:t>
            </w:r>
          </w:p>
        </w:tc>
        <w:tc>
          <w:tcPr>
            <w:tcW w:w="850" w:type="dxa"/>
          </w:tcPr>
          <w:p>
            <w:pPr>
              <w:pStyle w:val="yTableNAm"/>
              <w:jc w:val="center"/>
              <w:rPr>
                <w:sz w:val="18"/>
              </w:rPr>
            </w:pPr>
            <w:r>
              <w:rPr>
                <w:sz w:val="18"/>
              </w:rPr>
              <w:br/>
            </w:r>
            <w:r>
              <w:rPr>
                <w:sz w:val="18"/>
                <w:szCs w:val="18"/>
              </w:rPr>
              <w:t>265.00</w:t>
            </w:r>
          </w:p>
        </w:tc>
        <w:tc>
          <w:tcPr>
            <w:tcW w:w="851" w:type="dxa"/>
          </w:tcPr>
          <w:p>
            <w:pPr>
              <w:pStyle w:val="yTableNAm"/>
              <w:jc w:val="center"/>
              <w:rPr>
                <w:sz w:val="18"/>
              </w:rPr>
            </w:pPr>
            <w:r>
              <w:rPr>
                <w:sz w:val="18"/>
              </w:rPr>
              <w:br/>
            </w:r>
            <w:r>
              <w:rPr>
                <w:sz w:val="18"/>
                <w:szCs w:val="18"/>
              </w:rPr>
              <w:t>512.00</w:t>
            </w:r>
          </w:p>
        </w:tc>
        <w:tc>
          <w:tcPr>
            <w:tcW w:w="850" w:type="dxa"/>
          </w:tcPr>
          <w:p>
            <w:pPr>
              <w:pStyle w:val="yTableNAm"/>
              <w:jc w:val="center"/>
              <w:rPr>
                <w:sz w:val="18"/>
              </w:rPr>
            </w:pPr>
            <w:r>
              <w:rPr>
                <w:sz w:val="18"/>
              </w:rPr>
              <w:br/>
            </w:r>
            <w:r>
              <w:rPr>
                <w:sz w:val="18"/>
                <w:szCs w:val="18"/>
              </w:rPr>
              <w:t>294.00</w:t>
            </w:r>
          </w:p>
        </w:tc>
        <w:tc>
          <w:tcPr>
            <w:tcW w:w="851" w:type="dxa"/>
          </w:tcPr>
          <w:p>
            <w:pPr>
              <w:pStyle w:val="yTableNAm"/>
              <w:jc w:val="center"/>
              <w:rPr>
                <w:sz w:val="18"/>
              </w:rPr>
            </w:pPr>
            <w:r>
              <w:rPr>
                <w:sz w:val="18"/>
              </w:rPr>
              <w:br/>
            </w:r>
            <w:r>
              <w:rPr>
                <w:sz w:val="18"/>
                <w:szCs w:val="18"/>
              </w:rPr>
              <w:t>571.00</w:t>
            </w:r>
          </w:p>
        </w:tc>
      </w:tr>
      <w:tr>
        <w:trPr>
          <w:cantSplit/>
        </w:trPr>
        <w:tc>
          <w:tcPr>
            <w:tcW w:w="7116" w:type="dxa"/>
            <w:gridSpan w:val="12"/>
          </w:tcPr>
          <w:p>
            <w:pPr>
              <w:pStyle w:val="yTableNAm"/>
              <w:rPr>
                <w:sz w:val="18"/>
              </w:rPr>
            </w:pPr>
            <w:r>
              <w:rPr>
                <w:sz w:val="18"/>
              </w:rPr>
              <w:t>NOTE 1</w:t>
            </w:r>
            <w:r>
              <w:rPr>
                <w:sz w:val="18"/>
              </w:rPr>
              <w:br/>
              <w:t>No fee is payable for applications for hearing of matters dealt with under the minor cases procedure, residential tenancies proceedings, applications under item 10 or 11 or for relisting a hearing, or if the proceedings are of an interlocutory nature only.</w:t>
            </w:r>
          </w:p>
        </w:tc>
      </w:tr>
      <w:tr>
        <w:trPr>
          <w:cantSplit/>
        </w:trPr>
        <w:tc>
          <w:tcPr>
            <w:tcW w:w="7116" w:type="dxa"/>
            <w:gridSpan w:val="12"/>
          </w:tcPr>
          <w:p>
            <w:pPr>
              <w:pStyle w:val="yTableNAm"/>
              <w:rPr>
                <w:sz w:val="18"/>
              </w:rPr>
            </w:pPr>
            <w:r>
              <w:rPr>
                <w:sz w:val="18"/>
              </w:rPr>
              <w:t>NOTE 2</w:t>
            </w:r>
            <w:r>
              <w:rPr>
                <w:sz w:val="18"/>
              </w:rPr>
              <w:br/>
              <w:t>No fee is payable in respect of listing an appeal for hearing.</w:t>
            </w:r>
          </w:p>
        </w:tc>
      </w:tr>
      <w:tr>
        <w:trPr>
          <w:cantSplit/>
        </w:trPr>
        <w:tc>
          <w:tcPr>
            <w:tcW w:w="7116" w:type="dxa"/>
            <w:gridSpan w:val="12"/>
          </w:tcPr>
          <w:p>
            <w:pPr>
              <w:pStyle w:val="yTableNAm"/>
              <w:rPr>
                <w:sz w:val="18"/>
              </w:rPr>
            </w:pPr>
            <w:r>
              <w:rPr>
                <w:sz w:val="18"/>
              </w:rPr>
              <w:t>NOTE 3</w:t>
            </w:r>
            <w:r>
              <w:rPr>
                <w:sz w:val="18"/>
              </w:rPr>
              <w:br/>
              <w:t>No fee is payable by the defendant for applications for hearing of a set</w:t>
            </w:r>
            <w:r>
              <w:rPr>
                <w:sz w:val="18"/>
              </w:rPr>
              <w:noBreakHyphen/>
              <w:t>off or counterclaim providing this fee has been paid previously by the applicant.</w:t>
            </w:r>
          </w:p>
        </w:tc>
      </w:tr>
      <w:tr>
        <w:trPr>
          <w:cantSplit/>
        </w:trPr>
        <w:tc>
          <w:tcPr>
            <w:tcW w:w="7116" w:type="dxa"/>
            <w:gridSpan w:val="12"/>
          </w:tcPr>
          <w:p>
            <w:pPr>
              <w:pStyle w:val="yTableNAm"/>
              <w:rPr>
                <w:sz w:val="18"/>
              </w:rPr>
            </w:pPr>
            <w:r>
              <w:rPr>
                <w:sz w:val="18"/>
              </w:rPr>
              <w:t>NOTE 4</w:t>
            </w:r>
            <w:r>
              <w:rPr>
                <w:sz w:val="18"/>
              </w:rPr>
              <w:br/>
              <w:t>Includes pre</w:t>
            </w:r>
            <w:r>
              <w:rPr>
                <w:sz w:val="18"/>
              </w:rPr>
              <w:noBreakHyphen/>
              <w:t>trial conference, mediation conference, directions hearing and listing conference.</w:t>
            </w:r>
          </w:p>
        </w:tc>
      </w:tr>
      <w:tr>
        <w:trPr>
          <w:cantSplit/>
        </w:trPr>
        <w:tc>
          <w:tcPr>
            <w:tcW w:w="595" w:type="dxa"/>
          </w:tcPr>
          <w:p>
            <w:pPr>
              <w:pStyle w:val="yTableNAm"/>
              <w:rPr>
                <w:sz w:val="18"/>
              </w:rPr>
            </w:pPr>
            <w:r>
              <w:rPr>
                <w:sz w:val="18"/>
              </w:rPr>
              <w:t>5.</w:t>
            </w:r>
          </w:p>
        </w:tc>
        <w:tc>
          <w:tcPr>
            <w:tcW w:w="1418" w:type="dxa"/>
            <w:gridSpan w:val="2"/>
          </w:tcPr>
          <w:p>
            <w:pPr>
              <w:pStyle w:val="yTableNAm"/>
              <w:rPr>
                <w:sz w:val="18"/>
              </w:rPr>
            </w:pPr>
            <w:r>
              <w:rPr>
                <w:sz w:val="18"/>
              </w:rPr>
              <w:t>For allocation of a date or dates of hearing of an application, appeal or proceedings, for each half day allocated</w:t>
            </w:r>
          </w:p>
        </w:tc>
        <w:tc>
          <w:tcPr>
            <w:tcW w:w="850" w:type="dxa"/>
            <w:gridSpan w:val="3"/>
            <w:vAlign w:val="bottom"/>
          </w:tcPr>
          <w:p>
            <w:pPr>
              <w:pStyle w:val="yTableNAm"/>
              <w:jc w:val="center"/>
              <w:rPr>
                <w:sz w:val="18"/>
              </w:rPr>
            </w:pPr>
            <w:r>
              <w:rPr>
                <w:sz w:val="18"/>
                <w:szCs w:val="18"/>
              </w:rPr>
              <w:t>84.00</w:t>
            </w:r>
          </w:p>
        </w:tc>
        <w:tc>
          <w:tcPr>
            <w:tcW w:w="851" w:type="dxa"/>
            <w:gridSpan w:val="2"/>
            <w:vAlign w:val="bottom"/>
          </w:tcPr>
          <w:p>
            <w:pPr>
              <w:pStyle w:val="yTableNAm"/>
              <w:jc w:val="center"/>
              <w:rPr>
                <w:sz w:val="18"/>
              </w:rPr>
            </w:pPr>
            <w:r>
              <w:rPr>
                <w:sz w:val="18"/>
                <w:szCs w:val="18"/>
              </w:rPr>
              <w:t>219.00</w:t>
            </w:r>
          </w:p>
        </w:tc>
        <w:tc>
          <w:tcPr>
            <w:tcW w:w="850" w:type="dxa"/>
            <w:vAlign w:val="bottom"/>
          </w:tcPr>
          <w:p>
            <w:pPr>
              <w:pStyle w:val="yTableNAm"/>
              <w:jc w:val="center"/>
              <w:rPr>
                <w:sz w:val="18"/>
              </w:rPr>
            </w:pPr>
            <w:r>
              <w:rPr>
                <w:sz w:val="18"/>
                <w:szCs w:val="18"/>
              </w:rPr>
              <w:t>147.50</w:t>
            </w:r>
          </w:p>
        </w:tc>
        <w:tc>
          <w:tcPr>
            <w:tcW w:w="851" w:type="dxa"/>
            <w:vAlign w:val="bottom"/>
          </w:tcPr>
          <w:p>
            <w:pPr>
              <w:pStyle w:val="yTableNAm"/>
              <w:jc w:val="center"/>
              <w:rPr>
                <w:sz w:val="18"/>
              </w:rPr>
            </w:pPr>
            <w:r>
              <w:rPr>
                <w:sz w:val="18"/>
                <w:szCs w:val="18"/>
              </w:rPr>
              <w:t>383.00</w:t>
            </w:r>
          </w:p>
        </w:tc>
        <w:tc>
          <w:tcPr>
            <w:tcW w:w="850" w:type="dxa"/>
            <w:vAlign w:val="bottom"/>
          </w:tcPr>
          <w:p>
            <w:pPr>
              <w:pStyle w:val="yTableNAm"/>
              <w:jc w:val="center"/>
              <w:rPr>
                <w:sz w:val="18"/>
              </w:rPr>
            </w:pPr>
            <w:r>
              <w:rPr>
                <w:sz w:val="18"/>
                <w:szCs w:val="18"/>
              </w:rPr>
              <w:t>211.00</w:t>
            </w:r>
          </w:p>
        </w:tc>
        <w:tc>
          <w:tcPr>
            <w:tcW w:w="851" w:type="dxa"/>
            <w:vAlign w:val="bottom"/>
          </w:tcPr>
          <w:p>
            <w:pPr>
              <w:pStyle w:val="yTableNAm"/>
              <w:jc w:val="center"/>
              <w:rPr>
                <w:sz w:val="18"/>
              </w:rPr>
            </w:pPr>
            <w:r>
              <w:rPr>
                <w:sz w:val="18"/>
                <w:szCs w:val="18"/>
              </w:rPr>
              <w:t>546.00</w:t>
            </w:r>
          </w:p>
        </w:tc>
      </w:tr>
      <w:t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c>
          <w:tcPr>
            <w:tcW w:w="7116" w:type="dxa"/>
            <w:gridSpan w:val="12"/>
          </w:tcPr>
          <w:p>
            <w:pPr>
              <w:pStyle w:val="yTableNAm"/>
              <w:rPr>
                <w:sz w:val="18"/>
              </w:rPr>
            </w:pPr>
            <w:r>
              <w:rPr>
                <w:sz w:val="18"/>
              </w:rPr>
              <w:t>NOTE 2</w:t>
            </w:r>
            <w:r>
              <w:rPr>
                <w:sz w:val="18"/>
              </w:rPr>
              <w:br/>
              <w:t>No fee is payable if the proceedings are of an interlocutory nature only.</w:t>
            </w:r>
          </w:p>
        </w:tc>
      </w:tr>
      <w:tr>
        <w:tc>
          <w:tcPr>
            <w:tcW w:w="7116" w:type="dxa"/>
            <w:gridSpan w:val="12"/>
          </w:tcPr>
          <w:p>
            <w:pPr>
              <w:pStyle w:val="yTableNAm"/>
              <w:rPr>
                <w:sz w:val="18"/>
              </w:rPr>
            </w:pPr>
            <w:r>
              <w:rPr>
                <w:sz w:val="18"/>
              </w:rPr>
              <w:t>NOTE 3</w:t>
            </w:r>
            <w:r>
              <w:rPr>
                <w:sz w:val="18"/>
              </w:rPr>
              <w:br/>
              <w:t>The fee to be charged is to be determined on the basis that the days allocated for a hearing are the number of days determined by the Court at a listing conference.</w:t>
            </w:r>
          </w:p>
        </w:tc>
      </w:tr>
      <w:tr>
        <w:tc>
          <w:tcPr>
            <w:tcW w:w="7116" w:type="dxa"/>
            <w:gridSpan w:val="12"/>
          </w:tcPr>
          <w:p>
            <w:pPr>
              <w:pStyle w:val="yTableNAm"/>
              <w:keepNext/>
              <w:rPr>
                <w:sz w:val="18"/>
              </w:rPr>
            </w:pPr>
            <w:r>
              <w:rPr>
                <w:sz w:val="18"/>
              </w:rPr>
              <w:t>NOTE 4</w:t>
            </w:r>
            <w:r>
              <w:rPr>
                <w:sz w:val="18"/>
              </w:rPr>
              <w:br/>
              <w:t>The fee is to be refunded or transferred to a new allocated date or dates if the Court or registrar is satisfied that an adjournment was due to circumstances beyond the control of the parties.  Otherwise the fee is non</w:t>
            </w:r>
            <w:r>
              <w:rPr>
                <w:sz w:val="18"/>
              </w:rPr>
              <w:noBreakHyphen/>
              <w:t>refundable in respect of any allocated dates that are not required.</w:t>
            </w:r>
          </w:p>
        </w:tc>
      </w:tr>
      <w:tr>
        <w:tc>
          <w:tcPr>
            <w:tcW w:w="7116" w:type="dxa"/>
            <w:gridSpan w:val="12"/>
          </w:tcPr>
          <w:p>
            <w:pPr>
              <w:pStyle w:val="yTableNAm"/>
              <w:rPr>
                <w:sz w:val="18"/>
              </w:rPr>
            </w:pPr>
            <w:r>
              <w:rPr>
                <w:sz w:val="18"/>
              </w:rPr>
              <w:t>NOTE 5</w:t>
            </w:r>
            <w:r>
              <w:rPr>
                <w:sz w:val="18"/>
              </w:rPr>
              <w:br/>
              <w:t>If written advice of settlement or written notice of intended adjournment is received by the Court not later than 35 days before the date allocated for the commencement of the hearing of the proceedings, an amount equal to 75% of the fee is refundable.  If written advice of settlement or written notice of intended adjournment is received by the Court no later than 21 days before the date allocated for the commencement of the hearing of the proceedings, an amount equal to 50% of the fee is refundable.</w:t>
            </w:r>
          </w:p>
        </w:tc>
      </w:tr>
      <w:tr>
        <w:trPr>
          <w:cantSplit/>
        </w:trPr>
        <w:tc>
          <w:tcPr>
            <w:tcW w:w="595" w:type="dxa"/>
          </w:tcPr>
          <w:p>
            <w:pPr>
              <w:pStyle w:val="yTableNAm"/>
              <w:keepNext/>
              <w:rPr>
                <w:sz w:val="18"/>
              </w:rPr>
            </w:pPr>
            <w:r>
              <w:rPr>
                <w:sz w:val="18"/>
              </w:rPr>
              <w:t>6.</w:t>
            </w:r>
          </w:p>
        </w:tc>
        <w:tc>
          <w:tcPr>
            <w:tcW w:w="1418" w:type="dxa"/>
            <w:gridSpan w:val="2"/>
          </w:tcPr>
          <w:p>
            <w:pPr>
              <w:pStyle w:val="yTableNAm"/>
              <w:keepNext/>
              <w:rPr>
                <w:sz w:val="18"/>
              </w:rPr>
            </w:pPr>
            <w:r>
              <w:rPr>
                <w:sz w:val="18"/>
              </w:rPr>
              <w:t>Half daily hearing fee before the Court constituted by a magistrate</w:t>
            </w:r>
          </w:p>
        </w:tc>
        <w:tc>
          <w:tcPr>
            <w:tcW w:w="850" w:type="dxa"/>
            <w:gridSpan w:val="3"/>
            <w:vAlign w:val="bottom"/>
          </w:tcPr>
          <w:p>
            <w:pPr>
              <w:pStyle w:val="yTableNAm"/>
              <w:keepNext/>
              <w:jc w:val="center"/>
              <w:rPr>
                <w:sz w:val="18"/>
              </w:rPr>
            </w:pPr>
            <w:r>
              <w:rPr>
                <w:sz w:val="18"/>
                <w:szCs w:val="18"/>
              </w:rPr>
              <w:t>84.00</w:t>
            </w:r>
          </w:p>
        </w:tc>
        <w:tc>
          <w:tcPr>
            <w:tcW w:w="851" w:type="dxa"/>
            <w:gridSpan w:val="2"/>
            <w:vAlign w:val="bottom"/>
          </w:tcPr>
          <w:p>
            <w:pPr>
              <w:pStyle w:val="yTableNAm"/>
              <w:keepNext/>
              <w:jc w:val="center"/>
              <w:rPr>
                <w:sz w:val="18"/>
              </w:rPr>
            </w:pPr>
            <w:r>
              <w:rPr>
                <w:sz w:val="18"/>
                <w:szCs w:val="18"/>
              </w:rPr>
              <w:t>219.00</w:t>
            </w:r>
          </w:p>
        </w:tc>
        <w:tc>
          <w:tcPr>
            <w:tcW w:w="850" w:type="dxa"/>
            <w:vAlign w:val="bottom"/>
          </w:tcPr>
          <w:p>
            <w:pPr>
              <w:pStyle w:val="yTableNAm"/>
              <w:keepNext/>
              <w:jc w:val="center"/>
              <w:rPr>
                <w:sz w:val="18"/>
              </w:rPr>
            </w:pPr>
            <w:r>
              <w:rPr>
                <w:sz w:val="18"/>
                <w:szCs w:val="18"/>
              </w:rPr>
              <w:t>147.50</w:t>
            </w:r>
          </w:p>
        </w:tc>
        <w:tc>
          <w:tcPr>
            <w:tcW w:w="851" w:type="dxa"/>
            <w:vAlign w:val="bottom"/>
          </w:tcPr>
          <w:p>
            <w:pPr>
              <w:pStyle w:val="yTableNAm"/>
              <w:keepNext/>
              <w:jc w:val="center"/>
              <w:rPr>
                <w:sz w:val="18"/>
              </w:rPr>
            </w:pPr>
            <w:r>
              <w:rPr>
                <w:sz w:val="18"/>
                <w:szCs w:val="18"/>
              </w:rPr>
              <w:t>383.00</w:t>
            </w:r>
          </w:p>
        </w:tc>
        <w:tc>
          <w:tcPr>
            <w:tcW w:w="850" w:type="dxa"/>
            <w:vAlign w:val="bottom"/>
          </w:tcPr>
          <w:p>
            <w:pPr>
              <w:pStyle w:val="yTableNAm"/>
              <w:keepNext/>
              <w:jc w:val="center"/>
              <w:rPr>
                <w:sz w:val="18"/>
              </w:rPr>
            </w:pPr>
            <w:r>
              <w:rPr>
                <w:sz w:val="18"/>
                <w:szCs w:val="18"/>
              </w:rPr>
              <w:t>211.00</w:t>
            </w:r>
          </w:p>
        </w:tc>
        <w:tc>
          <w:tcPr>
            <w:tcW w:w="851" w:type="dxa"/>
            <w:vAlign w:val="bottom"/>
          </w:tcPr>
          <w:p>
            <w:pPr>
              <w:pStyle w:val="yTableNAm"/>
              <w:keepNext/>
              <w:jc w:val="center"/>
              <w:rPr>
                <w:sz w:val="18"/>
              </w:rPr>
            </w:pPr>
            <w:r>
              <w:rPr>
                <w:sz w:val="18"/>
                <w:szCs w:val="18"/>
              </w:rPr>
              <w:t>546.00</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applications under item 10 or 11 or if the proceedings are of an interlocutory nature only.</w:t>
            </w:r>
          </w:p>
        </w:tc>
      </w:tr>
      <w:tr>
        <w:trPr>
          <w:cantSplit/>
        </w:trPr>
        <w:tc>
          <w:tcPr>
            <w:tcW w:w="7116" w:type="dxa"/>
            <w:gridSpan w:val="12"/>
          </w:tcPr>
          <w:p>
            <w:pPr>
              <w:pStyle w:val="yTableNAm"/>
              <w:rPr>
                <w:sz w:val="18"/>
              </w:rPr>
            </w:pPr>
            <w:r>
              <w:rPr>
                <w:sz w:val="18"/>
              </w:rPr>
              <w:t>NOTE 2</w:t>
            </w:r>
            <w:r>
              <w:rPr>
                <w:sz w:val="18"/>
              </w:rPr>
              <w:br/>
              <w:t>The fee to be charged is to be paid in respect of any number of hearing days or half days greater than the number of hearing days for which a fee has been paid under item 5.</w:t>
            </w:r>
          </w:p>
        </w:tc>
      </w:tr>
      <w:tr>
        <w:trPr>
          <w:cantSplit/>
        </w:trPr>
        <w:tc>
          <w:tcPr>
            <w:tcW w:w="7116" w:type="dxa"/>
            <w:gridSpan w:val="12"/>
          </w:tcPr>
          <w:p>
            <w:pPr>
              <w:pStyle w:val="yTableNAm"/>
              <w:rPr>
                <w:sz w:val="18"/>
              </w:rPr>
            </w:pPr>
            <w:r>
              <w:rPr>
                <w:sz w:val="18"/>
              </w:rPr>
              <w:t>NOTE 3</w:t>
            </w:r>
            <w:r>
              <w:rPr>
                <w:sz w:val="18"/>
              </w:rPr>
              <w:br/>
              <w:t>This fee is payable for each additional day or part day that a hearing proceeds beyond the date or dates allocated in item 5.</w:t>
            </w:r>
          </w:p>
        </w:tc>
      </w:tr>
      <w:tr>
        <w:trPr>
          <w:cantSplit/>
        </w:trPr>
        <w:tc>
          <w:tcPr>
            <w:tcW w:w="7116" w:type="dxa"/>
            <w:gridSpan w:val="12"/>
          </w:tcPr>
          <w:p>
            <w:pPr>
              <w:pStyle w:val="yTableNAm"/>
              <w:rPr>
                <w:sz w:val="18"/>
              </w:rPr>
            </w:pPr>
            <w:r>
              <w:rPr>
                <w:sz w:val="18"/>
              </w:rPr>
              <w:t>NOTE 4</w:t>
            </w:r>
            <w:r>
              <w:rPr>
                <w:sz w:val="18"/>
              </w:rPr>
              <w:br/>
              <w:t>The daily fee becomes payable on a day</w:t>
            </w:r>
            <w:r>
              <w:rPr>
                <w:sz w:val="18"/>
              </w:rPr>
              <w:noBreakHyphen/>
              <w:t>to</w:t>
            </w:r>
            <w:r>
              <w:rPr>
                <w:sz w:val="18"/>
              </w:rPr>
              <w:noBreakHyphen/>
              <w:t>day basis and is payable prior to the daily reconvening of the hearing.</w:t>
            </w:r>
          </w:p>
        </w:tc>
      </w:tr>
      <w:tr>
        <w:trPr>
          <w:cantSplit/>
        </w:trPr>
        <w:tc>
          <w:tcPr>
            <w:tcW w:w="595" w:type="dxa"/>
          </w:tcPr>
          <w:p>
            <w:pPr>
              <w:pStyle w:val="yTableNAm"/>
              <w:rPr>
                <w:sz w:val="18"/>
              </w:rPr>
            </w:pPr>
            <w:r>
              <w:rPr>
                <w:sz w:val="18"/>
              </w:rPr>
              <w:t>7.</w:t>
            </w:r>
          </w:p>
        </w:tc>
        <w:tc>
          <w:tcPr>
            <w:tcW w:w="1418" w:type="dxa"/>
            <w:gridSpan w:val="2"/>
          </w:tcPr>
          <w:p>
            <w:pPr>
              <w:pStyle w:val="yTableNAm"/>
              <w:rPr>
                <w:sz w:val="18"/>
              </w:rPr>
            </w:pPr>
            <w:r>
              <w:rPr>
                <w:sz w:val="18"/>
              </w:rPr>
              <w:t>On filing of an interlocutory application or application for assessment of damages or summary judgment that requires hearing before a magistrate or registrar</w:t>
            </w:r>
          </w:p>
        </w:tc>
        <w:tc>
          <w:tcPr>
            <w:tcW w:w="850" w:type="dxa"/>
            <w:gridSpan w:val="3"/>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77.00</w:t>
            </w:r>
          </w:p>
        </w:tc>
        <w:tc>
          <w:tcPr>
            <w:tcW w:w="851" w:type="dxa"/>
            <w:gridSpan w:val="2"/>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149.00</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93.00</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179.50</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124.50</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245.00</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rPr>
          <w:cantSplit/>
        </w:trPr>
        <w:tc>
          <w:tcPr>
            <w:tcW w:w="7116" w:type="dxa"/>
            <w:gridSpan w:val="12"/>
          </w:tcPr>
          <w:p>
            <w:pPr>
              <w:pStyle w:val="yTableNAm"/>
              <w:keepNext/>
              <w:rPr>
                <w:sz w:val="18"/>
              </w:rPr>
            </w:pPr>
            <w:r>
              <w:rPr>
                <w:sz w:val="18"/>
              </w:rPr>
              <w:t>NOTE 2</w:t>
            </w:r>
            <w:r>
              <w:rPr>
                <w:sz w:val="18"/>
              </w:rPr>
              <w:br/>
              <w:t>This fee is inclusive of the hearing of the application and includes any adjournment of the hearing.</w:t>
            </w:r>
          </w:p>
        </w:tc>
      </w:tr>
      <w:tr>
        <w:trPr>
          <w:cantSplit/>
        </w:trPr>
        <w:tc>
          <w:tcPr>
            <w:tcW w:w="7116" w:type="dxa"/>
            <w:gridSpan w:val="12"/>
          </w:tcPr>
          <w:p>
            <w:pPr>
              <w:pStyle w:val="yTableNAm"/>
              <w:rPr>
                <w:sz w:val="18"/>
              </w:rPr>
            </w:pPr>
            <w:r>
              <w:rPr>
                <w:sz w:val="18"/>
              </w:rPr>
              <w:t>NOTE 3</w:t>
            </w:r>
            <w:r>
              <w:rPr>
                <w:sz w:val="18"/>
              </w:rPr>
              <w:br/>
              <w:t>This fee is not payable for matters dealt with in the absence of a party.</w:t>
            </w:r>
          </w:p>
        </w:tc>
      </w:tr>
      <w:tr>
        <w:trPr>
          <w:cantSplit/>
        </w:trPr>
        <w:tc>
          <w:tcPr>
            <w:tcW w:w="595" w:type="dxa"/>
          </w:tcPr>
          <w:p>
            <w:pPr>
              <w:pStyle w:val="yTableNAm"/>
              <w:rPr>
                <w:sz w:val="18"/>
              </w:rPr>
            </w:pPr>
            <w:r>
              <w:rPr>
                <w:sz w:val="18"/>
              </w:rPr>
              <w:t>8.</w:t>
            </w:r>
          </w:p>
        </w:tc>
        <w:tc>
          <w:tcPr>
            <w:tcW w:w="1418" w:type="dxa"/>
            <w:gridSpan w:val="2"/>
          </w:tcPr>
          <w:p>
            <w:pPr>
              <w:pStyle w:val="yTableNAm"/>
              <w:rPr>
                <w:sz w:val="18"/>
              </w:rPr>
            </w:pPr>
            <w:r>
              <w:rPr>
                <w:sz w:val="18"/>
              </w:rPr>
              <w:t xml:space="preserve">On an appointment to assess a bill of costs — </w:t>
            </w:r>
          </w:p>
          <w:p>
            <w:pPr>
              <w:pStyle w:val="yTableNAm"/>
              <w:tabs>
                <w:tab w:val="clear" w:pos="567"/>
                <w:tab w:val="left" w:pos="275"/>
              </w:tabs>
              <w:ind w:left="275" w:hanging="275"/>
              <w:rPr>
                <w:sz w:val="18"/>
              </w:rPr>
            </w:pPr>
            <w:r>
              <w:rPr>
                <w:sz w:val="18"/>
              </w:rPr>
              <w:t>(a)</w:t>
            </w:r>
            <w:r>
              <w:rPr>
                <w:sz w:val="18"/>
              </w:rPr>
              <w:tab/>
              <w:t>lodgment fee</w:t>
            </w:r>
          </w:p>
        </w:tc>
        <w:tc>
          <w:tcPr>
            <w:tcW w:w="850" w:type="dxa"/>
            <w:gridSpan w:val="3"/>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77.00</w:t>
            </w:r>
          </w:p>
        </w:tc>
        <w:tc>
          <w:tcPr>
            <w:tcW w:w="851" w:type="dxa"/>
            <w:gridSpan w:val="2"/>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149.00</w:t>
            </w:r>
          </w:p>
        </w:tc>
        <w:tc>
          <w:tcPr>
            <w:tcW w:w="850" w:type="dxa"/>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93.00</w:t>
            </w:r>
          </w:p>
        </w:tc>
        <w:tc>
          <w:tcPr>
            <w:tcW w:w="851" w:type="dxa"/>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179.50</w:t>
            </w:r>
          </w:p>
        </w:tc>
        <w:tc>
          <w:tcPr>
            <w:tcW w:w="850" w:type="dxa"/>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124.50</w:t>
            </w:r>
          </w:p>
        </w:tc>
        <w:tc>
          <w:tcPr>
            <w:tcW w:w="851" w:type="dxa"/>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245.00</w:t>
            </w:r>
          </w:p>
        </w:tc>
      </w:tr>
      <w:tr>
        <w:trPr>
          <w:cantSplit/>
        </w:trPr>
        <w:tc>
          <w:tcPr>
            <w:tcW w:w="595" w:type="dxa"/>
          </w:tcPr>
          <w:p>
            <w:pPr>
              <w:pStyle w:val="yTableNAm"/>
              <w:rPr>
                <w:sz w:val="18"/>
              </w:rPr>
            </w:pPr>
          </w:p>
        </w:tc>
        <w:tc>
          <w:tcPr>
            <w:tcW w:w="1418" w:type="dxa"/>
            <w:gridSpan w:val="2"/>
          </w:tcPr>
          <w:p>
            <w:pPr>
              <w:pStyle w:val="yTableNAm"/>
              <w:tabs>
                <w:tab w:val="clear" w:pos="567"/>
                <w:tab w:val="left" w:pos="275"/>
              </w:tabs>
              <w:ind w:left="275" w:hanging="275"/>
              <w:rPr>
                <w:sz w:val="18"/>
              </w:rPr>
            </w:pPr>
            <w:r>
              <w:rPr>
                <w:sz w:val="18"/>
              </w:rPr>
              <w:t>(b)</w:t>
            </w:r>
            <w:r>
              <w:rPr>
                <w:sz w:val="18"/>
              </w:rPr>
              <w:tab/>
              <w:t>in addition to the lodgment fee, an assessment fee at the rate per annum of</w:t>
            </w:r>
          </w:p>
        </w:tc>
        <w:tc>
          <w:tcPr>
            <w:tcW w:w="850" w:type="dxa"/>
            <w:gridSpan w:val="3"/>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gridSpan w:val="2"/>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rPr>
          <w:cantSplit/>
        </w:trPr>
        <w:tc>
          <w:tcPr>
            <w:tcW w:w="7116" w:type="dxa"/>
            <w:gridSpan w:val="12"/>
          </w:tcPr>
          <w:p>
            <w:pPr>
              <w:pStyle w:val="yTableNAm"/>
              <w:rPr>
                <w:sz w:val="18"/>
              </w:rPr>
            </w:pPr>
            <w:r>
              <w:rPr>
                <w:sz w:val="18"/>
              </w:rPr>
              <w:t>NOTE 2</w:t>
            </w:r>
            <w:r>
              <w:rPr>
                <w:sz w:val="18"/>
              </w:rPr>
              <w:br/>
              <w:t>The % rate is to be applied to the amount at which the bill is drawn.</w:t>
            </w:r>
          </w:p>
        </w:tc>
      </w:tr>
      <w:tr>
        <w:trPr>
          <w:cantSplit/>
        </w:trPr>
        <w:tc>
          <w:tcPr>
            <w:tcW w:w="7116" w:type="dxa"/>
            <w:gridSpan w:val="12"/>
          </w:tcPr>
          <w:p>
            <w:pPr>
              <w:pStyle w:val="yTableNAm"/>
              <w:rPr>
                <w:sz w:val="18"/>
              </w:rPr>
            </w:pPr>
            <w:r>
              <w:rPr>
                <w:sz w:val="18"/>
              </w:rPr>
              <w:t>NOTE 3</w:t>
            </w:r>
            <w:r>
              <w:rPr>
                <w:sz w:val="18"/>
              </w:rPr>
              <w:br/>
              <w:t xml:space="preserve">If the parties agree on the bill of costs and the appointment is cancelled, the following percentage of the fee paid is to be refunded — </w:t>
            </w:r>
          </w:p>
          <w:p>
            <w:pPr>
              <w:pStyle w:val="yTableNAm"/>
              <w:tabs>
                <w:tab w:val="clear" w:pos="567"/>
                <w:tab w:val="left" w:pos="423"/>
              </w:tabs>
              <w:spacing w:before="60"/>
              <w:ind w:left="425" w:hanging="425"/>
              <w:rPr>
                <w:sz w:val="18"/>
              </w:rPr>
            </w:pPr>
            <w:r>
              <w:rPr>
                <w:sz w:val="18"/>
              </w:rPr>
              <w:t>(a)</w:t>
            </w:r>
            <w:r>
              <w:rPr>
                <w:sz w:val="18"/>
              </w:rPr>
              <w:tab/>
              <w:t>if the appointment is cancelled less than 3 days before the day of the appointment, nil;</w:t>
            </w:r>
          </w:p>
          <w:p>
            <w:pPr>
              <w:pStyle w:val="yTableNAm"/>
              <w:tabs>
                <w:tab w:val="clear" w:pos="567"/>
                <w:tab w:val="left" w:pos="423"/>
              </w:tabs>
              <w:spacing w:before="60"/>
              <w:ind w:left="425" w:hanging="425"/>
              <w:rPr>
                <w:sz w:val="18"/>
              </w:rPr>
            </w:pPr>
            <w:r>
              <w:rPr>
                <w:sz w:val="18"/>
              </w:rPr>
              <w:t>(b)</w:t>
            </w:r>
            <w:r>
              <w:rPr>
                <w:sz w:val="18"/>
              </w:rPr>
              <w:tab/>
              <w:t>if the appointment is cancelled 3 days or more and less than 10 days before the day of the appointment, 50%;</w:t>
            </w:r>
          </w:p>
          <w:p>
            <w:pPr>
              <w:pStyle w:val="yTableNAm"/>
              <w:tabs>
                <w:tab w:val="clear" w:pos="567"/>
                <w:tab w:val="left" w:pos="423"/>
              </w:tabs>
              <w:spacing w:before="60"/>
              <w:ind w:left="425" w:hanging="425"/>
              <w:rPr>
                <w:sz w:val="18"/>
              </w:rPr>
            </w:pPr>
            <w:r>
              <w:rPr>
                <w:sz w:val="18"/>
              </w:rPr>
              <w:t>(c)</w:t>
            </w:r>
            <w:r>
              <w:rPr>
                <w:sz w:val="18"/>
              </w:rPr>
              <w:tab/>
              <w:t>if the appointment is cancelled 10 or more days before the day of the appointment, 80%.</w:t>
            </w:r>
          </w:p>
        </w:tc>
      </w:tr>
    </w:tbl>
    <w:p>
      <w:pPr>
        <w:rPr>
          <w:sz w:val="18"/>
        </w:rPr>
      </w:pPr>
    </w:p>
    <w:tbl>
      <w:tblPr>
        <w:tblW w:w="7088" w:type="dxa"/>
        <w:tblInd w:w="57" w:type="dxa"/>
        <w:tblLayout w:type="fixed"/>
        <w:tblCellMar>
          <w:left w:w="57" w:type="dxa"/>
          <w:right w:w="57" w:type="dxa"/>
        </w:tblCellMar>
        <w:tblLook w:val="0000" w:firstRow="0" w:lastRow="0" w:firstColumn="0" w:lastColumn="0" w:noHBand="0" w:noVBand="0"/>
      </w:tblPr>
      <w:tblGrid>
        <w:gridCol w:w="572"/>
        <w:gridCol w:w="28"/>
        <w:gridCol w:w="5400"/>
        <w:gridCol w:w="1088"/>
      </w:tblGrid>
      <w:tr>
        <w:trPr>
          <w:cantSplit/>
          <w:tblHeader/>
        </w:trPr>
        <w:tc>
          <w:tcPr>
            <w:tcW w:w="572" w:type="dxa"/>
            <w:tcBorders>
              <w:top w:val="single" w:sz="4" w:space="0" w:color="auto"/>
              <w:bottom w:val="single" w:sz="4" w:space="0" w:color="auto"/>
            </w:tcBorders>
          </w:tcPr>
          <w:p>
            <w:pPr>
              <w:pStyle w:val="yTableNAm"/>
              <w:jc w:val="center"/>
              <w:rPr>
                <w:b/>
                <w:bCs/>
                <w:sz w:val="18"/>
              </w:rPr>
            </w:pPr>
            <w:r>
              <w:rPr>
                <w:b/>
                <w:bCs/>
                <w:sz w:val="18"/>
              </w:rPr>
              <w:t>Item</w:t>
            </w:r>
          </w:p>
        </w:tc>
        <w:tc>
          <w:tcPr>
            <w:tcW w:w="5428" w:type="dxa"/>
            <w:gridSpan w:val="2"/>
            <w:tcBorders>
              <w:top w:val="single" w:sz="4" w:space="0" w:color="auto"/>
              <w:bottom w:val="single" w:sz="4" w:space="0" w:color="auto"/>
            </w:tcBorders>
          </w:tcPr>
          <w:p>
            <w:pPr>
              <w:pStyle w:val="yTableNAm"/>
              <w:jc w:val="center"/>
              <w:rPr>
                <w:b/>
                <w:bCs/>
                <w:sz w:val="18"/>
              </w:rPr>
            </w:pPr>
            <w:r>
              <w:rPr>
                <w:b/>
                <w:bCs/>
                <w:sz w:val="18"/>
              </w:rPr>
              <w:t>Matter</w:t>
            </w:r>
          </w:p>
        </w:tc>
        <w:tc>
          <w:tcPr>
            <w:tcW w:w="1088" w:type="dxa"/>
            <w:tcBorders>
              <w:top w:val="single" w:sz="4" w:space="0" w:color="auto"/>
              <w:bottom w:val="single" w:sz="4" w:space="0" w:color="auto"/>
            </w:tcBorders>
          </w:tcPr>
          <w:p>
            <w:pPr>
              <w:pStyle w:val="yTableNAm"/>
              <w:jc w:val="center"/>
              <w:rPr>
                <w:b/>
                <w:bCs/>
                <w:sz w:val="18"/>
              </w:rPr>
            </w:pPr>
            <w:r>
              <w:rPr>
                <w:b/>
                <w:bCs/>
                <w:sz w:val="18"/>
              </w:rPr>
              <w:t>$</w:t>
            </w:r>
          </w:p>
        </w:tc>
      </w:tr>
      <w:tr>
        <w:trPr>
          <w:cantSplit/>
        </w:trPr>
        <w:tc>
          <w:tcPr>
            <w:tcW w:w="572" w:type="dxa"/>
          </w:tcPr>
          <w:p>
            <w:pPr>
              <w:pStyle w:val="yTableNAm"/>
              <w:rPr>
                <w:sz w:val="18"/>
              </w:rPr>
            </w:pPr>
            <w:r>
              <w:rPr>
                <w:sz w:val="18"/>
              </w:rPr>
              <w:t>9.</w:t>
            </w:r>
          </w:p>
        </w:tc>
        <w:tc>
          <w:tcPr>
            <w:tcW w:w="5428" w:type="dxa"/>
            <w:gridSpan w:val="2"/>
          </w:tcPr>
          <w:p>
            <w:pPr>
              <w:pStyle w:val="yTableNAm"/>
              <w:rPr>
                <w:sz w:val="18"/>
              </w:rPr>
            </w:pPr>
            <w:r>
              <w:rPr>
                <w:sz w:val="18"/>
              </w:rPr>
              <w:t>On the execution of an arrest warrant of any kind —</w:t>
            </w:r>
          </w:p>
        </w:tc>
        <w:tc>
          <w:tcPr>
            <w:tcW w:w="1088" w:type="dxa"/>
          </w:tcPr>
          <w:p>
            <w:pPr>
              <w:pStyle w:val="yTableNAm"/>
              <w:tabs>
                <w:tab w:val="clear" w:pos="567"/>
              </w:tabs>
              <w:ind w:right="191"/>
              <w:jc w:val="right"/>
              <w:rPr>
                <w:sz w:val="18"/>
              </w:rPr>
            </w:pPr>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(a)</w:t>
            </w:r>
            <w:r>
              <w:rPr>
                <w:sz w:val="18"/>
              </w:rPr>
              <w:tab/>
              <w:t>for arresting the person</w:t>
            </w:r>
          </w:p>
        </w:tc>
        <w:tc>
          <w:tcPr>
            <w:tcW w:w="1088" w:type="dxa"/>
            <w:vAlign w:val="bottom"/>
          </w:tcPr>
          <w:p>
            <w:pPr>
              <w:pStyle w:val="yTableNAm"/>
              <w:tabs>
                <w:tab w:val="clear" w:pos="567"/>
              </w:tabs>
              <w:ind w:right="191"/>
              <w:jc w:val="right"/>
              <w:rPr>
                <w:sz w:val="18"/>
                <w:szCs w:val="18"/>
              </w:rPr>
            </w:pPr>
            <w:r>
              <w:rPr>
                <w:sz w:val="18"/>
                <w:szCs w:val="18"/>
              </w:rPr>
              <w:t>100.00</w:t>
            </w:r>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(b)</w:t>
            </w:r>
            <w:r>
              <w:rPr>
                <w:sz w:val="18"/>
              </w:rPr>
              <w:tab/>
              <w:t>for conveying the person to a court or a custodial place and releasing the person from arrest or custody</w:t>
            </w:r>
          </w:p>
        </w:tc>
        <w:tc>
          <w:tcPr>
            <w:tcW w:w="1088" w:type="dxa"/>
            <w:vAlign w:val="bottom"/>
          </w:tcPr>
          <w:p>
            <w:pPr>
              <w:pStyle w:val="yTableNAm"/>
              <w:tabs>
                <w:tab w:val="clear" w:pos="567"/>
              </w:tabs>
              <w:ind w:right="191"/>
              <w:jc w:val="right"/>
              <w:rPr>
                <w:sz w:val="18"/>
                <w:szCs w:val="18"/>
              </w:rPr>
            </w:pPr>
            <w:r>
              <w:rPr>
                <w:sz w:val="18"/>
                <w:szCs w:val="18"/>
              </w:rPr>
              <w:t>100.00</w:t>
            </w:r>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(c)</w:t>
            </w:r>
            <w:r>
              <w:rPr>
                <w:sz w:val="18"/>
              </w:rPr>
              <w:tab/>
              <w:t>for each 30 minutes after 2 hours and 30 minutes that an enforcement officer is required to keep the person in custody until he or she is conveyed to a court or a custodial place</w:t>
            </w:r>
          </w:p>
        </w:tc>
        <w:tc>
          <w:tcPr>
            <w:tcW w:w="1088" w:type="dxa"/>
          </w:tcPr>
          <w:p>
            <w:pPr>
              <w:pStyle w:val="yTableNAm"/>
              <w:tabs>
                <w:tab w:val="clear" w:pos="567"/>
              </w:tabs>
              <w:ind w:right="191"/>
              <w:jc w:val="right"/>
              <w:rPr>
                <w:sz w:val="18"/>
                <w:szCs w:val="18"/>
              </w:rPr>
            </w:pPr>
            <w:r>
              <w:rPr>
                <w:sz w:val="18"/>
                <w:szCs w:val="18"/>
              </w:rPr>
              <w:br/>
            </w:r>
            <w:r>
              <w:rPr>
                <w:sz w:val="18"/>
                <w:szCs w:val="18"/>
              </w:rPr>
              <w:br/>
              <w:t>26.50</w:t>
            </w:r>
          </w:p>
        </w:tc>
      </w:tr>
      <w:tr>
        <w:trPr>
          <w:cantSplit/>
        </w:trPr>
        <w:tc>
          <w:tcPr>
            <w:tcW w:w="7088" w:type="dxa"/>
            <w:gridSpan w:val="4"/>
          </w:tcPr>
          <w:p>
            <w:pPr>
              <w:pStyle w:val="yTableNAm"/>
              <w:keepNext/>
              <w:rPr>
                <w:sz w:val="18"/>
              </w:rPr>
            </w:pPr>
            <w:r>
              <w:rPr>
                <w:sz w:val="18"/>
              </w:rPr>
              <w:t>NOTE 1</w:t>
            </w:r>
            <w:r>
              <w:rPr>
                <w:sz w:val="18"/>
              </w:rPr>
              <w:br/>
              <w:t>The fee under paragraph (a) is payable whether or not the Sheriff’s functions under the warrant are performed and includes up to 3 attempts to perform the functions at the same address.</w:t>
            </w:r>
          </w:p>
        </w:tc>
      </w:tr>
      <w:tr>
        <w:trPr>
          <w:cantSplit/>
        </w:trPr>
        <w:tc>
          <w:tcPr>
            <w:tcW w:w="7088" w:type="dxa"/>
            <w:gridSpan w:val="4"/>
          </w:tcPr>
          <w:p>
            <w:pPr>
              <w:pStyle w:val="yTableNAm"/>
              <w:rPr>
                <w:sz w:val="18"/>
              </w:rPr>
            </w:pPr>
            <w:r>
              <w:rPr>
                <w:sz w:val="18"/>
              </w:rPr>
              <w:t>NOTE 2</w:t>
            </w:r>
            <w:r>
              <w:rPr>
                <w:sz w:val="18"/>
              </w:rPr>
              <w:br/>
              <w:t xml:space="preserve">The fee under paragraph (a) includes — </w:t>
            </w:r>
          </w:p>
          <w:p>
            <w:pPr>
              <w:pStyle w:val="yTableNAm"/>
              <w:spacing w:before="60"/>
              <w:rPr>
                <w:sz w:val="18"/>
              </w:rPr>
            </w:pPr>
            <w:r>
              <w:rPr>
                <w:sz w:val="18"/>
              </w:rPr>
              <w:t>(a)</w:t>
            </w:r>
            <w:r>
              <w:rPr>
                <w:sz w:val="18"/>
              </w:rPr>
              <w:tab/>
              <w:t>receipt of the warrant; and</w:t>
            </w:r>
          </w:p>
          <w:p>
            <w:pPr>
              <w:pStyle w:val="yTableNAm"/>
              <w:spacing w:before="60"/>
              <w:rPr>
                <w:sz w:val="18"/>
              </w:rPr>
            </w:pPr>
            <w:r>
              <w:rPr>
                <w:sz w:val="18"/>
              </w:rPr>
              <w:t>(b)</w:t>
            </w:r>
            <w:r>
              <w:rPr>
                <w:sz w:val="18"/>
              </w:rPr>
              <w:tab/>
              <w:t>attendances and inquiries before attempting arrest; and</w:t>
            </w:r>
          </w:p>
          <w:p>
            <w:pPr>
              <w:pStyle w:val="yTableNAm"/>
              <w:spacing w:before="60"/>
              <w:rPr>
                <w:sz w:val="18"/>
              </w:rPr>
            </w:pPr>
            <w:r>
              <w:rPr>
                <w:sz w:val="18"/>
              </w:rPr>
              <w:t>(c)</w:t>
            </w:r>
            <w:r>
              <w:rPr>
                <w:sz w:val="18"/>
              </w:rPr>
              <w:tab/>
              <w:t>giving any notice; and</w:t>
            </w:r>
          </w:p>
          <w:p>
            <w:pPr>
              <w:pStyle w:val="yTableNAm"/>
              <w:spacing w:before="60"/>
              <w:rPr>
                <w:sz w:val="18"/>
              </w:rPr>
            </w:pPr>
            <w:r>
              <w:rPr>
                <w:sz w:val="18"/>
              </w:rPr>
              <w:t>(d)</w:t>
            </w:r>
            <w:r>
              <w:rPr>
                <w:sz w:val="18"/>
              </w:rPr>
              <w:tab/>
              <w:t>making any report.</w:t>
            </w:r>
          </w:p>
        </w:tc>
      </w:tr>
      <w:tr>
        <w:trPr>
          <w:cantSplit/>
        </w:trPr>
        <w:tc>
          <w:tcPr>
            <w:tcW w:w="600" w:type="dxa"/>
            <w:gridSpan w:val="2"/>
          </w:tcPr>
          <w:p>
            <w:pPr>
              <w:pStyle w:val="yTableNAm"/>
              <w:rPr>
                <w:sz w:val="18"/>
              </w:rPr>
            </w:pPr>
            <w:r>
              <w:rPr>
                <w:sz w:val="18"/>
              </w:rPr>
              <w:t>10.</w:t>
            </w:r>
          </w:p>
        </w:tc>
        <w:tc>
          <w:tcPr>
            <w:tcW w:w="5400" w:type="dxa"/>
          </w:tcPr>
          <w:p>
            <w:pPr>
              <w:pStyle w:val="yTableNAm"/>
              <w:rPr>
                <w:sz w:val="18"/>
              </w:rPr>
            </w:pPr>
            <w:r>
              <w:rPr>
                <w:sz w:val="18"/>
              </w:rPr>
              <w:t xml:space="preserve">For an application for an extraordinary drivers licence under the </w:t>
            </w:r>
            <w:r>
              <w:rPr>
                <w:i/>
                <w:sz w:val="18"/>
              </w:rPr>
              <w:t>Road Traffic Act 1974</w:t>
            </w:r>
          </w:p>
        </w:tc>
        <w:tc>
          <w:tcPr>
            <w:tcW w:w="1088" w:type="dxa"/>
          </w:tcPr>
          <w:p>
            <w:pPr>
              <w:pStyle w:val="yTableNAm"/>
              <w:tabs>
                <w:tab w:val="clear" w:pos="567"/>
              </w:tabs>
              <w:ind w:right="191"/>
              <w:jc w:val="right"/>
              <w:rPr>
                <w:sz w:val="18"/>
              </w:rPr>
            </w:pPr>
            <w:r>
              <w:rPr>
                <w:sz w:val="18"/>
              </w:rPr>
              <w:br/>
              <w:t>158.50</w:t>
            </w:r>
          </w:p>
        </w:tc>
      </w:tr>
      <w:tr>
        <w:trPr>
          <w:cantSplit/>
        </w:trPr>
        <w:tc>
          <w:tcPr>
            <w:tcW w:w="600" w:type="dxa"/>
            <w:gridSpan w:val="2"/>
            <w:tcBorders>
              <w:bottom w:val="single" w:sz="4" w:space="0" w:color="auto"/>
            </w:tcBorders>
          </w:tcPr>
          <w:p>
            <w:pPr>
              <w:pStyle w:val="yTableNAm"/>
              <w:rPr>
                <w:sz w:val="18"/>
              </w:rPr>
            </w:pPr>
            <w:r>
              <w:rPr>
                <w:sz w:val="18"/>
              </w:rPr>
              <w:t>11.</w:t>
            </w:r>
          </w:p>
        </w:tc>
        <w:tc>
          <w:tcPr>
            <w:tcW w:w="5400" w:type="dxa"/>
            <w:tcBorders>
              <w:bottom w:val="single" w:sz="4" w:space="0" w:color="auto"/>
            </w:tcBorders>
          </w:tcPr>
          <w:p>
            <w:pPr>
              <w:pStyle w:val="yTableNAm"/>
              <w:rPr>
                <w:sz w:val="18"/>
              </w:rPr>
            </w:pPr>
            <w:r>
              <w:rPr>
                <w:sz w:val="18"/>
              </w:rPr>
              <w:t xml:space="preserve">On filing — </w:t>
            </w:r>
          </w:p>
          <w:p>
            <w:pPr>
              <w:pStyle w:val="yTableNAm"/>
              <w:ind w:left="571" w:hanging="571"/>
              <w:rPr>
                <w:sz w:val="18"/>
              </w:rPr>
            </w:pPr>
            <w:r>
              <w:rPr>
                <w:sz w:val="18"/>
              </w:rPr>
              <w:t>(a)</w:t>
            </w:r>
            <w:r>
              <w:rPr>
                <w:sz w:val="18"/>
              </w:rPr>
              <w:tab/>
              <w:t xml:space="preserve">an application for a misconduct restraining order under the </w:t>
            </w:r>
            <w:r>
              <w:rPr>
                <w:i/>
                <w:iCs/>
                <w:sz w:val="18"/>
              </w:rPr>
              <w:t>Restraining Orders Act 1997</w:t>
            </w:r>
            <w:r>
              <w:rPr>
                <w:sz w:val="18"/>
              </w:rPr>
              <w:t>;</w:t>
            </w:r>
          </w:p>
          <w:p>
            <w:pPr>
              <w:pStyle w:val="yTableNAm"/>
              <w:ind w:left="571" w:hanging="571"/>
              <w:rPr>
                <w:sz w:val="18"/>
              </w:rPr>
            </w:pPr>
            <w:r>
              <w:rPr>
                <w:sz w:val="18"/>
              </w:rPr>
              <w:t>(b)</w:t>
            </w:r>
            <w:r>
              <w:rPr>
                <w:sz w:val="18"/>
              </w:rPr>
              <w:tab/>
              <w:t xml:space="preserve">an application under the </w:t>
            </w:r>
            <w:r>
              <w:rPr>
                <w:i/>
                <w:iCs/>
                <w:sz w:val="18"/>
              </w:rPr>
              <w:t>Disposal of Uncollected Goods Act 1970</w:t>
            </w:r>
            <w:r>
              <w:rPr>
                <w:sz w:val="18"/>
              </w:rPr>
              <w:t>;</w:t>
            </w:r>
          </w:p>
          <w:p>
            <w:pPr>
              <w:pStyle w:val="yTableNAm"/>
              <w:ind w:left="571" w:hanging="571"/>
              <w:rPr>
                <w:sz w:val="18"/>
              </w:rPr>
            </w:pPr>
            <w:r>
              <w:rPr>
                <w:sz w:val="18"/>
              </w:rPr>
              <w:t>(c)</w:t>
            </w:r>
            <w:r>
              <w:rPr>
                <w:sz w:val="18"/>
              </w:rPr>
              <w:tab/>
              <w:t xml:space="preserve">an application under the </w:t>
            </w:r>
            <w:r>
              <w:rPr>
                <w:i/>
                <w:sz w:val="18"/>
              </w:rPr>
              <w:t>Fines, Penalties and Infringement Notices Enforcement Act 1994</w:t>
            </w:r>
            <w:r>
              <w:rPr>
                <w:sz w:val="18"/>
              </w:rPr>
              <w:t xml:space="preserve"> section 101, 101AA or 101A;</w:t>
            </w:r>
          </w:p>
          <w:p>
            <w:pPr>
              <w:pStyle w:val="yTableNAm"/>
              <w:ind w:left="571" w:hanging="571"/>
              <w:rPr>
                <w:sz w:val="18"/>
              </w:rPr>
            </w:pPr>
            <w:r>
              <w:rPr>
                <w:sz w:val="18"/>
              </w:rPr>
              <w:t>(d)</w:t>
            </w:r>
            <w:r>
              <w:rPr>
                <w:sz w:val="18"/>
              </w:rPr>
              <w:tab/>
              <w:t xml:space="preserve">an application under the </w:t>
            </w:r>
            <w:r>
              <w:rPr>
                <w:i/>
                <w:iCs/>
                <w:sz w:val="18"/>
              </w:rPr>
              <w:t>Dividing Fences Act 1961</w:t>
            </w:r>
            <w:r>
              <w:rPr>
                <w:sz w:val="18"/>
              </w:rPr>
              <w:t>;</w:t>
            </w:r>
          </w:p>
          <w:p>
            <w:pPr>
              <w:pStyle w:val="yTableNAm"/>
              <w:ind w:left="571" w:hanging="571"/>
              <w:rPr>
                <w:sz w:val="18"/>
              </w:rPr>
            </w:pPr>
            <w:r>
              <w:rPr>
                <w:sz w:val="18"/>
              </w:rPr>
              <w:t>(e)</w:t>
            </w:r>
            <w:r>
              <w:rPr>
                <w:sz w:val="18"/>
              </w:rPr>
              <w:tab/>
              <w:t xml:space="preserve">an application under the </w:t>
            </w:r>
            <w:r>
              <w:rPr>
                <w:i/>
                <w:iCs/>
                <w:sz w:val="18"/>
              </w:rPr>
              <w:t>Pawnbrokers and Second</w:t>
            </w:r>
            <w:r>
              <w:rPr>
                <w:i/>
                <w:iCs/>
                <w:sz w:val="18"/>
              </w:rPr>
              <w:noBreakHyphen/>
              <w:t>hand Dealers Act 1994.</w:t>
            </w:r>
          </w:p>
        </w:tc>
        <w:tc>
          <w:tcPr>
            <w:tcW w:w="1088" w:type="dxa"/>
            <w:tcBorders>
              <w:bottom w:val="single" w:sz="4" w:space="0" w:color="auto"/>
            </w:tcBorders>
            <w:vAlign w:val="bottom"/>
          </w:tcPr>
          <w:p>
            <w:pPr>
              <w:pStyle w:val="yTableNAm"/>
              <w:tabs>
                <w:tab w:val="clear" w:pos="567"/>
              </w:tabs>
              <w:ind w:right="191"/>
              <w:jc w:val="right"/>
              <w:rPr>
                <w:sz w:val="18"/>
                <w:szCs w:val="18"/>
              </w:rPr>
            </w:pPr>
            <w:r>
              <w:rPr>
                <w:sz w:val="18"/>
                <w:szCs w:val="18"/>
              </w:rPr>
              <w:t>91.50</w:t>
            </w:r>
          </w:p>
        </w:tc>
      </w:tr>
    </w:tbl>
    <w:p>
      <w:pPr>
        <w:pStyle w:val="yFootnotesection"/>
      </w:pPr>
      <w:r>
        <w:tab/>
        <w:t>[Division 2 inserted in Gazette 4 Sep 2009 p. 3475-8; amended in Gazette 30 Jul 2010 p. 3499-500; 8 Mar 2011 p. 788</w:t>
      </w:r>
      <w:r>
        <w:noBreakHyphen/>
        <w:t>90; 17 Jan 2012 p. 464</w:t>
      </w:r>
      <w:r>
        <w:noBreakHyphen/>
        <w:t>5; 30 Nov 2012 p. 5792</w:t>
      </w:r>
      <w:r>
        <w:noBreakHyphen/>
        <w:t>3; 20 Aug 2013 p. 3816; 15 Nov 2013 p. 5249-50.]</w:t>
      </w:r>
    </w:p>
    <w:p>
      <w:pPr>
        <w:pStyle w:val="yHeading3"/>
      </w:pPr>
      <w:bookmarkStart w:id="19" w:name="_Toc377389090"/>
      <w:r>
        <w:rPr>
          <w:rStyle w:val="CharSDivNo"/>
        </w:rPr>
        <w:t>Division 3</w:t>
      </w:r>
      <w:r>
        <w:rPr>
          <w:b w:val="0"/>
        </w:rPr>
        <w:t> — </w:t>
      </w:r>
      <w:r>
        <w:rPr>
          <w:rStyle w:val="CharSDivText"/>
        </w:rPr>
        <w:t>Criminal jurisdiction</w:t>
      </w:r>
      <w:bookmarkEnd w:id="19"/>
    </w:p>
    <w:p>
      <w:pPr>
        <w:pStyle w:val="yFootnoteheading"/>
        <w:spacing w:after="120"/>
      </w:pPr>
      <w:r>
        <w:tab/>
        <w:t>[Heading inserted in Gazette 4 Sep 2009 p. 3478.]</w:t>
      </w:r>
    </w:p>
    <w:tbl>
      <w:tblPr>
        <w:tblW w:w="7088" w:type="dxa"/>
        <w:tblInd w:w="108" w:type="dxa"/>
        <w:tblLayout w:type="fixed"/>
        <w:tblLook w:val="0000" w:firstRow="0" w:lastRow="0" w:firstColumn="0" w:lastColumn="0" w:noHBand="0" w:noVBand="0"/>
      </w:tblPr>
      <w:tblGrid>
        <w:gridCol w:w="840"/>
        <w:gridCol w:w="5160"/>
        <w:gridCol w:w="1088"/>
      </w:tblGrid>
      <w:tr>
        <w:trPr>
          <w:cantSplit/>
          <w:tblHeader/>
        </w:trPr>
        <w:tc>
          <w:tcPr>
            <w:tcW w:w="840" w:type="dxa"/>
            <w:tcBorders>
              <w:top w:val="single" w:sz="4" w:space="0" w:color="auto"/>
              <w:bottom w:val="single" w:sz="4" w:space="0" w:color="auto"/>
            </w:tcBorders>
          </w:tcPr>
          <w:p>
            <w:pPr>
              <w:pStyle w:val="yTableNAm"/>
              <w:rPr>
                <w:b/>
                <w:bCs/>
              </w:rPr>
            </w:pPr>
            <w:r>
              <w:rPr>
                <w:b/>
                <w:bCs/>
              </w:rPr>
              <w:t>Item</w:t>
            </w:r>
          </w:p>
        </w:tc>
        <w:tc>
          <w:tcPr>
            <w:tcW w:w="5160" w:type="dxa"/>
            <w:tcBorders>
              <w:top w:val="single" w:sz="4" w:space="0" w:color="auto"/>
              <w:bottom w:val="single" w:sz="4" w:space="0" w:color="auto"/>
            </w:tcBorders>
          </w:tcPr>
          <w:p>
            <w:pPr>
              <w:pStyle w:val="yTableNAm"/>
              <w:rPr>
                <w:b/>
                <w:bCs/>
              </w:rPr>
            </w:pPr>
            <w:r>
              <w:rPr>
                <w:b/>
                <w:bCs/>
              </w:rPr>
              <w:t>Matter</w:t>
            </w:r>
          </w:p>
        </w:tc>
        <w:tc>
          <w:tcPr>
            <w:tcW w:w="1088" w:type="dxa"/>
            <w:tcBorders>
              <w:top w:val="single" w:sz="4" w:space="0" w:color="auto"/>
              <w:bottom w:val="single" w:sz="4" w:space="0" w:color="auto"/>
            </w:tcBorders>
          </w:tcPr>
          <w:p>
            <w:pPr>
              <w:pStyle w:val="yTableNAm"/>
              <w:jc w:val="center"/>
              <w:rPr>
                <w:b/>
                <w:bCs/>
              </w:rPr>
            </w:pPr>
            <w:r>
              <w:rPr>
                <w:b/>
                <w:bCs/>
              </w:rPr>
              <w:t>$</w:t>
            </w:r>
          </w:p>
        </w:tc>
      </w:tr>
      <w:tr>
        <w:trPr>
          <w:cantSplit/>
        </w:trPr>
        <w:tc>
          <w:tcPr>
            <w:tcW w:w="840" w:type="dxa"/>
          </w:tcPr>
          <w:p>
            <w:pPr>
              <w:pStyle w:val="yTableNAm"/>
            </w:pPr>
            <w:r>
              <w:t>1.</w:t>
            </w:r>
          </w:p>
        </w:tc>
        <w:tc>
          <w:tcPr>
            <w:tcW w:w="5160" w:type="dxa"/>
          </w:tcPr>
          <w:p>
            <w:pPr>
              <w:pStyle w:val="yTableNAm"/>
            </w:pPr>
            <w:r>
              <w:t xml:space="preserve">On filing — </w:t>
            </w:r>
          </w:p>
        </w:tc>
        <w:tc>
          <w:tcPr>
            <w:tcW w:w="1088" w:type="dxa"/>
          </w:tcPr>
          <w:p>
            <w:pPr>
              <w:pStyle w:val="yTableNAm"/>
              <w:jc w:val="center"/>
            </w:pPr>
          </w:p>
        </w:tc>
      </w:tr>
      <w:tr>
        <w:trPr>
          <w:cantSplit/>
        </w:trPr>
        <w:tc>
          <w:tcPr>
            <w:tcW w:w="840" w:type="dxa"/>
          </w:tcPr>
          <w:p>
            <w:pPr>
              <w:pStyle w:val="yTableNAm"/>
            </w:pPr>
          </w:p>
        </w:tc>
        <w:tc>
          <w:tcPr>
            <w:tcW w:w="5160" w:type="dxa"/>
          </w:tcPr>
          <w:p>
            <w:pPr>
              <w:pStyle w:val="yTableNAm"/>
              <w:ind w:left="612" w:hanging="612"/>
            </w:pPr>
            <w:r>
              <w:t>(a)</w:t>
            </w:r>
            <w:r>
              <w:tab/>
              <w:t>a prosecution notice;</w:t>
            </w:r>
          </w:p>
        </w:tc>
        <w:tc>
          <w:tcPr>
            <w:tcW w:w="1088" w:type="dxa"/>
          </w:tcPr>
          <w:p>
            <w:pPr>
              <w:pStyle w:val="yTableNAm"/>
              <w:jc w:val="center"/>
            </w:pPr>
          </w:p>
        </w:tc>
      </w:tr>
      <w:tr>
        <w:trPr>
          <w:cantSplit/>
        </w:trPr>
        <w:tc>
          <w:tcPr>
            <w:tcW w:w="840" w:type="dxa"/>
          </w:tcPr>
          <w:p>
            <w:pPr>
              <w:pStyle w:val="yTableNAm"/>
            </w:pPr>
          </w:p>
        </w:tc>
        <w:tc>
          <w:tcPr>
            <w:tcW w:w="5160" w:type="dxa"/>
          </w:tcPr>
          <w:p>
            <w:pPr>
              <w:pStyle w:val="yTableNAm"/>
              <w:ind w:left="612" w:hanging="612"/>
            </w:pPr>
            <w:r>
              <w:t>(b)</w:t>
            </w:r>
            <w:r>
              <w:tab/>
              <w:t xml:space="preserve">an application under the </w:t>
            </w:r>
            <w:r>
              <w:rPr>
                <w:i/>
              </w:rPr>
              <w:t>Criminal Procedure Act 2004</w:t>
            </w:r>
            <w:r>
              <w:t xml:space="preserve"> section 71</w:t>
            </w:r>
          </w:p>
        </w:tc>
        <w:tc>
          <w:tcPr>
            <w:tcW w:w="1088" w:type="dxa"/>
          </w:tcPr>
          <w:p>
            <w:pPr>
              <w:pStyle w:val="yTableNAm"/>
              <w:jc w:val="center"/>
              <w:rPr>
                <w:szCs w:val="22"/>
              </w:rPr>
            </w:pPr>
            <w:r>
              <w:br/>
            </w:r>
            <w:r>
              <w:rPr>
                <w:szCs w:val="22"/>
              </w:rPr>
              <w:t>77.00</w:t>
            </w:r>
          </w:p>
        </w:tc>
      </w:tr>
      <w:tr>
        <w:trPr>
          <w:cantSplit/>
        </w:trPr>
        <w:tc>
          <w:tcPr>
            <w:tcW w:w="840" w:type="dxa"/>
          </w:tcPr>
          <w:p>
            <w:pPr>
              <w:pStyle w:val="yTableNAm"/>
            </w:pPr>
            <w:r>
              <w:t>2.</w:t>
            </w:r>
          </w:p>
        </w:tc>
        <w:tc>
          <w:tcPr>
            <w:tcW w:w="5160" w:type="dxa"/>
          </w:tcPr>
          <w:p>
            <w:pPr>
              <w:pStyle w:val="yTableNAm"/>
            </w:pPr>
            <w:r>
              <w:t>For the issue of a summons or court hearing notice to an accused</w:t>
            </w:r>
          </w:p>
        </w:tc>
        <w:tc>
          <w:tcPr>
            <w:tcW w:w="1088" w:type="dxa"/>
          </w:tcPr>
          <w:p>
            <w:pPr>
              <w:pStyle w:val="yTableNAm"/>
              <w:jc w:val="center"/>
              <w:rPr>
                <w:szCs w:val="22"/>
              </w:rPr>
            </w:pPr>
            <w:r>
              <w:br/>
            </w:r>
            <w:r>
              <w:rPr>
                <w:szCs w:val="22"/>
              </w:rPr>
              <w:t>14.70</w:t>
            </w:r>
          </w:p>
        </w:tc>
      </w:tr>
      <w:tr>
        <w:trPr>
          <w:cantSplit/>
        </w:trPr>
        <w:tc>
          <w:tcPr>
            <w:tcW w:w="840" w:type="dxa"/>
            <w:tcBorders>
              <w:bottom w:val="single" w:sz="4" w:space="0" w:color="auto"/>
            </w:tcBorders>
          </w:tcPr>
          <w:p>
            <w:pPr>
              <w:pStyle w:val="yTableNAm"/>
              <w:jc w:val="center"/>
            </w:pPr>
            <w:r>
              <w:t>3.</w:t>
            </w:r>
          </w:p>
        </w:tc>
        <w:tc>
          <w:tcPr>
            <w:tcW w:w="5160" w:type="dxa"/>
            <w:tcBorders>
              <w:bottom w:val="single" w:sz="4" w:space="0" w:color="auto"/>
            </w:tcBorders>
          </w:tcPr>
          <w:p>
            <w:pPr>
              <w:pStyle w:val="yTableNAm"/>
            </w:pPr>
            <w:r>
              <w:t xml:space="preserve">For a warrant of any kind — </w:t>
            </w:r>
          </w:p>
          <w:p>
            <w:pPr>
              <w:pStyle w:val="yTableNAm"/>
              <w:ind w:left="612" w:hanging="612"/>
            </w:pPr>
            <w:r>
              <w:t>(a)</w:t>
            </w:r>
            <w:r>
              <w:tab/>
              <w:t>issue of it</w:t>
            </w:r>
          </w:p>
          <w:p>
            <w:pPr>
              <w:pStyle w:val="yTableNAm"/>
              <w:ind w:left="612" w:hanging="612"/>
            </w:pPr>
            <w:r>
              <w:t>(b)</w:t>
            </w:r>
            <w:r>
              <w:tab/>
              <w:t>execution of it</w:t>
            </w:r>
          </w:p>
        </w:tc>
        <w:tc>
          <w:tcPr>
            <w:tcW w:w="1088" w:type="dxa"/>
            <w:tcBorders>
              <w:bottom w:val="single" w:sz="4" w:space="0" w:color="auto"/>
            </w:tcBorders>
          </w:tcPr>
          <w:p>
            <w:pPr>
              <w:pStyle w:val="yTableNAm"/>
              <w:jc w:val="center"/>
            </w:pPr>
          </w:p>
          <w:p>
            <w:pPr>
              <w:pStyle w:val="yTableNAm"/>
              <w:jc w:val="center"/>
              <w:rPr>
                <w:szCs w:val="22"/>
              </w:rPr>
            </w:pPr>
            <w:r>
              <w:rPr>
                <w:szCs w:val="22"/>
              </w:rPr>
              <w:t>77.00</w:t>
            </w:r>
          </w:p>
          <w:p>
            <w:pPr>
              <w:pStyle w:val="yTableNAm"/>
              <w:jc w:val="center"/>
            </w:pPr>
            <w:r>
              <w:rPr>
                <w:szCs w:val="22"/>
              </w:rPr>
              <w:t>100.00</w:t>
            </w:r>
          </w:p>
        </w:tc>
      </w:tr>
    </w:tbl>
    <w:p>
      <w:pPr>
        <w:pStyle w:val="yFootnotesection"/>
      </w:pPr>
      <w:r>
        <w:tab/>
        <w:t>[Division 3 inserted in Gazette 4 Sep 2009 p. 3478</w:t>
      </w:r>
      <w:r>
        <w:noBreakHyphen/>
        <w:t>9; amended in Gazette 8 Mar 2011 p. 790; 17 Jan 2012 p. 465; 30 Nov 2012 p. 5793; 15 Nov 2013 p. 5250.]</w:t>
      </w:r>
    </w:p>
    <w:p>
      <w:pPr>
        <w:sectPr>
          <w:headerReference w:type="even" r:id="rId27"/>
          <w:headerReference w:type="default" r:id="rId28"/>
          <w:endnotePr>
            <w:numFmt w:val="decimal"/>
          </w:endnotePr>
          <w:pgSz w:w="11906" w:h="16838" w:code="9"/>
          <w:pgMar w:top="1809" w:right="2405" w:bottom="3542" w:left="2405" w:header="706" w:footer="3380" w:gutter="0"/>
          <w:cols w:space="720"/>
          <w:noEndnote/>
          <w:docGrid w:linePitch="326"/>
        </w:sectPr>
      </w:pPr>
    </w:p>
    <w:p>
      <w:pPr>
        <w:pStyle w:val="yScheduleHeading"/>
      </w:pPr>
      <w:bookmarkStart w:id="20" w:name="_Toc377389091"/>
      <w:r>
        <w:rPr>
          <w:rStyle w:val="CharSchNo"/>
        </w:rPr>
        <w:t>Schedule 2</w:t>
      </w:r>
      <w:r>
        <w:rPr>
          <w:rStyle w:val="CharSDivNo"/>
        </w:rPr>
        <w:t> </w:t>
      </w:r>
      <w:r>
        <w:t>—</w:t>
      </w:r>
      <w:r>
        <w:rPr>
          <w:rStyle w:val="CharSDivText"/>
        </w:rPr>
        <w:t> </w:t>
      </w:r>
      <w:r>
        <w:rPr>
          <w:rStyle w:val="CharSchText"/>
        </w:rPr>
        <w:t>Forms</w:t>
      </w:r>
      <w:bookmarkEnd w:id="20"/>
    </w:p>
    <w:p>
      <w:pPr>
        <w:pStyle w:val="yShoulderClause"/>
      </w:pPr>
      <w:r>
        <w:t>[r. 4(6), 8(6), 13(2)]</w:t>
      </w:r>
    </w:p>
    <w:p>
      <w:pPr>
        <w:pStyle w:val="yHeading5"/>
        <w:spacing w:after="120"/>
      </w:pPr>
      <w:bookmarkStart w:id="21" w:name="_Toc377389092"/>
      <w:r>
        <w:rPr>
          <w:rStyle w:val="CharSClsNo"/>
        </w:rPr>
        <w:t>1</w:t>
      </w:r>
      <w:r>
        <w:t>.</w:t>
      </w:r>
      <w:r>
        <w:tab/>
        <w:t>Declaration that a person is a small business or a non</w:t>
      </w:r>
      <w:r>
        <w:noBreakHyphen/>
        <w:t>profit association</w:t>
      </w:r>
      <w:bookmarkEnd w:id="21"/>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1</w:t>
            </w:r>
          </w:p>
          <w:p>
            <w:pPr>
              <w:pStyle w:val="yTable"/>
              <w:jc w:val="center"/>
              <w:rPr>
                <w:b/>
              </w:rPr>
            </w:pPr>
            <w:r>
              <w:rPr>
                <w:b/>
                <w:i/>
              </w:rPr>
              <w:t>Magistrates Court (Fees) Regulations 2005</w:t>
            </w:r>
          </w:p>
          <w:p>
            <w:pPr>
              <w:pStyle w:val="yTable"/>
              <w:jc w:val="center"/>
              <w:rPr>
                <w:b/>
              </w:rPr>
            </w:pPr>
            <w:r>
              <w:rPr>
                <w:b/>
              </w:rPr>
              <w:t>(Regulation 4)</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In the Magistrates Court of Western Australia</w:t>
            </w:r>
          </w:p>
        </w:tc>
        <w:tc>
          <w:tcPr>
            <w:tcW w:w="3189" w:type="dxa"/>
          </w:tcPr>
          <w:p>
            <w:pPr>
              <w:pStyle w:val="yTable"/>
            </w:pPr>
            <w:r>
              <w:t>No.         of  2   </w:t>
            </w:r>
          </w:p>
        </w:tc>
      </w:tr>
      <w:tr>
        <w:trPr>
          <w:cantSplit/>
          <w:trHeight w:val="433"/>
        </w:trPr>
        <w:tc>
          <w:tcPr>
            <w:tcW w:w="1701" w:type="dxa"/>
            <w:tcBorders>
              <w:top w:val="single" w:sz="4" w:space="0" w:color="auto"/>
              <w:left w:val="single" w:sz="4" w:space="0" w:color="auto"/>
              <w:bottom w:val="nil"/>
              <w:right w:val="single" w:sz="4" w:space="0" w:color="auto"/>
            </w:tcBorders>
          </w:tcPr>
          <w:p>
            <w:pPr>
              <w:pStyle w:val="yTable"/>
              <w:rPr>
                <w:b/>
              </w:rPr>
            </w:pPr>
            <w:r>
              <w:rPr>
                <w:b/>
              </w:rPr>
              <w:t>Applicant:</w:t>
            </w:r>
          </w:p>
        </w:tc>
        <w:tc>
          <w:tcPr>
            <w:tcW w:w="5103" w:type="dxa"/>
            <w:gridSpan w:val="3"/>
            <w:tcBorders>
              <w:left w:val="single" w:sz="4" w:space="0" w:color="auto"/>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nil"/>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vertAlign w:val="superscript"/>
              </w:rPr>
              <w:t>1</w:t>
            </w:r>
            <w:r>
              <w:t xml:space="preserve"> or a non</w:t>
            </w:r>
            <w:r>
              <w:noBreakHyphen/>
              <w:t>profit association</w:t>
            </w:r>
            <w:r>
              <w:rPr>
                <w:vertAlign w:val="superscript"/>
              </w:rPr>
              <w:t>2</w:t>
            </w:r>
            <w:r>
              <w:t xml:space="preserve"> within the meaning of that term in the </w:t>
            </w:r>
            <w:smartTag w:uri="urn:schemas-microsoft-com:office:smarttags" w:element="Street">
              <w:smartTag w:uri="urn:schemas-microsoft-com:office:smarttags" w:element="address">
                <w:r>
                  <w:rPr>
                    <w:i/>
                  </w:rPr>
                  <w:t>Magistrates Court</w:t>
                </w:r>
              </w:smartTag>
            </w:smartTag>
            <w:r>
              <w:rPr>
                <w:i/>
              </w:rPr>
              <w:t xml:space="preserve"> (Fees)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Pr>
          <w:p>
            <w:pPr>
              <w:pStyle w:val="yTable"/>
              <w:rPr>
                <w:b/>
                <w:bCs/>
              </w:rPr>
            </w:pPr>
            <w:r>
              <w:rPr>
                <w:b/>
                <w:bCs/>
              </w:rPr>
              <w:t>Date:</w:t>
            </w:r>
          </w:p>
        </w:tc>
        <w:tc>
          <w:tcPr>
            <w:tcW w:w="4252" w:type="dxa"/>
            <w:gridSpan w:val="2"/>
          </w:tcPr>
          <w:p>
            <w:pPr>
              <w:pStyle w:val="yTable"/>
            </w:pPr>
          </w:p>
        </w:tc>
      </w:tr>
      <w:tr>
        <w:trPr>
          <w:cantSplit/>
          <w:trHeight w:val="429"/>
        </w:trPr>
        <w:tc>
          <w:tcPr>
            <w:tcW w:w="6804" w:type="dxa"/>
            <w:gridSpan w:val="4"/>
            <w:tcBorders>
              <w:bottom w:val="single" w:sz="4" w:space="0" w:color="auto"/>
            </w:tcBorders>
          </w:tcPr>
          <w:p>
            <w:pPr>
              <w:pStyle w:val="yTable"/>
              <w:spacing w:before="0"/>
              <w:ind w:left="459" w:hanging="459"/>
              <w:rPr>
                <w:i/>
                <w:sz w:val="16"/>
              </w:rPr>
            </w:pPr>
            <w:r>
              <w:rPr>
                <w:i/>
                <w:sz w:val="16"/>
              </w:rPr>
              <w:t>Note:  It is an offence under Magistrates Court (Fees) Regulations 2005 regulation 4(12) for a person to make a statement or representation in this declaration that the person knows or has reason to believe is false or misleading in a material particular.  The maximum fine is $1 000.</w:t>
            </w:r>
          </w:p>
        </w:tc>
      </w:tr>
      <w:tr>
        <w:trPr>
          <w:cantSplit/>
          <w:trHeight w:val="429"/>
        </w:trPr>
        <w:tc>
          <w:tcPr>
            <w:tcW w:w="6804" w:type="dxa"/>
            <w:gridSpan w:val="4"/>
            <w:tcBorders>
              <w:top w:val="single" w:sz="4" w:space="0" w:color="auto"/>
              <w:left w:val="single" w:sz="4" w:space="0" w:color="auto"/>
              <w:bottom w:val="nil"/>
              <w:right w:val="single" w:sz="4" w:space="0" w:color="auto"/>
            </w:tcBorders>
          </w:tcPr>
          <w:p>
            <w:pPr>
              <w:pStyle w:val="yTable"/>
              <w:keepNext/>
              <w:rPr>
                <w:i/>
                <w:sz w:val="16"/>
              </w:rPr>
            </w:pPr>
            <w:r>
              <w:rPr>
                <w:sz w:val="16"/>
                <w:vertAlign w:val="superscript"/>
              </w:rPr>
              <w:t xml:space="preserve">1 </w:t>
            </w:r>
            <w:r>
              <w:rPr>
                <w:i/>
                <w:sz w:val="16"/>
              </w:rPr>
              <w:t xml:space="preserve">Under the </w:t>
            </w:r>
            <w:smartTag w:uri="urn:schemas-microsoft-com:office:smarttags" w:element="Street">
              <w:smartTag w:uri="urn:schemas-microsoft-com:office:smarttags" w:element="address">
                <w:r>
                  <w:rPr>
                    <w:i/>
                    <w:sz w:val="16"/>
                  </w:rPr>
                  <w:t>Magistrates Court</w:t>
                </w:r>
              </w:smartTag>
            </w:smartTag>
            <w:r>
              <w:rPr>
                <w:i/>
                <w:sz w:val="16"/>
              </w:rPr>
              <w:t xml:space="preserve"> (Fees) Regulations 2005 regulation 3 a small business is — </w:t>
            </w:r>
          </w:p>
          <w:p>
            <w:pPr>
              <w:pStyle w:val="Defpara"/>
              <w:keepNext/>
              <w:spacing w:before="0" w:line="240" w:lineRule="auto"/>
              <w:ind w:left="318" w:firstLine="0"/>
              <w:rPr>
                <w:i/>
                <w:sz w:val="16"/>
              </w:rPr>
            </w:pPr>
            <w:r>
              <w:rPr>
                <w:i/>
                <w:sz w:val="16"/>
              </w:rPr>
              <w:t>an individual or individuals in partnership who wholly own and operate a business undertaking that has less than 20 full</w:t>
            </w:r>
            <w:r>
              <w:rPr>
                <w:i/>
                <w:sz w:val="16"/>
              </w:rPr>
              <w:noBreakHyphen/>
              <w:t>time equivalent employees and partners;</w:t>
            </w:r>
          </w:p>
          <w:p>
            <w:pPr>
              <w:pStyle w:val="Defpara"/>
              <w:keepNext/>
              <w:spacing w:before="0" w:line="240" w:lineRule="auto"/>
              <w:ind w:left="318" w:firstLine="0"/>
            </w:pPr>
            <w:r>
              <w:rPr>
                <w:i/>
                <w:sz w:val="16"/>
              </w:rPr>
              <w:t>a corporation that has less than 20 full</w:t>
            </w:r>
            <w:r>
              <w:rPr>
                <w:i/>
                <w:sz w:val="16"/>
              </w:rPr>
              <w:noBreakHyphen/>
              <w:t>time equivalent employees and that is not a subsidiary of a corporation that has 20 or more full</w:t>
            </w:r>
            <w:r>
              <w:rPr>
                <w:i/>
                <w:sz w:val="16"/>
              </w:rPr>
              <w:noBreakHyphen/>
              <w:t>time equivalent employees;</w:t>
            </w:r>
          </w:p>
        </w:tc>
      </w:tr>
      <w:tr>
        <w:trPr>
          <w:cantSplit/>
          <w:trHeight w:val="429"/>
        </w:trPr>
        <w:tc>
          <w:tcPr>
            <w:tcW w:w="6804" w:type="dxa"/>
            <w:gridSpan w:val="4"/>
            <w:tcBorders>
              <w:top w:val="nil"/>
              <w:left w:val="single" w:sz="4" w:space="0" w:color="auto"/>
              <w:bottom w:val="single" w:sz="4" w:space="0" w:color="auto"/>
              <w:right w:val="single" w:sz="4" w:space="0" w:color="auto"/>
            </w:tcBorders>
          </w:tcPr>
          <w:p>
            <w:pPr>
              <w:pStyle w:val="Defpara"/>
              <w:spacing w:before="0" w:line="240" w:lineRule="auto"/>
              <w:ind w:left="318" w:firstLine="0"/>
              <w:rPr>
                <w:i/>
                <w:sz w:val="16"/>
              </w:rPr>
            </w:pPr>
            <w:r>
              <w:rPr>
                <w:i/>
                <w:sz w:val="16"/>
              </w:rPr>
              <w:t>a company within the meaning of the Companies (Co-operative)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w:t>
            </w:r>
          </w:p>
          <w:p>
            <w:pPr>
              <w:pStyle w:val="Defpara"/>
              <w:spacing w:before="0" w:line="240" w:lineRule="auto"/>
              <w:ind w:left="318" w:firstLine="0"/>
              <w:rPr>
                <w:i/>
              </w:rPr>
            </w:pPr>
            <w:r>
              <w:rPr>
                <w:i/>
                <w:sz w:val="16"/>
              </w:rPr>
              <w:t>a corporation within the meaning of the Statutory Corporations (Liability of Directors) Act 1996 that has less than 20 full</w:t>
            </w:r>
            <w:r>
              <w:rPr>
                <w:i/>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rPr>
              <w:noBreakHyphen/>
              <w:t>time equivalent employees.</w:t>
            </w:r>
          </w:p>
        </w:tc>
      </w:tr>
      <w:tr>
        <w:trPr>
          <w:cantSplit/>
          <w:trHeight w:val="429"/>
        </w:trPr>
        <w:tc>
          <w:tcPr>
            <w:tcW w:w="6804" w:type="dxa"/>
            <w:gridSpan w:val="4"/>
            <w:tcBorders>
              <w:top w:val="single" w:sz="4" w:space="0" w:color="auto"/>
              <w:left w:val="single" w:sz="4" w:space="0" w:color="auto"/>
              <w:bottom w:val="single" w:sz="4" w:space="0" w:color="auto"/>
              <w:right w:val="single" w:sz="4" w:space="0" w:color="auto"/>
            </w:tcBorders>
          </w:tcPr>
          <w:p>
            <w:pPr>
              <w:pStyle w:val="Defpara"/>
              <w:spacing w:line="240" w:lineRule="auto"/>
              <w:ind w:left="317" w:hanging="317"/>
              <w:rPr>
                <w:i/>
                <w:sz w:val="16"/>
              </w:rPr>
            </w:pPr>
            <w:r>
              <w:rPr>
                <w:i/>
                <w:sz w:val="16"/>
                <w:vertAlign w:val="superscript"/>
              </w:rPr>
              <w:t>2</w:t>
            </w:r>
            <w:r>
              <w:rPr>
                <w:i/>
                <w:sz w:val="16"/>
              </w:rPr>
              <w:t xml:space="preserve"> Under the </w:t>
            </w:r>
            <w:smartTag w:uri="urn:schemas-microsoft-com:office:smarttags" w:element="Street">
              <w:smartTag w:uri="urn:schemas-microsoft-com:office:smarttags" w:element="address">
                <w:r>
                  <w:rPr>
                    <w:i/>
                    <w:sz w:val="16"/>
                  </w:rPr>
                  <w:t>Magistrates Court</w:t>
                </w:r>
              </w:smartTag>
            </w:smartTag>
            <w:r>
              <w:rPr>
                <w:i/>
                <w:sz w:val="16"/>
              </w:rPr>
              <w:t xml:space="preserve"> (Fees) Regulations 2005 regulation 3 a non</w:t>
            </w:r>
            <w:r>
              <w:rPr>
                <w:i/>
                <w:sz w:val="16"/>
              </w:rPr>
              <w:noBreakHyphen/>
              <w:t>profit association is a society, club, institution or body that is not for the purpose of trading or securing pecuniary profit for its members from its transactions.</w:t>
            </w:r>
          </w:p>
          <w:p>
            <w:pPr>
              <w:pStyle w:val="Defpara"/>
              <w:spacing w:line="240" w:lineRule="auto"/>
              <w:ind w:left="317" w:hanging="317"/>
              <w:rPr>
                <w:i/>
                <w:sz w:val="16"/>
              </w:rPr>
            </w:pPr>
            <w:r>
              <w:rPr>
                <w:i/>
              </w:rPr>
              <w:t>*</w:t>
            </w:r>
            <w:r>
              <w:rPr>
                <w:i/>
              </w:rPr>
              <w:tab/>
            </w:r>
            <w:r>
              <w:rPr>
                <w:i/>
                <w:sz w:val="16"/>
              </w:rPr>
              <w:t>Strike out the words that are not applicable.</w:t>
            </w:r>
          </w:p>
        </w:tc>
      </w:tr>
    </w:tbl>
    <w:p>
      <w:pPr>
        <w:pStyle w:val="yHeading5"/>
        <w:keepNext w:val="0"/>
        <w:keepLines w:val="0"/>
        <w:pageBreakBefore/>
        <w:spacing w:after="120"/>
      </w:pPr>
      <w:bookmarkStart w:id="22" w:name="_Toc377389093"/>
      <w:r>
        <w:rPr>
          <w:rStyle w:val="CharSClsNo"/>
        </w:rPr>
        <w:t>2</w:t>
      </w:r>
      <w:r>
        <w:t>.</w:t>
      </w:r>
      <w:r>
        <w:tab/>
        <w:t>Application to remit fees</w:t>
      </w:r>
      <w:bookmarkEnd w:id="22"/>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tc>
          <w:tcPr>
            <w:tcW w:w="6804" w:type="dxa"/>
            <w:gridSpan w:val="8"/>
          </w:tcPr>
          <w:p>
            <w:pPr>
              <w:pStyle w:val="yTable"/>
              <w:jc w:val="center"/>
              <w:rPr>
                <w:b/>
              </w:rPr>
            </w:pPr>
            <w:r>
              <w:rPr>
                <w:b/>
              </w:rPr>
              <w:t>Form 2</w:t>
            </w:r>
          </w:p>
          <w:p>
            <w:pPr>
              <w:pStyle w:val="yTable"/>
              <w:jc w:val="center"/>
              <w:rPr>
                <w:b/>
              </w:rPr>
            </w:pPr>
            <w:r>
              <w:rPr>
                <w:b/>
                <w:i/>
              </w:rPr>
              <w:t>Magistrates Court (Fees) Regulations 2005</w:t>
            </w:r>
          </w:p>
          <w:p>
            <w:pPr>
              <w:pStyle w:val="yTable"/>
              <w:jc w:val="center"/>
              <w:rPr>
                <w:b/>
              </w:rPr>
            </w:pPr>
            <w:r>
              <w:rPr>
                <w:b/>
              </w:rPr>
              <w:t>(Regulation 8)</w:t>
            </w:r>
          </w:p>
          <w:p>
            <w:pPr>
              <w:pStyle w:val="yTable"/>
              <w:jc w:val="center"/>
            </w:pPr>
            <w:r>
              <w:rPr>
                <w:b/>
              </w:rPr>
              <w:t>Application to remit fees</w:t>
            </w:r>
          </w:p>
        </w:tc>
      </w:tr>
      <w:tr>
        <w:trPr>
          <w:cantSplit/>
        </w:trPr>
        <w:tc>
          <w:tcPr>
            <w:tcW w:w="3615" w:type="dxa"/>
            <w:gridSpan w:val="3"/>
          </w:tcPr>
          <w:p>
            <w:pPr>
              <w:pStyle w:val="yTable"/>
            </w:pPr>
            <w:r>
              <w:t xml:space="preserve">In the Magistrates Court of </w:t>
            </w:r>
            <w:r>
              <w:br/>
              <w:t>Western Australia</w:t>
            </w:r>
          </w:p>
        </w:tc>
        <w:tc>
          <w:tcPr>
            <w:tcW w:w="3189" w:type="dxa"/>
            <w:gridSpan w:val="5"/>
          </w:tcPr>
          <w:p>
            <w:pPr>
              <w:pStyle w:val="yTable"/>
            </w:pPr>
            <w:r>
              <w:t>No.         of  2    </w:t>
            </w:r>
          </w:p>
        </w:tc>
      </w:tr>
      <w:tr>
        <w:trPr>
          <w:cantSplit/>
        </w:trPr>
        <w:tc>
          <w:tcPr>
            <w:tcW w:w="6804" w:type="dxa"/>
            <w:gridSpan w:val="8"/>
          </w:tcPr>
          <w:p>
            <w:pPr>
              <w:pStyle w:val="yTable"/>
            </w:pPr>
            <w:r>
              <w:rPr>
                <w:b/>
              </w:rPr>
              <w:t>Claimant:</w:t>
            </w:r>
            <w:r>
              <w:tab/>
              <w:t>...................................................................................................</w:t>
            </w:r>
          </w:p>
        </w:tc>
      </w:tr>
      <w:tr>
        <w:trPr>
          <w:cantSplit/>
        </w:trPr>
        <w:tc>
          <w:tcPr>
            <w:tcW w:w="6804" w:type="dxa"/>
            <w:gridSpan w:val="8"/>
          </w:tcPr>
          <w:p>
            <w:pPr>
              <w:pStyle w:val="yTable"/>
            </w:pPr>
            <w:r>
              <w:rPr>
                <w:b/>
              </w:rPr>
              <w:t>Defendant:</w:t>
            </w:r>
            <w:r>
              <w:t>....................................................................................................</w:t>
            </w:r>
          </w:p>
        </w:tc>
      </w:tr>
      <w:tr>
        <w:trPr>
          <w:cantSplit/>
          <w:trHeight w:val="433"/>
        </w:trPr>
        <w:tc>
          <w:tcPr>
            <w:tcW w:w="1701" w:type="dxa"/>
            <w:vMerge w:val="restart"/>
          </w:tcPr>
          <w:p>
            <w:pPr>
              <w:pStyle w:val="yTable"/>
              <w:rPr>
                <w:b/>
              </w:rPr>
            </w:pPr>
            <w:r>
              <w:rPr>
                <w:b/>
              </w:rPr>
              <w:t>Applicant:</w:t>
            </w:r>
          </w:p>
        </w:tc>
        <w:tc>
          <w:tcPr>
            <w:tcW w:w="5103" w:type="dxa"/>
            <w:gridSpan w:val="7"/>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7"/>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3"/>
          </w:tcPr>
          <w:p>
            <w:pPr>
              <w:pStyle w:val="yTable"/>
            </w:pPr>
            <w:r>
              <w:t>......................................</w:t>
            </w:r>
          </w:p>
          <w:p>
            <w:pPr>
              <w:pStyle w:val="yTable"/>
              <w:spacing w:before="0"/>
            </w:pPr>
            <w:r>
              <w:t>MDL No.</w:t>
            </w:r>
          </w:p>
        </w:tc>
      </w:tr>
      <w:tr>
        <w:trPr>
          <w:cantSplit/>
          <w:trHeight w:val="431"/>
        </w:trPr>
        <w:tc>
          <w:tcPr>
            <w:tcW w:w="6804" w:type="dxa"/>
            <w:gridSpan w:val="8"/>
          </w:tcPr>
          <w:p>
            <w:pPr>
              <w:pStyle w:val="yTable"/>
            </w:pPr>
            <w:r>
              <w:t>The following reason is the reason</w:t>
            </w:r>
            <w:r>
              <w:rPr>
                <w:vertAlign w:val="superscript"/>
              </w:rPr>
              <w:t>1</w:t>
            </w:r>
            <w:r>
              <w:t xml:space="preserve"> for applying to have the above fee waived/ reduced/ refunded/ deferred*.</w:t>
            </w:r>
          </w:p>
          <w:p>
            <w:pPr>
              <w:pStyle w:val="yTable"/>
              <w:tabs>
                <w:tab w:val="left" w:pos="459"/>
              </w:tabs>
              <w:rPr>
                <w:i/>
                <w:sz w:val="16"/>
              </w:rPr>
            </w:pPr>
            <w:r>
              <w:t xml:space="preserve">.................................................................................................................... .................................................................................................................... .................................................................................................................... .................................................................................................................... ....................................................................................................................   </w:t>
            </w:r>
            <w:r>
              <w:rPr>
                <w:i/>
                <w:sz w:val="16"/>
              </w:rPr>
              <w:t>1</w:t>
            </w:r>
            <w:r>
              <w:rPr>
                <w:i/>
                <w:sz w:val="16"/>
              </w:rPr>
              <w:tab/>
              <w:t>The reasons available are financial hardship or that it is in the interests of justice to do so.</w:t>
            </w:r>
          </w:p>
          <w:p>
            <w:pPr>
              <w:pStyle w:val="yTable"/>
              <w:tabs>
                <w:tab w:val="left" w:pos="459"/>
              </w:tabs>
              <w:rPr>
                <w:i/>
              </w:rPr>
            </w:pPr>
            <w:r>
              <w:rPr>
                <w:i/>
              </w:rPr>
              <w:t>*</w:t>
            </w:r>
            <w:r>
              <w:rPr>
                <w:i/>
              </w:rPr>
              <w:tab/>
            </w:r>
            <w:r>
              <w:rPr>
                <w:i/>
                <w:sz w:val="16"/>
              </w:rPr>
              <w:t>Strike out those that are not applicable.</w:t>
            </w:r>
          </w:p>
        </w:tc>
      </w:tr>
      <w:tr>
        <w:trPr>
          <w:cantSplit/>
        </w:trPr>
        <w:tc>
          <w:tcPr>
            <w:tcW w:w="6804" w:type="dxa"/>
            <w:gridSpan w:val="8"/>
          </w:tcPr>
          <w:p>
            <w:pPr>
              <w:pStyle w:val="yTable"/>
            </w:pPr>
            <w:r>
              <w:t xml:space="preserve">If the reason is that it is in the interests of justice to do so, why is that so? </w:t>
            </w:r>
          </w:p>
          <w:p>
            <w:pPr>
              <w:pStyle w:val="yTable"/>
            </w:pPr>
            <w:r>
              <w:t>.................................................................................................................... .................................................................................................................... .................................................................................................................... .................................................................................................................... ....................................................................................................................</w:t>
            </w: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natural person.</w:t>
            </w:r>
          </w:p>
        </w:tc>
      </w:tr>
      <w:tr>
        <w:trPr>
          <w:cantSplit/>
          <w:trHeight w:val="429"/>
        </w:trPr>
        <w:tc>
          <w:tcPr>
            <w:tcW w:w="6804" w:type="dxa"/>
            <w:gridSpan w:val="8"/>
          </w:tcPr>
          <w:p>
            <w:pPr>
              <w:pStyle w:val="yTable"/>
            </w:pPr>
            <w:r>
              <w:t xml:space="preserve">I am employed as a ................................  by ....................................... </w:t>
            </w:r>
          </w:p>
          <w:p>
            <w:pPr>
              <w:pStyle w:val="yTable"/>
            </w:pPr>
            <w:r>
              <w:t xml:space="preserve">Their business address is ...................................................................... </w:t>
            </w:r>
          </w:p>
        </w:tc>
      </w:tr>
      <w:tr>
        <w:trPr>
          <w:cantSplit/>
          <w:trHeight w:val="429"/>
        </w:trPr>
        <w:tc>
          <w:tcPr>
            <w:tcW w:w="6804" w:type="dxa"/>
            <w:gridSpan w:val="8"/>
          </w:tcPr>
          <w:p>
            <w:pPr>
              <w:pStyle w:val="yTable"/>
            </w:pPr>
            <w:r>
              <w:t>I am unemployed/ a pensioner* and registered with the Department of Social Security at ..................................................................................... .</w:t>
            </w:r>
          </w:p>
        </w:tc>
      </w:tr>
      <w:tr>
        <w:trPr>
          <w:cantSplit/>
          <w:trHeight w:val="429"/>
        </w:trPr>
        <w:tc>
          <w:tcPr>
            <w:tcW w:w="6804" w:type="dxa"/>
            <w:gridSpan w:val="8"/>
          </w:tcPr>
          <w:p>
            <w:pPr>
              <w:pStyle w:val="yTable"/>
            </w:pPr>
            <w:r>
              <w:t>I am single/ married/ separated.*</w:t>
            </w:r>
          </w:p>
        </w:tc>
      </w:tr>
      <w:tr>
        <w:trPr>
          <w:cantSplit/>
          <w:trHeight w:val="429"/>
        </w:trPr>
        <w:tc>
          <w:tcPr>
            <w:tcW w:w="6804" w:type="dxa"/>
            <w:gridSpan w:val="8"/>
          </w:tcPr>
          <w:p>
            <w:pPr>
              <w:pStyle w:val="yTable"/>
            </w:pPr>
            <w:r>
              <w:t>I have/ do not have* a dependant wife/ husband/ de facto partner* and .............. dependant children.</w:t>
            </w:r>
          </w:p>
        </w:tc>
      </w:tr>
      <w:tr>
        <w:trPr>
          <w:cantSplit/>
          <w:trHeight w:val="429"/>
        </w:trPr>
        <w:tc>
          <w:tcPr>
            <w:tcW w:w="6804" w:type="dxa"/>
            <w:gridSpan w:val="8"/>
          </w:tcPr>
          <w:p>
            <w:pPr>
              <w:pStyle w:val="yTable"/>
            </w:pPr>
            <w:r>
              <w:t xml:space="preserve">My weekly/ 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5"/>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b/>
              </w:rPr>
            </w:pPr>
            <w:r>
              <w:rPr>
                <w:b/>
              </w:rPr>
              <w:t>Wage/salary/benefit (net)</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Lease or other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Other debts owing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4"/>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rPr>
                <w:b/>
              </w:rPr>
            </w:pPr>
            <w:r>
              <w:rPr>
                <w:b/>
              </w:rPr>
              <w:t>ASSETS</w:t>
            </w:r>
          </w:p>
        </w:tc>
        <w:tc>
          <w:tcPr>
            <w:tcW w:w="3189" w:type="dxa"/>
            <w:gridSpan w:val="5"/>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8"/>
          </w:tcPr>
          <w:p>
            <w:pPr>
              <w:pStyle w:val="yTable"/>
            </w:pPr>
            <w:r>
              <w:t xml:space="preserve">My assets and liabilities are as follows — </w:t>
            </w:r>
          </w:p>
        </w:tc>
      </w:tr>
      <w:tr>
        <w:trPr>
          <w:cantSplit/>
          <w:trHeight w:val="429"/>
        </w:trPr>
        <w:tc>
          <w:tcPr>
            <w:tcW w:w="6804" w:type="dxa"/>
            <w:gridSpan w:val="8"/>
          </w:tcPr>
          <w:p>
            <w:pPr>
              <w:pStyle w:val="yTable"/>
            </w:pPr>
            <w:r>
              <w:t>House or other real property (give addresses)</w:t>
            </w:r>
          </w:p>
        </w:tc>
      </w:tr>
      <w:tr>
        <w:trPr>
          <w:cantSplit/>
          <w:trHeight w:val="429"/>
        </w:trPr>
        <w:tc>
          <w:tcPr>
            <w:tcW w:w="5812" w:type="dxa"/>
            <w:gridSpan w:val="7"/>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7"/>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8"/>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3"/>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pPr>
            <w:r>
              <w:t>Collection of coins, stamps, etc.</w:t>
            </w:r>
          </w:p>
        </w:tc>
        <w:tc>
          <w:tcPr>
            <w:tcW w:w="992" w:type="dxa"/>
          </w:tcPr>
          <w:p>
            <w:pPr>
              <w:pStyle w:val="yTable"/>
            </w:pPr>
          </w:p>
        </w:tc>
      </w:tr>
      <w:tr>
        <w:trPr>
          <w:cantSplit/>
          <w:trHeight w:val="429"/>
        </w:trPr>
        <w:tc>
          <w:tcPr>
            <w:tcW w:w="5812" w:type="dxa"/>
            <w:gridSpan w:val="7"/>
          </w:tcPr>
          <w:p>
            <w:pPr>
              <w:pStyle w:val="yTable"/>
            </w:pPr>
            <w:r>
              <w:t>Other collectables</w:t>
            </w:r>
          </w:p>
        </w:tc>
        <w:tc>
          <w:tcPr>
            <w:tcW w:w="992" w:type="dxa"/>
          </w:tcPr>
          <w:p>
            <w:pPr>
              <w:pStyle w:val="yTable"/>
            </w:pPr>
          </w:p>
        </w:tc>
      </w:tr>
      <w:tr>
        <w:trPr>
          <w:cantSplit/>
          <w:trHeight w:val="429"/>
        </w:trPr>
        <w:tc>
          <w:tcPr>
            <w:tcW w:w="5812" w:type="dxa"/>
            <w:gridSpan w:val="7"/>
          </w:tcPr>
          <w:p>
            <w:pPr>
              <w:pStyle w:val="yTable"/>
              <w:keepNext/>
              <w:keepLines/>
            </w:pPr>
            <w:r>
              <w:t>Interest in business or company</w:t>
            </w:r>
          </w:p>
        </w:tc>
        <w:tc>
          <w:tcPr>
            <w:tcW w:w="992" w:type="dxa"/>
          </w:tcPr>
          <w:p>
            <w:pPr>
              <w:pStyle w:val="yTable"/>
              <w:keepNext/>
              <w:keepLines/>
            </w:pPr>
          </w:p>
        </w:tc>
      </w:tr>
      <w:tr>
        <w:trPr>
          <w:cantSplit/>
          <w:trHeight w:val="429"/>
        </w:trPr>
        <w:tc>
          <w:tcPr>
            <w:tcW w:w="5812" w:type="dxa"/>
            <w:gridSpan w:val="7"/>
          </w:tcPr>
          <w:p>
            <w:pPr>
              <w:pStyle w:val="yTable"/>
              <w:keepNext/>
              <w:keepLines/>
            </w:pPr>
            <w:r>
              <w:t>Other assets</w:t>
            </w:r>
          </w:p>
        </w:tc>
        <w:tc>
          <w:tcPr>
            <w:tcW w:w="992" w:type="dxa"/>
          </w:tcPr>
          <w:p>
            <w:pPr>
              <w:pStyle w:val="yTable"/>
              <w:keepNext/>
              <w:keepLines/>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rPr>
                <w:b/>
              </w:rPr>
            </w:pPr>
            <w:r>
              <w:rPr>
                <w:b/>
              </w:rPr>
              <w:t>LIABILITIES</w:t>
            </w:r>
          </w:p>
        </w:tc>
        <w:tc>
          <w:tcPr>
            <w:tcW w:w="992" w:type="dxa"/>
          </w:tcPr>
          <w:p>
            <w:pPr>
              <w:pStyle w:val="yTable"/>
            </w:pPr>
          </w:p>
        </w:tc>
      </w:tr>
      <w:tr>
        <w:trPr>
          <w:cantSplit/>
          <w:trHeight w:val="429"/>
        </w:trPr>
        <w:tc>
          <w:tcPr>
            <w:tcW w:w="5812" w:type="dxa"/>
            <w:gridSpan w:val="7"/>
          </w:tcPr>
          <w:p>
            <w:pPr>
              <w:pStyle w:val="yTable"/>
            </w:pPr>
            <w:r>
              <w:t>Mortgage to ....................................................... for $</w:t>
            </w:r>
          </w:p>
        </w:tc>
        <w:tc>
          <w:tcPr>
            <w:tcW w:w="992" w:type="dxa"/>
          </w:tcPr>
          <w:p>
            <w:pPr>
              <w:pStyle w:val="yTable"/>
            </w:pPr>
          </w:p>
        </w:tc>
      </w:tr>
      <w:tr>
        <w:trPr>
          <w:cantSplit/>
          <w:trHeight w:val="429"/>
        </w:trPr>
        <w:tc>
          <w:tcPr>
            <w:tcW w:w="5812" w:type="dxa"/>
            <w:gridSpan w:val="7"/>
          </w:tcPr>
          <w:p>
            <w:pPr>
              <w:pStyle w:val="yTable"/>
            </w:pPr>
            <w:r>
              <w:t>Other to ............................................................. for $</w:t>
            </w:r>
          </w:p>
        </w:tc>
        <w:tc>
          <w:tcPr>
            <w:tcW w:w="992" w:type="dxa"/>
          </w:tcPr>
          <w:p>
            <w:pPr>
              <w:pStyle w:val="yTable"/>
            </w:pPr>
          </w:p>
        </w:tc>
      </w:tr>
      <w:tr>
        <w:trPr>
          <w:cantSplit/>
          <w:trHeight w:val="429"/>
        </w:trPr>
        <w:tc>
          <w:tcPr>
            <w:tcW w:w="5812" w:type="dxa"/>
            <w:gridSpan w:val="7"/>
          </w:tcPr>
          <w:p>
            <w:pPr>
              <w:pStyle w:val="yTable"/>
            </w:pPr>
            <w:r>
              <w:t>Time to pay order ............................................. for $</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corporation or incorporated association.</w:t>
            </w:r>
          </w:p>
        </w:tc>
      </w:tr>
      <w:tr>
        <w:trPr>
          <w:cantSplit/>
          <w:trHeight w:val="429"/>
        </w:trPr>
        <w:tc>
          <w:tcPr>
            <w:tcW w:w="5528" w:type="dxa"/>
            <w:gridSpan w:val="6"/>
          </w:tcPr>
          <w:p>
            <w:pPr>
              <w:pStyle w:val="yTable"/>
            </w:pPr>
            <w:r>
              <w:t>INCOME</w:t>
            </w:r>
          </w:p>
        </w:tc>
        <w:tc>
          <w:tcPr>
            <w:tcW w:w="1276" w:type="dxa"/>
            <w:gridSpan w:val="2"/>
          </w:tcPr>
          <w:p>
            <w:pPr>
              <w:pStyle w:val="yTable"/>
            </w:pPr>
            <w:r>
              <w:t>$</w:t>
            </w:r>
          </w:p>
        </w:tc>
      </w:tr>
      <w:tr>
        <w:trPr>
          <w:cantSplit/>
          <w:trHeight w:val="429"/>
        </w:trPr>
        <w:tc>
          <w:tcPr>
            <w:tcW w:w="5528" w:type="dxa"/>
            <w:gridSpan w:val="6"/>
          </w:tcPr>
          <w:p>
            <w:pPr>
              <w:pStyle w:val="yTable"/>
            </w:pPr>
            <w:r>
              <w:t>LIABILITIES</w:t>
            </w:r>
          </w:p>
        </w:tc>
        <w:tc>
          <w:tcPr>
            <w:tcW w:w="1276" w:type="dxa"/>
            <w:gridSpan w:val="2"/>
          </w:tcPr>
          <w:p>
            <w:pPr>
              <w:pStyle w:val="yTable"/>
            </w:pPr>
            <w:r>
              <w:t>$</w:t>
            </w:r>
          </w:p>
        </w:tc>
      </w:tr>
      <w:tr>
        <w:trPr>
          <w:cantSplit/>
          <w:trHeight w:val="429"/>
        </w:trPr>
        <w:tc>
          <w:tcPr>
            <w:tcW w:w="5528" w:type="dxa"/>
            <w:gridSpan w:val="6"/>
          </w:tcPr>
          <w:p>
            <w:pPr>
              <w:pStyle w:val="yTable"/>
            </w:pPr>
            <w:r>
              <w:t>ASSETS</w:t>
            </w:r>
          </w:p>
        </w:tc>
        <w:tc>
          <w:tcPr>
            <w:tcW w:w="1276" w:type="dxa"/>
            <w:gridSpan w:val="2"/>
          </w:tcPr>
          <w:p>
            <w:pPr>
              <w:pStyle w:val="yTable"/>
            </w:pPr>
            <w:r>
              <w:t>VALUE</w:t>
            </w:r>
          </w:p>
          <w:p>
            <w:pPr>
              <w:pStyle w:val="yTable"/>
            </w:pPr>
            <w:r>
              <w:t>$</w:t>
            </w:r>
          </w:p>
        </w:tc>
      </w:tr>
      <w:tr>
        <w:trPr>
          <w:cantSplit/>
          <w:trHeight w:val="429"/>
        </w:trPr>
        <w:tc>
          <w:tcPr>
            <w:tcW w:w="2552" w:type="dxa"/>
            <w:gridSpan w:val="2"/>
          </w:tcPr>
          <w:p>
            <w:pPr>
              <w:pStyle w:val="yTable"/>
              <w:rPr>
                <w:b/>
              </w:rPr>
            </w:pPr>
            <w:r>
              <w:rPr>
                <w:b/>
              </w:rPr>
              <w:t>Signature of applicant:</w:t>
            </w:r>
          </w:p>
        </w:tc>
        <w:tc>
          <w:tcPr>
            <w:tcW w:w="4252" w:type="dxa"/>
            <w:gridSpan w:val="6"/>
          </w:tcPr>
          <w:p>
            <w:pPr>
              <w:pStyle w:val="yTable"/>
            </w:pPr>
          </w:p>
        </w:tc>
      </w:tr>
      <w:tr>
        <w:trPr>
          <w:cantSplit/>
          <w:trHeight w:val="429"/>
        </w:trPr>
        <w:tc>
          <w:tcPr>
            <w:tcW w:w="2552" w:type="dxa"/>
            <w:gridSpan w:val="2"/>
          </w:tcPr>
          <w:p>
            <w:pPr>
              <w:pStyle w:val="yTable"/>
              <w:rPr>
                <w:b/>
              </w:rPr>
            </w:pPr>
            <w:r>
              <w:rPr>
                <w:b/>
              </w:rPr>
              <w:t>Date:</w:t>
            </w:r>
          </w:p>
        </w:tc>
        <w:tc>
          <w:tcPr>
            <w:tcW w:w="4252" w:type="dxa"/>
            <w:gridSpan w:val="6"/>
          </w:tcPr>
          <w:p>
            <w:pPr>
              <w:pStyle w:val="yTable"/>
            </w:pPr>
          </w:p>
        </w:tc>
      </w:tr>
      <w:tr>
        <w:trPr>
          <w:cantSplit/>
          <w:trHeight w:val="429"/>
        </w:trPr>
        <w:tc>
          <w:tcPr>
            <w:tcW w:w="6804" w:type="dxa"/>
            <w:gridSpan w:val="8"/>
            <w:tcBorders>
              <w:bottom w:val="single" w:sz="4" w:space="0" w:color="auto"/>
            </w:tcBorders>
          </w:tcPr>
          <w:p>
            <w:pPr>
              <w:pStyle w:val="yTable"/>
              <w:tabs>
                <w:tab w:val="left" w:pos="601"/>
              </w:tabs>
              <w:ind w:left="459" w:hanging="425"/>
              <w:rPr>
                <w:i/>
                <w:sz w:val="16"/>
              </w:rPr>
            </w:pPr>
            <w:r>
              <w:rPr>
                <w:i/>
              </w:rPr>
              <w:t>*</w:t>
            </w:r>
            <w:r>
              <w:rPr>
                <w:i/>
              </w:rPr>
              <w:tab/>
            </w:r>
            <w:r>
              <w:rPr>
                <w:i/>
                <w:sz w:val="16"/>
              </w:rPr>
              <w:t>Strike out words that are not applicable.</w:t>
            </w:r>
          </w:p>
          <w:p>
            <w:pPr>
              <w:pStyle w:val="yTable"/>
              <w:ind w:left="459" w:hanging="425"/>
              <w:rPr>
                <w:i/>
              </w:rPr>
            </w:pPr>
            <w:r>
              <w:rPr>
                <w:i/>
                <w:sz w:val="16"/>
              </w:rPr>
              <w:t>Note:  It is an offence under the Magistrates Court (Fees) Regulations 2005</w:t>
            </w:r>
            <w:r>
              <w:rPr>
                <w:sz w:val="16"/>
              </w:rPr>
              <w:t xml:space="preserve"> </w:t>
            </w:r>
            <w:r>
              <w:rPr>
                <w:i/>
                <w:iCs/>
                <w:sz w:val="16"/>
              </w:rPr>
              <w:t>regulation 8(10)</w:t>
            </w:r>
            <w:r>
              <w:rPr>
                <w:i/>
                <w:sz w:val="16"/>
              </w:rPr>
              <w:t xml:space="preserve"> for a person to make a statement or representation in this application that the person knows or has reason to believe is false or misleading in a material particular.  The maximum fine is $1 000.</w:t>
            </w:r>
          </w:p>
        </w:tc>
      </w:tr>
    </w:tbl>
    <w:p>
      <w:pPr>
        <w:pStyle w:val="yHeading5"/>
        <w:pageBreakBefore/>
        <w:spacing w:before="0" w:after="120"/>
      </w:pPr>
      <w:bookmarkStart w:id="23" w:name="_Toc377389094"/>
      <w:r>
        <w:rPr>
          <w:rStyle w:val="CharSClsNo"/>
        </w:rPr>
        <w:t>3</w:t>
      </w:r>
      <w:r>
        <w:t>.</w:t>
      </w:r>
      <w:r>
        <w:tab/>
        <w:t>Application for determination of dispute about fees</w:t>
      </w:r>
      <w:bookmarkEnd w:id="23"/>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3</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Magistrates Court of Western Australia</w:t>
            </w:r>
          </w:p>
        </w:tc>
        <w:tc>
          <w:tcPr>
            <w:tcW w:w="3047" w:type="dxa"/>
            <w:gridSpan w:val="2"/>
          </w:tcPr>
          <w:p>
            <w:pPr>
              <w:pStyle w:val="zytable"/>
              <w:tabs>
                <w:tab w:val="left" w:pos="813"/>
                <w:tab w:val="left" w:pos="1947"/>
              </w:tabs>
              <w:spacing w:before="0"/>
              <w:ind w:left="0" w:right="0"/>
            </w:pPr>
            <w:r>
              <w:t xml:space="preserve">No. </w:t>
            </w:r>
            <w:r>
              <w:tab/>
              <w:t>of</w:t>
            </w:r>
            <w:r>
              <w:tab/>
              <w:t>20</w:t>
            </w:r>
          </w:p>
        </w:tc>
      </w:tr>
      <w:tr>
        <w:trPr>
          <w:cantSplit/>
        </w:trPr>
        <w:tc>
          <w:tcPr>
            <w:tcW w:w="6662" w:type="dxa"/>
            <w:gridSpan w:val="4"/>
          </w:tcPr>
          <w:p>
            <w:pPr>
              <w:pStyle w:val="zytable"/>
              <w:spacing w:before="0"/>
              <w:ind w:left="0" w:right="0"/>
            </w:pPr>
            <w:r>
              <w:rPr>
                <w:b/>
                <w:bCs/>
              </w:rPr>
              <w:t>Claimant/</w:t>
            </w:r>
            <w:r>
              <w:rPr>
                <w:b/>
                <w:bCs/>
              </w:rPr>
              <w:br/>
              <w:t>Applicant:</w:t>
            </w:r>
            <w:r>
              <w:tab/>
              <w:t>................................................................................................</w:t>
            </w:r>
          </w:p>
        </w:tc>
      </w:tr>
      <w:tr>
        <w:trPr>
          <w:cantSplit/>
        </w:trPr>
        <w:tc>
          <w:tcPr>
            <w:tcW w:w="6662" w:type="dxa"/>
            <w:gridSpan w:val="4"/>
          </w:tcPr>
          <w:p>
            <w:pPr>
              <w:pStyle w:val="zytable"/>
              <w:spacing w:before="0"/>
              <w:ind w:left="0" w:right="0"/>
            </w:pPr>
            <w:r>
              <w:rPr>
                <w:b/>
                <w:bCs/>
              </w:rPr>
              <w:t>Defendant:</w:t>
            </w:r>
            <w:r>
              <w:tab/>
              <w:t>................................................................................................</w:t>
            </w:r>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smartTag w:uri="urn:schemas-microsoft-com:office:smarttags" w:element="Street">
              <w:smartTag w:uri="urn:schemas-microsoft-com:office:smarttags" w:element="address">
                <w:r>
                  <w:rPr>
                    <w:i/>
                  </w:rPr>
                  <w:t>Magistrates Court</w:t>
                </w:r>
              </w:smartTag>
            </w:smartTag>
            <w:r>
              <w:rPr>
                <w:i/>
              </w:rPr>
              <w:t xml:space="preserve"> (Fees) Regulations 2005</w:t>
            </w:r>
            <w:r>
              <w:t xml:space="preserve"> regulation 13(1)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The disputed fee is for .................................................</w:t>
            </w:r>
          </w:p>
          <w:p>
            <w:pPr>
              <w:pStyle w:val="zytable"/>
              <w:spacing w:before="0"/>
              <w:ind w:left="0" w:right="0"/>
            </w:pPr>
            <w:r>
              <w:t>............................................................................................................................................................................</w:t>
            </w:r>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rPr>
                <w:iCs/>
              </w:rPr>
              <w:t xml:space="preserve"> 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rPr>
              <w:sym w:font="Wingdings" w:char="F06F"/>
            </w:r>
            <w:r>
              <w:rPr>
                <w:rFonts w:ascii="MS Mincho" w:eastAsia="MS Mincho" w:hAnsi="MS Mincho"/>
              </w:rPr>
              <w:tab/>
            </w:r>
            <w:r>
              <w:t>that the fee is payable</w:t>
            </w:r>
          </w:p>
          <w:p>
            <w:pPr>
              <w:pStyle w:val="zytable"/>
              <w:tabs>
                <w:tab w:val="left" w:pos="567"/>
              </w:tabs>
              <w:spacing w:before="0"/>
              <w:ind w:left="0" w:right="0"/>
            </w:pPr>
            <w:r>
              <w:rPr>
                <w:rFonts w:ascii="MS Mincho" w:eastAsia="MS Mincho" w:hAnsi="MS Mincho"/>
              </w:rPr>
              <w:sym w:font="Wingdings" w:char="F06F"/>
            </w:r>
            <w:r>
              <w:tab/>
              <w:t>the amount of the fee</w:t>
            </w:r>
          </w:p>
          <w:p>
            <w:pPr>
              <w:pStyle w:val="zytable"/>
              <w:tabs>
                <w:tab w:val="left" w:pos="567"/>
              </w:tabs>
              <w:spacing w:before="0"/>
              <w:ind w:left="0" w:right="0"/>
            </w:pPr>
            <w:r>
              <w:rPr>
                <w:rFonts w:ascii="MS Mincho" w:eastAsia="MS Mincho" w:hAnsi="MS Mincho"/>
              </w:rPr>
              <w:sym w:font="Wingdings" w:char="F06F"/>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6662"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p>
          <w:p>
            <w:pPr>
              <w:pStyle w:val="zytable"/>
              <w:spacing w:before="0"/>
              <w:ind w:left="0" w:right="0"/>
            </w:pPr>
            <w:r>
              <w:t>......................................................................................</w:t>
            </w:r>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r>
              <w:t>........</w:t>
            </w:r>
            <w:r>
              <w:rPr>
                <w:rFonts w:eastAsia="MS Mincho"/>
              </w:rPr>
              <w:t>./</w:t>
            </w:r>
            <w:r>
              <w:t xml:space="preserve"> ........</w:t>
            </w:r>
            <w:r>
              <w:rPr>
                <w:rFonts w:eastAsia="MS Mincho"/>
              </w:rPr>
              <w:t>/20</w:t>
            </w:r>
            <w:r>
              <w:t>........</w:t>
            </w:r>
          </w:p>
        </w:tc>
      </w:tr>
      <w:tr>
        <w:trPr>
          <w:cantSplit/>
        </w:trPr>
        <w:tc>
          <w:tcPr>
            <w:tcW w:w="6662" w:type="dxa"/>
            <w:gridSpan w:val="4"/>
          </w:tcPr>
          <w:p>
            <w:pPr>
              <w:pStyle w:val="zytable"/>
              <w:tabs>
                <w:tab w:val="left" w:pos="459"/>
              </w:tabs>
              <w:spacing w:before="0"/>
              <w:ind w:left="0" w:right="0"/>
              <w:rPr>
                <w:rFonts w:eastAsia="MS Mincho"/>
              </w:rPr>
            </w:pPr>
            <w:r>
              <w:rPr>
                <w:i/>
              </w:rPr>
              <w:t>*</w:t>
            </w:r>
            <w:r>
              <w:rPr>
                <w:i/>
              </w:rPr>
              <w:tab/>
            </w:r>
            <w:r>
              <w:rPr>
                <w:i/>
                <w:sz w:val="16"/>
              </w:rPr>
              <w:t>Strike out numbers that are not applicable.</w:t>
            </w:r>
          </w:p>
        </w:tc>
      </w:tr>
    </w:tbl>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endnotePr>
            <w:numFmt w:val="decimal"/>
          </w:endnotePr>
          <w:pgSz w:w="11906" w:h="16838" w:code="9"/>
          <w:pgMar w:top="1809" w:right="2405" w:bottom="3542" w:left="2405" w:header="706" w:footer="3380" w:gutter="0"/>
          <w:cols w:space="720"/>
          <w:noEndnote/>
          <w:docGrid w:linePitch="326"/>
        </w:sectPr>
      </w:pPr>
    </w:p>
    <w:p>
      <w:pPr>
        <w:pStyle w:val="nHeading2"/>
      </w:pPr>
      <w:bookmarkStart w:id="24" w:name="_Toc377389095"/>
      <w:r>
        <w:t>Notes</w:t>
      </w:r>
      <w:bookmarkEnd w:id="24"/>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Street">
        <w:smartTag w:uri="urn:schemas-microsoft-com:office:smarttags" w:element="address">
          <w:r>
            <w:rPr>
              <w:i/>
              <w:noProof/>
              <w:snapToGrid w:val="0"/>
            </w:rPr>
            <w:t>Magistrates Court</w:t>
          </w:r>
        </w:smartTag>
      </w:smartTag>
      <w:r>
        <w:rPr>
          <w:i/>
          <w:noProof/>
          <w:snapToGrid w:val="0"/>
        </w:rPr>
        <w:t xml:space="preserve"> (Fees)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25" w:name="_Toc377389096"/>
      <w:r>
        <w:t>Compilation table</w:t>
      </w:r>
      <w:bookmarkEnd w:id="2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Magistrates Court (Fees) Regulations 2005</w:t>
            </w:r>
          </w:p>
        </w:tc>
        <w:tc>
          <w:tcPr>
            <w:tcW w:w="1276" w:type="dxa"/>
            <w:tcBorders>
              <w:top w:val="single" w:sz="8" w:space="0" w:color="auto"/>
            </w:tcBorders>
          </w:tcPr>
          <w:p>
            <w:pPr>
              <w:pStyle w:val="nTable"/>
              <w:spacing w:after="40"/>
              <w:rPr>
                <w:sz w:val="19"/>
              </w:rPr>
            </w:pPr>
            <w:r>
              <w:rPr>
                <w:sz w:val="19"/>
              </w:rPr>
              <w:t>28 Apr 2005 p. 1573</w:t>
            </w:r>
            <w:r>
              <w:rPr>
                <w:sz w:val="19"/>
              </w:rPr>
              <w:noBreakHyphen/>
              <w:t>603</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7127)</w:t>
            </w:r>
          </w:p>
        </w:tc>
      </w:tr>
      <w:tr>
        <w:tc>
          <w:tcPr>
            <w:tcW w:w="3118" w:type="dxa"/>
          </w:tcPr>
          <w:p>
            <w:pPr>
              <w:pStyle w:val="nTable"/>
              <w:spacing w:after="40"/>
              <w:rPr>
                <w:i/>
                <w:sz w:val="19"/>
              </w:rPr>
            </w:pPr>
            <w:r>
              <w:rPr>
                <w:i/>
                <w:sz w:val="19"/>
              </w:rPr>
              <w:t>Magistrates Court (Fees) Amendment Regulations 2006</w:t>
            </w:r>
          </w:p>
        </w:tc>
        <w:tc>
          <w:tcPr>
            <w:tcW w:w="1276" w:type="dxa"/>
          </w:tcPr>
          <w:p>
            <w:pPr>
              <w:pStyle w:val="nTable"/>
              <w:spacing w:after="40"/>
              <w:rPr>
                <w:sz w:val="19"/>
              </w:rPr>
            </w:pPr>
            <w:r>
              <w:rPr>
                <w:sz w:val="19"/>
              </w:rPr>
              <w:t>23 Jun 2006 p. 2178</w:t>
            </w:r>
            <w:r>
              <w:rPr>
                <w:sz w:val="19"/>
              </w:rPr>
              <w:noBreakHyphen/>
              <w:t>81</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Magistrates Court (Fees) Amendment Regulations 2007</w:t>
            </w:r>
          </w:p>
        </w:tc>
        <w:tc>
          <w:tcPr>
            <w:tcW w:w="1276" w:type="dxa"/>
          </w:tcPr>
          <w:p>
            <w:pPr>
              <w:pStyle w:val="nTable"/>
              <w:spacing w:after="40"/>
              <w:rPr>
                <w:sz w:val="19"/>
              </w:rPr>
            </w:pPr>
            <w:r>
              <w:rPr>
                <w:sz w:val="19"/>
              </w:rPr>
              <w:t>26 Jun 2007 p. 3033</w:t>
            </w:r>
            <w:r>
              <w:rPr>
                <w:sz w:val="19"/>
              </w:rPr>
              <w:noBreakHyphen/>
              <w:t>5</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c>
          <w:tcPr>
            <w:tcW w:w="3118" w:type="dxa"/>
          </w:tcPr>
          <w:p>
            <w:pPr>
              <w:pStyle w:val="nTable"/>
              <w:spacing w:after="40"/>
              <w:rPr>
                <w:i/>
                <w:sz w:val="19"/>
              </w:rPr>
            </w:pPr>
            <w:r>
              <w:rPr>
                <w:i/>
                <w:sz w:val="19"/>
              </w:rPr>
              <w:t>Magistrates Court (Fees) Amendment Regulations 2008</w:t>
            </w:r>
          </w:p>
        </w:tc>
        <w:tc>
          <w:tcPr>
            <w:tcW w:w="1276" w:type="dxa"/>
          </w:tcPr>
          <w:p>
            <w:pPr>
              <w:pStyle w:val="nTable"/>
              <w:spacing w:after="40"/>
              <w:rPr>
                <w:sz w:val="19"/>
              </w:rPr>
            </w:pPr>
            <w:r>
              <w:rPr>
                <w:sz w:val="19"/>
              </w:rPr>
              <w:t>16 May 2008 p. 1910</w:t>
            </w:r>
            <w:r>
              <w:rPr>
                <w:sz w:val="19"/>
              </w:rPr>
              <w:noBreakHyphen/>
              <w:t>11</w:t>
            </w:r>
          </w:p>
        </w:tc>
        <w:tc>
          <w:tcPr>
            <w:tcW w:w="2693" w:type="dxa"/>
          </w:tcPr>
          <w:p>
            <w:pPr>
              <w:pStyle w:val="nTable"/>
              <w:spacing w:after="40"/>
              <w:rPr>
                <w:sz w:val="19"/>
              </w:rPr>
            </w:pPr>
            <w:r>
              <w:rPr>
                <w:snapToGrid w:val="0"/>
                <w:sz w:val="19"/>
              </w:rPr>
              <w:t>r. 1 and 2: 16 May 2008 (see r. 2(a));</w:t>
            </w:r>
            <w:r>
              <w:rPr>
                <w:snapToGrid w:val="0"/>
                <w:sz w:val="19"/>
              </w:rPr>
              <w:br/>
              <w:t>Regulations other than r. 1 and 2: 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Magistrates Court (Fees) Amendment Regulations (No. 2) 2008</w:t>
            </w:r>
          </w:p>
        </w:tc>
        <w:tc>
          <w:tcPr>
            <w:tcW w:w="1276" w:type="dxa"/>
          </w:tcPr>
          <w:p>
            <w:pPr>
              <w:pStyle w:val="nTable"/>
              <w:spacing w:after="40"/>
              <w:rPr>
                <w:sz w:val="19"/>
              </w:rPr>
            </w:pPr>
            <w:r>
              <w:rPr>
                <w:sz w:val="19"/>
              </w:rPr>
              <w:t>27 Jun 2008 p. 3068</w:t>
            </w:r>
            <w:r>
              <w:rPr>
                <w:sz w:val="19"/>
              </w:rPr>
              <w:noBreakHyphen/>
              <w:t>70</w:t>
            </w:r>
          </w:p>
        </w:tc>
        <w:tc>
          <w:tcPr>
            <w:tcW w:w="2693" w:type="dxa"/>
          </w:tcPr>
          <w:p>
            <w:pPr>
              <w:pStyle w:val="nTable"/>
              <w:spacing w:after="40"/>
              <w:rPr>
                <w:sz w:val="19"/>
              </w:rPr>
            </w:pPr>
            <w:r>
              <w:rPr>
                <w:snapToGrid w:val="0"/>
                <w:sz w:val="19"/>
              </w:rPr>
              <w:t>r. 1 and 2: 27 Jun 2008 (see r. 2(a));</w:t>
            </w:r>
            <w:r>
              <w:rPr>
                <w:snapToGrid w:val="0"/>
                <w:sz w:val="19"/>
              </w:rPr>
              <w:br/>
              <w:t>Regulations other than r. 1 and 2: 1 Jul 2008 (see r. 2(b))</w:t>
            </w:r>
          </w:p>
        </w:tc>
      </w:tr>
      <w:tr>
        <w:tc>
          <w:tcPr>
            <w:tcW w:w="3118" w:type="dxa"/>
          </w:tcPr>
          <w:p>
            <w:pPr>
              <w:pStyle w:val="nTable"/>
              <w:spacing w:after="40"/>
              <w:rPr>
                <w:i/>
                <w:sz w:val="19"/>
              </w:rPr>
            </w:pPr>
            <w:r>
              <w:rPr>
                <w:i/>
                <w:sz w:val="19"/>
              </w:rPr>
              <w:t>Magistrates Court (Fees) Amendment Regulations (No. 3) 2008</w:t>
            </w:r>
          </w:p>
        </w:tc>
        <w:tc>
          <w:tcPr>
            <w:tcW w:w="1276" w:type="dxa"/>
          </w:tcPr>
          <w:p>
            <w:pPr>
              <w:pStyle w:val="nTable"/>
              <w:spacing w:after="40"/>
              <w:rPr>
                <w:sz w:val="19"/>
              </w:rPr>
            </w:pPr>
            <w:r>
              <w:rPr>
                <w:sz w:val="19"/>
              </w:rPr>
              <w:t>22 Aug 2008 p. 3669</w:t>
            </w:r>
            <w:r>
              <w:rPr>
                <w:sz w:val="19"/>
              </w:rPr>
              <w:noBreakHyphen/>
              <w:t>70</w:t>
            </w:r>
          </w:p>
        </w:tc>
        <w:tc>
          <w:tcPr>
            <w:tcW w:w="2693" w:type="dxa"/>
          </w:tcPr>
          <w:p>
            <w:pPr>
              <w:pStyle w:val="nTable"/>
              <w:spacing w:after="40"/>
              <w:rPr>
                <w:snapToGrid w:val="0"/>
                <w:sz w:val="19"/>
              </w:rPr>
            </w:pPr>
            <w:r>
              <w:rPr>
                <w:snapToGrid w:val="0"/>
                <w:sz w:val="19"/>
              </w:rPr>
              <w:t>r. 1 and 2: 22 Aug 2008 (see r. 2(a));</w:t>
            </w:r>
            <w:r>
              <w:rPr>
                <w:snapToGrid w:val="0"/>
                <w:sz w:val="19"/>
              </w:rPr>
              <w:br/>
              <w:t>Regulations other than r. 1 and 2: 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Magistrates Court (Fees) Amendment Regulations (No. 4) 2008</w:t>
            </w:r>
          </w:p>
        </w:tc>
        <w:tc>
          <w:tcPr>
            <w:tcW w:w="1276" w:type="dxa"/>
          </w:tcPr>
          <w:p>
            <w:pPr>
              <w:pStyle w:val="nTable"/>
              <w:spacing w:after="40"/>
              <w:rPr>
                <w:sz w:val="19"/>
              </w:rPr>
            </w:pPr>
            <w:r>
              <w:rPr>
                <w:sz w:val="19"/>
              </w:rPr>
              <w:t>23 Dec 2008 p. 5472</w:t>
            </w:r>
            <w:r>
              <w:rPr>
                <w:sz w:val="19"/>
              </w:rPr>
              <w:noBreakHyphen/>
              <w:t>3</w:t>
            </w:r>
          </w:p>
        </w:tc>
        <w:tc>
          <w:tcPr>
            <w:tcW w:w="2693" w:type="dxa"/>
          </w:tcPr>
          <w:p>
            <w:pPr>
              <w:pStyle w:val="nTable"/>
              <w:spacing w:after="40"/>
              <w:rPr>
                <w:snapToGrid w:val="0"/>
                <w:sz w:val="19"/>
              </w:rPr>
            </w:pPr>
            <w:r>
              <w:rPr>
                <w:snapToGrid w:val="0"/>
                <w:sz w:val="19"/>
              </w:rPr>
              <w:t>r. 1 and 2: 23 Dec 2008 (see r. 2(a));</w:t>
            </w:r>
            <w:r>
              <w:rPr>
                <w:snapToGrid w:val="0"/>
                <w:sz w:val="19"/>
              </w:rPr>
              <w:br/>
              <w:t>Regulations other than r. 1 and 2: 1 Jan 2009 (see r. 2(b))</w:t>
            </w:r>
          </w:p>
        </w:tc>
      </w:tr>
      <w:tr>
        <w:trPr>
          <w:cantSplit/>
        </w:trPr>
        <w:tc>
          <w:tcPr>
            <w:tcW w:w="7087" w:type="dxa"/>
            <w:gridSpan w:val="3"/>
          </w:tcPr>
          <w:p>
            <w:pPr>
              <w:pStyle w:val="nTable"/>
              <w:spacing w:after="40"/>
              <w:rPr>
                <w:snapToGrid w:val="0"/>
                <w:sz w:val="19"/>
              </w:rPr>
            </w:pPr>
            <w:r>
              <w:rPr>
                <w:b/>
                <w:bCs/>
                <w:snapToGrid w:val="0"/>
                <w:sz w:val="19"/>
              </w:rPr>
              <w:t xml:space="preserve">Reprint 1:  The </w:t>
            </w:r>
            <w:smartTag w:uri="urn:schemas-microsoft-com:office:smarttags" w:element="Street">
              <w:smartTag w:uri="urn:schemas-microsoft-com:office:smarttags" w:element="address">
                <w:r>
                  <w:rPr>
                    <w:b/>
                    <w:bCs/>
                    <w:i/>
                    <w:sz w:val="19"/>
                  </w:rPr>
                  <w:t>Magistrates Court</w:t>
                </w:r>
              </w:smartTag>
            </w:smartTag>
            <w:r>
              <w:rPr>
                <w:b/>
                <w:bCs/>
                <w:i/>
                <w:sz w:val="19"/>
              </w:rPr>
              <w:t xml:space="preserve"> (Fees) Regulations 2005 </w:t>
            </w:r>
            <w:r>
              <w:rPr>
                <w:b/>
                <w:bCs/>
                <w:snapToGrid w:val="0"/>
                <w:sz w:val="19"/>
              </w:rPr>
              <w:t>as at 13 Feb 2009</w:t>
            </w:r>
            <w:r>
              <w:rPr>
                <w:snapToGrid w:val="0"/>
                <w:sz w:val="19"/>
              </w:rPr>
              <w:t xml:space="preserve"> (includes amendments listed above)</w:t>
            </w:r>
          </w:p>
        </w:tc>
      </w:tr>
      <w:tr>
        <w:tc>
          <w:tcPr>
            <w:tcW w:w="3118" w:type="dxa"/>
          </w:tcPr>
          <w:p>
            <w:pPr>
              <w:pStyle w:val="nTable"/>
              <w:spacing w:after="40"/>
              <w:rPr>
                <w:i/>
                <w:sz w:val="19"/>
              </w:rPr>
            </w:pPr>
            <w:r>
              <w:rPr>
                <w:i/>
                <w:sz w:val="19"/>
              </w:rPr>
              <w:t>Magistrates Court (Fees) Amendment Regulations 2009</w:t>
            </w:r>
          </w:p>
        </w:tc>
        <w:tc>
          <w:tcPr>
            <w:tcW w:w="1276" w:type="dxa"/>
          </w:tcPr>
          <w:p>
            <w:pPr>
              <w:pStyle w:val="nTable"/>
              <w:spacing w:after="40"/>
              <w:rPr>
                <w:sz w:val="19"/>
              </w:rPr>
            </w:pPr>
            <w:r>
              <w:rPr>
                <w:sz w:val="19"/>
              </w:rPr>
              <w:t>9 Jun 2009 p. 1924</w:t>
            </w:r>
          </w:p>
        </w:tc>
        <w:tc>
          <w:tcPr>
            <w:tcW w:w="2693" w:type="dxa"/>
          </w:tcPr>
          <w:p>
            <w:pPr>
              <w:pStyle w:val="nTable"/>
              <w:spacing w:after="40"/>
              <w:rPr>
                <w:sz w:val="19"/>
              </w:rPr>
            </w:pPr>
            <w:r>
              <w:rPr>
                <w:snapToGrid w:val="0"/>
                <w:sz w:val="19"/>
              </w:rPr>
              <w:t>r. 1 and 2: 9 Jun 2009 (see r. 2(a));</w:t>
            </w:r>
            <w:r>
              <w:rPr>
                <w:snapToGrid w:val="0"/>
                <w:sz w:val="19"/>
              </w:rPr>
              <w:br/>
              <w:t>Regulations other than r. 1 and 2: 10 Jun 2009 (see r. 2(b))</w:t>
            </w:r>
          </w:p>
        </w:tc>
      </w:tr>
      <w:tr>
        <w:trPr>
          <w:cantSplit/>
        </w:trPr>
        <w:tc>
          <w:tcPr>
            <w:tcW w:w="3118" w:type="dxa"/>
          </w:tcPr>
          <w:p>
            <w:pPr>
              <w:pStyle w:val="nTable"/>
              <w:spacing w:after="40"/>
              <w:rPr>
                <w:i/>
                <w:sz w:val="19"/>
              </w:rPr>
            </w:pPr>
            <w:r>
              <w:rPr>
                <w:i/>
                <w:sz w:val="19"/>
              </w:rPr>
              <w:t>Magistrates Court (Fees) Amendment Regulations (No. 2) 2009</w:t>
            </w:r>
          </w:p>
        </w:tc>
        <w:tc>
          <w:tcPr>
            <w:tcW w:w="1276" w:type="dxa"/>
          </w:tcPr>
          <w:p>
            <w:pPr>
              <w:pStyle w:val="nTable"/>
              <w:spacing w:after="40"/>
              <w:rPr>
                <w:sz w:val="19"/>
              </w:rPr>
            </w:pPr>
            <w:r>
              <w:rPr>
                <w:sz w:val="19"/>
              </w:rPr>
              <w:t>4 Sep 2009 p. 3472-9</w:t>
            </w:r>
          </w:p>
        </w:tc>
        <w:tc>
          <w:tcPr>
            <w:tcW w:w="2693" w:type="dxa"/>
          </w:tcPr>
          <w:p>
            <w:pPr>
              <w:pStyle w:val="nTable"/>
              <w:spacing w:after="40"/>
              <w:rPr>
                <w:snapToGrid w:val="0"/>
                <w:sz w:val="19"/>
              </w:rPr>
            </w:pPr>
            <w:r>
              <w:rPr>
                <w:snapToGrid w:val="0"/>
                <w:sz w:val="19"/>
              </w:rPr>
              <w:t>r. 1 and 2: 4 Sep 2009 (see r. 2(a));</w:t>
            </w:r>
            <w:r>
              <w:rPr>
                <w:snapToGrid w:val="0"/>
                <w:sz w:val="19"/>
              </w:rPr>
              <w:br/>
              <w:t>Regulations other than r. 1 and 2: 5 Sep 2009 (see r. 2(b))</w:t>
            </w:r>
          </w:p>
        </w:tc>
      </w:tr>
      <w:tr>
        <w:tc>
          <w:tcPr>
            <w:tcW w:w="3118" w:type="dxa"/>
          </w:tcPr>
          <w:p>
            <w:pPr>
              <w:pStyle w:val="nTable"/>
              <w:spacing w:after="40"/>
              <w:rPr>
                <w:i/>
                <w:sz w:val="19"/>
              </w:rPr>
            </w:pPr>
            <w:r>
              <w:rPr>
                <w:i/>
                <w:sz w:val="19"/>
              </w:rPr>
              <w:t>Magistrates Court (Fees) Amendment Regulations 2010</w:t>
            </w:r>
          </w:p>
        </w:tc>
        <w:tc>
          <w:tcPr>
            <w:tcW w:w="1276" w:type="dxa"/>
          </w:tcPr>
          <w:p>
            <w:pPr>
              <w:pStyle w:val="nTable"/>
              <w:spacing w:after="40"/>
              <w:rPr>
                <w:sz w:val="19"/>
              </w:rPr>
            </w:pPr>
            <w:r>
              <w:rPr>
                <w:sz w:val="19"/>
              </w:rPr>
              <w:t>30 Jul 2010 p. 3499-500</w:t>
            </w:r>
          </w:p>
        </w:tc>
        <w:tc>
          <w:tcPr>
            <w:tcW w:w="2693" w:type="dxa"/>
          </w:tcPr>
          <w:p>
            <w:pPr>
              <w:pStyle w:val="nTable"/>
              <w:spacing w:after="40"/>
              <w:rPr>
                <w:snapToGrid w:val="0"/>
                <w:sz w:val="19"/>
              </w:rPr>
            </w:pPr>
            <w:r>
              <w:rPr>
                <w:snapToGrid w:val="0"/>
                <w:sz w:val="19"/>
              </w:rPr>
              <w:t>r. 1 and 2: 30 Jul 2010 (see r. 2(a));</w:t>
            </w:r>
            <w:r>
              <w:rPr>
                <w:snapToGrid w:val="0"/>
                <w:sz w:val="19"/>
              </w:rPr>
              <w:br/>
              <w:t>Regulations other than r. 1 and 2: 31 Jul 2010 (see r. 2(b))</w:t>
            </w:r>
          </w:p>
        </w:tc>
      </w:tr>
      <w:tr>
        <w:tc>
          <w:tcPr>
            <w:tcW w:w="3118" w:type="dxa"/>
          </w:tcPr>
          <w:p>
            <w:pPr>
              <w:pStyle w:val="nTable"/>
              <w:spacing w:after="40"/>
              <w:rPr>
                <w:i/>
                <w:sz w:val="19"/>
              </w:rPr>
            </w:pPr>
            <w:r>
              <w:rPr>
                <w:i/>
                <w:sz w:val="19"/>
              </w:rPr>
              <w:t>Magistrates Court (Fees) Amendment Regulations 2011</w:t>
            </w:r>
          </w:p>
        </w:tc>
        <w:tc>
          <w:tcPr>
            <w:tcW w:w="1276" w:type="dxa"/>
          </w:tcPr>
          <w:p>
            <w:pPr>
              <w:pStyle w:val="nTable"/>
              <w:spacing w:after="40"/>
              <w:rPr>
                <w:sz w:val="19"/>
              </w:rPr>
            </w:pPr>
            <w:r>
              <w:rPr>
                <w:sz w:val="19"/>
              </w:rPr>
              <w:t>8 Mar 2011 p. 787</w:t>
            </w:r>
            <w:r>
              <w:rPr>
                <w:sz w:val="19"/>
              </w:rPr>
              <w:noBreakHyphen/>
              <w:t>90</w:t>
            </w:r>
          </w:p>
        </w:tc>
        <w:tc>
          <w:tcPr>
            <w:tcW w:w="2693" w:type="dxa"/>
          </w:tcPr>
          <w:p>
            <w:pPr>
              <w:pStyle w:val="nTable"/>
              <w:spacing w:after="40"/>
              <w:rPr>
                <w:snapToGrid w:val="0"/>
                <w:sz w:val="19"/>
              </w:rPr>
            </w:pPr>
            <w:r>
              <w:rPr>
                <w:snapToGrid w:val="0"/>
                <w:sz w:val="19"/>
              </w:rPr>
              <w:t>r. 1 and 2: 8 Mar 2011 (see r. 2(a));</w:t>
            </w:r>
            <w:r>
              <w:rPr>
                <w:snapToGrid w:val="0"/>
                <w:sz w:val="19"/>
              </w:rPr>
              <w:br/>
              <w:t>Regulations other than r. 1 and 2: 9 Mar 2011 (see r. 2(b))</w:t>
            </w:r>
          </w:p>
        </w:tc>
      </w:tr>
      <w:tr>
        <w:tc>
          <w:tcPr>
            <w:tcW w:w="3118" w:type="dxa"/>
          </w:tcPr>
          <w:p>
            <w:pPr>
              <w:pStyle w:val="nTable"/>
              <w:spacing w:after="40"/>
              <w:rPr>
                <w:sz w:val="19"/>
              </w:rPr>
            </w:pPr>
            <w:r>
              <w:rPr>
                <w:i/>
                <w:sz w:val="19"/>
              </w:rPr>
              <w:t>Magistrates Court (Fees) Amendment Regulations (No. 2) 2011</w:t>
            </w:r>
            <w:r>
              <w:rPr>
                <w:sz w:val="19"/>
                <w:vertAlign w:val="superscript"/>
              </w:rPr>
              <w:t> 2</w:t>
            </w:r>
          </w:p>
        </w:tc>
        <w:tc>
          <w:tcPr>
            <w:tcW w:w="1276" w:type="dxa"/>
          </w:tcPr>
          <w:p>
            <w:pPr>
              <w:pStyle w:val="nTable"/>
              <w:spacing w:after="40"/>
              <w:rPr>
                <w:sz w:val="19"/>
              </w:rPr>
            </w:pPr>
            <w:r>
              <w:rPr>
                <w:sz w:val="19"/>
              </w:rPr>
              <w:t>20 Dec 2011 p. 5387-90</w:t>
            </w:r>
          </w:p>
        </w:tc>
        <w:tc>
          <w:tcPr>
            <w:tcW w:w="2693" w:type="dxa"/>
          </w:tcPr>
          <w:p>
            <w:pPr>
              <w:pStyle w:val="nTable"/>
              <w:spacing w:after="40"/>
              <w:rPr>
                <w:snapToGrid w:val="0"/>
                <w:sz w:val="19"/>
              </w:rPr>
            </w:pPr>
            <w:r>
              <w:rPr>
                <w:snapToGrid w:val="0"/>
                <w:sz w:val="19"/>
              </w:rPr>
              <w:t>r. 1 and 2: 20 Dec 2011 (see r. 2(a));</w:t>
            </w:r>
            <w:r>
              <w:rPr>
                <w:snapToGrid w:val="0"/>
                <w:sz w:val="19"/>
              </w:rPr>
              <w:br/>
              <w:t>Regulations other than r. 1 and 2: 21 Dec 2011 (see r. 2(b))</w:t>
            </w:r>
          </w:p>
        </w:tc>
      </w:tr>
      <w:tr>
        <w:tc>
          <w:tcPr>
            <w:tcW w:w="3118" w:type="dxa"/>
          </w:tcPr>
          <w:p>
            <w:pPr>
              <w:pStyle w:val="nTable"/>
              <w:spacing w:after="40"/>
              <w:rPr>
                <w:rFonts w:ascii="Times" w:hAnsi="Times"/>
                <w:i/>
                <w:sz w:val="19"/>
              </w:rPr>
            </w:pPr>
            <w:r>
              <w:rPr>
                <w:rFonts w:ascii="Times" w:hAnsi="Times"/>
                <w:i/>
                <w:sz w:val="19"/>
              </w:rPr>
              <w:t>Magistrates Court (Fees) Amendment Regulations 2012</w:t>
            </w:r>
          </w:p>
        </w:tc>
        <w:tc>
          <w:tcPr>
            <w:tcW w:w="1276" w:type="dxa"/>
          </w:tcPr>
          <w:p>
            <w:pPr>
              <w:pStyle w:val="nTable"/>
              <w:spacing w:after="40"/>
              <w:rPr>
                <w:rFonts w:ascii="Times" w:hAnsi="Times"/>
                <w:sz w:val="19"/>
              </w:rPr>
            </w:pPr>
            <w:r>
              <w:rPr>
                <w:rFonts w:ascii="Times" w:hAnsi="Times"/>
                <w:sz w:val="19"/>
              </w:rPr>
              <w:t>17 Jan 2012 p. 463</w:t>
            </w:r>
            <w:r>
              <w:rPr>
                <w:rFonts w:ascii="Times" w:hAnsi="Times"/>
                <w:sz w:val="19"/>
              </w:rPr>
              <w:noBreakHyphen/>
              <w:t>5</w:t>
            </w:r>
          </w:p>
        </w:tc>
        <w:tc>
          <w:tcPr>
            <w:tcW w:w="2693" w:type="dxa"/>
          </w:tcPr>
          <w:p>
            <w:pPr>
              <w:pStyle w:val="nTable"/>
              <w:spacing w:after="40"/>
              <w:rPr>
                <w:rFonts w:ascii="Times" w:hAnsi="Times"/>
                <w:snapToGrid w:val="0"/>
                <w:sz w:val="19"/>
              </w:rPr>
            </w:pPr>
            <w:r>
              <w:rPr>
                <w:rFonts w:ascii="Times" w:hAnsi="Times"/>
                <w:snapToGrid w:val="0"/>
                <w:sz w:val="19"/>
              </w:rPr>
              <w:t>r. 1 and 2: 17 Jan 2012 (see r. 2(a));</w:t>
            </w:r>
            <w:r>
              <w:rPr>
                <w:rFonts w:ascii="Times" w:hAnsi="Times"/>
                <w:snapToGrid w:val="0"/>
                <w:sz w:val="19"/>
              </w:rPr>
              <w:br/>
              <w:t>Regulations other than r. 1 and 2: 18 Jan 2012 (see r. 2(b))</w:t>
            </w:r>
          </w:p>
        </w:tc>
      </w:tr>
      <w:tr>
        <w:tc>
          <w:tcPr>
            <w:tcW w:w="3118" w:type="dxa"/>
          </w:tcPr>
          <w:p>
            <w:pPr>
              <w:pStyle w:val="nTable"/>
              <w:spacing w:after="40"/>
              <w:rPr>
                <w:rFonts w:ascii="Times" w:hAnsi="Times"/>
                <w:i/>
                <w:sz w:val="19"/>
              </w:rPr>
            </w:pPr>
            <w:r>
              <w:rPr>
                <w:rFonts w:ascii="Times" w:hAnsi="Times"/>
                <w:i/>
                <w:sz w:val="19"/>
              </w:rPr>
              <w:t>Magistrates Court (Fees) Amendment Regulations (No. 2) 2012</w:t>
            </w:r>
          </w:p>
        </w:tc>
        <w:tc>
          <w:tcPr>
            <w:tcW w:w="1276" w:type="dxa"/>
          </w:tcPr>
          <w:p>
            <w:pPr>
              <w:pStyle w:val="nTable"/>
              <w:spacing w:after="40"/>
              <w:rPr>
                <w:rFonts w:ascii="Times" w:hAnsi="Times"/>
                <w:sz w:val="19"/>
              </w:rPr>
            </w:pPr>
            <w:r>
              <w:rPr>
                <w:rFonts w:ascii="Times" w:hAnsi="Times"/>
                <w:sz w:val="19"/>
              </w:rPr>
              <w:t>27 Mar 2012 p. 1507</w:t>
            </w:r>
          </w:p>
        </w:tc>
        <w:tc>
          <w:tcPr>
            <w:tcW w:w="2693" w:type="dxa"/>
          </w:tcPr>
          <w:p>
            <w:pPr>
              <w:pStyle w:val="nTable"/>
              <w:spacing w:after="40"/>
              <w:rPr>
                <w:rFonts w:ascii="Times" w:hAnsi="Times"/>
                <w:snapToGrid w:val="0"/>
                <w:sz w:val="19"/>
              </w:rPr>
            </w:pPr>
            <w:r>
              <w:rPr>
                <w:rFonts w:ascii="Times" w:hAnsi="Times"/>
                <w:snapToGrid w:val="0"/>
                <w:sz w:val="19"/>
              </w:rPr>
              <w:t>r. 1 and 2: 27 Mar 2012 (see r. 2(a));</w:t>
            </w:r>
            <w:r>
              <w:rPr>
                <w:rFonts w:ascii="Times" w:hAnsi="Times"/>
                <w:snapToGrid w:val="0"/>
                <w:sz w:val="19"/>
              </w:rPr>
              <w:br/>
              <w:t>Regulations other than r. 1 and 2: 28 Mar 2012 (see r. 2(b))</w:t>
            </w:r>
          </w:p>
        </w:tc>
      </w:tr>
      <w:tr>
        <w:tc>
          <w:tcPr>
            <w:tcW w:w="7087" w:type="dxa"/>
            <w:gridSpan w:val="3"/>
            <w:shd w:val="clear" w:color="auto" w:fill="auto"/>
          </w:tcPr>
          <w:p>
            <w:pPr>
              <w:pStyle w:val="nTable"/>
              <w:spacing w:after="40"/>
              <w:rPr>
                <w:rFonts w:ascii="Times" w:hAnsi="Times"/>
                <w:snapToGrid w:val="0"/>
                <w:sz w:val="19"/>
              </w:rPr>
            </w:pPr>
            <w:r>
              <w:rPr>
                <w:rFonts w:ascii="Times" w:hAnsi="Times"/>
                <w:b/>
                <w:bCs/>
                <w:snapToGrid w:val="0"/>
                <w:sz w:val="19"/>
              </w:rPr>
              <w:t xml:space="preserve">Reprint 2:  The </w:t>
            </w:r>
            <w:smartTag w:uri="urn:schemas-microsoft-com:office:smarttags" w:element="Street">
              <w:smartTag w:uri="urn:schemas-microsoft-com:office:smarttags" w:element="address">
                <w:r>
                  <w:rPr>
                    <w:rFonts w:ascii="Times" w:hAnsi="Times"/>
                    <w:b/>
                    <w:bCs/>
                    <w:i/>
                    <w:sz w:val="19"/>
                  </w:rPr>
                  <w:t>Magistrates Court</w:t>
                </w:r>
              </w:smartTag>
            </w:smartTag>
            <w:r>
              <w:rPr>
                <w:rFonts w:ascii="Times" w:hAnsi="Times"/>
                <w:b/>
                <w:bCs/>
                <w:i/>
                <w:sz w:val="19"/>
              </w:rPr>
              <w:t xml:space="preserve"> (Fees) Regulations 2005 </w:t>
            </w:r>
            <w:r>
              <w:rPr>
                <w:rFonts w:ascii="Times" w:hAnsi="Times"/>
                <w:b/>
                <w:bCs/>
                <w:snapToGrid w:val="0"/>
                <w:sz w:val="19"/>
              </w:rPr>
              <w:t>as at 6 Apr 2012</w:t>
            </w:r>
            <w:r>
              <w:rPr>
                <w:rFonts w:ascii="Times" w:hAnsi="Times"/>
                <w:snapToGrid w:val="0"/>
                <w:sz w:val="19"/>
              </w:rPr>
              <w:t xml:space="preserve"> (includes amendments listed above)</w:t>
            </w:r>
          </w:p>
        </w:tc>
      </w:tr>
      <w:tr>
        <w:tc>
          <w:tcPr>
            <w:tcW w:w="3118" w:type="dxa"/>
          </w:tcPr>
          <w:p>
            <w:pPr>
              <w:pStyle w:val="nTable"/>
              <w:spacing w:after="40"/>
              <w:rPr>
                <w:rFonts w:ascii="Times" w:hAnsi="Times"/>
                <w:i/>
                <w:sz w:val="19"/>
              </w:rPr>
            </w:pPr>
            <w:r>
              <w:rPr>
                <w:rFonts w:ascii="Times" w:hAnsi="Times"/>
                <w:i/>
                <w:sz w:val="19"/>
              </w:rPr>
              <w:t>Magistrates Court (Fees) Amendment Regulations (No. 3) 2012</w:t>
            </w:r>
          </w:p>
        </w:tc>
        <w:tc>
          <w:tcPr>
            <w:tcW w:w="1276" w:type="dxa"/>
          </w:tcPr>
          <w:p>
            <w:pPr>
              <w:pStyle w:val="nTable"/>
              <w:spacing w:after="40"/>
              <w:rPr>
                <w:rFonts w:ascii="Times" w:hAnsi="Times"/>
                <w:sz w:val="19"/>
              </w:rPr>
            </w:pPr>
            <w:r>
              <w:rPr>
                <w:rFonts w:ascii="Times" w:hAnsi="Times"/>
                <w:sz w:val="19"/>
              </w:rPr>
              <w:t>30 Nov 2012 p. 5791</w:t>
            </w:r>
            <w:r>
              <w:rPr>
                <w:rFonts w:ascii="Times" w:hAnsi="Times"/>
                <w:sz w:val="19"/>
              </w:rPr>
              <w:noBreakHyphen/>
              <w:t>3</w:t>
            </w:r>
          </w:p>
        </w:tc>
        <w:tc>
          <w:tcPr>
            <w:tcW w:w="2693" w:type="dxa"/>
          </w:tcPr>
          <w:p>
            <w:pPr>
              <w:pStyle w:val="nTable"/>
              <w:spacing w:after="40"/>
              <w:rPr>
                <w:rFonts w:ascii="Times" w:hAnsi="Times"/>
                <w:snapToGrid w:val="0"/>
                <w:sz w:val="19"/>
              </w:rPr>
            </w:pPr>
            <w:r>
              <w:rPr>
                <w:rFonts w:ascii="Times" w:hAnsi="Times"/>
                <w:snapToGrid w:val="0"/>
                <w:sz w:val="19"/>
              </w:rPr>
              <w:t>r. 1 and 2: 30 Nov 2012 (see r. 2(a));</w:t>
            </w:r>
            <w:r>
              <w:rPr>
                <w:rFonts w:ascii="Times" w:hAnsi="Times"/>
                <w:snapToGrid w:val="0"/>
                <w:sz w:val="19"/>
              </w:rPr>
              <w:br/>
              <w:t>Regulations other than r. 1 and 2: 1 Dec 2012 (see r. 2(b))</w:t>
            </w:r>
          </w:p>
        </w:tc>
      </w:tr>
      <w:tr>
        <w:tc>
          <w:tcPr>
            <w:tcW w:w="3118" w:type="dxa"/>
          </w:tcPr>
          <w:p>
            <w:pPr>
              <w:pStyle w:val="nTable"/>
              <w:spacing w:after="40"/>
              <w:rPr>
                <w:rFonts w:ascii="Times" w:hAnsi="Times"/>
                <w:i/>
                <w:sz w:val="19"/>
              </w:rPr>
            </w:pPr>
            <w:r>
              <w:rPr>
                <w:rFonts w:ascii="Times" w:hAnsi="Times"/>
                <w:i/>
                <w:sz w:val="19"/>
              </w:rPr>
              <w:t>Magistrates Court (Fees) Amendment Regulations 2013</w:t>
            </w:r>
          </w:p>
        </w:tc>
        <w:tc>
          <w:tcPr>
            <w:tcW w:w="1276" w:type="dxa"/>
          </w:tcPr>
          <w:p>
            <w:pPr>
              <w:pStyle w:val="nTable"/>
              <w:spacing w:after="40"/>
              <w:rPr>
                <w:rFonts w:ascii="Times" w:hAnsi="Times"/>
                <w:sz w:val="19"/>
              </w:rPr>
            </w:pPr>
            <w:r>
              <w:rPr>
                <w:rFonts w:ascii="Times" w:hAnsi="Times"/>
                <w:sz w:val="19"/>
              </w:rPr>
              <w:t>20 Aug 2013 p. 3815-16</w:t>
            </w:r>
          </w:p>
        </w:tc>
        <w:tc>
          <w:tcPr>
            <w:tcW w:w="2693" w:type="dxa"/>
          </w:tcPr>
          <w:p>
            <w:pPr>
              <w:pStyle w:val="nTable"/>
              <w:spacing w:after="40"/>
              <w:rPr>
                <w:rFonts w:ascii="Times" w:hAnsi="Times"/>
                <w:snapToGrid w:val="0"/>
                <w:sz w:val="19"/>
              </w:rPr>
            </w:pPr>
            <w:r>
              <w:rPr>
                <w:rFonts w:ascii="Times" w:hAnsi="Times"/>
                <w:snapToGrid w:val="0"/>
                <w:sz w:val="19"/>
              </w:rPr>
              <w:t>r. 1 and 2: 20 Aug 2013 (see r. 2(a));</w:t>
            </w:r>
            <w:r>
              <w:rPr>
                <w:rFonts w:ascii="Times" w:hAnsi="Times"/>
                <w:snapToGrid w:val="0"/>
                <w:sz w:val="19"/>
              </w:rPr>
              <w:br/>
              <w:t xml:space="preserve">Regulations other than r. 1 and 2: 21 Aug 2013 (see r. 2(b) and </w:t>
            </w:r>
            <w:r>
              <w:rPr>
                <w:rFonts w:ascii="Times" w:hAnsi="Times"/>
                <w:i/>
                <w:snapToGrid w:val="0"/>
                <w:sz w:val="19"/>
              </w:rPr>
              <w:t>Gazette</w:t>
            </w:r>
            <w:r>
              <w:rPr>
                <w:rFonts w:ascii="Times" w:hAnsi="Times"/>
                <w:snapToGrid w:val="0"/>
                <w:sz w:val="19"/>
              </w:rPr>
              <w:t xml:space="preserve"> 20 Aug 2013 p. 3815)</w:t>
            </w:r>
          </w:p>
        </w:tc>
      </w:tr>
      <w:tr>
        <w:tc>
          <w:tcPr>
            <w:tcW w:w="3118" w:type="dxa"/>
            <w:tcBorders>
              <w:bottom w:val="single" w:sz="4" w:space="0" w:color="auto"/>
            </w:tcBorders>
          </w:tcPr>
          <w:p>
            <w:pPr>
              <w:pStyle w:val="nTable"/>
              <w:spacing w:after="40"/>
              <w:rPr>
                <w:rFonts w:ascii="Times" w:hAnsi="Times"/>
                <w:i/>
                <w:sz w:val="19"/>
              </w:rPr>
            </w:pPr>
            <w:r>
              <w:rPr>
                <w:rFonts w:ascii="Times" w:hAnsi="Times"/>
                <w:i/>
                <w:sz w:val="19"/>
              </w:rPr>
              <w:t>Magistrates Court (Fees) Amendment Regulations (No. 2) 2013</w:t>
            </w:r>
          </w:p>
        </w:tc>
        <w:tc>
          <w:tcPr>
            <w:tcW w:w="1276" w:type="dxa"/>
            <w:tcBorders>
              <w:bottom w:val="single" w:sz="4" w:space="0" w:color="auto"/>
            </w:tcBorders>
          </w:tcPr>
          <w:p>
            <w:pPr>
              <w:pStyle w:val="nTable"/>
              <w:spacing w:after="40"/>
              <w:rPr>
                <w:rFonts w:ascii="Times" w:hAnsi="Times"/>
                <w:sz w:val="19"/>
              </w:rPr>
            </w:pPr>
            <w:r>
              <w:rPr>
                <w:rFonts w:ascii="Times" w:hAnsi="Times"/>
                <w:sz w:val="19"/>
              </w:rPr>
              <w:t>15 Nov 2013 p. 5248-50</w:t>
            </w:r>
          </w:p>
        </w:tc>
        <w:tc>
          <w:tcPr>
            <w:tcW w:w="2693" w:type="dxa"/>
            <w:tcBorders>
              <w:bottom w:val="single" w:sz="4" w:space="0" w:color="auto"/>
            </w:tcBorders>
          </w:tcPr>
          <w:p>
            <w:pPr>
              <w:pStyle w:val="nTable"/>
              <w:spacing w:after="40"/>
              <w:rPr>
                <w:rFonts w:ascii="Times" w:hAnsi="Times"/>
                <w:snapToGrid w:val="0"/>
                <w:sz w:val="19"/>
              </w:rPr>
            </w:pPr>
            <w:r>
              <w:rPr>
                <w:rFonts w:ascii="Times" w:hAnsi="Times"/>
                <w:snapToGrid w:val="0"/>
                <w:sz w:val="19"/>
              </w:rPr>
              <w:t>r. 1 and 2: 15 Nov 2013 (see r. 2(a));</w:t>
            </w:r>
            <w:r>
              <w:rPr>
                <w:rFonts w:ascii="Times" w:hAnsi="Times"/>
                <w:snapToGrid w:val="0"/>
                <w:sz w:val="19"/>
              </w:rPr>
              <w:br/>
              <w:t>Regulations other than r. 1 and 2: 16 Nov 2013 (see r. 2(b))</w:t>
            </w:r>
          </w:p>
        </w:tc>
      </w:tr>
    </w:tbl>
    <w:p/>
    <w:p>
      <w:pPr>
        <w:pStyle w:val="nSubsection"/>
      </w:pPr>
      <w:r>
        <w:rPr>
          <w:vertAlign w:val="superscript"/>
        </w:rPr>
        <w:t>2</w:t>
      </w:r>
      <w:r>
        <w:tab/>
        <w:t xml:space="preserve">The </w:t>
      </w:r>
      <w:smartTag w:uri="urn:schemas-microsoft-com:office:smarttags" w:element="Street">
        <w:smartTag w:uri="urn:schemas-microsoft-com:office:smarttags" w:element="address">
          <w:r>
            <w:rPr>
              <w:i/>
            </w:rPr>
            <w:t>Magistrates Court</w:t>
          </w:r>
        </w:smartTag>
      </w:smartTag>
      <w:r>
        <w:rPr>
          <w:i/>
        </w:rPr>
        <w:t xml:space="preserve"> (Fees) Amendment Regulations (No. 2) 2011</w:t>
      </w:r>
      <w:r>
        <w:t>, Table to r. 4 included amendments to Schedule 1 Divisions 2 and 3.  These amendments are not included because the instruction in r. 4 referred only to Schedule 1 Division 1.</w:t>
      </w:r>
    </w:p>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26" w:name="_Toc377389097"/>
      <w:r>
        <w:rPr>
          <w:sz w:val="28"/>
        </w:rPr>
        <w:t>Defined terms</w:t>
      </w:r>
      <w:bookmarkEnd w:id="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7" w:name="DefinedTerms"/>
      <w:bookmarkEnd w:id="27"/>
      <w:r>
        <w:t>case statement</w:t>
      </w:r>
      <w:r>
        <w:tab/>
        <w:t>3</w:t>
      </w:r>
    </w:p>
    <w:p>
      <w:pPr>
        <w:pStyle w:val="DefinedTerms"/>
      </w:pPr>
      <w:r>
        <w:t>claim</w:t>
      </w:r>
      <w:r>
        <w:tab/>
        <w:t>3</w:t>
      </w:r>
    </w:p>
    <w:p>
      <w:pPr>
        <w:pStyle w:val="DefinedTerms"/>
      </w:pPr>
      <w:r>
        <w:t>claimant</w:t>
      </w:r>
      <w:r>
        <w:tab/>
        <w:t>3</w:t>
      </w:r>
    </w:p>
    <w:p>
      <w:pPr>
        <w:pStyle w:val="DefinedTerms"/>
      </w:pPr>
      <w:r>
        <w:t>commencement day</w:t>
      </w:r>
      <w:r>
        <w:tab/>
        <w:t>15(1)</w:t>
      </w:r>
    </w:p>
    <w:p>
      <w:pPr>
        <w:pStyle w:val="DefinedTerms"/>
      </w:pPr>
      <w:r>
        <w:t>corporation</w:t>
      </w:r>
      <w:r>
        <w:tab/>
        <w:t>3</w:t>
      </w:r>
    </w:p>
    <w:p>
      <w:pPr>
        <w:pStyle w:val="DefinedTerms"/>
      </w:pPr>
      <w:r>
        <w:t>counterclaim</w:t>
      </w:r>
      <w:r>
        <w:tab/>
        <w:t>3</w:t>
      </w:r>
    </w:p>
    <w:p>
      <w:pPr>
        <w:pStyle w:val="DefinedTerms"/>
      </w:pPr>
      <w:r>
        <w:t>enforcement officer</w:t>
      </w:r>
      <w:r>
        <w:tab/>
        <w:t>3</w:t>
      </w:r>
    </w:p>
    <w:p>
      <w:pPr>
        <w:pStyle w:val="DefinedTerms"/>
      </w:pPr>
      <w:r>
        <w:t>Form</w:t>
      </w:r>
      <w:r>
        <w:tab/>
        <w:t>3</w:t>
      </w:r>
    </w:p>
    <w:p>
      <w:pPr>
        <w:pStyle w:val="DefinedTerms"/>
      </w:pPr>
      <w:r>
        <w:t>individual</w:t>
      </w:r>
      <w:r>
        <w:tab/>
        <w:t>3</w:t>
      </w:r>
    </w:p>
    <w:p>
      <w:pPr>
        <w:pStyle w:val="DefinedTerms"/>
      </w:pPr>
      <w:r>
        <w:t>minor cases procedure</w:t>
      </w:r>
      <w:r>
        <w:tab/>
        <w:t>3</w:t>
      </w:r>
    </w:p>
    <w:p>
      <w:pPr>
        <w:pStyle w:val="DefinedTerms"/>
      </w:pPr>
      <w:r>
        <w:t>non</w:t>
      </w:r>
      <w:r>
        <w:noBreakHyphen/>
        <w:t>profit association</w:t>
      </w:r>
      <w:r>
        <w:tab/>
        <w:t>3</w:t>
      </w:r>
    </w:p>
    <w:p>
      <w:pPr>
        <w:pStyle w:val="DefinedTerms"/>
      </w:pPr>
      <w:r>
        <w:t>party</w:t>
      </w:r>
      <w:r>
        <w:tab/>
        <w:t>3</w:t>
      </w:r>
    </w:p>
    <w:p>
      <w:pPr>
        <w:pStyle w:val="DefinedTerms"/>
      </w:pPr>
      <w:r>
        <w:t>prosecution notice</w:t>
      </w:r>
      <w:r>
        <w:tab/>
        <w:t>3</w:t>
      </w:r>
    </w:p>
    <w:p>
      <w:pPr>
        <w:pStyle w:val="DefinedTerms"/>
      </w:pPr>
      <w:r>
        <w:t>respondent</w:t>
      </w:r>
      <w:r>
        <w:tab/>
        <w:t>6(2)</w:t>
      </w:r>
    </w:p>
    <w:p>
      <w:pPr>
        <w:pStyle w:val="DefinedTerms"/>
      </w:pPr>
      <w:r>
        <w:t>small business</w:t>
      </w:r>
      <w:r>
        <w:tab/>
        <w:t>3</w:t>
      </w:r>
    </w:p>
    <w:p>
      <w:pPr>
        <w:pStyle w:val="DefinedTerms"/>
      </w:pPr>
      <w:r>
        <w:t>subsidiary</w:t>
      </w:r>
      <w:r>
        <w:tab/>
        <w:t>3</w:t>
      </w:r>
    </w:p>
    <w:p/>
    <w:p>
      <w:pPr>
        <w:sectPr>
          <w:headerReference w:type="even" r:id="rId35"/>
          <w:headerReference w:type="default" r:id="rId36"/>
          <w:headerReference w:type="first" r:id="rId37"/>
          <w:endnotePr>
            <w:numFmt w:val="decimal"/>
          </w:endnotePr>
          <w:pgSz w:w="11906" w:h="16838" w:code="9"/>
          <w:pgMar w:top="2376" w:right="2404" w:bottom="3544" w:left="2404" w:header="720" w:footer="3380" w:gutter="0"/>
          <w:cols w:space="720"/>
          <w:noEndnote/>
          <w:docGrid w:linePitch="326"/>
        </w:sectPr>
      </w:pPr>
    </w:p>
    <w:p/>
    <w:sectPr>
      <w:headerReference w:type="even" r:id="rId38"/>
      <w:headerReference w:type="default" r:id="rId39"/>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Nov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(Fees) Regulations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General</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Magistrates Court (Fees) Regulations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3</w:t>
          </w:r>
          <w:r>
            <w:fldChar w:fldCharType="end"/>
          </w:r>
        </w:p>
      </w:tc>
      <w:tc>
        <w:tcPr>
          <w:tcW w:w="5715" w:type="dxa"/>
        </w:tcPr>
        <w:p>
          <w:pPr>
            <w:pStyle w:val="HeaderTextLeft"/>
          </w:pPr>
          <w:fldSimple w:instr=" styleref CharSDivText ">
            <w:r>
              <w:rPr>
                <w:noProof/>
              </w:rPr>
              <w:t>Criminal jurisdiction</w:t>
            </w:r>
          </w:fldSimple>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(Fees) Regulations 2005</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Criminal jurisdiction</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3</w:t>
          </w:r>
          <w:r>
            <w:fldChar w:fldCharType="end"/>
          </w:r>
        </w:p>
      </w:tc>
    </w:tr>
    <w:tr>
      <w:tc>
        <w:tcPr>
          <w:tcW w:w="5715" w:type="dxa"/>
        </w:tcPr>
        <w:p>
          <w:pPr>
            <w:pStyle w:val="HeaderTextRight"/>
          </w:pPr>
        </w:p>
      </w:tc>
      <w:tc>
        <w:tcPr>
          <w:tcW w:w="1548" w:type="dxa"/>
        </w:tcPr>
        <w:p>
          <w:pPr>
            <w:pStyle w:val="HeaderNumberRight"/>
            <w:ind w:right="17"/>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Magistrates Court (Fees) Regulations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General</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0C4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3ACD1D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8FEBB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A8D805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BEAA29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7DCC1F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6E20C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74CB2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B54A702"/>
    <w:lvl w:ilvl="0">
      <w:start w:val="1"/>
      <w:numFmt w:val="decimal"/>
      <w:pStyle w:val="ListNumber"/>
      <w:lvlText w:val="%1."/>
      <w:lvlJc w:val="left"/>
      <w:pPr>
        <w:tabs>
          <w:tab w:val="num" w:pos="360"/>
        </w:tabs>
        <w:ind w:left="360" w:hanging="360"/>
      </w:pPr>
    </w:lvl>
  </w:abstractNum>
  <w:abstractNum w:abstractNumId="9">
    <w:nsid w:val="FFFFFF89"/>
    <w:multiLevelType w:val="singleLevel"/>
    <w:tmpl w:val="AACAA4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F3BC312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44DE51D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14229E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7ED2C1D0"/>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3145607"/>
    <w:docVar w:name="WAFER_20140113145551" w:val="RemoveTocBookmarks,RemoveUnusedBookmarks,RemoveLanguageTags,UsedStyles,ResetPageSize,UpdateArrangement"/>
    <w:docVar w:name="WAFER_20140113145551_GUID" w:val="716a4c7e-0f00-469c-86f2-d2fbb103a85b"/>
    <w:docVar w:name="WAFER_20140113145607" w:val="RemoveTocBookmarks,RunningHeaders"/>
    <w:docVar w:name="WAFER_20140113145607_GUID" w:val="72e44600-b135-4dfe-9dfa-8ff8d752e8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A39DC-F8EA-4638-9A9C-49D489E59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7025</Words>
  <Characters>36602</Characters>
  <Application>Microsoft Office Word</Application>
  <DocSecurity>0</DocSecurity>
  <Lines>1525</Lines>
  <Paragraphs>823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(Fees) Regulations 2005 - 02-d0-02</dc:title>
  <dc:subject/>
  <dc:creator/>
  <cp:keywords/>
  <dc:description/>
  <cp:lastModifiedBy>svcMRProcess</cp:lastModifiedBy>
  <cp:revision>4</cp:revision>
  <cp:lastPrinted>2012-04-04T08:07:00Z</cp:lastPrinted>
  <dcterms:created xsi:type="dcterms:W3CDTF">2018-09-12T18:45:00Z</dcterms:created>
  <dcterms:modified xsi:type="dcterms:W3CDTF">2018-09-12T18:45:00Z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1573-603</vt:lpwstr>
  </property>
  <property fmtid="{D5CDD505-2E9C-101B-9397-08002B2CF9AE}" pid="3" name="CommencementDate">
    <vt:lpwstr>20131116</vt:lpwstr>
  </property>
  <property fmtid="{D5CDD505-2E9C-101B-9397-08002B2CF9AE}" pid="4" name="OwlsUID">
    <vt:i4>37120</vt:i4>
  </property>
  <property fmtid="{D5CDD505-2E9C-101B-9397-08002B2CF9AE}" pid="5" name="AsAtDate">
    <vt:lpwstr>16 Nov 2013</vt:lpwstr>
  </property>
  <property fmtid="{D5CDD505-2E9C-101B-9397-08002B2CF9AE}" pid="6" name="Suffix">
    <vt:lpwstr>02-d0-02</vt:lpwstr>
  </property>
  <property fmtid="{D5CDD505-2E9C-101B-9397-08002B2CF9AE}" pid="7" name="ReprintNo">
    <vt:lpwstr>2</vt:lpwstr>
  </property>
  <property fmtid="{D5CDD505-2E9C-101B-9397-08002B2CF9AE}" pid="8" name="ReprintedAsAt">
    <vt:filetime>2012-04-05T16:00:00Z</vt:filetime>
  </property>
  <property fmtid="{D5CDD505-2E9C-101B-9397-08002B2CF9AE}" pid="9" name="DocumentType">
    <vt:lpwstr>Reg</vt:lpwstr>
  </property>
</Properties>
</file>