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_Toc130956217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_Toc130956218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_Toc130956219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II — Security interests</w:t>
      </w:r>
    </w:p>
    <w:p>
      <w:pPr>
        <w:pStyle w:val="TOC4"/>
        <w:tabs>
          <w:tab w:val="left" w:pos="1701"/>
        </w:tabs>
        <w:rPr>
          <w:noProof/>
          <w:sz w:val="24"/>
        </w:rPr>
      </w:pPr>
      <w:r>
        <w:rPr>
          <w:noProof/>
        </w:rPr>
        <w:t>4</w:t>
      </w:r>
      <w:r>
        <w:rPr>
          <w:noProof/>
          <w:snapToGrid w:val="0"/>
        </w:rPr>
        <w:t>.</w:t>
      </w:r>
      <w:r>
        <w:rPr>
          <w:noProof/>
          <w:sz w:val="24"/>
        </w:rPr>
        <w:tab/>
      </w:r>
      <w:r>
        <w:rPr>
          <w:noProof/>
          <w:snapToGrid w:val="0"/>
        </w:rPr>
        <w:t>Application of Part</w:t>
      </w:r>
      <w:r>
        <w:rPr>
          <w:noProof/>
        </w:rPr>
        <w:tab/>
      </w:r>
      <w:r>
        <w:rPr>
          <w:noProof/>
        </w:rPr>
        <w:fldChar w:fldCharType="begin"/>
      </w:r>
      <w:r>
        <w:rPr>
          <w:noProof/>
        </w:rPr>
        <w:instrText xml:space="preserve"> PAGEREF _Toc130956221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5</w:t>
      </w:r>
      <w:r>
        <w:rPr>
          <w:noProof/>
          <w:snapToGrid w:val="0"/>
        </w:rPr>
        <w:t>.</w:t>
      </w:r>
      <w:r>
        <w:rPr>
          <w:noProof/>
          <w:sz w:val="24"/>
        </w:rPr>
        <w:tab/>
      </w:r>
      <w:r>
        <w:rPr>
          <w:noProof/>
          <w:snapToGrid w:val="0"/>
        </w:rPr>
        <w:t>Agreement that security interest is legal interest</w:t>
      </w:r>
      <w:r>
        <w:rPr>
          <w:noProof/>
        </w:rPr>
        <w:tab/>
      </w:r>
      <w:r>
        <w:rPr>
          <w:noProof/>
        </w:rPr>
        <w:fldChar w:fldCharType="begin"/>
      </w:r>
      <w:r>
        <w:rPr>
          <w:noProof/>
        </w:rPr>
        <w:instrText xml:space="preserve"> PAGEREF _Toc130956222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Fixtures</w:t>
      </w:r>
      <w:r>
        <w:rPr>
          <w:noProof/>
        </w:rPr>
        <w:tab/>
      </w:r>
      <w:r>
        <w:rPr>
          <w:noProof/>
        </w:rPr>
        <w:fldChar w:fldCharType="begin"/>
      </w:r>
      <w:r>
        <w:rPr>
          <w:noProof/>
        </w:rPr>
        <w:instrText xml:space="preserve"> PAGEREF _Toc130956223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Extinguishing of security interest</w:t>
      </w:r>
      <w:r>
        <w:rPr>
          <w:noProof/>
        </w:rPr>
        <w:tab/>
      </w:r>
      <w:r>
        <w:rPr>
          <w:noProof/>
        </w:rPr>
        <w:fldChar w:fldCharType="begin"/>
      </w:r>
      <w:r>
        <w:rPr>
          <w:noProof/>
        </w:rPr>
        <w:instrText xml:space="preserve"> PAGEREF _Toc130956224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8</w:t>
      </w:r>
      <w:r>
        <w:rPr>
          <w:noProof/>
          <w:snapToGrid w:val="0"/>
        </w:rPr>
        <w:t>.</w:t>
      </w:r>
      <w:r>
        <w:rPr>
          <w:noProof/>
          <w:sz w:val="24"/>
        </w:rPr>
        <w:tab/>
      </w:r>
      <w:r>
        <w:rPr>
          <w:noProof/>
          <w:snapToGrid w:val="0"/>
        </w:rPr>
        <w:t>Purchase for value in good faith</w:t>
      </w:r>
      <w:r>
        <w:rPr>
          <w:noProof/>
        </w:rPr>
        <w:tab/>
      </w:r>
      <w:r>
        <w:rPr>
          <w:noProof/>
        </w:rPr>
        <w:fldChar w:fldCharType="begin"/>
      </w:r>
      <w:r>
        <w:rPr>
          <w:noProof/>
        </w:rPr>
        <w:instrText xml:space="preserve"> PAGEREF _Toc130956225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Extinguishing of subsequent security interests</w:t>
      </w:r>
      <w:r>
        <w:rPr>
          <w:noProof/>
        </w:rPr>
        <w:tab/>
      </w:r>
      <w:r>
        <w:rPr>
          <w:noProof/>
        </w:rPr>
        <w:fldChar w:fldCharType="begin"/>
      </w:r>
      <w:r>
        <w:rPr>
          <w:noProof/>
        </w:rPr>
        <w:instrText xml:space="preserve"> PAGEREF _Toc130956226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Priority of security interests</w:t>
      </w:r>
      <w:r>
        <w:rPr>
          <w:noProof/>
        </w:rPr>
        <w:tab/>
      </w:r>
      <w:r>
        <w:rPr>
          <w:noProof/>
        </w:rPr>
        <w:fldChar w:fldCharType="begin"/>
      </w:r>
      <w:r>
        <w:rPr>
          <w:noProof/>
        </w:rPr>
        <w:instrText xml:space="preserve"> PAGEREF _Toc130956227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Extinguishing etc. of security interest under corresponding law</w:t>
      </w:r>
      <w:r>
        <w:rPr>
          <w:noProof/>
        </w:rPr>
        <w:tab/>
      </w:r>
      <w:r>
        <w:rPr>
          <w:noProof/>
        </w:rPr>
        <w:fldChar w:fldCharType="begin"/>
      </w:r>
      <w:r>
        <w:rPr>
          <w:noProof/>
        </w:rPr>
        <w:instrText xml:space="preserve"> PAGEREF _Toc130956228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_Toc130956229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rPr>
      </w:pPr>
      <w:r>
        <w:rPr>
          <w:noProof/>
        </w:rPr>
        <w:t>Part III — Registrable goods</w:t>
      </w:r>
    </w:p>
    <w:p>
      <w:pPr>
        <w:pStyle w:val="TOC4"/>
        <w:tabs>
          <w:tab w:val="left" w:pos="1701"/>
        </w:tabs>
        <w:rPr>
          <w:noProof/>
          <w:sz w:val="24"/>
        </w:rPr>
      </w:pPr>
      <w:r>
        <w:rPr>
          <w:noProof/>
        </w:rPr>
        <w:t>13</w:t>
      </w:r>
      <w:r>
        <w:rPr>
          <w:noProof/>
          <w:snapToGrid w:val="0"/>
        </w:rPr>
        <w:t>.</w:t>
      </w:r>
      <w:r>
        <w:rPr>
          <w:noProof/>
          <w:sz w:val="24"/>
        </w:rPr>
        <w:tab/>
      </w:r>
      <w:r>
        <w:rPr>
          <w:noProof/>
          <w:snapToGrid w:val="0"/>
        </w:rPr>
        <w:t>Application of Part</w:t>
      </w:r>
      <w:r>
        <w:rPr>
          <w:noProof/>
        </w:rPr>
        <w:tab/>
      </w:r>
      <w:r>
        <w:rPr>
          <w:noProof/>
        </w:rPr>
        <w:fldChar w:fldCharType="begin"/>
      </w:r>
      <w:r>
        <w:rPr>
          <w:noProof/>
        </w:rPr>
        <w:instrText xml:space="preserve"> PAGEREF _Toc130956231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Register</w:t>
      </w:r>
      <w:r>
        <w:rPr>
          <w:noProof/>
        </w:rPr>
        <w:tab/>
      </w:r>
      <w:r>
        <w:rPr>
          <w:noProof/>
        </w:rPr>
        <w:fldChar w:fldCharType="begin"/>
      </w:r>
      <w:r>
        <w:rPr>
          <w:noProof/>
        </w:rPr>
        <w:instrText xml:space="preserve"> PAGEREF _Toc130956232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Registration of security interest</w:t>
      </w:r>
      <w:r>
        <w:rPr>
          <w:noProof/>
        </w:rPr>
        <w:tab/>
      </w:r>
      <w:r>
        <w:rPr>
          <w:noProof/>
        </w:rPr>
        <w:fldChar w:fldCharType="begin"/>
      </w:r>
      <w:r>
        <w:rPr>
          <w:noProof/>
        </w:rPr>
        <w:instrText xml:space="preserve"> PAGEREF _Toc130956233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Offence</w:t>
      </w:r>
      <w:r>
        <w:rPr>
          <w:noProof/>
        </w:rPr>
        <w:tab/>
      </w:r>
      <w:r>
        <w:rPr>
          <w:noProof/>
        </w:rPr>
        <w:fldChar w:fldCharType="begin"/>
      </w:r>
      <w:r>
        <w:rPr>
          <w:noProof/>
        </w:rPr>
        <w:instrText xml:space="preserve"> PAGEREF _Toc130956234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Cancellation of registration</w:t>
      </w:r>
      <w:r>
        <w:rPr>
          <w:noProof/>
        </w:rPr>
        <w:tab/>
      </w:r>
      <w:r>
        <w:rPr>
          <w:noProof/>
        </w:rPr>
        <w:fldChar w:fldCharType="begin"/>
      </w:r>
      <w:r>
        <w:rPr>
          <w:noProof/>
        </w:rPr>
        <w:instrText xml:space="preserve"> PAGEREF _Toc130956235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Discharge of registered security interest</w:t>
      </w:r>
      <w:r>
        <w:rPr>
          <w:noProof/>
        </w:rPr>
        <w:tab/>
      </w:r>
      <w:r>
        <w:rPr>
          <w:noProof/>
        </w:rPr>
        <w:fldChar w:fldCharType="begin"/>
      </w:r>
      <w:r>
        <w:rPr>
          <w:noProof/>
        </w:rPr>
        <w:instrText xml:space="preserve"> PAGEREF _Toc130956236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19</w:t>
      </w:r>
      <w:r>
        <w:rPr>
          <w:noProof/>
          <w:snapToGrid w:val="0"/>
        </w:rPr>
        <w:t>.</w:t>
      </w:r>
      <w:r>
        <w:rPr>
          <w:noProof/>
          <w:sz w:val="24"/>
        </w:rPr>
        <w:tab/>
      </w:r>
      <w:r>
        <w:rPr>
          <w:noProof/>
          <w:snapToGrid w:val="0"/>
        </w:rPr>
        <w:t>Commissioner to cancel registration</w:t>
      </w:r>
      <w:r>
        <w:rPr>
          <w:noProof/>
        </w:rPr>
        <w:tab/>
      </w:r>
      <w:r>
        <w:rPr>
          <w:noProof/>
        </w:rPr>
        <w:fldChar w:fldCharType="begin"/>
      </w:r>
      <w:r>
        <w:rPr>
          <w:noProof/>
        </w:rPr>
        <w:instrText xml:space="preserve"> PAGEREF _Toc130956237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Change in particulars</w:t>
      </w:r>
      <w:r>
        <w:rPr>
          <w:noProof/>
        </w:rPr>
        <w:tab/>
      </w:r>
      <w:r>
        <w:rPr>
          <w:noProof/>
        </w:rPr>
        <w:fldChar w:fldCharType="begin"/>
      </w:r>
      <w:r>
        <w:rPr>
          <w:noProof/>
        </w:rPr>
        <w:instrText xml:space="preserve"> PAGEREF _Toc130956238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Variation of particulars</w:t>
      </w:r>
      <w:r>
        <w:rPr>
          <w:noProof/>
        </w:rPr>
        <w:tab/>
      </w:r>
      <w:r>
        <w:rPr>
          <w:noProof/>
        </w:rPr>
        <w:fldChar w:fldCharType="begin"/>
      </w:r>
      <w:r>
        <w:rPr>
          <w:noProof/>
        </w:rPr>
        <w:instrText xml:space="preserve"> PAGEREF _Toc130956239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Commissioner may cancel registration</w:t>
      </w:r>
      <w:r>
        <w:rPr>
          <w:noProof/>
        </w:rPr>
        <w:tab/>
      </w:r>
      <w:r>
        <w:rPr>
          <w:noProof/>
        </w:rPr>
        <w:fldChar w:fldCharType="begin"/>
      </w:r>
      <w:r>
        <w:rPr>
          <w:noProof/>
        </w:rPr>
        <w:instrText xml:space="preserve"> PAGEREF _Toc130956240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Details of entries</w:t>
      </w:r>
      <w:r>
        <w:rPr>
          <w:noProof/>
        </w:rPr>
        <w:tab/>
      </w:r>
      <w:r>
        <w:rPr>
          <w:noProof/>
        </w:rPr>
        <w:fldChar w:fldCharType="begin"/>
      </w:r>
      <w:r>
        <w:rPr>
          <w:noProof/>
        </w:rPr>
        <w:instrText xml:space="preserve"> PAGEREF _Toc130956241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Compensation for extinguishment of security interest</w:t>
      </w:r>
      <w:r>
        <w:rPr>
          <w:noProof/>
        </w:rPr>
        <w:tab/>
      </w:r>
      <w:r>
        <w:rPr>
          <w:noProof/>
        </w:rPr>
        <w:fldChar w:fldCharType="begin"/>
      </w:r>
      <w:r>
        <w:rPr>
          <w:noProof/>
        </w:rPr>
        <w:instrText xml:space="preserve"> PAGEREF _Toc130956242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Compensation where entry not shown on certificate</w:t>
      </w:r>
      <w:r>
        <w:rPr>
          <w:noProof/>
        </w:rPr>
        <w:tab/>
      </w:r>
      <w:r>
        <w:rPr>
          <w:noProof/>
        </w:rPr>
        <w:fldChar w:fldCharType="begin"/>
      </w:r>
      <w:r>
        <w:rPr>
          <w:noProof/>
        </w:rPr>
        <w:instrText xml:space="preserve"> PAGEREF _Toc130956243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Appeal to Commercial Tribunal</w:t>
      </w:r>
      <w:r>
        <w:rPr>
          <w:noProof/>
        </w:rPr>
        <w:tab/>
      </w:r>
      <w:r>
        <w:rPr>
          <w:noProof/>
        </w:rPr>
        <w:fldChar w:fldCharType="begin"/>
      </w:r>
      <w:r>
        <w:rPr>
          <w:noProof/>
        </w:rPr>
        <w:instrText xml:space="preserve"> PAGEREF _Toc130956244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Appropriation</w:t>
      </w:r>
      <w:r>
        <w:rPr>
          <w:noProof/>
        </w:rPr>
        <w:tab/>
      </w:r>
      <w:r>
        <w:rPr>
          <w:noProof/>
        </w:rPr>
        <w:fldChar w:fldCharType="begin"/>
      </w:r>
      <w:r>
        <w:rPr>
          <w:noProof/>
        </w:rPr>
        <w:instrText xml:space="preserve"> PAGEREF _Toc130956245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Offence</w:t>
      </w:r>
      <w:r>
        <w:rPr>
          <w:noProof/>
        </w:rPr>
        <w:tab/>
      </w:r>
      <w:r>
        <w:rPr>
          <w:noProof/>
        </w:rPr>
        <w:fldChar w:fldCharType="begin"/>
      </w:r>
      <w:r>
        <w:rPr>
          <w:noProof/>
        </w:rPr>
        <w:instrText xml:space="preserve"> PAGEREF _Toc130956246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31</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_Toc130956247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Compilation table</w:t>
      </w:r>
      <w:r>
        <w:rPr>
          <w:noProof/>
        </w:rPr>
        <w:tab/>
      </w:r>
      <w:r>
        <w:rPr>
          <w:noProof/>
        </w:rPr>
        <w:fldChar w:fldCharType="begin"/>
      </w:r>
      <w:r>
        <w:rPr>
          <w:noProof/>
        </w:rPr>
        <w:instrText xml:space="preserve"> PAGEREF _Toc130956249 \h </w:instrText>
      </w:r>
      <w:r>
        <w:rPr>
          <w:noProof/>
        </w:rPr>
      </w:r>
      <w:r>
        <w:rPr>
          <w:noProof/>
        </w:rPr>
        <w:fldChar w:fldCharType="separate"/>
      </w:r>
      <w:r>
        <w:rPr>
          <w:noProof/>
        </w:rPr>
        <w:t>24</w:t>
      </w:r>
      <w:r>
        <w:rPr>
          <w:noProof/>
        </w:rPr>
        <w:fldChar w:fldCharType="end"/>
      </w:r>
    </w:p>
    <w:p>
      <w:pPr>
        <w:pStyle w:val="TOC4"/>
        <w:rPr>
          <w:noProof/>
          <w:sz w:val="24"/>
        </w:rPr>
      </w:pPr>
      <w:r>
        <w:rPr>
          <w:noProof/>
        </w:rPr>
        <w:t>Provisions that have not come into operation</w:t>
      </w:r>
      <w:r>
        <w:rPr>
          <w:noProof/>
        </w:rPr>
        <w:tab/>
      </w:r>
      <w:r>
        <w:rPr>
          <w:noProof/>
        </w:rPr>
        <w:fldChar w:fldCharType="begin"/>
      </w:r>
      <w:r>
        <w:rPr>
          <w:noProof/>
        </w:rPr>
        <w:instrText xml:space="preserve"> PAGEREF _Toc130956250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1973</w:t>
      </w:r>
      <w:r>
        <w:rPr>
          <w:snapToGrid w:val="0"/>
        </w:rPr>
        <w:t xml:space="preserve">. </w:t>
      </w:r>
    </w:p>
    <w:p>
      <w:pPr>
        <w:pStyle w:val="Heading2"/>
      </w:pPr>
      <w:bookmarkStart w:id="1" w:name="_Toc92444753"/>
      <w:bookmarkStart w:id="2" w:name="_Toc130956216"/>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1488831"/>
      <w:bookmarkStart w:id="4" w:name="_Toc13095621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5" w:name="_Toc11488832"/>
      <w:bookmarkStart w:id="6" w:name="_Toc13095621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11488833"/>
      <w:bookmarkStart w:id="8" w:name="_Toc130956219"/>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rPr>
          <w:b/>
        </w:rPr>
        <w:tab/>
        <w:t>“</w:t>
      </w:r>
      <w:r>
        <w:rPr>
          <w:rStyle w:val="CharDefText"/>
        </w:rPr>
        <w:t>Commissioner</w:t>
      </w:r>
      <w:r>
        <w:rPr>
          <w:b/>
        </w:rPr>
        <w:t>”</w:t>
      </w:r>
      <w:r>
        <w:t xml:space="preserve"> means the person holding or acting in the office of Commissioner for Fair Trading under the </w:t>
      </w:r>
      <w:r>
        <w:rPr>
          <w:i/>
        </w:rPr>
        <w:t>Consumer Affairs Act 1971</w:t>
      </w:r>
      <w:r>
        <w:t>;</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74 of 2003 s. 34; No. 55 of 2004 s. 104.]</w:t>
      </w:r>
    </w:p>
    <w:p>
      <w:pPr>
        <w:pStyle w:val="Heading2"/>
      </w:pPr>
      <w:bookmarkStart w:id="9" w:name="_Toc92444757"/>
      <w:bookmarkStart w:id="10" w:name="_Toc130956220"/>
      <w:r>
        <w:rPr>
          <w:rStyle w:val="CharPartNo"/>
        </w:rPr>
        <w:t>Part II</w:t>
      </w:r>
      <w:r>
        <w:rPr>
          <w:rStyle w:val="CharDivNo"/>
        </w:rPr>
        <w:t> </w:t>
      </w:r>
      <w:r>
        <w:t>—</w:t>
      </w:r>
      <w:r>
        <w:rPr>
          <w:rStyle w:val="CharDivText"/>
        </w:rPr>
        <w:t> </w:t>
      </w:r>
      <w:r>
        <w:rPr>
          <w:rStyle w:val="CharPartText"/>
        </w:rPr>
        <w:t>Security interests</w:t>
      </w:r>
      <w:bookmarkEnd w:id="9"/>
      <w:bookmarkEnd w:id="10"/>
      <w:r>
        <w:rPr>
          <w:rStyle w:val="CharPartText"/>
        </w:rPr>
        <w:t xml:space="preserve"> </w:t>
      </w:r>
    </w:p>
    <w:p>
      <w:pPr>
        <w:pStyle w:val="Heading5"/>
        <w:rPr>
          <w:snapToGrid w:val="0"/>
        </w:rPr>
      </w:pPr>
      <w:bookmarkStart w:id="11" w:name="_Toc11488834"/>
      <w:bookmarkStart w:id="12" w:name="_Toc130956221"/>
      <w:r>
        <w:rPr>
          <w:rStyle w:val="CharSectno"/>
        </w:rPr>
        <w:t>4</w:t>
      </w:r>
      <w:r>
        <w:rPr>
          <w:snapToGrid w:val="0"/>
        </w:rPr>
        <w:t>.</w:t>
      </w:r>
      <w:r>
        <w:rPr>
          <w:snapToGrid w:val="0"/>
        </w:rPr>
        <w:tab/>
        <w:t>Application of Part</w:t>
      </w:r>
      <w:bookmarkEnd w:id="11"/>
      <w:bookmarkEnd w:id="12"/>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13" w:name="_Toc11488835"/>
      <w:bookmarkStart w:id="14" w:name="_Toc130956222"/>
      <w:r>
        <w:rPr>
          <w:rStyle w:val="CharSectno"/>
        </w:rPr>
        <w:t>5</w:t>
      </w:r>
      <w:r>
        <w:rPr>
          <w:snapToGrid w:val="0"/>
        </w:rPr>
        <w:t>.</w:t>
      </w:r>
      <w:r>
        <w:rPr>
          <w:snapToGrid w:val="0"/>
        </w:rPr>
        <w:tab/>
        <w:t>Agreement that security interest is legal interest</w:t>
      </w:r>
      <w:bookmarkEnd w:id="13"/>
      <w:bookmarkEnd w:id="14"/>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15" w:name="_Toc11488836"/>
      <w:bookmarkStart w:id="16" w:name="_Toc130956223"/>
      <w:r>
        <w:rPr>
          <w:rStyle w:val="CharSectno"/>
        </w:rPr>
        <w:t>6</w:t>
      </w:r>
      <w:r>
        <w:rPr>
          <w:snapToGrid w:val="0"/>
        </w:rPr>
        <w:t>.</w:t>
      </w:r>
      <w:r>
        <w:rPr>
          <w:snapToGrid w:val="0"/>
        </w:rPr>
        <w:tab/>
        <w:t>Fixtures</w:t>
      </w:r>
      <w:bookmarkEnd w:id="15"/>
      <w:bookmarkEnd w:id="16"/>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17" w:name="_Toc11488837"/>
      <w:bookmarkStart w:id="18" w:name="_Toc130956224"/>
      <w:r>
        <w:rPr>
          <w:rStyle w:val="CharSectno"/>
        </w:rPr>
        <w:t>7</w:t>
      </w:r>
      <w:r>
        <w:rPr>
          <w:snapToGrid w:val="0"/>
        </w:rPr>
        <w:t>.</w:t>
      </w:r>
      <w:r>
        <w:rPr>
          <w:snapToGrid w:val="0"/>
        </w:rPr>
        <w:tab/>
        <w:t>Extinguishing of security interest</w:t>
      </w:r>
      <w:bookmarkEnd w:id="17"/>
      <w:bookmarkEnd w:id="18"/>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4 of 2002 s. 70; (Correction to reprint 24 Mar 2006 p. 1102).]</w:t>
      </w:r>
    </w:p>
    <w:p>
      <w:pPr>
        <w:pStyle w:val="Heading5"/>
        <w:rPr>
          <w:snapToGrid w:val="0"/>
        </w:rPr>
      </w:pPr>
      <w:bookmarkStart w:id="19" w:name="_Toc11488838"/>
      <w:bookmarkStart w:id="20" w:name="_Toc130956225"/>
      <w:r>
        <w:rPr>
          <w:rStyle w:val="CharSectno"/>
        </w:rPr>
        <w:t>8</w:t>
      </w:r>
      <w:r>
        <w:rPr>
          <w:snapToGrid w:val="0"/>
        </w:rPr>
        <w:t>.</w:t>
      </w:r>
      <w:r>
        <w:rPr>
          <w:snapToGrid w:val="0"/>
        </w:rPr>
        <w:tab/>
        <w:t>Purchase for value in good faith</w:t>
      </w:r>
      <w:bookmarkEnd w:id="19"/>
      <w:bookmarkEnd w:id="20"/>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21" w:name="_Toc11488839"/>
      <w:bookmarkStart w:id="22" w:name="_Toc130956226"/>
      <w:r>
        <w:rPr>
          <w:rStyle w:val="CharSectno"/>
        </w:rPr>
        <w:t>9</w:t>
      </w:r>
      <w:r>
        <w:rPr>
          <w:snapToGrid w:val="0"/>
        </w:rPr>
        <w:t>.</w:t>
      </w:r>
      <w:r>
        <w:rPr>
          <w:snapToGrid w:val="0"/>
        </w:rPr>
        <w:tab/>
        <w:t>Extinguishing of subsequent security interests</w:t>
      </w:r>
      <w:bookmarkEnd w:id="21"/>
      <w:bookmarkEnd w:id="22"/>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23" w:name="_Toc11488840"/>
      <w:bookmarkStart w:id="24" w:name="_Toc130956227"/>
      <w:r>
        <w:rPr>
          <w:rStyle w:val="CharSectno"/>
        </w:rPr>
        <w:t>10</w:t>
      </w:r>
      <w:r>
        <w:rPr>
          <w:snapToGrid w:val="0"/>
        </w:rPr>
        <w:t>.</w:t>
      </w:r>
      <w:r>
        <w:rPr>
          <w:snapToGrid w:val="0"/>
        </w:rPr>
        <w:tab/>
        <w:t>Priority of security interests</w:t>
      </w:r>
      <w:bookmarkEnd w:id="23"/>
      <w:bookmarkEnd w:id="24"/>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25" w:name="_Toc11488841"/>
      <w:r>
        <w:tab/>
        <w:t>[Section 10 amended by No. 20 of 2003 s. 13.]</w:t>
      </w:r>
    </w:p>
    <w:p>
      <w:pPr>
        <w:pStyle w:val="Heading5"/>
        <w:rPr>
          <w:snapToGrid w:val="0"/>
        </w:rPr>
      </w:pPr>
      <w:bookmarkStart w:id="26" w:name="_Toc130956228"/>
      <w:r>
        <w:rPr>
          <w:rStyle w:val="CharSectno"/>
        </w:rPr>
        <w:t>11</w:t>
      </w:r>
      <w:r>
        <w:rPr>
          <w:snapToGrid w:val="0"/>
        </w:rPr>
        <w:t>.</w:t>
      </w:r>
      <w:r>
        <w:rPr>
          <w:snapToGrid w:val="0"/>
        </w:rPr>
        <w:tab/>
        <w:t>Extinguishing etc. of security interest under corresponding law</w:t>
      </w:r>
      <w:bookmarkEnd w:id="25"/>
      <w:bookmarkEnd w:id="26"/>
      <w:r>
        <w:rPr>
          <w:snapToGrid w:val="0"/>
        </w:rPr>
        <w:t xml:space="preserve"> </w:t>
      </w:r>
    </w:p>
    <w:p>
      <w:pPr>
        <w:pStyle w:val="Subsection"/>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27" w:name="_Toc11488842"/>
      <w:bookmarkStart w:id="28" w:name="_Toc130956229"/>
      <w:r>
        <w:rPr>
          <w:rStyle w:val="CharSectno"/>
        </w:rPr>
        <w:t>12</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29" w:name="_Toc92444767"/>
      <w:bookmarkStart w:id="30" w:name="_Toc130956230"/>
      <w:r>
        <w:rPr>
          <w:rStyle w:val="CharPartNo"/>
        </w:rPr>
        <w:t>Part III</w:t>
      </w:r>
      <w:r>
        <w:rPr>
          <w:rStyle w:val="CharDivNo"/>
        </w:rPr>
        <w:t> </w:t>
      </w:r>
      <w:r>
        <w:t>—</w:t>
      </w:r>
      <w:r>
        <w:rPr>
          <w:rStyle w:val="CharDivText"/>
        </w:rPr>
        <w:t> </w:t>
      </w:r>
      <w:r>
        <w:rPr>
          <w:rStyle w:val="CharPartText"/>
        </w:rPr>
        <w:t>Registrable goods</w:t>
      </w:r>
      <w:bookmarkEnd w:id="29"/>
      <w:bookmarkEnd w:id="30"/>
      <w:r>
        <w:rPr>
          <w:rStyle w:val="CharPartText"/>
        </w:rPr>
        <w:t xml:space="preserve"> </w:t>
      </w:r>
    </w:p>
    <w:p>
      <w:pPr>
        <w:pStyle w:val="Heading5"/>
        <w:rPr>
          <w:snapToGrid w:val="0"/>
        </w:rPr>
      </w:pPr>
      <w:bookmarkStart w:id="31" w:name="_Toc11488843"/>
      <w:bookmarkStart w:id="32" w:name="_Toc130956231"/>
      <w:r>
        <w:rPr>
          <w:rStyle w:val="CharSectno"/>
        </w:rPr>
        <w:t>13</w:t>
      </w:r>
      <w:r>
        <w:rPr>
          <w:snapToGrid w:val="0"/>
        </w:rPr>
        <w:t>.</w:t>
      </w:r>
      <w:r>
        <w:rPr>
          <w:snapToGrid w:val="0"/>
        </w:rPr>
        <w:tab/>
        <w:t>Application of Part</w:t>
      </w:r>
      <w:bookmarkEnd w:id="31"/>
      <w:bookmarkEnd w:id="32"/>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Heading5"/>
        <w:rPr>
          <w:snapToGrid w:val="0"/>
        </w:rPr>
      </w:pPr>
      <w:bookmarkStart w:id="33" w:name="_Toc11488844"/>
      <w:bookmarkStart w:id="34" w:name="_Toc130956232"/>
      <w:r>
        <w:rPr>
          <w:rStyle w:val="CharSectno"/>
        </w:rPr>
        <w:t>14</w:t>
      </w:r>
      <w:r>
        <w:rPr>
          <w:snapToGrid w:val="0"/>
        </w:rPr>
        <w:t>.</w:t>
      </w:r>
      <w:r>
        <w:rPr>
          <w:snapToGrid w:val="0"/>
        </w:rPr>
        <w:tab/>
        <w:t>Register</w:t>
      </w:r>
      <w:bookmarkEnd w:id="33"/>
      <w:bookmarkEnd w:id="34"/>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35" w:name="_Toc11488845"/>
      <w:bookmarkStart w:id="36" w:name="_Toc130956233"/>
      <w:r>
        <w:rPr>
          <w:rStyle w:val="CharSectno"/>
        </w:rPr>
        <w:t>15</w:t>
      </w:r>
      <w:r>
        <w:rPr>
          <w:snapToGrid w:val="0"/>
        </w:rPr>
        <w:t>.</w:t>
      </w:r>
      <w:r>
        <w:rPr>
          <w:snapToGrid w:val="0"/>
        </w:rPr>
        <w:tab/>
        <w:t>Registration of security interest</w:t>
      </w:r>
      <w:bookmarkEnd w:id="35"/>
      <w:bookmarkEnd w:id="36"/>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37" w:name="_Toc11488846"/>
      <w:bookmarkStart w:id="38" w:name="_Toc130956234"/>
      <w:r>
        <w:rPr>
          <w:rStyle w:val="CharSectno"/>
        </w:rPr>
        <w:t>16</w:t>
      </w:r>
      <w:r>
        <w:rPr>
          <w:snapToGrid w:val="0"/>
        </w:rPr>
        <w:t>.</w:t>
      </w:r>
      <w:r>
        <w:rPr>
          <w:snapToGrid w:val="0"/>
        </w:rPr>
        <w:tab/>
        <w:t>Offence</w:t>
      </w:r>
      <w:bookmarkEnd w:id="37"/>
      <w:bookmarkEnd w:id="38"/>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39" w:name="_Toc11488847"/>
      <w:bookmarkStart w:id="40" w:name="_Toc130956235"/>
      <w:r>
        <w:rPr>
          <w:rStyle w:val="CharSectno"/>
        </w:rPr>
        <w:t>17</w:t>
      </w:r>
      <w:r>
        <w:rPr>
          <w:snapToGrid w:val="0"/>
        </w:rPr>
        <w:t>.</w:t>
      </w:r>
      <w:r>
        <w:rPr>
          <w:snapToGrid w:val="0"/>
        </w:rPr>
        <w:tab/>
        <w:t>Cancellation of registration</w:t>
      </w:r>
      <w:bookmarkEnd w:id="39"/>
      <w:bookmarkEnd w:id="40"/>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41" w:name="_Toc11488848"/>
      <w:bookmarkStart w:id="42" w:name="_Toc130956236"/>
      <w:r>
        <w:rPr>
          <w:rStyle w:val="CharSectno"/>
        </w:rPr>
        <w:t>18</w:t>
      </w:r>
      <w:r>
        <w:rPr>
          <w:snapToGrid w:val="0"/>
        </w:rPr>
        <w:t>.</w:t>
      </w:r>
      <w:r>
        <w:rPr>
          <w:snapToGrid w:val="0"/>
        </w:rPr>
        <w:tab/>
        <w:t>Discharge of registered security interest</w:t>
      </w:r>
      <w:bookmarkEnd w:id="41"/>
      <w:bookmarkEnd w:id="42"/>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43" w:name="_Toc11488849"/>
      <w:bookmarkStart w:id="44" w:name="_Toc130956237"/>
      <w:r>
        <w:rPr>
          <w:rStyle w:val="CharSectno"/>
        </w:rPr>
        <w:t>19</w:t>
      </w:r>
      <w:r>
        <w:rPr>
          <w:snapToGrid w:val="0"/>
        </w:rPr>
        <w:t>.</w:t>
      </w:r>
      <w:r>
        <w:rPr>
          <w:snapToGrid w:val="0"/>
        </w:rPr>
        <w:tab/>
        <w:t>Commissioner to cancel registration</w:t>
      </w:r>
      <w:bookmarkEnd w:id="43"/>
      <w:bookmarkEnd w:id="44"/>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45" w:name="_Toc11488850"/>
      <w:bookmarkStart w:id="46" w:name="_Toc130956238"/>
      <w:r>
        <w:rPr>
          <w:rStyle w:val="CharSectno"/>
        </w:rPr>
        <w:t>20</w:t>
      </w:r>
      <w:r>
        <w:rPr>
          <w:snapToGrid w:val="0"/>
        </w:rPr>
        <w:t>.</w:t>
      </w:r>
      <w:r>
        <w:rPr>
          <w:snapToGrid w:val="0"/>
        </w:rPr>
        <w:tab/>
        <w:t>Change in particulars</w:t>
      </w:r>
      <w:bookmarkEnd w:id="45"/>
      <w:bookmarkEnd w:id="46"/>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47" w:name="_Toc11488851"/>
      <w:bookmarkStart w:id="48" w:name="_Toc130956239"/>
      <w:r>
        <w:rPr>
          <w:rStyle w:val="CharSectno"/>
        </w:rPr>
        <w:t>21</w:t>
      </w:r>
      <w:r>
        <w:rPr>
          <w:snapToGrid w:val="0"/>
        </w:rPr>
        <w:t>.</w:t>
      </w:r>
      <w:r>
        <w:rPr>
          <w:snapToGrid w:val="0"/>
        </w:rPr>
        <w:tab/>
        <w:t>Variation of particulars</w:t>
      </w:r>
      <w:bookmarkEnd w:id="47"/>
      <w:bookmarkEnd w:id="48"/>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49" w:name="_Toc11488852"/>
      <w:bookmarkStart w:id="50" w:name="_Toc130956240"/>
      <w:r>
        <w:rPr>
          <w:rStyle w:val="CharSectno"/>
        </w:rPr>
        <w:t>22</w:t>
      </w:r>
      <w:r>
        <w:rPr>
          <w:snapToGrid w:val="0"/>
        </w:rPr>
        <w:t>.</w:t>
      </w:r>
      <w:r>
        <w:rPr>
          <w:snapToGrid w:val="0"/>
        </w:rPr>
        <w:tab/>
        <w:t>Commissioner may cancel registration</w:t>
      </w:r>
      <w:bookmarkEnd w:id="49"/>
      <w:bookmarkEnd w:id="50"/>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51" w:name="_Toc11488853"/>
      <w:bookmarkStart w:id="52" w:name="_Toc130956241"/>
      <w:r>
        <w:rPr>
          <w:rStyle w:val="CharSectno"/>
        </w:rPr>
        <w:t>23</w:t>
      </w:r>
      <w:r>
        <w:rPr>
          <w:snapToGrid w:val="0"/>
        </w:rPr>
        <w:t>.</w:t>
      </w:r>
      <w:r>
        <w:rPr>
          <w:snapToGrid w:val="0"/>
        </w:rPr>
        <w:tab/>
        <w:t>Details of entries</w:t>
      </w:r>
      <w:bookmarkEnd w:id="51"/>
      <w:bookmarkEnd w:id="52"/>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53" w:name="_Toc11488854"/>
      <w:bookmarkStart w:id="54" w:name="_Toc130956242"/>
      <w:r>
        <w:rPr>
          <w:rStyle w:val="CharSectno"/>
        </w:rPr>
        <w:t>24</w:t>
      </w:r>
      <w:r>
        <w:rPr>
          <w:snapToGrid w:val="0"/>
        </w:rPr>
        <w:t>.</w:t>
      </w:r>
      <w:r>
        <w:rPr>
          <w:snapToGrid w:val="0"/>
        </w:rPr>
        <w:tab/>
        <w:t>Compensation for extinguishment of security interest</w:t>
      </w:r>
      <w:bookmarkEnd w:id="53"/>
      <w:bookmarkEnd w:id="54"/>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keepLines/>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55" w:name="_Toc11488855"/>
      <w:bookmarkStart w:id="56" w:name="_Toc130956243"/>
      <w:r>
        <w:rPr>
          <w:rStyle w:val="CharSectno"/>
        </w:rPr>
        <w:t>25</w:t>
      </w:r>
      <w:r>
        <w:rPr>
          <w:snapToGrid w:val="0"/>
        </w:rPr>
        <w:t>.</w:t>
      </w:r>
      <w:r>
        <w:rPr>
          <w:snapToGrid w:val="0"/>
        </w:rPr>
        <w:tab/>
        <w:t>Compensation where entry not shown on certificate</w:t>
      </w:r>
      <w:bookmarkEnd w:id="55"/>
      <w:bookmarkEnd w:id="56"/>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57" w:name="_Toc11488856"/>
      <w:bookmarkStart w:id="58" w:name="_Toc130956244"/>
      <w:r>
        <w:rPr>
          <w:rStyle w:val="CharSectno"/>
        </w:rPr>
        <w:t>26</w:t>
      </w:r>
      <w:r>
        <w:rPr>
          <w:snapToGrid w:val="0"/>
        </w:rPr>
        <w:t>.</w:t>
      </w:r>
      <w:r>
        <w:rPr>
          <w:snapToGrid w:val="0"/>
        </w:rPr>
        <w:tab/>
        <w:t>Appeal to Commercial Tribunal</w:t>
      </w:r>
      <w:bookmarkEnd w:id="57"/>
      <w:bookmarkEnd w:id="58"/>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59" w:name="_Toc11488857"/>
      <w:r>
        <w:tab/>
        <w:t>[(2)</w:t>
      </w:r>
      <w:r>
        <w:tab/>
        <w:t>repealed]</w:t>
      </w:r>
    </w:p>
    <w:p>
      <w:pPr>
        <w:pStyle w:val="Footnotesection"/>
      </w:pPr>
      <w:r>
        <w:tab/>
        <w:t>[Section 26 amended by No. 55 of 2004 s. 105.]</w:t>
      </w:r>
    </w:p>
    <w:p>
      <w:pPr>
        <w:pStyle w:val="Ednotesection"/>
      </w:pPr>
      <w:bookmarkStart w:id="60" w:name="_Toc11488859"/>
      <w:bookmarkEnd w:id="59"/>
      <w:r>
        <w:t>[</w:t>
      </w:r>
      <w:r>
        <w:rPr>
          <w:b/>
        </w:rPr>
        <w:t>27, 28.</w:t>
      </w:r>
      <w:r>
        <w:tab/>
        <w:t>Repealed by No. 55 of 2004 s. 106.]</w:t>
      </w:r>
    </w:p>
    <w:p>
      <w:pPr>
        <w:pStyle w:val="Heading5"/>
        <w:rPr>
          <w:snapToGrid w:val="0"/>
        </w:rPr>
      </w:pPr>
      <w:bookmarkStart w:id="61" w:name="_Toc130956245"/>
      <w:r>
        <w:rPr>
          <w:rStyle w:val="CharSectno"/>
        </w:rPr>
        <w:t>29</w:t>
      </w:r>
      <w:r>
        <w:rPr>
          <w:snapToGrid w:val="0"/>
        </w:rPr>
        <w:t>.</w:t>
      </w:r>
      <w:r>
        <w:rPr>
          <w:snapToGrid w:val="0"/>
        </w:rPr>
        <w:tab/>
        <w:t>Appropriation</w:t>
      </w:r>
      <w:bookmarkEnd w:id="60"/>
      <w:bookmarkEnd w:id="61"/>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62" w:name="_Toc11488860"/>
      <w:bookmarkStart w:id="63" w:name="_Toc130956246"/>
      <w:r>
        <w:rPr>
          <w:rStyle w:val="CharSectno"/>
        </w:rPr>
        <w:t>30</w:t>
      </w:r>
      <w:r>
        <w:rPr>
          <w:snapToGrid w:val="0"/>
        </w:rPr>
        <w:t>.</w:t>
      </w:r>
      <w:r>
        <w:rPr>
          <w:snapToGrid w:val="0"/>
        </w:rPr>
        <w:tab/>
        <w:t>Offence</w:t>
      </w:r>
      <w:bookmarkEnd w:id="62"/>
      <w:bookmarkEnd w:id="63"/>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rPr>
          <w:snapToGrid w:val="0"/>
        </w:rPr>
      </w:pPr>
      <w:bookmarkStart w:id="64" w:name="_Toc11488861"/>
      <w:bookmarkStart w:id="65" w:name="_Toc130956247"/>
      <w:r>
        <w:rPr>
          <w:rStyle w:val="CharSectno"/>
        </w:rPr>
        <w:t>31</w:t>
      </w:r>
      <w:r>
        <w:rPr>
          <w:snapToGrid w:val="0"/>
        </w:rPr>
        <w:t>.</w:t>
      </w:r>
      <w:r>
        <w:rPr>
          <w:snapToGrid w:val="0"/>
        </w:rPr>
        <w:tab/>
        <w:t>Regulations</w:t>
      </w:r>
      <w:bookmarkEnd w:id="64"/>
      <w:bookmarkEnd w:id="65"/>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6" w:name="_Toc92444785"/>
      <w:bookmarkStart w:id="67" w:name="_Toc130956248"/>
      <w:r>
        <w:t>Notes</w:t>
      </w:r>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rPr>
          <w:snapToGrid w:val="0"/>
        </w:rPr>
      </w:pPr>
      <w:bookmarkStart w:id="68" w:name="_Toc130956249"/>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i/>
                <w:sz w:val="19"/>
              </w:rPr>
            </w:pPr>
            <w:r>
              <w:rPr>
                <w:i/>
                <w:sz w:val="19"/>
              </w:rPr>
              <w:t>Chattel Securities Act 1987</w:t>
            </w:r>
          </w:p>
        </w:tc>
        <w:tc>
          <w:tcPr>
            <w:tcW w:w="1134" w:type="dxa"/>
          </w:tcPr>
          <w:p>
            <w:pPr>
              <w:pStyle w:val="nTable"/>
              <w:rPr>
                <w:sz w:val="19"/>
              </w:rPr>
            </w:pPr>
            <w:r>
              <w:rPr>
                <w:sz w:val="19"/>
              </w:rPr>
              <w:t>101 of 1987</w:t>
            </w:r>
          </w:p>
        </w:tc>
        <w:tc>
          <w:tcPr>
            <w:tcW w:w="1134" w:type="dxa"/>
          </w:tcPr>
          <w:p>
            <w:pPr>
              <w:pStyle w:val="nTable"/>
              <w:rPr>
                <w:sz w:val="19"/>
              </w:rPr>
            </w:pPr>
            <w:r>
              <w:rPr>
                <w:sz w:val="19"/>
              </w:rPr>
              <w:t>18 Dec 1987</w:t>
            </w:r>
          </w:p>
        </w:tc>
        <w:tc>
          <w:tcPr>
            <w:tcW w:w="2551" w:type="dxa"/>
          </w:tcPr>
          <w:p>
            <w:pPr>
              <w:pStyle w:val="nTable"/>
              <w:rPr>
                <w:sz w:val="19"/>
              </w:rPr>
            </w:pPr>
            <w:r>
              <w:t xml:space="preserve">Pt. I, s. 12-14, 15(1), (2) and (4), 16-23, 31-32: 29 Aug 1988 (see s. 2 and </w:t>
            </w:r>
            <w:r>
              <w:rPr>
                <w:i/>
              </w:rPr>
              <w:t>Gazette</w:t>
            </w:r>
            <w:r>
              <w:t xml:space="preserve"> 5 Aug 1988 p. 2583);</w:t>
            </w:r>
            <w:r>
              <w:br/>
              <w:t xml:space="preserve">balance: 14 Nov 1988 (see s. 2 and </w:t>
            </w:r>
            <w:r>
              <w:rPr>
                <w:i/>
              </w:rPr>
              <w:t>Gazette</w:t>
            </w:r>
            <w:r>
              <w:t xml:space="preserve"> 5 Aug 1988 p. 2583)</w:t>
            </w:r>
          </w:p>
        </w:tc>
      </w:tr>
      <w:tr>
        <w:tc>
          <w:tcPr>
            <w:tcW w:w="2268" w:type="dxa"/>
          </w:tcPr>
          <w:p>
            <w:pPr>
              <w:pStyle w:val="nTable"/>
              <w:rPr>
                <w:i/>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i/>
                <w:sz w:val="19"/>
              </w:rPr>
            </w:pPr>
            <w:r>
              <w:rPr>
                <w:i/>
                <w:sz w:val="19"/>
              </w:rPr>
              <w:t>Chattel Securities Amendment Act 1996</w:t>
            </w:r>
          </w:p>
        </w:tc>
        <w:tc>
          <w:tcPr>
            <w:tcW w:w="1134" w:type="dxa"/>
          </w:tcPr>
          <w:p>
            <w:pPr>
              <w:pStyle w:val="nTable"/>
              <w:rPr>
                <w:sz w:val="19"/>
              </w:rPr>
            </w:pPr>
            <w:r>
              <w:rPr>
                <w:sz w:val="19"/>
              </w:rPr>
              <w:t>39 of 1996</w:t>
            </w:r>
          </w:p>
        </w:tc>
        <w:tc>
          <w:tcPr>
            <w:tcW w:w="1134" w:type="dxa"/>
          </w:tcPr>
          <w:p>
            <w:pPr>
              <w:pStyle w:val="nTable"/>
              <w:rPr>
                <w:sz w:val="19"/>
              </w:rPr>
            </w:pPr>
            <w:r>
              <w:rPr>
                <w:sz w:val="19"/>
              </w:rPr>
              <w:t>27 Sep 1996</w:t>
            </w:r>
          </w:p>
        </w:tc>
        <w:tc>
          <w:tcPr>
            <w:tcW w:w="2551" w:type="dxa"/>
          </w:tcPr>
          <w:p>
            <w:pPr>
              <w:pStyle w:val="nTable"/>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rPr>
                <w:i/>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i/>
                <w:sz w:val="19"/>
              </w:rPr>
            </w:pPr>
            <w:r>
              <w:rPr>
                <w:i/>
                <w:sz w:val="19"/>
              </w:rPr>
              <w:t xml:space="preserve">Motor Vehicle Dealers Amendment Act 2002 </w:t>
            </w:r>
            <w:r>
              <w:rPr>
                <w:sz w:val="19"/>
              </w:rPr>
              <w:t>s. 70</w:t>
            </w:r>
          </w:p>
        </w:tc>
        <w:tc>
          <w:tcPr>
            <w:tcW w:w="1134" w:type="dxa"/>
          </w:tcPr>
          <w:p>
            <w:pPr>
              <w:pStyle w:val="nTable"/>
              <w:rPr>
                <w:sz w:val="19"/>
              </w:rPr>
            </w:pPr>
            <w:r>
              <w:rPr>
                <w:sz w:val="19"/>
              </w:rPr>
              <w:t>4 of 2002</w:t>
            </w:r>
          </w:p>
        </w:tc>
        <w:tc>
          <w:tcPr>
            <w:tcW w:w="1134" w:type="dxa"/>
          </w:tcPr>
          <w:p>
            <w:pPr>
              <w:pStyle w:val="nTable"/>
              <w:rPr>
                <w:sz w:val="19"/>
              </w:rPr>
            </w:pPr>
            <w:r>
              <w:rPr>
                <w:sz w:val="19"/>
              </w:rPr>
              <w:t>4 Jun 2002</w:t>
            </w:r>
          </w:p>
        </w:tc>
        <w:tc>
          <w:tcPr>
            <w:tcW w:w="2551" w:type="dxa"/>
          </w:tcPr>
          <w:p>
            <w:pPr>
              <w:pStyle w:val="nTable"/>
              <w:rPr>
                <w:sz w:val="19"/>
                <w:u w:val="single"/>
              </w:rPr>
            </w:pPr>
            <w:r>
              <w:rPr>
                <w:sz w:val="19"/>
              </w:rPr>
              <w:t xml:space="preserve">1 Sep 2002 (see s. 2 and </w:t>
            </w:r>
            <w:r>
              <w:rPr>
                <w:i/>
                <w:sz w:val="19"/>
              </w:rPr>
              <w:t xml:space="preserve">Gazette </w:t>
            </w:r>
            <w:r>
              <w:rPr>
                <w:sz w:val="19"/>
              </w:rPr>
              <w:t>13 Aug 2002 p. 4151</w:t>
            </w:r>
            <w:r>
              <w:rPr>
                <w:sz w:val="19"/>
                <w:u w:val="single"/>
              </w:rPr>
              <w:t>)</w:t>
            </w:r>
          </w:p>
        </w:tc>
      </w:tr>
      <w:tr>
        <w:trPr>
          <w:cantSplit/>
        </w:trPr>
        <w:tc>
          <w:tcPr>
            <w:tcW w:w="7087" w:type="dxa"/>
            <w:gridSpan w:val="4"/>
          </w:tcPr>
          <w:p>
            <w:pPr>
              <w:pStyle w:val="nTable"/>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w:t>
            </w:r>
            <w:r>
              <w:t xml:space="preserve">Correction in </w:t>
            </w:r>
            <w:r>
              <w:rPr>
                <w:i/>
              </w:rPr>
              <w:t>Gazette</w:t>
            </w:r>
            <w:r>
              <w:t xml:space="preserve"> 24 Mar 2006 p. 1102)</w:t>
            </w:r>
          </w:p>
        </w:tc>
      </w:tr>
      <w:tr>
        <w:tc>
          <w:tcPr>
            <w:tcW w:w="2268" w:type="dxa"/>
          </w:tcPr>
          <w:p>
            <w:pPr>
              <w:pStyle w:val="nTable"/>
              <w:rPr>
                <w:i/>
                <w:sz w:val="19"/>
              </w:rPr>
            </w:pPr>
            <w:r>
              <w:rPr>
                <w:i/>
                <w:sz w:val="19"/>
              </w:rPr>
              <w:t>Corporations (Consequential Amendments) Act (No. 2) 2003</w:t>
            </w:r>
            <w:r>
              <w:rPr>
                <w:sz w:val="19"/>
              </w:rPr>
              <w:t xml:space="preserve"> Pt. 4</w:t>
            </w:r>
          </w:p>
        </w:tc>
        <w:tc>
          <w:tcPr>
            <w:tcW w:w="1134" w:type="dxa"/>
          </w:tcPr>
          <w:p>
            <w:pPr>
              <w:pStyle w:val="nTable"/>
              <w:rPr>
                <w:sz w:val="19"/>
              </w:rPr>
            </w:pPr>
            <w:r>
              <w:rPr>
                <w:sz w:val="19"/>
              </w:rPr>
              <w:t>20 of 2003</w:t>
            </w:r>
          </w:p>
        </w:tc>
        <w:tc>
          <w:tcPr>
            <w:tcW w:w="1134" w:type="dxa"/>
          </w:tcPr>
          <w:p>
            <w:pPr>
              <w:pStyle w:val="nTable"/>
              <w:rPr>
                <w:sz w:val="19"/>
              </w:rPr>
            </w:pPr>
            <w:r>
              <w:rPr>
                <w:sz w:val="19"/>
              </w:rPr>
              <w:t>23 Apr 2003</w:t>
            </w:r>
          </w:p>
        </w:tc>
        <w:tc>
          <w:tcPr>
            <w:tcW w:w="2551" w:type="dxa"/>
          </w:tcPr>
          <w:p>
            <w:pPr>
              <w:pStyle w:val="nTable"/>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pPr>
            <w:r>
              <w:rPr>
                <w:i/>
                <w:sz w:val="19"/>
              </w:rPr>
              <w:t>Statutes (Repeals and Minor Amendments) Act 2003</w:t>
            </w:r>
            <w:r>
              <w:rPr>
                <w:sz w:val="19"/>
              </w:rPr>
              <w:t xml:space="preserve"> s.</w:t>
            </w:r>
            <w:r>
              <w:t> 34</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1" w:type="dxa"/>
          </w:tcPr>
          <w:p>
            <w:pPr>
              <w:pStyle w:val="nTable"/>
              <w:rPr>
                <w:sz w:val="19"/>
              </w:rPr>
            </w:pPr>
            <w:r>
              <w:rPr>
                <w:spacing w:val="-2"/>
                <w:sz w:val="19"/>
              </w:rPr>
              <w:t>15 Dec 2003 (see s. 2)</w:t>
            </w:r>
          </w:p>
        </w:tc>
      </w:tr>
      <w:tr>
        <w:tc>
          <w:tcPr>
            <w:tcW w:w="2268" w:type="dxa"/>
            <w:tcBorders>
              <w:bottom w:val="single" w:sz="4" w:space="0" w:color="auto"/>
            </w:tcBorders>
          </w:tcPr>
          <w:p>
            <w:pPr>
              <w:pStyle w:val="nTable"/>
              <w:rPr>
                <w:i/>
                <w:sz w:val="19"/>
              </w:rPr>
            </w:pPr>
            <w:r>
              <w:rPr>
                <w:i/>
                <w:sz w:val="19"/>
              </w:rPr>
              <w:t>State Administrative Tribunal (Conferral of Jurisdiction) Amendment and Repeal Act 2004</w:t>
            </w:r>
            <w:r>
              <w:rPr>
                <w:sz w:val="19"/>
              </w:rPr>
              <w:t xml:space="preserve"> Pt. 2 Div. 18</w:t>
            </w:r>
            <w:r>
              <w:rPr>
                <w:sz w:val="19"/>
                <w:vertAlign w:val="superscript"/>
              </w:rPr>
              <w:t> 4</w:t>
            </w:r>
          </w:p>
        </w:tc>
        <w:tc>
          <w:tcPr>
            <w:tcW w:w="1134" w:type="dxa"/>
            <w:tcBorders>
              <w:bottom w:val="single" w:sz="4" w:space="0" w:color="auto"/>
            </w:tcBorders>
          </w:tcPr>
          <w:p>
            <w:pPr>
              <w:pStyle w:val="nTable"/>
              <w:rPr>
                <w:sz w:val="19"/>
              </w:rPr>
            </w:pPr>
            <w:r>
              <w:rPr>
                <w:sz w:val="19"/>
              </w:rPr>
              <w:t>55 of 2004</w:t>
            </w:r>
          </w:p>
        </w:tc>
        <w:tc>
          <w:tcPr>
            <w:tcW w:w="1134" w:type="dxa"/>
            <w:tcBorders>
              <w:bottom w:val="single" w:sz="4" w:space="0" w:color="auto"/>
            </w:tcBorders>
          </w:tcPr>
          <w:p>
            <w:pPr>
              <w:pStyle w:val="nTable"/>
              <w:rPr>
                <w:sz w:val="19"/>
              </w:rPr>
            </w:pPr>
            <w:r>
              <w:rPr>
                <w:sz w:val="19"/>
              </w:rPr>
              <w:t>24 Nov 2004</w:t>
            </w:r>
          </w:p>
        </w:tc>
        <w:tc>
          <w:tcPr>
            <w:tcW w:w="2551" w:type="dxa"/>
            <w:tcBorders>
              <w:bottom w:val="single" w:sz="4" w:space="0" w:color="auto"/>
            </w:tcBorders>
          </w:tcPr>
          <w:p>
            <w:pPr>
              <w:pStyle w:val="nTable"/>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bl>
    <w:p>
      <w:pPr>
        <w:pStyle w:val="nSubsection"/>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69" w:name="_Toc511102521"/>
      <w:bookmarkStart w:id="70" w:name="_Toc20294003"/>
      <w:bookmarkStart w:id="71" w:name="_Toc130956250"/>
      <w:r>
        <w:t>Provisions that have not come into operation</w:t>
      </w:r>
      <w:bookmarkEnd w:id="69"/>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Road Traffic Amendment (Vehicle Licensing) Act 2001 </w:t>
            </w:r>
            <w:r>
              <w:rPr>
                <w:sz w:val="19"/>
              </w:rPr>
              <w:t xml:space="preserve">Pt. 3 Div. 1 </w:t>
            </w:r>
            <w:r>
              <w:rPr>
                <w:sz w:val="19"/>
                <w:vertAlign w:val="superscript"/>
              </w:rPr>
              <w:t>3</w:t>
            </w:r>
          </w:p>
        </w:tc>
        <w:tc>
          <w:tcPr>
            <w:tcW w:w="1134" w:type="dxa"/>
            <w:tcBorders>
              <w:top w:val="single" w:sz="8" w:space="0" w:color="auto"/>
              <w:bottom w:val="single" w:sz="8" w:space="0" w:color="auto"/>
            </w:tcBorders>
          </w:tcPr>
          <w:p>
            <w:pPr>
              <w:pStyle w:val="nTable"/>
              <w:keepNext/>
              <w:spacing w:before="120"/>
              <w:rPr>
                <w:sz w:val="19"/>
              </w:rPr>
            </w:pPr>
            <w:r>
              <w:rPr>
                <w:sz w:val="19"/>
              </w:rPr>
              <w:t>28 of 2001</w:t>
            </w:r>
          </w:p>
        </w:tc>
        <w:tc>
          <w:tcPr>
            <w:tcW w:w="1134" w:type="dxa"/>
            <w:tcBorders>
              <w:top w:val="single" w:sz="8" w:space="0" w:color="auto"/>
              <w:bottom w:val="single" w:sz="8" w:space="0" w:color="auto"/>
            </w:tcBorders>
          </w:tcPr>
          <w:p>
            <w:pPr>
              <w:pStyle w:val="nTable"/>
              <w:keepNext/>
              <w:spacing w:before="120"/>
              <w:rPr>
                <w:sz w:val="19"/>
              </w:rPr>
            </w:pPr>
            <w:r>
              <w:rPr>
                <w:sz w:val="19"/>
              </w:rPr>
              <w:t>21 Dec 2001</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Footnote no longer applicable.</w:t>
      </w:r>
    </w:p>
    <w:p>
      <w:pPr>
        <w:pStyle w:val="nSubsection"/>
        <w:rPr>
          <w:snapToGrid w:val="0"/>
        </w:rPr>
      </w:pPr>
      <w:r>
        <w:rPr>
          <w:vertAlign w:val="superscript"/>
        </w:rPr>
        <w:t>3</w:t>
      </w:r>
      <w:r>
        <w:tab/>
        <w:t>On the date as at which this compilation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pPr>
        <w:pStyle w:val="MiscOpen"/>
        <w:rPr>
          <w:rStyle w:val="CharSectno"/>
        </w:rPr>
      </w:pPr>
      <w:r>
        <w:rPr>
          <w:rStyle w:val="CharSectno"/>
        </w:rPr>
        <w:t>“</w:t>
      </w:r>
    </w:p>
    <w:p>
      <w:pPr>
        <w:pStyle w:val="nzHeading5"/>
        <w:jc w:val="center"/>
      </w:pPr>
      <w:r>
        <w:rPr>
          <w:rStyle w:val="CharDivNo"/>
        </w:rPr>
        <w:t>Division 1</w:t>
      </w:r>
      <w:r>
        <w:t xml:space="preserve"> — </w:t>
      </w:r>
      <w:r>
        <w:rPr>
          <w:rStyle w:val="CharDivText"/>
          <w:i/>
        </w:rPr>
        <w:t>Chattel Securities Act 198</w:t>
      </w:r>
      <w:r>
        <w:rPr>
          <w:rStyle w:val="CharDivText"/>
        </w:rPr>
        <w:t>7 amended</w:t>
      </w:r>
    </w:p>
    <w:p>
      <w:pPr>
        <w:pStyle w:val="nzHeading5"/>
      </w:pPr>
      <w:r>
        <w:rPr>
          <w:rStyle w:val="CharSectno"/>
        </w:rPr>
        <w:t>25</w:t>
      </w:r>
      <w:r>
        <w:t>.</w:t>
      </w:r>
      <w:r>
        <w:tab/>
        <w:t>The Act amended</w:t>
      </w:r>
    </w:p>
    <w:p>
      <w:pPr>
        <w:pStyle w:val="nzSubsection"/>
      </w:pPr>
      <w:r>
        <w:tab/>
      </w:r>
      <w:r>
        <w:tab/>
        <w:t xml:space="preserve">The amendments in this Division are to the </w:t>
      </w:r>
      <w:r>
        <w:rPr>
          <w:i/>
        </w:rPr>
        <w:t>Chattel Securities Act 1987</w:t>
      </w:r>
      <w:r>
        <w:t>.</w:t>
      </w:r>
    </w:p>
    <w:p>
      <w:pPr>
        <w:pStyle w:val="nzHeading5"/>
      </w:pPr>
      <w:r>
        <w:rPr>
          <w:rStyle w:val="CharSectno"/>
        </w:rPr>
        <w:t>26</w:t>
      </w:r>
      <w:r>
        <w:t>.</w:t>
      </w:r>
      <w:r>
        <w:tab/>
        <w:t>Section 3 amended</w:t>
      </w:r>
    </w:p>
    <w:p>
      <w:pPr>
        <w:pStyle w:val="nzSubsection"/>
      </w:pPr>
      <w:r>
        <w:tab/>
      </w:r>
      <w:r>
        <w:tab/>
        <w:t>Section 3(1) is amended by inserting after the definition of “supply” the following definition —</w:t>
      </w:r>
    </w:p>
    <w:p>
      <w:pPr>
        <w:pStyle w:val="nzDefstart"/>
        <w:ind w:right="1134"/>
      </w:pPr>
      <w:r>
        <w:t xml:space="preserve">“    </w:t>
      </w:r>
    </w:p>
    <w:p>
      <w:pPr>
        <w:pStyle w:val="nzDefstart"/>
        <w:ind w:right="1134"/>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pPr>
        <w:pStyle w:val="MiscClose"/>
        <w:ind w:right="567"/>
      </w:pPr>
      <w:r>
        <w:t>”.</w:t>
      </w:r>
    </w:p>
    <w:p>
      <w:pPr>
        <w:pStyle w:val="nzHeading5"/>
        <w:ind w:right="425"/>
      </w:pPr>
      <w:r>
        <w:rPr>
          <w:rStyle w:val="CharSectno"/>
        </w:rPr>
        <w:t>27</w:t>
      </w:r>
      <w:r>
        <w:t>.</w:t>
      </w:r>
      <w:r>
        <w:tab/>
        <w:t>Section 7 amended</w:t>
      </w:r>
    </w:p>
    <w:p>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pPr>
        <w:pStyle w:val="nzHeading5"/>
        <w:ind w:right="425"/>
      </w:pPr>
      <w:r>
        <w:rPr>
          <w:rStyle w:val="CharSectno"/>
        </w:rPr>
        <w:t>28</w:t>
      </w:r>
      <w:r>
        <w:t>.</w:t>
      </w:r>
      <w:r>
        <w:tab/>
        <w:t>Section 13 amended</w:t>
      </w:r>
    </w:p>
    <w:p>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ii</w:t>
    </w:r>
    <w:r>
      <w:rPr>
        <w:rStyle w:val="CharPageNo"/>
        <w:sz w:val="16"/>
      </w:rPr>
      <w:fldChar w:fldCharType="end"/>
    </w:r>
  </w:p>
  <w:p>
    <w:pPr>
      <w:rPr>
        <w:vanish/>
        <w:sz w:val="16"/>
      </w:rPr>
    </w:pPr>
    <w:r>
      <w:rPr>
        <w:sz w:val="16"/>
      </w:rPr>
      <w:t>[This printout is not an official version of the legislation]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 xml:space="preserve"> </w:t>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26</w:t>
    </w:r>
    <w:r>
      <w:rPr>
        <w:rStyle w:val="CharPageNo"/>
        <w:sz w:val="16"/>
      </w:rPr>
      <w:fldChar w:fldCharType="end"/>
    </w:r>
  </w:p>
  <w:p>
    <w:pPr>
      <w:rPr>
        <w:vanish/>
        <w:sz w:val="16"/>
      </w:rPr>
    </w:pPr>
    <w:r>
      <w:rPr>
        <w:sz w:val="16"/>
      </w:rPr>
      <w:t>[This printout is not an official version of the legislation]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25</w:t>
    </w:r>
    <w:r>
      <w:rPr>
        <w:rStyle w:val="CharPageNo"/>
        <w:sz w:val="16"/>
      </w:rPr>
      <w:fldChar w:fldCharType="end"/>
    </w:r>
  </w:p>
  <w:p>
    <w:pPr>
      <w:rPr>
        <w:vanish/>
        <w:sz w:val="16"/>
      </w:rPr>
    </w:pPr>
    <w:r>
      <w:rPr>
        <w:sz w:val="16"/>
      </w:rPr>
      <w:t>[This printout is not an official version of the legislation]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1</w:t>
    </w:r>
    <w:r>
      <w:rPr>
        <w:rStyle w:val="CharPageNo"/>
        <w:sz w:val="16"/>
      </w:rPr>
      <w:fldChar w:fldCharType="end"/>
    </w:r>
  </w:p>
  <w:p>
    <w:pPr>
      <w:rPr>
        <w:vanish/>
        <w:sz w:val="16"/>
      </w:rPr>
    </w:pPr>
    <w:r>
      <w:rPr>
        <w:sz w:val="16"/>
      </w:rPr>
      <w:t>[This printout is not an official version of the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627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CB1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DE4A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C2F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9E3D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02F1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B677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1C4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0A16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900D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FE2B8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69A9F4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20"/>
    <w:docVar w:name="WAFER_20151207155020" w:val="RemoveTrackChanges"/>
    <w:docVar w:name="WAFER_20151207155020_GUID" w:val="2e063da3-19b6-4dc0-8c40-9cad934a55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noProof w:val="0"/>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noProof w:val="0"/>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6804</Words>
  <Characters>32456</Characters>
  <Application>Microsoft Office Word</Application>
  <DocSecurity>0</DocSecurity>
  <Lines>854</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1987 - 01-d0-03</dc:title>
  <dc:subject/>
  <dc:creator/>
  <cp:keywords/>
  <dc:description/>
  <cp:lastModifiedBy>svcMRProcess</cp:lastModifiedBy>
  <cp:revision>4</cp:revision>
  <cp:lastPrinted>2002-12-18T04:29:00Z</cp:lastPrinted>
  <dcterms:created xsi:type="dcterms:W3CDTF">2015-12-08T17:01:00Z</dcterms:created>
  <dcterms:modified xsi:type="dcterms:W3CDTF">2015-12-08T17:02:00Z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20060324</vt:lpwstr>
  </property>
  <property fmtid="{D5CDD505-2E9C-101B-9397-08002B2CF9AE}" pid="4" name="DocumentType">
    <vt:lpwstr>Act</vt:lpwstr>
  </property>
  <property fmtid="{D5CDD505-2E9C-101B-9397-08002B2CF9AE}" pid="5" name="OwlsUID">
    <vt:i4>119</vt:i4>
  </property>
  <property fmtid="{D5CDD505-2E9C-101B-9397-08002B2CF9AE}" pid="6" name="AsAtDate">
    <vt:lpwstr>24 Mar 2006</vt:lpwstr>
  </property>
  <property fmtid="{D5CDD505-2E9C-101B-9397-08002B2CF9AE}" pid="7" name="Suffix">
    <vt:lpwstr>01-d0-03</vt:lpwstr>
  </property>
</Properties>
</file>