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Wagering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TOC2"/>
        <w:tabs>
          <w:tab w:val="right" w:leader="dot" w:pos="7086"/>
        </w:tabs>
        <w:spacing w:before="0" w:after="240"/>
        <w:jc w:val="center"/>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_Toc377038931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_Toc377038932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_Toc377038933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_Toc377038934 \h </w:instrText>
      </w:r>
      <w:r>
        <w:fldChar w:fldCharType="separate"/>
      </w:r>
      <w:r>
        <w:t>6</w:t>
      </w:r>
      <w:r>
        <w:fldChar w:fldCharType="end"/>
      </w:r>
    </w:p>
    <w:p>
      <w:pPr>
        <w:pStyle w:val="TOC8"/>
        <w:rPr>
          <w:rFonts w:asciiTheme="minorHAnsi" w:eastAsiaTheme="minorEastAsia" w:hAnsiTheme="minorHAnsi" w:cstheme="minorBidi"/>
          <w:szCs w:val="22"/>
        </w:rPr>
      </w:pPr>
      <w:r>
        <w:t>5.</w:t>
      </w:r>
      <w:r>
        <w:tab/>
        <w:t>Matters not covered by these rules</w:t>
      </w:r>
      <w:r>
        <w:tab/>
      </w:r>
      <w:r>
        <w:fldChar w:fldCharType="begin"/>
      </w:r>
      <w:r>
        <w:instrText xml:space="preserve"> PAGEREF _Toc377038935 \h </w:instrText>
      </w:r>
      <w:r>
        <w:fldChar w:fldCharType="separate"/>
      </w:r>
      <w:r>
        <w:t>7</w:t>
      </w:r>
      <w:r>
        <w:fldChar w:fldCharType="end"/>
      </w:r>
    </w:p>
    <w:p>
      <w:pPr>
        <w:pStyle w:val="TOC8"/>
        <w:rPr>
          <w:rFonts w:asciiTheme="minorHAnsi" w:eastAsiaTheme="minorEastAsia" w:hAnsiTheme="minorHAnsi" w:cstheme="minorBidi"/>
          <w:szCs w:val="22"/>
        </w:rPr>
      </w:pPr>
      <w:r>
        <w:t>6.</w:t>
      </w:r>
      <w:r>
        <w:tab/>
        <w:t>Copy of these rules to be available</w:t>
      </w:r>
      <w:r>
        <w:tab/>
      </w:r>
      <w:r>
        <w:fldChar w:fldCharType="begin"/>
      </w:r>
      <w:r>
        <w:instrText xml:space="preserve"> PAGEREF _Toc377038936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r>
        <w:fldChar w:fldCharType="begin"/>
      </w:r>
      <w:r>
        <w:instrText xml:space="preserve"> PAGEREF _Toc377038938 \h </w:instrText>
      </w:r>
      <w:r>
        <w:fldChar w:fldCharType="separate"/>
      </w:r>
      <w:r>
        <w:t>9</w:t>
      </w:r>
      <w:r>
        <w:fldChar w:fldCharType="end"/>
      </w:r>
    </w:p>
    <w:p>
      <w:pPr>
        <w:pStyle w:val="TOC8"/>
        <w:rPr>
          <w:rFonts w:asciiTheme="minorHAnsi" w:eastAsiaTheme="minorEastAsia" w:hAnsiTheme="minorHAnsi" w:cstheme="minorBidi"/>
          <w:szCs w:val="22"/>
        </w:rPr>
      </w:pPr>
      <w:r>
        <w:t>8.</w:t>
      </w:r>
      <w:r>
        <w:tab/>
        <w:t>Racing club to appoint on</w:t>
      </w:r>
      <w:r>
        <w:noBreakHyphen/>
        <w:t>course totalisator manager</w:t>
      </w:r>
      <w:r>
        <w:tab/>
      </w:r>
      <w:r>
        <w:fldChar w:fldCharType="begin"/>
      </w:r>
      <w:r>
        <w:instrText xml:space="preserve"> PAGEREF _Toc377038939 \h </w:instrText>
      </w:r>
      <w:r>
        <w:fldChar w:fldCharType="separate"/>
      </w:r>
      <w:r>
        <w:t>9</w:t>
      </w:r>
      <w:r>
        <w:fldChar w:fldCharType="end"/>
      </w:r>
    </w:p>
    <w:p>
      <w:pPr>
        <w:pStyle w:val="TOC8"/>
        <w:rPr>
          <w:rFonts w:asciiTheme="minorHAnsi" w:eastAsiaTheme="minorEastAsia" w:hAnsiTheme="minorHAnsi" w:cstheme="minorBidi"/>
          <w:szCs w:val="22"/>
        </w:rPr>
      </w:pPr>
      <w:r>
        <w:t>9.</w:t>
      </w:r>
      <w:r>
        <w:tab/>
        <w:t>Duty to report non</w:t>
      </w:r>
      <w:r>
        <w:noBreakHyphen/>
        <w:t>compliance</w:t>
      </w:r>
      <w:r>
        <w:tab/>
      </w:r>
      <w:r>
        <w:fldChar w:fldCharType="begin"/>
      </w:r>
      <w:r>
        <w:instrText xml:space="preserve"> PAGEREF _Toc377038940 \h </w:instrText>
      </w:r>
      <w:r>
        <w:fldChar w:fldCharType="separate"/>
      </w:r>
      <w:r>
        <w:t>9</w:t>
      </w:r>
      <w:r>
        <w:fldChar w:fldCharType="end"/>
      </w:r>
    </w:p>
    <w:p>
      <w:pPr>
        <w:pStyle w:val="TOC8"/>
        <w:rPr>
          <w:rFonts w:asciiTheme="minorHAnsi" w:eastAsiaTheme="minorEastAsia" w:hAnsiTheme="minorHAnsi" w:cstheme="minorBidi"/>
          <w:szCs w:val="22"/>
        </w:rPr>
      </w:pPr>
      <w:r>
        <w:t>10.</w:t>
      </w:r>
      <w:r>
        <w:tab/>
        <w:t>Changes affecting wagering to be advised</w:t>
      </w:r>
      <w:r>
        <w:tab/>
      </w:r>
      <w:r>
        <w:fldChar w:fldCharType="begin"/>
      </w:r>
      <w:r>
        <w:instrText xml:space="preserve"> PAGEREF _Toc377038941 \h </w:instrText>
      </w:r>
      <w:r>
        <w:fldChar w:fldCharType="separate"/>
      </w:r>
      <w:r>
        <w:t>9</w:t>
      </w:r>
      <w:r>
        <w:fldChar w:fldCharType="end"/>
      </w:r>
    </w:p>
    <w:p>
      <w:pPr>
        <w:pStyle w:val="TOC8"/>
        <w:rPr>
          <w:rFonts w:asciiTheme="minorHAnsi" w:eastAsiaTheme="minorEastAsia" w:hAnsiTheme="minorHAnsi" w:cstheme="minorBidi"/>
          <w:szCs w:val="22"/>
        </w:rPr>
      </w:pPr>
      <w:r>
        <w:t>11.</w:t>
      </w:r>
      <w:r>
        <w:tab/>
        <w:t>Numbering of runner on totalisator</w:t>
      </w:r>
      <w:r>
        <w:tab/>
      </w:r>
      <w:r>
        <w:fldChar w:fldCharType="begin"/>
      </w:r>
      <w:r>
        <w:instrText xml:space="preserve"> PAGEREF _Toc377038942 \h </w:instrText>
      </w:r>
      <w:r>
        <w:fldChar w:fldCharType="separate"/>
      </w:r>
      <w:r>
        <w:t>10</w:t>
      </w:r>
      <w:r>
        <w:fldChar w:fldCharType="end"/>
      </w:r>
    </w:p>
    <w:p>
      <w:pPr>
        <w:pStyle w:val="TOC8"/>
        <w:rPr>
          <w:rFonts w:asciiTheme="minorHAnsi" w:eastAsiaTheme="minorEastAsia" w:hAnsiTheme="minorHAnsi" w:cstheme="minorBidi"/>
          <w:szCs w:val="22"/>
        </w:rPr>
      </w:pPr>
      <w:r>
        <w:t>12.</w:t>
      </w:r>
      <w:r>
        <w:tab/>
        <w:t>Display of anticipated dividends</w:t>
      </w:r>
      <w:r>
        <w:tab/>
      </w:r>
      <w:r>
        <w:fldChar w:fldCharType="begin"/>
      </w:r>
      <w:r>
        <w:instrText xml:space="preserve"> PAGEREF _Toc377038943 \h </w:instrText>
      </w:r>
      <w:r>
        <w:fldChar w:fldCharType="separate"/>
      </w:r>
      <w:r>
        <w:t>10</w:t>
      </w:r>
      <w:r>
        <w:fldChar w:fldCharType="end"/>
      </w:r>
    </w:p>
    <w:p>
      <w:pPr>
        <w:pStyle w:val="TOC8"/>
        <w:rPr>
          <w:rFonts w:asciiTheme="minorHAnsi" w:eastAsiaTheme="minorEastAsia" w:hAnsiTheme="minorHAnsi" w:cstheme="minorBidi"/>
          <w:szCs w:val="22"/>
        </w:rPr>
      </w:pPr>
      <w:r>
        <w:t>13.</w:t>
      </w:r>
      <w:r>
        <w:tab/>
        <w:t>When dividends become payable</w:t>
      </w:r>
      <w:r>
        <w:tab/>
      </w:r>
      <w:r>
        <w:fldChar w:fldCharType="begin"/>
      </w:r>
      <w:r>
        <w:instrText xml:space="preserve"> PAGEREF _Toc377038944 \h </w:instrText>
      </w:r>
      <w:r>
        <w:fldChar w:fldCharType="separate"/>
      </w:r>
      <w:r>
        <w:t>10</w:t>
      </w:r>
      <w:r>
        <w:fldChar w:fldCharType="end"/>
      </w:r>
    </w:p>
    <w:p>
      <w:pPr>
        <w:pStyle w:val="TOC8"/>
        <w:rPr>
          <w:rFonts w:asciiTheme="minorHAnsi" w:eastAsiaTheme="minorEastAsia" w:hAnsiTheme="minorHAnsi" w:cstheme="minorBidi"/>
          <w:szCs w:val="22"/>
        </w:rPr>
      </w:pPr>
      <w:r>
        <w:t>14.</w:t>
      </w:r>
      <w:r>
        <w:tab/>
        <w:t>Exhibiting of dividends</w:t>
      </w:r>
      <w:r>
        <w:tab/>
      </w:r>
      <w:r>
        <w:fldChar w:fldCharType="begin"/>
      </w:r>
      <w:r>
        <w:instrText xml:space="preserve"> PAGEREF _Toc377038945 \h </w:instrText>
      </w:r>
      <w:r>
        <w:fldChar w:fldCharType="separate"/>
      </w:r>
      <w:r>
        <w:t>11</w:t>
      </w:r>
      <w:r>
        <w:fldChar w:fldCharType="end"/>
      </w:r>
    </w:p>
    <w:p>
      <w:pPr>
        <w:pStyle w:val="TOC8"/>
        <w:rPr>
          <w:rFonts w:asciiTheme="minorHAnsi" w:eastAsiaTheme="minorEastAsia" w:hAnsiTheme="minorHAnsi" w:cstheme="minorBidi"/>
          <w:szCs w:val="22"/>
        </w:rPr>
      </w:pPr>
      <w:r>
        <w:t>15.</w:t>
      </w:r>
      <w:r>
        <w:tab/>
        <w:t>Wagers that contravene rules of racing not permitted</w:t>
      </w:r>
      <w:r>
        <w:tab/>
      </w:r>
      <w:r>
        <w:fldChar w:fldCharType="begin"/>
      </w:r>
      <w:r>
        <w:instrText xml:space="preserve"> PAGEREF _Toc377038946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r>
        <w:fldChar w:fldCharType="begin"/>
      </w:r>
      <w:r>
        <w:instrText xml:space="preserve"> PAGEREF _Toc377038948 \h </w:instrText>
      </w:r>
      <w:r>
        <w:fldChar w:fldCharType="separate"/>
      </w:r>
      <w:r>
        <w:t>12</w:t>
      </w:r>
      <w:r>
        <w:fldChar w:fldCharType="end"/>
      </w:r>
    </w:p>
    <w:p>
      <w:pPr>
        <w:pStyle w:val="TOC8"/>
        <w:rPr>
          <w:rFonts w:asciiTheme="minorHAnsi" w:eastAsiaTheme="minorEastAsia" w:hAnsiTheme="minorHAnsi" w:cstheme="minorBidi"/>
          <w:szCs w:val="22"/>
        </w:rPr>
      </w:pPr>
      <w:r>
        <w:t>17.</w:t>
      </w:r>
      <w:r>
        <w:tab/>
        <w:t>Totalisator pools – novelty wagers on races</w:t>
      </w:r>
      <w:r>
        <w:tab/>
      </w:r>
      <w:r>
        <w:fldChar w:fldCharType="begin"/>
      </w:r>
      <w:r>
        <w:instrText xml:space="preserve"> PAGEREF _Toc377038949 \h </w:instrText>
      </w:r>
      <w:r>
        <w:fldChar w:fldCharType="separate"/>
      </w:r>
      <w:r>
        <w:t>16</w:t>
      </w:r>
      <w:r>
        <w:fldChar w:fldCharType="end"/>
      </w:r>
    </w:p>
    <w:p>
      <w:pPr>
        <w:pStyle w:val="TOC8"/>
        <w:rPr>
          <w:rFonts w:asciiTheme="minorHAnsi" w:eastAsiaTheme="minorEastAsia" w:hAnsiTheme="minorHAnsi" w:cstheme="minorBidi"/>
          <w:szCs w:val="22"/>
        </w:rPr>
      </w:pPr>
      <w:r>
        <w:t>18.</w:t>
      </w:r>
      <w:r>
        <w:tab/>
        <w:t>Dividends on novelty wagers</w:t>
      </w:r>
      <w:r>
        <w:tab/>
      </w:r>
      <w:r>
        <w:fldChar w:fldCharType="begin"/>
      </w:r>
      <w:r>
        <w:instrText xml:space="preserve"> PAGEREF _Toc377038950 \h </w:instrText>
      </w:r>
      <w:r>
        <w:fldChar w:fldCharType="separate"/>
      </w:r>
      <w:r>
        <w:t>17</w:t>
      </w:r>
      <w:r>
        <w:fldChar w:fldCharType="end"/>
      </w:r>
    </w:p>
    <w:p>
      <w:pPr>
        <w:pStyle w:val="TOC8"/>
        <w:rPr>
          <w:rFonts w:asciiTheme="minorHAnsi" w:eastAsiaTheme="minorEastAsia" w:hAnsiTheme="minorHAnsi" w:cstheme="minorBidi"/>
          <w:szCs w:val="22"/>
        </w:rPr>
      </w:pPr>
      <w:r>
        <w:t>18A.</w:t>
      </w:r>
      <w:r>
        <w:tab/>
        <w:t>Dividends on novelty wagers if less than one unit invested on correct selections</w:t>
      </w:r>
      <w:r>
        <w:tab/>
      </w:r>
      <w:r>
        <w:fldChar w:fldCharType="begin"/>
      </w:r>
      <w:r>
        <w:instrText xml:space="preserve"> PAGEREF _Toc377038951 \h </w:instrText>
      </w:r>
      <w:r>
        <w:fldChar w:fldCharType="separate"/>
      </w:r>
      <w:r>
        <w:t>20</w:t>
      </w:r>
      <w:r>
        <w:fldChar w:fldCharType="end"/>
      </w:r>
    </w:p>
    <w:p>
      <w:pPr>
        <w:pStyle w:val="TOC8"/>
        <w:rPr>
          <w:rFonts w:asciiTheme="minorHAnsi" w:eastAsiaTheme="minorEastAsia" w:hAnsiTheme="minorHAnsi" w:cstheme="minorBidi"/>
          <w:szCs w:val="22"/>
        </w:rPr>
      </w:pPr>
      <w:r>
        <w:t>19.</w:t>
      </w:r>
      <w:r>
        <w:tab/>
        <w:t>Double event wagers on races</w:t>
      </w:r>
      <w:r>
        <w:tab/>
      </w:r>
      <w:r>
        <w:fldChar w:fldCharType="begin"/>
      </w:r>
      <w:r>
        <w:instrText xml:space="preserve"> PAGEREF _Toc377038952 \h </w:instrText>
      </w:r>
      <w:r>
        <w:fldChar w:fldCharType="separate"/>
      </w:r>
      <w:r>
        <w:t>21</w:t>
      </w:r>
      <w:r>
        <w:fldChar w:fldCharType="end"/>
      </w:r>
    </w:p>
    <w:p>
      <w:pPr>
        <w:pStyle w:val="TOC8"/>
        <w:rPr>
          <w:rFonts w:asciiTheme="minorHAnsi" w:eastAsiaTheme="minorEastAsia" w:hAnsiTheme="minorHAnsi" w:cstheme="minorBidi"/>
          <w:szCs w:val="22"/>
        </w:rPr>
      </w:pPr>
      <w:r>
        <w:t>20.</w:t>
      </w:r>
      <w:r>
        <w:tab/>
        <w:t>Favourite numbers wagers</w:t>
      </w:r>
      <w:r>
        <w:tab/>
      </w:r>
      <w:r>
        <w:fldChar w:fldCharType="begin"/>
      </w:r>
      <w:r>
        <w:instrText xml:space="preserve"> PAGEREF _Toc377038953 \h </w:instrText>
      </w:r>
      <w:r>
        <w:fldChar w:fldCharType="separate"/>
      </w:r>
      <w:r>
        <w:t>22</w:t>
      </w:r>
      <w:r>
        <w:fldChar w:fldCharType="end"/>
      </w:r>
    </w:p>
    <w:p>
      <w:pPr>
        <w:pStyle w:val="TOC8"/>
        <w:rPr>
          <w:rFonts w:asciiTheme="minorHAnsi" w:eastAsiaTheme="minorEastAsia" w:hAnsiTheme="minorHAnsi" w:cstheme="minorBidi"/>
          <w:szCs w:val="22"/>
        </w:rPr>
      </w:pPr>
      <w:r>
        <w:t>21.</w:t>
      </w:r>
      <w:r>
        <w:tab/>
        <w:t>Determination of totalisator favourite</w:t>
      </w:r>
      <w:r>
        <w:tab/>
      </w:r>
      <w:r>
        <w:fldChar w:fldCharType="begin"/>
      </w:r>
      <w:r>
        <w:instrText xml:space="preserve"> PAGEREF _Toc377038954 \h </w:instrText>
      </w:r>
      <w:r>
        <w:fldChar w:fldCharType="separate"/>
      </w:r>
      <w:r>
        <w:t>24</w:t>
      </w:r>
      <w:r>
        <w:fldChar w:fldCharType="end"/>
      </w:r>
    </w:p>
    <w:p>
      <w:pPr>
        <w:pStyle w:val="TOC8"/>
        <w:rPr>
          <w:rFonts w:asciiTheme="minorHAnsi" w:eastAsiaTheme="minorEastAsia" w:hAnsiTheme="minorHAnsi" w:cstheme="minorBidi"/>
          <w:szCs w:val="22"/>
        </w:rPr>
      </w:pPr>
      <w:r>
        <w:t>22.</w:t>
      </w:r>
      <w:r>
        <w:tab/>
        <w:t>Quaddie wagers</w:t>
      </w:r>
      <w:r>
        <w:tab/>
      </w:r>
      <w:r>
        <w:fldChar w:fldCharType="begin"/>
      </w:r>
      <w:r>
        <w:instrText xml:space="preserve"> PAGEREF _Toc377038955 \h </w:instrText>
      </w:r>
      <w:r>
        <w:fldChar w:fldCharType="separate"/>
      </w:r>
      <w:r>
        <w:t>25</w:t>
      </w:r>
      <w:r>
        <w:fldChar w:fldCharType="end"/>
      </w:r>
    </w:p>
    <w:p>
      <w:pPr>
        <w:pStyle w:val="TOC8"/>
        <w:rPr>
          <w:rFonts w:asciiTheme="minorHAnsi" w:eastAsiaTheme="minorEastAsia" w:hAnsiTheme="minorHAnsi" w:cstheme="minorBidi"/>
          <w:szCs w:val="22"/>
        </w:rPr>
      </w:pPr>
      <w:r>
        <w:t>22A.</w:t>
      </w:r>
      <w:r>
        <w:tab/>
        <w:t>Flexi Bets</w:t>
      </w:r>
      <w:r>
        <w:tab/>
      </w:r>
      <w:r>
        <w:fldChar w:fldCharType="begin"/>
      </w:r>
      <w:r>
        <w:instrText xml:space="preserve"> PAGEREF _Toc377038956 \h </w:instrText>
      </w:r>
      <w:r>
        <w:fldChar w:fldCharType="separate"/>
      </w:r>
      <w:r>
        <w:t>27</w:t>
      </w:r>
      <w:r>
        <w:fldChar w:fldCharType="end"/>
      </w:r>
    </w:p>
    <w:p>
      <w:pPr>
        <w:pStyle w:val="TOC8"/>
        <w:rPr>
          <w:rFonts w:asciiTheme="minorHAnsi" w:eastAsiaTheme="minorEastAsia" w:hAnsiTheme="minorHAnsi" w:cstheme="minorBidi"/>
          <w:szCs w:val="22"/>
        </w:rPr>
      </w:pPr>
      <w:r>
        <w:t>23.</w:t>
      </w:r>
      <w:r>
        <w:tab/>
        <w:t>Totalisator pools – sporting events</w:t>
      </w:r>
      <w:r>
        <w:tab/>
      </w:r>
      <w:r>
        <w:fldChar w:fldCharType="begin"/>
      </w:r>
      <w:r>
        <w:instrText xml:space="preserve"> PAGEREF _Toc377038957 \h </w:instrText>
      </w:r>
      <w:r>
        <w:fldChar w:fldCharType="separate"/>
      </w:r>
      <w:r>
        <w:t>28</w:t>
      </w:r>
      <w:r>
        <w:fldChar w:fldCharType="end"/>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r>
        <w:fldChar w:fldCharType="begin"/>
      </w:r>
      <w:r>
        <w:instrText xml:space="preserve"> PAGEREF _Toc377038958 \h </w:instrText>
      </w:r>
      <w:r>
        <w:fldChar w:fldCharType="separate"/>
      </w:r>
      <w:r>
        <w:t>29</w:t>
      </w:r>
      <w:r>
        <w:fldChar w:fldCharType="end"/>
      </w:r>
    </w:p>
    <w:p>
      <w:pPr>
        <w:pStyle w:val="TOC8"/>
        <w:rPr>
          <w:rFonts w:asciiTheme="minorHAnsi" w:eastAsiaTheme="minorEastAsia" w:hAnsiTheme="minorHAnsi" w:cstheme="minorBidi"/>
          <w:szCs w:val="22"/>
        </w:rPr>
      </w:pPr>
      <w:r>
        <w:t>25.</w:t>
      </w:r>
      <w:r>
        <w:tab/>
        <w:t>Footing tipping wagers and sports tipping wagers</w:t>
      </w:r>
      <w:r>
        <w:tab/>
      </w:r>
      <w:r>
        <w:fldChar w:fldCharType="begin"/>
      </w:r>
      <w:r>
        <w:instrText xml:space="preserve"> PAGEREF _Toc377038959 \h </w:instrText>
      </w:r>
      <w:r>
        <w:fldChar w:fldCharType="separate"/>
      </w:r>
      <w:r>
        <w:t>30</w:t>
      </w:r>
      <w:r>
        <w:fldChar w:fldCharType="end"/>
      </w:r>
    </w:p>
    <w:p>
      <w:pPr>
        <w:pStyle w:val="TOC8"/>
        <w:rPr>
          <w:rFonts w:asciiTheme="minorHAnsi" w:eastAsiaTheme="minorEastAsia" w:hAnsiTheme="minorHAnsi" w:cstheme="minorBidi"/>
          <w:szCs w:val="22"/>
        </w:rPr>
      </w:pPr>
      <w:r>
        <w:t>26.</w:t>
      </w:r>
      <w:r>
        <w:tab/>
        <w:t>Wagers on Australian Rules Football</w:t>
      </w:r>
      <w:r>
        <w:tab/>
      </w:r>
      <w:r>
        <w:fldChar w:fldCharType="begin"/>
      </w:r>
      <w:r>
        <w:instrText xml:space="preserve"> PAGEREF _Toc377038960 \h </w:instrText>
      </w:r>
      <w:r>
        <w:fldChar w:fldCharType="separate"/>
      </w:r>
      <w:r>
        <w:t>31</w:t>
      </w:r>
      <w:r>
        <w:fldChar w:fldCharType="end"/>
      </w:r>
    </w:p>
    <w:p>
      <w:pPr>
        <w:pStyle w:val="TOC8"/>
        <w:rPr>
          <w:rFonts w:asciiTheme="minorHAnsi" w:eastAsiaTheme="minorEastAsia" w:hAnsiTheme="minorHAnsi" w:cstheme="minorBidi"/>
          <w:szCs w:val="22"/>
        </w:rPr>
      </w:pPr>
      <w:r>
        <w:t>27.</w:t>
      </w:r>
      <w:r>
        <w:tab/>
        <w:t>Footo wagers</w:t>
      </w:r>
      <w:r>
        <w:tab/>
      </w:r>
      <w:r>
        <w:fldChar w:fldCharType="begin"/>
      </w:r>
      <w:r>
        <w:instrText xml:space="preserve"> PAGEREF _Toc377038961 \h </w:instrText>
      </w:r>
      <w:r>
        <w:fldChar w:fldCharType="separate"/>
      </w:r>
      <w:r>
        <w:t>32</w:t>
      </w:r>
      <w:r>
        <w:fldChar w:fldCharType="end"/>
      </w:r>
    </w:p>
    <w:p>
      <w:pPr>
        <w:pStyle w:val="TOC8"/>
        <w:rPr>
          <w:rFonts w:asciiTheme="minorHAnsi" w:eastAsiaTheme="minorEastAsia" w:hAnsiTheme="minorHAnsi" w:cstheme="minorBidi"/>
          <w:szCs w:val="22"/>
        </w:rPr>
      </w:pPr>
      <w:r>
        <w:t>28.</w:t>
      </w:r>
      <w:r>
        <w:tab/>
        <w:t>Wagers on cricket</w:t>
      </w:r>
      <w:r>
        <w:tab/>
      </w:r>
      <w:r>
        <w:fldChar w:fldCharType="begin"/>
      </w:r>
      <w:r>
        <w:instrText xml:space="preserve"> PAGEREF _Toc377038962 \h </w:instrText>
      </w:r>
      <w:r>
        <w:fldChar w:fldCharType="separate"/>
      </w:r>
      <w:r>
        <w:t>32</w:t>
      </w:r>
      <w:r>
        <w:fldChar w:fldCharType="end"/>
      </w:r>
    </w:p>
    <w:p>
      <w:pPr>
        <w:pStyle w:val="TOC8"/>
        <w:rPr>
          <w:rFonts w:asciiTheme="minorHAnsi" w:eastAsiaTheme="minorEastAsia" w:hAnsiTheme="minorHAnsi" w:cstheme="minorBidi"/>
          <w:szCs w:val="22"/>
        </w:rPr>
      </w:pPr>
      <w:r>
        <w:t>29.</w:t>
      </w:r>
      <w:r>
        <w:tab/>
        <w:t>Wagers on soccer</w:t>
      </w:r>
      <w:r>
        <w:tab/>
      </w:r>
      <w:r>
        <w:fldChar w:fldCharType="begin"/>
      </w:r>
      <w:r>
        <w:instrText xml:space="preserve"> PAGEREF _Toc377038963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_Toc377038965 \h </w:instrText>
      </w:r>
      <w:r>
        <w:fldChar w:fldCharType="separate"/>
      </w:r>
      <w:r>
        <w:t>35</w:t>
      </w:r>
      <w:r>
        <w:fldChar w:fldCharType="end"/>
      </w:r>
    </w:p>
    <w:p>
      <w:pPr>
        <w:pStyle w:val="TOC8"/>
        <w:rPr>
          <w:rFonts w:asciiTheme="minorHAnsi" w:eastAsiaTheme="minorEastAsia" w:hAnsiTheme="minorHAnsi" w:cstheme="minorBidi"/>
          <w:szCs w:val="22"/>
        </w:rPr>
      </w:pPr>
      <w:r>
        <w:t>31.</w:t>
      </w:r>
      <w:r>
        <w:tab/>
        <w:t>Bookmakers, bookmaker’s managers and bookmaker’s employees to be licensed</w:t>
      </w:r>
      <w:r>
        <w:tab/>
      </w:r>
      <w:r>
        <w:fldChar w:fldCharType="begin"/>
      </w:r>
      <w:r>
        <w:instrText xml:space="preserve"> PAGEREF _Toc377038966 \h </w:instrText>
      </w:r>
      <w:r>
        <w:fldChar w:fldCharType="separate"/>
      </w:r>
      <w:r>
        <w:t>35</w:t>
      </w:r>
      <w:r>
        <w:fldChar w:fldCharType="end"/>
      </w:r>
    </w:p>
    <w:p>
      <w:pPr>
        <w:pStyle w:val="TOC8"/>
        <w:rPr>
          <w:rFonts w:asciiTheme="minorHAnsi" w:eastAsiaTheme="minorEastAsia" w:hAnsiTheme="minorHAnsi" w:cstheme="minorBidi"/>
          <w:szCs w:val="22"/>
        </w:rPr>
      </w:pPr>
      <w:r>
        <w:t>32.</w:t>
      </w:r>
      <w:r>
        <w:tab/>
        <w:t>Bookmakers to operate in accordance with permit issued by racing club</w:t>
      </w:r>
      <w:r>
        <w:tab/>
      </w:r>
      <w:r>
        <w:fldChar w:fldCharType="begin"/>
      </w:r>
      <w:r>
        <w:instrText xml:space="preserve"> PAGEREF _Toc377038967 \h </w:instrText>
      </w:r>
      <w:r>
        <w:fldChar w:fldCharType="separate"/>
      </w:r>
      <w:r>
        <w:t>35</w:t>
      </w:r>
      <w:r>
        <w:fldChar w:fldCharType="end"/>
      </w:r>
    </w:p>
    <w:p>
      <w:pPr>
        <w:pStyle w:val="TOC8"/>
        <w:rPr>
          <w:rFonts w:asciiTheme="minorHAnsi" w:eastAsiaTheme="minorEastAsia" w:hAnsiTheme="minorHAnsi" w:cstheme="minorBidi"/>
          <w:szCs w:val="22"/>
        </w:rPr>
      </w:pPr>
      <w:r>
        <w:t>33.</w:t>
      </w:r>
      <w:r>
        <w:tab/>
        <w:t>Bookmaker’s agents and substitutes</w:t>
      </w:r>
      <w:r>
        <w:tab/>
      </w:r>
      <w:r>
        <w:fldChar w:fldCharType="begin"/>
      </w:r>
      <w:r>
        <w:instrText xml:space="preserve"> PAGEREF _Toc377038968 \h </w:instrText>
      </w:r>
      <w:r>
        <w:fldChar w:fldCharType="separate"/>
      </w:r>
      <w:r>
        <w:t>36</w:t>
      </w:r>
      <w:r>
        <w:fldChar w:fldCharType="end"/>
      </w:r>
    </w:p>
    <w:p>
      <w:pPr>
        <w:pStyle w:val="TOC8"/>
        <w:rPr>
          <w:rFonts w:asciiTheme="minorHAnsi" w:eastAsiaTheme="minorEastAsia" w:hAnsiTheme="minorHAnsi" w:cstheme="minorBidi"/>
          <w:szCs w:val="22"/>
        </w:rPr>
      </w:pPr>
      <w:r>
        <w:t>34.</w:t>
      </w:r>
      <w:r>
        <w:tab/>
        <w:t>Temporary bookmaker’s employee licence</w:t>
      </w:r>
      <w:r>
        <w:tab/>
      </w:r>
      <w:r>
        <w:fldChar w:fldCharType="begin"/>
      </w:r>
      <w:r>
        <w:instrText xml:space="preserve"> PAGEREF _Toc377038969 \h </w:instrText>
      </w:r>
      <w:r>
        <w:fldChar w:fldCharType="separate"/>
      </w:r>
      <w:r>
        <w:t>37</w:t>
      </w:r>
      <w:r>
        <w:fldChar w:fldCharType="end"/>
      </w:r>
    </w:p>
    <w:p>
      <w:pPr>
        <w:pStyle w:val="TOC8"/>
        <w:rPr>
          <w:rFonts w:asciiTheme="minorHAnsi" w:eastAsiaTheme="minorEastAsia" w:hAnsiTheme="minorHAnsi" w:cstheme="minorBidi"/>
          <w:szCs w:val="22"/>
        </w:rPr>
      </w:pPr>
      <w:r>
        <w:t>35.</w:t>
      </w:r>
      <w:r>
        <w:tab/>
        <w:t>Supervision of wagering by bookmakers</w:t>
      </w:r>
      <w:r>
        <w:tab/>
      </w:r>
      <w:r>
        <w:fldChar w:fldCharType="begin"/>
      </w:r>
      <w:r>
        <w:instrText xml:space="preserve"> PAGEREF _Toc377038970 \h </w:instrText>
      </w:r>
      <w:r>
        <w:fldChar w:fldCharType="separate"/>
      </w:r>
      <w:r>
        <w:t>38</w:t>
      </w:r>
      <w:r>
        <w:fldChar w:fldCharType="end"/>
      </w:r>
    </w:p>
    <w:p>
      <w:pPr>
        <w:pStyle w:val="TOC8"/>
        <w:rPr>
          <w:rFonts w:asciiTheme="minorHAnsi" w:eastAsiaTheme="minorEastAsia" w:hAnsiTheme="minorHAnsi" w:cstheme="minorBidi"/>
          <w:szCs w:val="22"/>
        </w:rPr>
      </w:pPr>
      <w:r>
        <w:t>36.</w:t>
      </w:r>
      <w:r>
        <w:tab/>
        <w:t>Duty to report non</w:t>
      </w:r>
      <w:r>
        <w:noBreakHyphen/>
        <w:t>compliance</w:t>
      </w:r>
      <w:r>
        <w:tab/>
      </w:r>
      <w:r>
        <w:fldChar w:fldCharType="begin"/>
      </w:r>
      <w:r>
        <w:instrText xml:space="preserve"> PAGEREF _Toc377038971 \h </w:instrText>
      </w:r>
      <w:r>
        <w:fldChar w:fldCharType="separate"/>
      </w:r>
      <w:r>
        <w:t>39</w:t>
      </w:r>
      <w:r>
        <w:fldChar w:fldCharType="end"/>
      </w:r>
    </w:p>
    <w:p>
      <w:pPr>
        <w:pStyle w:val="TOC8"/>
        <w:rPr>
          <w:rFonts w:asciiTheme="minorHAnsi" w:eastAsiaTheme="minorEastAsia" w:hAnsiTheme="minorHAnsi" w:cstheme="minorBidi"/>
          <w:szCs w:val="22"/>
        </w:rPr>
      </w:pPr>
      <w:r>
        <w:t>37.</w:t>
      </w:r>
      <w:r>
        <w:tab/>
        <w:t>Record of wagering transactions</w:t>
      </w:r>
      <w:r>
        <w:tab/>
      </w:r>
      <w:r>
        <w:fldChar w:fldCharType="begin"/>
      </w:r>
      <w:r>
        <w:instrText xml:space="preserve"> PAGEREF _Toc377038972 \h </w:instrText>
      </w:r>
      <w:r>
        <w:fldChar w:fldCharType="separate"/>
      </w:r>
      <w:r>
        <w:t>39</w:t>
      </w:r>
      <w:r>
        <w:fldChar w:fldCharType="end"/>
      </w:r>
    </w:p>
    <w:p>
      <w:pPr>
        <w:pStyle w:val="TOC8"/>
        <w:rPr>
          <w:rFonts w:asciiTheme="minorHAnsi" w:eastAsiaTheme="minorEastAsia" w:hAnsiTheme="minorHAnsi" w:cstheme="minorBidi"/>
          <w:szCs w:val="22"/>
        </w:rPr>
      </w:pPr>
      <w:r>
        <w:t>38.</w:t>
      </w:r>
      <w:r>
        <w:tab/>
        <w:t>Tickets</w:t>
      </w:r>
      <w:r>
        <w:tab/>
      </w:r>
      <w:r>
        <w:fldChar w:fldCharType="begin"/>
      </w:r>
      <w:r>
        <w:instrText xml:space="preserve"> PAGEREF _Toc377038973 \h </w:instrText>
      </w:r>
      <w:r>
        <w:fldChar w:fldCharType="separate"/>
      </w:r>
      <w:r>
        <w:t>41</w:t>
      </w:r>
      <w:r>
        <w:fldChar w:fldCharType="end"/>
      </w:r>
    </w:p>
    <w:p>
      <w:pPr>
        <w:pStyle w:val="TOC8"/>
        <w:rPr>
          <w:rFonts w:asciiTheme="minorHAnsi" w:eastAsiaTheme="minorEastAsia" w:hAnsiTheme="minorHAnsi" w:cstheme="minorBidi"/>
          <w:szCs w:val="22"/>
        </w:rPr>
      </w:pPr>
      <w:r>
        <w:t>39.</w:t>
      </w:r>
      <w:r>
        <w:tab/>
        <w:t>Betting stands</w:t>
      </w:r>
      <w:r>
        <w:tab/>
      </w:r>
      <w:r>
        <w:fldChar w:fldCharType="begin"/>
      </w:r>
      <w:r>
        <w:instrText xml:space="preserve"> PAGEREF _Toc377038974 \h </w:instrText>
      </w:r>
      <w:r>
        <w:fldChar w:fldCharType="separate"/>
      </w:r>
      <w:r>
        <w:t>42</w:t>
      </w:r>
      <w:r>
        <w:fldChar w:fldCharType="end"/>
      </w:r>
    </w:p>
    <w:p>
      <w:pPr>
        <w:pStyle w:val="TOC8"/>
        <w:rPr>
          <w:rFonts w:asciiTheme="minorHAnsi" w:eastAsiaTheme="minorEastAsia" w:hAnsiTheme="minorHAnsi" w:cstheme="minorBidi"/>
          <w:szCs w:val="22"/>
        </w:rPr>
      </w:pPr>
      <w:r>
        <w:t>40.</w:t>
      </w:r>
      <w:r>
        <w:tab/>
        <w:t>Betting boards, charts etc.</w:t>
      </w:r>
      <w:r>
        <w:tab/>
      </w:r>
      <w:r>
        <w:fldChar w:fldCharType="begin"/>
      </w:r>
      <w:r>
        <w:instrText xml:space="preserve"> PAGEREF _Toc377038975 \h </w:instrText>
      </w:r>
      <w:r>
        <w:fldChar w:fldCharType="separate"/>
      </w:r>
      <w:r>
        <w:t>43</w:t>
      </w:r>
      <w:r>
        <w:fldChar w:fldCharType="end"/>
      </w:r>
    </w:p>
    <w:p>
      <w:pPr>
        <w:pStyle w:val="TOC8"/>
        <w:rPr>
          <w:rFonts w:asciiTheme="minorHAnsi" w:eastAsiaTheme="minorEastAsia" w:hAnsiTheme="minorHAnsi" w:cstheme="minorBidi"/>
          <w:szCs w:val="22"/>
        </w:rPr>
      </w:pPr>
      <w:r>
        <w:t>41.</w:t>
      </w:r>
      <w:r>
        <w:tab/>
        <w:t>Betting turnover returns</w:t>
      </w:r>
      <w:r>
        <w:tab/>
      </w:r>
      <w:r>
        <w:fldChar w:fldCharType="begin"/>
      </w:r>
      <w:r>
        <w:instrText xml:space="preserve"> PAGEREF _Toc377038976 \h </w:instrText>
      </w:r>
      <w:r>
        <w:fldChar w:fldCharType="separate"/>
      </w:r>
      <w:r>
        <w:t>44</w:t>
      </w:r>
      <w:r>
        <w:fldChar w:fldCharType="end"/>
      </w:r>
    </w:p>
    <w:p>
      <w:pPr>
        <w:pStyle w:val="TOC8"/>
        <w:rPr>
          <w:rFonts w:asciiTheme="minorHAnsi" w:eastAsiaTheme="minorEastAsia" w:hAnsiTheme="minorHAnsi" w:cstheme="minorBidi"/>
          <w:szCs w:val="22"/>
        </w:rPr>
      </w:pPr>
      <w:r>
        <w:t>42.</w:t>
      </w:r>
      <w:r>
        <w:tab/>
        <w:t>Collection of wagering sheets</w:t>
      </w:r>
      <w:r>
        <w:tab/>
      </w:r>
      <w:r>
        <w:fldChar w:fldCharType="begin"/>
      </w:r>
      <w:r>
        <w:instrText xml:space="preserve"> PAGEREF _Toc377038977 \h </w:instrText>
      </w:r>
      <w:r>
        <w:fldChar w:fldCharType="separate"/>
      </w:r>
      <w:r>
        <w:t>44</w:t>
      </w:r>
      <w:r>
        <w:fldChar w:fldCharType="end"/>
      </w:r>
    </w:p>
    <w:p>
      <w:pPr>
        <w:pStyle w:val="TOC8"/>
        <w:rPr>
          <w:rFonts w:asciiTheme="minorHAnsi" w:eastAsiaTheme="minorEastAsia" w:hAnsiTheme="minorHAnsi" w:cstheme="minorBidi"/>
          <w:szCs w:val="22"/>
        </w:rPr>
      </w:pPr>
      <w:r>
        <w:t>43.</w:t>
      </w:r>
      <w:r>
        <w:tab/>
        <w:t>Minimum wager obligations</w:t>
      </w:r>
      <w:r>
        <w:tab/>
      </w:r>
      <w:r>
        <w:fldChar w:fldCharType="begin"/>
      </w:r>
      <w:r>
        <w:instrText xml:space="preserve"> PAGEREF _Toc377038978 \h </w:instrText>
      </w:r>
      <w:r>
        <w:fldChar w:fldCharType="separate"/>
      </w:r>
      <w:r>
        <w:t>45</w:t>
      </w:r>
      <w:r>
        <w:fldChar w:fldCharType="end"/>
      </w:r>
    </w:p>
    <w:p>
      <w:pPr>
        <w:pStyle w:val="TOC8"/>
        <w:rPr>
          <w:rFonts w:asciiTheme="minorHAnsi" w:eastAsiaTheme="minorEastAsia" w:hAnsiTheme="minorHAnsi" w:cstheme="minorBidi"/>
          <w:szCs w:val="22"/>
        </w:rPr>
      </w:pPr>
      <w:r>
        <w:t>44.</w:t>
      </w:r>
      <w:r>
        <w:tab/>
        <w:t>Wagers with domestic betting operators and totalisators</w:t>
      </w:r>
      <w:r>
        <w:tab/>
      </w:r>
      <w:r>
        <w:fldChar w:fldCharType="begin"/>
      </w:r>
      <w:r>
        <w:instrText xml:space="preserve"> PAGEREF _Toc377038979 \h </w:instrText>
      </w:r>
      <w:r>
        <w:fldChar w:fldCharType="separate"/>
      </w:r>
      <w:r>
        <w:t>47</w:t>
      </w:r>
      <w:r>
        <w:fldChar w:fldCharType="end"/>
      </w:r>
    </w:p>
    <w:p>
      <w:pPr>
        <w:pStyle w:val="TOC8"/>
        <w:rPr>
          <w:rFonts w:asciiTheme="minorHAnsi" w:eastAsiaTheme="minorEastAsia" w:hAnsiTheme="minorHAnsi" w:cstheme="minorBidi"/>
          <w:szCs w:val="22"/>
        </w:rPr>
      </w:pPr>
      <w:r>
        <w:t>45A.</w:t>
      </w:r>
      <w:r>
        <w:tab/>
        <w:t>Bet back by means of a betting exchange</w:t>
      </w:r>
      <w:r>
        <w:tab/>
      </w:r>
      <w:r>
        <w:fldChar w:fldCharType="begin"/>
      </w:r>
      <w:r>
        <w:instrText xml:space="preserve"> PAGEREF _Toc377038980 \h </w:instrText>
      </w:r>
      <w:r>
        <w:fldChar w:fldCharType="separate"/>
      </w:r>
      <w:r>
        <w:t>48</w:t>
      </w:r>
      <w:r>
        <w:fldChar w:fldCharType="end"/>
      </w:r>
    </w:p>
    <w:p>
      <w:pPr>
        <w:pStyle w:val="TOC8"/>
        <w:rPr>
          <w:rFonts w:asciiTheme="minorHAnsi" w:eastAsiaTheme="minorEastAsia" w:hAnsiTheme="minorHAnsi" w:cstheme="minorBidi"/>
          <w:szCs w:val="22"/>
        </w:rPr>
      </w:pPr>
      <w:r>
        <w:t>45.</w:t>
      </w:r>
      <w:r>
        <w:tab/>
        <w:t>Telephone wagering</w:t>
      </w:r>
      <w:r>
        <w:tab/>
      </w:r>
      <w:r>
        <w:fldChar w:fldCharType="begin"/>
      </w:r>
      <w:r>
        <w:instrText xml:space="preserve"> PAGEREF _Toc377038981 \h </w:instrText>
      </w:r>
      <w:r>
        <w:fldChar w:fldCharType="separate"/>
      </w:r>
      <w:r>
        <w:t>49</w:t>
      </w:r>
      <w:r>
        <w:fldChar w:fldCharType="end"/>
      </w:r>
    </w:p>
    <w:p>
      <w:pPr>
        <w:pStyle w:val="TOC8"/>
        <w:rPr>
          <w:rFonts w:asciiTheme="minorHAnsi" w:eastAsiaTheme="minorEastAsia" w:hAnsiTheme="minorHAnsi" w:cstheme="minorBidi"/>
          <w:szCs w:val="22"/>
        </w:rPr>
      </w:pPr>
      <w:r>
        <w:t>46.</w:t>
      </w:r>
      <w:r>
        <w:tab/>
        <w:t>Internet wagering</w:t>
      </w:r>
      <w:r>
        <w:tab/>
      </w:r>
      <w:r>
        <w:fldChar w:fldCharType="begin"/>
      </w:r>
      <w:r>
        <w:instrText xml:space="preserve"> PAGEREF _Toc377038982 \h </w:instrText>
      </w:r>
      <w:r>
        <w:fldChar w:fldCharType="separate"/>
      </w:r>
      <w:r>
        <w:t>52</w:t>
      </w:r>
      <w:r>
        <w:fldChar w:fldCharType="end"/>
      </w:r>
    </w:p>
    <w:p>
      <w:pPr>
        <w:pStyle w:val="TOC8"/>
        <w:rPr>
          <w:rFonts w:asciiTheme="minorHAnsi" w:eastAsiaTheme="minorEastAsia" w:hAnsiTheme="minorHAnsi" w:cstheme="minorBidi"/>
          <w:szCs w:val="22"/>
        </w:rPr>
      </w:pPr>
      <w:r>
        <w:t>47.</w:t>
      </w:r>
      <w:r>
        <w:tab/>
        <w:t>Settling generally</w:t>
      </w:r>
      <w:r>
        <w:tab/>
      </w:r>
      <w:r>
        <w:fldChar w:fldCharType="begin"/>
      </w:r>
      <w:r>
        <w:instrText xml:space="preserve"> PAGEREF _Toc377038983 \h </w:instrText>
      </w:r>
      <w:r>
        <w:fldChar w:fldCharType="separate"/>
      </w:r>
      <w:r>
        <w:t>54</w:t>
      </w:r>
      <w:r>
        <w:fldChar w:fldCharType="end"/>
      </w:r>
    </w:p>
    <w:p>
      <w:pPr>
        <w:pStyle w:val="TOC8"/>
        <w:rPr>
          <w:rFonts w:asciiTheme="minorHAnsi" w:eastAsiaTheme="minorEastAsia" w:hAnsiTheme="minorHAnsi" w:cstheme="minorBidi"/>
          <w:szCs w:val="22"/>
        </w:rPr>
      </w:pPr>
      <w:r>
        <w:t>48.</w:t>
      </w:r>
      <w:r>
        <w:tab/>
        <w:t>Defaulters in wagering</w:t>
      </w:r>
      <w:r>
        <w:tab/>
      </w:r>
      <w:r>
        <w:fldChar w:fldCharType="begin"/>
      </w:r>
      <w:r>
        <w:instrText xml:space="preserve"> PAGEREF _Toc377038984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5 — Rules of bookmaker wagering</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_Toc377038986 \h </w:instrText>
      </w:r>
      <w:r>
        <w:fldChar w:fldCharType="separate"/>
      </w:r>
      <w:r>
        <w:t>56</w:t>
      </w:r>
      <w:r>
        <w:fldChar w:fldCharType="end"/>
      </w:r>
    </w:p>
    <w:p>
      <w:pPr>
        <w:pStyle w:val="TOC8"/>
        <w:rPr>
          <w:rFonts w:asciiTheme="minorHAnsi" w:eastAsiaTheme="minorEastAsia" w:hAnsiTheme="minorHAnsi" w:cstheme="minorBidi"/>
          <w:szCs w:val="22"/>
        </w:rPr>
      </w:pPr>
      <w:r>
        <w:t>50.</w:t>
      </w:r>
      <w:r>
        <w:tab/>
        <w:t>Permitted wagers — races</w:t>
      </w:r>
      <w:r>
        <w:tab/>
      </w:r>
      <w:r>
        <w:fldChar w:fldCharType="begin"/>
      </w:r>
      <w:r>
        <w:instrText xml:space="preserve"> PAGEREF _Toc377038987 \h </w:instrText>
      </w:r>
      <w:r>
        <w:fldChar w:fldCharType="separate"/>
      </w:r>
      <w:r>
        <w:t>56</w:t>
      </w:r>
      <w:r>
        <w:fldChar w:fldCharType="end"/>
      </w:r>
    </w:p>
    <w:p>
      <w:pPr>
        <w:pStyle w:val="TOC8"/>
        <w:rPr>
          <w:rFonts w:asciiTheme="minorHAnsi" w:eastAsiaTheme="minorEastAsia" w:hAnsiTheme="minorHAnsi" w:cstheme="minorBidi"/>
          <w:szCs w:val="22"/>
        </w:rPr>
      </w:pPr>
      <w:r>
        <w:t>51A.</w:t>
      </w:r>
      <w:r>
        <w:tab/>
        <w:t>Default odds for starting price guarantee and top fluc wagering</w:t>
      </w:r>
      <w:r>
        <w:tab/>
      </w:r>
      <w:r>
        <w:fldChar w:fldCharType="begin"/>
      </w:r>
      <w:r>
        <w:instrText xml:space="preserve"> PAGEREF _Toc377038988 \h </w:instrText>
      </w:r>
      <w:r>
        <w:fldChar w:fldCharType="separate"/>
      </w:r>
      <w:r>
        <w:t>59</w:t>
      </w:r>
      <w:r>
        <w:fldChar w:fldCharType="end"/>
      </w:r>
    </w:p>
    <w:p>
      <w:pPr>
        <w:pStyle w:val="TOC8"/>
        <w:rPr>
          <w:rFonts w:asciiTheme="minorHAnsi" w:eastAsiaTheme="minorEastAsia" w:hAnsiTheme="minorHAnsi" w:cstheme="minorBidi"/>
          <w:szCs w:val="22"/>
        </w:rPr>
      </w:pPr>
      <w:r>
        <w:t>51.</w:t>
      </w:r>
      <w:r>
        <w:tab/>
        <w:t>Bookmakers not to offer, make or accept certain wagers</w:t>
      </w:r>
      <w:r>
        <w:tab/>
      </w:r>
      <w:r>
        <w:fldChar w:fldCharType="begin"/>
      </w:r>
      <w:r>
        <w:instrText xml:space="preserve"> PAGEREF _Toc377038989 \h </w:instrText>
      </w:r>
      <w:r>
        <w:fldChar w:fldCharType="separate"/>
      </w:r>
      <w:r>
        <w:t>59</w:t>
      </w:r>
      <w:r>
        <w:fldChar w:fldCharType="end"/>
      </w:r>
    </w:p>
    <w:p>
      <w:pPr>
        <w:pStyle w:val="TOC8"/>
        <w:rPr>
          <w:rFonts w:asciiTheme="minorHAnsi" w:eastAsiaTheme="minorEastAsia" w:hAnsiTheme="minorHAnsi" w:cstheme="minorBidi"/>
          <w:szCs w:val="22"/>
        </w:rPr>
      </w:pPr>
      <w:r>
        <w:t>52.</w:t>
      </w:r>
      <w:r>
        <w:tab/>
        <w:t>Provisions as to runners</w:t>
      </w:r>
      <w:r>
        <w:tab/>
      </w:r>
      <w:r>
        <w:fldChar w:fldCharType="begin"/>
      </w:r>
      <w:r>
        <w:instrText xml:space="preserve"> PAGEREF _Toc377038990 \h </w:instrText>
      </w:r>
      <w:r>
        <w:fldChar w:fldCharType="separate"/>
      </w:r>
      <w:r>
        <w:t>60</w:t>
      </w:r>
      <w:r>
        <w:fldChar w:fldCharType="end"/>
      </w:r>
    </w:p>
    <w:p>
      <w:pPr>
        <w:pStyle w:val="TOC8"/>
        <w:rPr>
          <w:rFonts w:asciiTheme="minorHAnsi" w:eastAsiaTheme="minorEastAsia" w:hAnsiTheme="minorHAnsi" w:cstheme="minorBidi"/>
          <w:szCs w:val="22"/>
        </w:rPr>
      </w:pPr>
      <w:r>
        <w:t>53.</w:t>
      </w:r>
      <w:r>
        <w:tab/>
        <w:t>Wagers void in certain circumstances</w:t>
      </w:r>
      <w:r>
        <w:tab/>
      </w:r>
      <w:r>
        <w:fldChar w:fldCharType="begin"/>
      </w:r>
      <w:r>
        <w:instrText xml:space="preserve"> PAGEREF _Toc377038991 \h </w:instrText>
      </w:r>
      <w:r>
        <w:fldChar w:fldCharType="separate"/>
      </w:r>
      <w:r>
        <w:t>60</w:t>
      </w:r>
      <w:r>
        <w:fldChar w:fldCharType="end"/>
      </w:r>
    </w:p>
    <w:p>
      <w:pPr>
        <w:pStyle w:val="TOC8"/>
        <w:rPr>
          <w:rFonts w:asciiTheme="minorHAnsi" w:eastAsiaTheme="minorEastAsia" w:hAnsiTheme="minorHAnsi" w:cstheme="minorBidi"/>
          <w:szCs w:val="22"/>
        </w:rPr>
      </w:pPr>
      <w:r>
        <w:t>54.</w:t>
      </w:r>
      <w:r>
        <w:tab/>
        <w:t>When wagers are off</w:t>
      </w:r>
      <w:r>
        <w:tab/>
      </w:r>
      <w:r>
        <w:fldChar w:fldCharType="begin"/>
      </w:r>
      <w:r>
        <w:instrText xml:space="preserve"> PAGEREF _Toc377038992 \h </w:instrText>
      </w:r>
      <w:r>
        <w:fldChar w:fldCharType="separate"/>
      </w:r>
      <w:r>
        <w:t>61</w:t>
      </w:r>
      <w:r>
        <w:fldChar w:fldCharType="end"/>
      </w:r>
    </w:p>
    <w:p>
      <w:pPr>
        <w:pStyle w:val="TOC8"/>
        <w:rPr>
          <w:rFonts w:asciiTheme="minorHAnsi" w:eastAsiaTheme="minorEastAsia" w:hAnsiTheme="minorHAnsi" w:cstheme="minorBidi"/>
          <w:szCs w:val="22"/>
        </w:rPr>
      </w:pPr>
      <w:r>
        <w:t>55.</w:t>
      </w:r>
      <w:r>
        <w:tab/>
        <w:t>Determination and settlement of wagers</w:t>
      </w:r>
      <w:r>
        <w:tab/>
      </w:r>
      <w:r>
        <w:fldChar w:fldCharType="begin"/>
      </w:r>
      <w:r>
        <w:instrText xml:space="preserve"> PAGEREF _Toc377038993 \h </w:instrText>
      </w:r>
      <w:r>
        <w:fldChar w:fldCharType="separate"/>
      </w:r>
      <w:r>
        <w:t>61</w:t>
      </w:r>
      <w:r>
        <w:fldChar w:fldCharType="end"/>
      </w:r>
    </w:p>
    <w:p>
      <w:pPr>
        <w:pStyle w:val="TOC8"/>
        <w:rPr>
          <w:rFonts w:asciiTheme="minorHAnsi" w:eastAsiaTheme="minorEastAsia" w:hAnsiTheme="minorHAnsi" w:cstheme="minorBidi"/>
          <w:szCs w:val="22"/>
        </w:rPr>
      </w:pPr>
      <w:r>
        <w:t>56.</w:t>
      </w:r>
      <w:r>
        <w:tab/>
        <w:t>Determination of wagers where runner withdrawn</w:t>
      </w:r>
      <w:r>
        <w:tab/>
      </w:r>
      <w:r>
        <w:fldChar w:fldCharType="begin"/>
      </w:r>
      <w:r>
        <w:instrText xml:space="preserve"> PAGEREF _Toc377038994 \h </w:instrText>
      </w:r>
      <w:r>
        <w:fldChar w:fldCharType="separate"/>
      </w:r>
      <w:r>
        <w:t>65</w:t>
      </w:r>
      <w:r>
        <w:fldChar w:fldCharType="end"/>
      </w:r>
    </w:p>
    <w:p>
      <w:pPr>
        <w:pStyle w:val="TOC8"/>
        <w:rPr>
          <w:rFonts w:asciiTheme="minorHAnsi" w:eastAsiaTheme="minorEastAsia" w:hAnsiTheme="minorHAnsi" w:cstheme="minorBidi"/>
          <w:szCs w:val="22"/>
        </w:rPr>
      </w:pPr>
      <w:r>
        <w:t>57.</w:t>
      </w:r>
      <w:r>
        <w:tab/>
        <w:t>Wagers to be pay or play except in certain circumstances</w:t>
      </w:r>
      <w:r>
        <w:tab/>
      </w:r>
      <w:r>
        <w:fldChar w:fldCharType="begin"/>
      </w:r>
      <w:r>
        <w:instrText xml:space="preserve"> PAGEREF _Toc377038995 \h </w:instrText>
      </w:r>
      <w:r>
        <w:fldChar w:fldCharType="separate"/>
      </w:r>
      <w:r>
        <w:t>68</w:t>
      </w:r>
      <w:r>
        <w:fldChar w:fldCharType="end"/>
      </w:r>
    </w:p>
    <w:p>
      <w:pPr>
        <w:pStyle w:val="TOC8"/>
        <w:rPr>
          <w:rFonts w:asciiTheme="minorHAnsi" w:eastAsiaTheme="minorEastAsia" w:hAnsiTheme="minorHAnsi" w:cstheme="minorBidi"/>
          <w:szCs w:val="22"/>
        </w:rPr>
      </w:pPr>
      <w:r>
        <w:t>58.</w:t>
      </w:r>
      <w:r>
        <w:tab/>
        <w:t>Provisions as to settlement of wagers following dead heat</w:t>
      </w:r>
      <w:r>
        <w:tab/>
      </w:r>
      <w:r>
        <w:fldChar w:fldCharType="begin"/>
      </w:r>
      <w:r>
        <w:instrText xml:space="preserve"> PAGEREF _Toc377038996 \h </w:instrText>
      </w:r>
      <w:r>
        <w:fldChar w:fldCharType="separate"/>
      </w:r>
      <w:r>
        <w:t>68</w:t>
      </w:r>
      <w:r>
        <w:fldChar w:fldCharType="end"/>
      </w:r>
    </w:p>
    <w:p>
      <w:pPr>
        <w:pStyle w:val="TOC8"/>
        <w:rPr>
          <w:rFonts w:asciiTheme="minorHAnsi" w:eastAsiaTheme="minorEastAsia" w:hAnsiTheme="minorHAnsi" w:cstheme="minorBidi"/>
          <w:szCs w:val="22"/>
        </w:rPr>
      </w:pPr>
      <w:r>
        <w:t>59.</w:t>
      </w:r>
      <w:r>
        <w:tab/>
        <w:t>Provisions as to races that are re</w:t>
      </w:r>
      <w:r>
        <w:noBreakHyphen/>
        <w:t>run</w:t>
      </w:r>
      <w:r>
        <w:tab/>
      </w:r>
      <w:r>
        <w:fldChar w:fldCharType="begin"/>
      </w:r>
      <w:r>
        <w:instrText xml:space="preserve"> PAGEREF _Toc377038997 \h </w:instrText>
      </w:r>
      <w:r>
        <w:fldChar w:fldCharType="separate"/>
      </w:r>
      <w:r>
        <w:t>70</w:t>
      </w:r>
      <w:r>
        <w:fldChar w:fldCharType="end"/>
      </w:r>
    </w:p>
    <w:p>
      <w:pPr>
        <w:pStyle w:val="TOC8"/>
        <w:rPr>
          <w:rFonts w:asciiTheme="minorHAnsi" w:eastAsiaTheme="minorEastAsia" w:hAnsiTheme="minorHAnsi" w:cstheme="minorBidi"/>
          <w:szCs w:val="22"/>
        </w:rPr>
      </w:pPr>
      <w:r>
        <w:t>60.</w:t>
      </w:r>
      <w:r>
        <w:tab/>
        <w:t>Pre</w:t>
      </w:r>
      <w:r>
        <w:noBreakHyphen/>
        <w:t>post wagering on the final of special event</w:t>
      </w:r>
      <w:r>
        <w:tab/>
      </w:r>
      <w:r>
        <w:fldChar w:fldCharType="begin"/>
      </w:r>
      <w:r>
        <w:instrText xml:space="preserve"> PAGEREF _Toc377038998 \h </w:instrText>
      </w:r>
      <w:r>
        <w:fldChar w:fldCharType="separate"/>
      </w:r>
      <w:r>
        <w:t>70</w:t>
      </w:r>
      <w:r>
        <w:fldChar w:fldCharType="end"/>
      </w:r>
    </w:p>
    <w:p>
      <w:pPr>
        <w:pStyle w:val="TOC8"/>
        <w:rPr>
          <w:rFonts w:asciiTheme="minorHAnsi" w:eastAsiaTheme="minorEastAsia" w:hAnsiTheme="minorHAnsi" w:cstheme="minorBidi"/>
          <w:szCs w:val="22"/>
        </w:rPr>
      </w:pPr>
      <w:r>
        <w:t>61.</w:t>
      </w:r>
      <w:r>
        <w:tab/>
        <w:t>“Favout” wagering</w:t>
      </w:r>
      <w:r>
        <w:tab/>
      </w:r>
      <w:r>
        <w:fldChar w:fldCharType="begin"/>
      </w:r>
      <w:r>
        <w:instrText xml:space="preserve"> PAGEREF _Toc377038999 \h </w:instrText>
      </w:r>
      <w:r>
        <w:fldChar w:fldCharType="separate"/>
      </w:r>
      <w:r>
        <w:t>71</w:t>
      </w:r>
      <w:r>
        <w:fldChar w:fldCharType="end"/>
      </w:r>
    </w:p>
    <w:p>
      <w:pPr>
        <w:pStyle w:val="TOC8"/>
        <w:rPr>
          <w:rFonts w:asciiTheme="minorHAnsi" w:eastAsiaTheme="minorEastAsia" w:hAnsiTheme="minorHAnsi" w:cstheme="minorBidi"/>
          <w:szCs w:val="22"/>
        </w:rPr>
      </w:pPr>
      <w:r>
        <w:t>62.</w:t>
      </w:r>
      <w:r>
        <w:tab/>
        <w:t xml:space="preserve">Wagering on sporting event, or contingency, approved under </w:t>
      </w:r>
      <w:r>
        <w:rPr>
          <w:i/>
          <w:iCs/>
        </w:rPr>
        <w:t>Betting Control Act 1954</w:t>
      </w:r>
      <w:r>
        <w:rPr>
          <w:iCs/>
        </w:rPr>
        <w:t xml:space="preserve"> s. 4B</w:t>
      </w:r>
      <w:r>
        <w:tab/>
      </w:r>
      <w:r>
        <w:fldChar w:fldCharType="begin"/>
      </w:r>
      <w:r>
        <w:instrText xml:space="preserve"> PAGEREF _Toc377039000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_Toc377039002 \h </w:instrText>
      </w:r>
      <w:r>
        <w:fldChar w:fldCharType="separate"/>
      </w:r>
      <w:r>
        <w:t>74</w:t>
      </w:r>
      <w:r>
        <w:fldChar w:fldCharType="end"/>
      </w:r>
    </w:p>
    <w:p>
      <w:pPr>
        <w:pStyle w:val="TOC8"/>
        <w:rPr>
          <w:rFonts w:asciiTheme="minorHAnsi" w:eastAsiaTheme="minorEastAsia" w:hAnsiTheme="minorHAnsi" w:cstheme="minorBidi"/>
          <w:szCs w:val="22"/>
        </w:rPr>
      </w:pPr>
      <w:r>
        <w:t>64.</w:t>
      </w:r>
      <w:r>
        <w:tab/>
        <w:t>Obligations of agents and employees while on duty</w:t>
      </w:r>
      <w:r>
        <w:tab/>
      </w:r>
      <w:r>
        <w:fldChar w:fldCharType="begin"/>
      </w:r>
      <w:r>
        <w:instrText xml:space="preserve"> PAGEREF _Toc377039003 \h </w:instrText>
      </w:r>
      <w:r>
        <w:fldChar w:fldCharType="separate"/>
      </w:r>
      <w:r>
        <w:t>74</w:t>
      </w:r>
      <w:r>
        <w:fldChar w:fldCharType="end"/>
      </w:r>
    </w:p>
    <w:p>
      <w:pPr>
        <w:pStyle w:val="TOC8"/>
        <w:rPr>
          <w:rFonts w:asciiTheme="minorHAnsi" w:eastAsiaTheme="minorEastAsia" w:hAnsiTheme="minorHAnsi" w:cstheme="minorBidi"/>
          <w:szCs w:val="22"/>
        </w:rPr>
      </w:pPr>
      <w:r>
        <w:t>65.</w:t>
      </w:r>
      <w:r>
        <w:tab/>
        <w:t>Use of video surveillance</w:t>
      </w:r>
      <w:r>
        <w:tab/>
      </w:r>
      <w:r>
        <w:fldChar w:fldCharType="begin"/>
      </w:r>
      <w:r>
        <w:instrText xml:space="preserve"> PAGEREF _Toc377039004 \h </w:instrText>
      </w:r>
      <w:r>
        <w:fldChar w:fldCharType="separate"/>
      </w:r>
      <w:r>
        <w:t>74</w:t>
      </w:r>
      <w:r>
        <w:fldChar w:fldCharType="end"/>
      </w:r>
    </w:p>
    <w:p>
      <w:pPr>
        <w:pStyle w:val="TOC8"/>
        <w:rPr>
          <w:rFonts w:asciiTheme="minorHAnsi" w:eastAsiaTheme="minorEastAsia" w:hAnsiTheme="minorHAnsi" w:cstheme="minorBidi"/>
          <w:szCs w:val="22"/>
        </w:rPr>
      </w:pPr>
      <w:r>
        <w:t>66.</w:t>
      </w:r>
      <w:r>
        <w:tab/>
        <w:t>Agency bonds</w:t>
      </w:r>
      <w:r>
        <w:tab/>
      </w:r>
      <w:r>
        <w:fldChar w:fldCharType="begin"/>
      </w:r>
      <w:r>
        <w:instrText xml:space="preserve"> PAGEREF _Toc377039005 \h </w:instrText>
      </w:r>
      <w:r>
        <w:fldChar w:fldCharType="separate"/>
      </w:r>
      <w:r>
        <w:t>75</w:t>
      </w:r>
      <w:r>
        <w:fldChar w:fldCharType="end"/>
      </w:r>
    </w:p>
    <w:p>
      <w:pPr>
        <w:pStyle w:val="TOC8"/>
        <w:rPr>
          <w:rFonts w:asciiTheme="minorHAnsi" w:eastAsiaTheme="minorEastAsia" w:hAnsiTheme="minorHAnsi" w:cstheme="minorBidi"/>
          <w:szCs w:val="22"/>
        </w:rPr>
      </w:pPr>
      <w:r>
        <w:t>67.</w:t>
      </w:r>
      <w:r>
        <w:tab/>
        <w:t>Acceptance of cheques</w:t>
      </w:r>
      <w:r>
        <w:tab/>
      </w:r>
      <w:r>
        <w:fldChar w:fldCharType="begin"/>
      </w:r>
      <w:r>
        <w:instrText xml:space="preserve"> PAGEREF _Toc377039006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Schedule 1 — Scale of Deduction Table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_Toc377039009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 w:name="_Toc377038930"/>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038931"/>
      <w:r>
        <w:rPr>
          <w:rStyle w:val="CharSectno"/>
        </w:rPr>
        <w:t>1</w:t>
      </w:r>
      <w:r>
        <w:t>.</w:t>
      </w:r>
      <w:r>
        <w:tab/>
        <w:t>Citation</w:t>
      </w:r>
      <w:bookmarkEnd w:id="2"/>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3" w:name="_Toc377038932"/>
      <w:r>
        <w:rPr>
          <w:rStyle w:val="CharSectno"/>
        </w:rPr>
        <w:t>2</w:t>
      </w:r>
      <w:r>
        <w:t>.</w:t>
      </w:r>
      <w:r>
        <w:tab/>
        <w:t>Commencement</w:t>
      </w:r>
      <w:bookmarkEnd w:id="3"/>
    </w:p>
    <w:p>
      <w:pPr>
        <w:pStyle w:val="Subsection"/>
      </w:pPr>
      <w:r>
        <w:tab/>
      </w:r>
      <w:r>
        <w:tab/>
        <w:t>These rules come into operation on 30 January 2005.</w:t>
      </w:r>
    </w:p>
    <w:p>
      <w:pPr>
        <w:pStyle w:val="Heading5"/>
      </w:pPr>
      <w:bookmarkStart w:id="4" w:name="_Toc377038933"/>
      <w:r>
        <w:rPr>
          <w:rStyle w:val="CharSectno"/>
        </w:rPr>
        <w:t>3</w:t>
      </w:r>
      <w:r>
        <w:t>.</w:t>
      </w:r>
      <w:r>
        <w:tab/>
        <w:t>Terms used</w:t>
      </w:r>
      <w:bookmarkEnd w:id="4"/>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tab/>
      </w:r>
      <w:r>
        <w:rPr>
          <w:rStyle w:val="CharDefText"/>
        </w:rPr>
        <w:t>Australian Prices Network</w:t>
      </w:r>
      <w:r>
        <w:t xml:space="preserve"> means the body endorsed by RWWA that is responsible for determining the Australian on</w:t>
      </w:r>
      <w:r>
        <w:noBreakHyphen/>
        <w:t>course bookmakers’ pricing information;</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means a wager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wagers already accepted by the bookmaker on that runner, competitor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tab/>
      </w:r>
      <w:r>
        <w:rPr>
          <w:rStyle w:val="CharDefText"/>
        </w:rPr>
        <w:t xml:space="preserve">starting price guarantee wager </w:t>
      </w:r>
      <w:r>
        <w:t>means a win wager where the odds for a runner are the higher of the fixed odds for that runner at the time of the wager and the final on</w:t>
      </w:r>
      <w:r>
        <w:noBreakHyphen/>
        <w:t>course bookmakers’ odds for that runner as determined by the Australian Prices Network or rule 51A(1);</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pPr>
      <w:r>
        <w:tab/>
      </w:r>
      <w:r>
        <w:rPr>
          <w:rStyle w:val="CharDefText"/>
        </w:rPr>
        <w:t>top fluc wager</w:t>
      </w:r>
      <w:r>
        <w:t xml:space="preserve"> means a win wager where the odds for a runner are the highest on</w:t>
      </w:r>
      <w:r>
        <w:noBreakHyphen/>
        <w:t>course bookmakers’ odds for that runner as determined by the Australian Prices Network or rule 51A(2);</w:t>
      </w: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 14 Jun 2013 p. 2244; 29 Nov 2013 p. 5468</w:t>
      </w:r>
      <w:r>
        <w:noBreakHyphen/>
        <w:t>9.]</w:t>
      </w:r>
    </w:p>
    <w:p>
      <w:pPr>
        <w:pStyle w:val="Heading5"/>
        <w:keepNext w:val="0"/>
        <w:keepLines w:val="0"/>
        <w:spacing w:before="180"/>
      </w:pPr>
      <w:bookmarkStart w:id="5" w:name="_Toc377038934"/>
      <w:r>
        <w:rPr>
          <w:rStyle w:val="CharSectno"/>
        </w:rPr>
        <w:t>4</w:t>
      </w:r>
      <w:r>
        <w:t>.</w:t>
      </w:r>
      <w:r>
        <w:tab/>
        <w:t>Application</w:t>
      </w:r>
      <w:bookmarkEnd w:id="5"/>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6" w:name="_Toc377038935"/>
      <w:r>
        <w:rPr>
          <w:rStyle w:val="CharSectno"/>
        </w:rPr>
        <w:t>5</w:t>
      </w:r>
      <w:r>
        <w:t>.</w:t>
      </w:r>
      <w:r>
        <w:tab/>
      </w:r>
      <w:r>
        <w:rPr>
          <w:szCs w:val="18"/>
        </w:rPr>
        <w:t>Matters not covered by these rules</w:t>
      </w:r>
      <w:bookmarkEnd w:id="6"/>
    </w:p>
    <w:p>
      <w:pPr>
        <w:pStyle w:val="Subsection"/>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Footnotesection"/>
      </w:pPr>
      <w:r>
        <w:tab/>
        <w:t>[Rule 5 amended in Gazette 29 Nov 2013 p.</w:t>
      </w:r>
      <w:r>
        <w:rPr>
          <w:sz w:val="19"/>
        </w:rPr>
        <w:t> </w:t>
      </w:r>
      <w:r>
        <w:t>5469.]</w:t>
      </w:r>
    </w:p>
    <w:p>
      <w:pPr>
        <w:pStyle w:val="Heading5"/>
        <w:rPr>
          <w:szCs w:val="18"/>
        </w:rPr>
      </w:pPr>
      <w:bookmarkStart w:id="7" w:name="_Toc377038936"/>
      <w:r>
        <w:rPr>
          <w:rStyle w:val="CharSectno"/>
        </w:rPr>
        <w:t>6</w:t>
      </w:r>
      <w:r>
        <w:rPr>
          <w:szCs w:val="18"/>
        </w:rPr>
        <w:t>.</w:t>
      </w:r>
      <w:r>
        <w:rPr>
          <w:szCs w:val="18"/>
        </w:rPr>
        <w:tab/>
        <w:t>Copy of these rules to be available</w:t>
      </w:r>
      <w:bookmarkEnd w:id="7"/>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8" w:name="_Toc377038937"/>
      <w:r>
        <w:rPr>
          <w:rStyle w:val="CharPartNo"/>
        </w:rPr>
        <w:t>Part 2</w:t>
      </w:r>
      <w:r>
        <w:rPr>
          <w:rStyle w:val="CharDivNo"/>
        </w:rPr>
        <w:t> </w:t>
      </w:r>
      <w:r>
        <w:t>—</w:t>
      </w:r>
      <w:r>
        <w:rPr>
          <w:rStyle w:val="CharDivText"/>
        </w:rPr>
        <w:t> </w:t>
      </w:r>
      <w:r>
        <w:rPr>
          <w:rStyle w:val="CharPartText"/>
        </w:rPr>
        <w:t>Conduct of totalisator wagering generally</w:t>
      </w:r>
      <w:bookmarkEnd w:id="8"/>
    </w:p>
    <w:p>
      <w:pPr>
        <w:pStyle w:val="Heading5"/>
      </w:pPr>
      <w:bookmarkStart w:id="9" w:name="_Toc377038938"/>
      <w:r>
        <w:rPr>
          <w:rStyle w:val="CharSectno"/>
        </w:rPr>
        <w:t>7</w:t>
      </w:r>
      <w:r>
        <w:t>.</w:t>
      </w:r>
      <w:r>
        <w:tab/>
        <w:t>Supervision of wagering by on</w:t>
      </w:r>
      <w:r>
        <w:noBreakHyphen/>
        <w:t>course totalisators</w:t>
      </w:r>
      <w:bookmarkEnd w:id="9"/>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10" w:name="_Toc377038939"/>
      <w:r>
        <w:rPr>
          <w:rStyle w:val="CharSectno"/>
        </w:rPr>
        <w:t>8</w:t>
      </w:r>
      <w:r>
        <w:t>.</w:t>
      </w:r>
      <w:r>
        <w:tab/>
        <w:t>Racing club to appoint on</w:t>
      </w:r>
      <w:r>
        <w:noBreakHyphen/>
        <w:t>course totalisator manager</w:t>
      </w:r>
      <w:bookmarkEnd w:id="10"/>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11" w:name="_Toc377038940"/>
      <w:r>
        <w:rPr>
          <w:rStyle w:val="CharSectno"/>
        </w:rPr>
        <w:t>9</w:t>
      </w:r>
      <w:r>
        <w:t>.</w:t>
      </w:r>
      <w:r>
        <w:tab/>
        <w:t>Duty to report non</w:t>
      </w:r>
      <w:r>
        <w:noBreakHyphen/>
        <w:t>compliance</w:t>
      </w:r>
      <w:bookmarkEnd w:id="11"/>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12" w:name="_Toc377038941"/>
      <w:r>
        <w:rPr>
          <w:rStyle w:val="CharSectno"/>
        </w:rPr>
        <w:t>10</w:t>
      </w:r>
      <w:r>
        <w:t>.</w:t>
      </w:r>
      <w:r>
        <w:tab/>
        <w:t>Changes affecting wagering to be advised</w:t>
      </w:r>
      <w:bookmarkEnd w:id="12"/>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13" w:name="_Toc377038942"/>
      <w:r>
        <w:rPr>
          <w:rStyle w:val="CharSectno"/>
        </w:rPr>
        <w:t>11</w:t>
      </w:r>
      <w:r>
        <w:t>.</w:t>
      </w:r>
      <w:r>
        <w:tab/>
        <w:t>Numbering of runner on totalisator</w:t>
      </w:r>
      <w:bookmarkEnd w:id="1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4" w:name="_Toc377038943"/>
      <w:r>
        <w:rPr>
          <w:rStyle w:val="CharSectno"/>
        </w:rPr>
        <w:t>12</w:t>
      </w:r>
      <w:r>
        <w:t>.</w:t>
      </w:r>
      <w:r>
        <w:tab/>
        <w:t>Display of anticipated dividends</w:t>
      </w:r>
      <w:bookmarkEnd w:id="14"/>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5" w:name="_Toc377038944"/>
      <w:r>
        <w:rPr>
          <w:rStyle w:val="CharSectno"/>
        </w:rPr>
        <w:t>13</w:t>
      </w:r>
      <w:r>
        <w:t>.</w:t>
      </w:r>
      <w:r>
        <w:tab/>
        <w:t>When dividends become payable</w:t>
      </w:r>
      <w:bookmarkEnd w:id="15"/>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6" w:name="_Toc377038945"/>
      <w:r>
        <w:rPr>
          <w:rStyle w:val="CharSectno"/>
        </w:rPr>
        <w:t>14</w:t>
      </w:r>
      <w:r>
        <w:t>.</w:t>
      </w:r>
      <w:r>
        <w:tab/>
        <w:t>Exhibiting of dividends</w:t>
      </w:r>
      <w:bookmarkEnd w:id="16"/>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7" w:name="_Toc377038946"/>
      <w:r>
        <w:rPr>
          <w:rStyle w:val="CharSectno"/>
        </w:rPr>
        <w:t>15</w:t>
      </w:r>
      <w:r>
        <w:t>.</w:t>
      </w:r>
      <w:r>
        <w:tab/>
        <w:t>Wagers that contravene rules of racing not permitted</w:t>
      </w:r>
      <w:bookmarkEnd w:id="17"/>
    </w:p>
    <w:p>
      <w:pPr>
        <w:pStyle w:val="Subsection"/>
      </w:pPr>
      <w:r>
        <w:tab/>
      </w:r>
      <w:r>
        <w:tab/>
        <w:t>A totalisator operator is not permitted to receive or make a wager that contravenes the rules of racing made under section 45 of the RWWA Act.</w:t>
      </w:r>
    </w:p>
    <w:p>
      <w:pPr>
        <w:pStyle w:val="Heading2"/>
      </w:pPr>
      <w:bookmarkStart w:id="18" w:name="_Toc377038947"/>
      <w:r>
        <w:rPr>
          <w:rStyle w:val="CharPartNo"/>
        </w:rPr>
        <w:t>Part 3</w:t>
      </w:r>
      <w:r>
        <w:rPr>
          <w:rStyle w:val="CharDivNo"/>
        </w:rPr>
        <w:t> </w:t>
      </w:r>
      <w:r>
        <w:t>—</w:t>
      </w:r>
      <w:r>
        <w:rPr>
          <w:rStyle w:val="CharDivText"/>
        </w:rPr>
        <w:t> </w:t>
      </w:r>
      <w:r>
        <w:rPr>
          <w:rStyle w:val="CharPartText"/>
        </w:rPr>
        <w:t>Rules of totalisator wagering</w:t>
      </w:r>
      <w:bookmarkEnd w:id="18"/>
    </w:p>
    <w:p>
      <w:pPr>
        <w:pStyle w:val="Heading5"/>
        <w:spacing w:before="240"/>
      </w:pPr>
      <w:bookmarkStart w:id="19" w:name="_Toc377038948"/>
      <w:r>
        <w:rPr>
          <w:rStyle w:val="CharSectno"/>
        </w:rPr>
        <w:t>16</w:t>
      </w:r>
      <w:r>
        <w:t>.</w:t>
      </w:r>
      <w:r>
        <w:tab/>
        <w:t>Totalisator pools  — win and place wagers</w:t>
      </w:r>
      <w:bookmarkEnd w:id="19"/>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20" w:name="_Toc377038949"/>
      <w:r>
        <w:rPr>
          <w:rStyle w:val="CharSectno"/>
        </w:rPr>
        <w:t>17</w:t>
      </w:r>
      <w:r>
        <w:t>.</w:t>
      </w:r>
      <w:r>
        <w:tab/>
        <w:t>Totalisator pools – novelty wagers on races</w:t>
      </w:r>
      <w:bookmarkEnd w:id="20"/>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21" w:name="_Toc377038950"/>
      <w:r>
        <w:rPr>
          <w:rStyle w:val="CharSectno"/>
        </w:rPr>
        <w:t>18</w:t>
      </w:r>
      <w:r>
        <w:t>.</w:t>
      </w:r>
      <w:r>
        <w:tab/>
        <w:t>Dividends on novelty wagers</w:t>
      </w:r>
      <w:bookmarkEnd w:id="21"/>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22" w:name="_Toc377038951"/>
      <w:r>
        <w:rPr>
          <w:rStyle w:val="CharSectno"/>
        </w:rPr>
        <w:t>18A</w:t>
      </w:r>
      <w:r>
        <w:t>.</w:t>
      </w:r>
      <w:r>
        <w:tab/>
        <w:t>Dividends on novelty wagers if less than one unit invested on correct selections</w:t>
      </w:r>
      <w:bookmarkEnd w:id="22"/>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23" w:name="_Toc377038952"/>
      <w:r>
        <w:rPr>
          <w:rStyle w:val="CharSectno"/>
        </w:rPr>
        <w:t>19</w:t>
      </w:r>
      <w:r>
        <w:t>.</w:t>
      </w:r>
      <w:r>
        <w:tab/>
        <w:t>Double event wagers on races</w:t>
      </w:r>
      <w:bookmarkEnd w:id="23"/>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24" w:name="_Toc377038953"/>
      <w:r>
        <w:rPr>
          <w:rStyle w:val="CharSectno"/>
        </w:rPr>
        <w:t>20</w:t>
      </w:r>
      <w:r>
        <w:t>.</w:t>
      </w:r>
      <w:r>
        <w:tab/>
        <w:t>Favourite numbers wagers</w:t>
      </w:r>
      <w:bookmarkEnd w:id="24"/>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25" w:name="_Toc377038954"/>
      <w:r>
        <w:rPr>
          <w:rStyle w:val="CharSectno"/>
        </w:rPr>
        <w:t>21</w:t>
      </w:r>
      <w:r>
        <w:t>.</w:t>
      </w:r>
      <w:r>
        <w:tab/>
        <w:t>Determination of totalisator favourite</w:t>
      </w:r>
      <w:bookmarkEnd w:id="25"/>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26" w:name="_Toc377038955"/>
      <w:r>
        <w:rPr>
          <w:rStyle w:val="CharSectno"/>
        </w:rPr>
        <w:t>22</w:t>
      </w:r>
      <w:r>
        <w:t>.</w:t>
      </w:r>
      <w:r>
        <w:tab/>
        <w:t>Quaddie wagers</w:t>
      </w:r>
      <w:bookmarkEnd w:id="26"/>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27" w:name="_Toc377038956"/>
      <w:r>
        <w:rPr>
          <w:rStyle w:val="CharSectno"/>
        </w:rPr>
        <w:t>22A</w:t>
      </w:r>
      <w:r>
        <w:t>.</w:t>
      </w:r>
      <w:r>
        <w:tab/>
        <w:t>Flexi Bets</w:t>
      </w:r>
      <w:bookmarkEnd w:id="27"/>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28" w:name="_Toc377038957"/>
      <w:r>
        <w:rPr>
          <w:rStyle w:val="CharSectno"/>
        </w:rPr>
        <w:t>23</w:t>
      </w:r>
      <w:r>
        <w:t>.</w:t>
      </w:r>
      <w:r>
        <w:tab/>
        <w:t>Totalisator pools – sporting events</w:t>
      </w:r>
      <w:bookmarkEnd w:id="28"/>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rPr>
                <w:sz w:val="24"/>
                <w:szCs w:val="24"/>
              </w:rPr>
            </w:pPr>
            <w:r>
              <w:rPr>
                <w:sz w:val="24"/>
                <w:szCs w:val="24"/>
              </w:rPr>
              <w:t>Any game of soccer or series of games of soccer.</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Heading5"/>
      </w:pPr>
      <w:bookmarkStart w:id="29" w:name="_Toc377038958"/>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29"/>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footy tipping wager</w:t>
            </w:r>
            <w:r>
              <w:rPr>
                <w:szCs w:val="24"/>
              </w:rPr>
              <w:t xml:space="preserve"> means the nomination of an amount of a wager, and the prediction that the results of each Australian Rules Football fixture, in a predetermined pool of matches will in total result in —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b/>
                <w:sz w:val="24"/>
                <w:szCs w:val="24"/>
              </w:rPr>
            </w:pPr>
            <w:r>
              <w:rPr>
                <w:sz w:val="24"/>
                <w:szCs w:val="24"/>
              </w:rPr>
              <w:t>(b)</w:t>
            </w:r>
            <w:r>
              <w:rPr>
                <w:sz w:val="24"/>
                <w:szCs w:val="24"/>
              </w:rPr>
              <w:tab/>
              <w:t>an overall win to the participant designated as the “away team”;</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not being an Australian Rules Football fixture,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a draw.</w:t>
            </w:r>
          </w:p>
        </w:tc>
      </w:tr>
    </w:tbl>
    <w:p>
      <w:pPr>
        <w:pStyle w:val="Heading5"/>
      </w:pPr>
      <w:bookmarkStart w:id="30" w:name="_Toc377038959"/>
      <w:r>
        <w:rPr>
          <w:rStyle w:val="CharSectno"/>
        </w:rPr>
        <w:t>25</w:t>
      </w:r>
      <w:r>
        <w:t>.</w:t>
      </w:r>
      <w:r>
        <w:tab/>
        <w:t>Footing tipping wagers and sports tipping wagers</w:t>
      </w:r>
      <w:bookmarkEnd w:id="30"/>
    </w:p>
    <w:p>
      <w:pPr>
        <w:pStyle w:val="Subsection"/>
      </w:pPr>
      <w:r>
        <w:tab/>
        <w:t>(1)</w:t>
      </w:r>
      <w:r>
        <w:tab/>
        <w:t>This rule applies in relation to any totalisator pool conducted by the totalisator operator in respect of footy tipping wagers or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footy tipping wagers or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footy tipping wager or sports tipping wager placed in the totalisator pool concerned is a winning wager (including where the totalisator pool was in respect of footy tipping wagers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footy tipping wagers or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Heading5"/>
      </w:pPr>
      <w:bookmarkStart w:id="31" w:name="_Toc377038960"/>
      <w:r>
        <w:rPr>
          <w:rStyle w:val="CharSectno"/>
        </w:rPr>
        <w:t>26</w:t>
      </w:r>
      <w:r>
        <w:t>.</w:t>
      </w:r>
      <w:r>
        <w:tab/>
        <w:t>Wagers on Australian Rules Football</w:t>
      </w:r>
      <w:bookmarkEnd w:id="31"/>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footy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Heading5"/>
      </w:pPr>
      <w:bookmarkStart w:id="32" w:name="_Toc377038961"/>
      <w:r>
        <w:rPr>
          <w:rStyle w:val="CharSectno"/>
        </w:rPr>
        <w:t>27</w:t>
      </w:r>
      <w:r>
        <w:t>.</w:t>
      </w:r>
      <w:r>
        <w:tab/>
        <w:t>Footo wagers</w:t>
      </w:r>
      <w:bookmarkEnd w:id="32"/>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draw;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draw, where a draw is an outcome permitted under the rules governing the conduct of a particular match; or</w:t>
      </w:r>
    </w:p>
    <w:p>
      <w:pPr>
        <w:pStyle w:val="Indenta"/>
      </w:pPr>
      <w:r>
        <w:tab/>
        <w:t>(b)</w:t>
      </w:r>
      <w:r>
        <w:tab/>
        <w:t>from one or more score ranges within brackets of 3 numbers determined by the totalisator operator; or</w:t>
      </w:r>
    </w:p>
    <w:p>
      <w:pPr>
        <w:pStyle w:val="Indenta"/>
      </w:pPr>
      <w:r>
        <w:tab/>
        <w:t>(c)</w:t>
      </w:r>
      <w:r>
        <w:tab/>
        <w:t>as a greater score range, any selection for a draw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Heading5"/>
      </w:pPr>
      <w:bookmarkStart w:id="33" w:name="_Toc377038962"/>
      <w:r>
        <w:rPr>
          <w:rStyle w:val="CharSectno"/>
        </w:rPr>
        <w:t>28</w:t>
      </w:r>
      <w:r>
        <w:t>.</w:t>
      </w:r>
      <w:r>
        <w:tab/>
        <w:t>Wagers on cricket</w:t>
      </w:r>
      <w:bookmarkEnd w:id="33"/>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34" w:name="_Toc377038963"/>
      <w:r>
        <w:rPr>
          <w:rStyle w:val="CharSectno"/>
        </w:rPr>
        <w:t>29</w:t>
      </w:r>
      <w:r>
        <w:t>.</w:t>
      </w:r>
      <w:r>
        <w:tab/>
        <w:t>Wagers on soccer</w:t>
      </w:r>
      <w:bookmarkEnd w:id="34"/>
    </w:p>
    <w:p>
      <w:pPr>
        <w:pStyle w:val="Subsection"/>
      </w:pPr>
      <w:r>
        <w:tab/>
        <w:t>(1)</w:t>
      </w:r>
      <w:r>
        <w:tab/>
        <w:t>The totalisator operator may make and accept wagers on soccer in accordance with these rules.</w:t>
      </w:r>
    </w:p>
    <w:p>
      <w:pPr>
        <w:pStyle w:val="Subsection"/>
      </w:pPr>
      <w:r>
        <w:tab/>
        <w:t>(2)</w:t>
      </w:r>
      <w:r>
        <w:tab/>
        <w:t>The totalisator operator may accept the following types of wagers on soccer —</w:t>
      </w:r>
    </w:p>
    <w:p>
      <w:pPr>
        <w:pStyle w:val="Indenta"/>
      </w:pPr>
      <w:r>
        <w:tab/>
        <w:t>(a)</w:t>
      </w:r>
      <w:r>
        <w:tab/>
        <w:t>win wagers; and</w:t>
      </w:r>
    </w:p>
    <w:p>
      <w:pPr>
        <w:pStyle w:val="Indenta"/>
        <w:rPr>
          <w:sz w:val="20"/>
        </w:rPr>
      </w:pPr>
      <w:r>
        <w:tab/>
        <w:t>(b)</w:t>
      </w:r>
      <w:r>
        <w:tab/>
        <w:t>sports tipping wagers</w:t>
      </w:r>
      <w:r>
        <w:rPr>
          <w:sz w:val="20"/>
        </w:rPr>
        <w:t>.</w:t>
      </w:r>
    </w:p>
    <w:p>
      <w:pPr>
        <w:pStyle w:val="Heading2"/>
      </w:pPr>
      <w:bookmarkStart w:id="35" w:name="_Toc377038964"/>
      <w:r>
        <w:rPr>
          <w:rStyle w:val="CharPartNo"/>
        </w:rPr>
        <w:t>Part 4</w:t>
      </w:r>
      <w:r>
        <w:rPr>
          <w:rStyle w:val="CharDivNo"/>
        </w:rPr>
        <w:t> </w:t>
      </w:r>
      <w:r>
        <w:t>—</w:t>
      </w:r>
      <w:r>
        <w:rPr>
          <w:rStyle w:val="CharDivText"/>
        </w:rPr>
        <w:t> </w:t>
      </w:r>
      <w:r>
        <w:rPr>
          <w:rStyle w:val="CharPartText"/>
        </w:rPr>
        <w:t>Conduct of bookmaker wagering generally</w:t>
      </w:r>
      <w:bookmarkEnd w:id="35"/>
    </w:p>
    <w:p>
      <w:pPr>
        <w:pStyle w:val="Heading5"/>
      </w:pPr>
      <w:bookmarkStart w:id="36" w:name="_Toc377038965"/>
      <w:r>
        <w:rPr>
          <w:rStyle w:val="CharSectno"/>
        </w:rPr>
        <w:t>30</w:t>
      </w:r>
      <w:r>
        <w:t>.</w:t>
      </w:r>
      <w:r>
        <w:tab/>
        <w:t>Application</w:t>
      </w:r>
      <w:bookmarkEnd w:id="36"/>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37" w:name="_Toc377038966"/>
      <w:r>
        <w:rPr>
          <w:rStyle w:val="CharSectno"/>
        </w:rPr>
        <w:t>31</w:t>
      </w:r>
      <w:r>
        <w:t>.</w:t>
      </w:r>
      <w:r>
        <w:tab/>
        <w:t>Bookmakers, bookmaker’s managers and bookmaker’s employees to be licensed</w:t>
      </w:r>
      <w:bookmarkEnd w:id="37"/>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38" w:name="_Toc377038967"/>
      <w:r>
        <w:rPr>
          <w:rStyle w:val="CharSectno"/>
        </w:rPr>
        <w:t>32</w:t>
      </w:r>
      <w:r>
        <w:t>.</w:t>
      </w:r>
      <w:r>
        <w:tab/>
        <w:t>Bookmakers to operate in accordance with permit issued by racing club</w:t>
      </w:r>
      <w:bookmarkEnd w:id="38"/>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39" w:name="_Toc377038968"/>
      <w:r>
        <w:rPr>
          <w:rStyle w:val="CharSectno"/>
        </w:rPr>
        <w:t>33</w:t>
      </w:r>
      <w:r>
        <w:t>.</w:t>
      </w:r>
      <w:r>
        <w:tab/>
        <w:t>Bookmaker’s agents and substitutes</w:t>
      </w:r>
      <w:bookmarkEnd w:id="39"/>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40" w:name="_Toc377038969"/>
      <w:r>
        <w:rPr>
          <w:rStyle w:val="CharSectno"/>
        </w:rPr>
        <w:t>34</w:t>
      </w:r>
      <w:r>
        <w:t>.</w:t>
      </w:r>
      <w:r>
        <w:tab/>
        <w:t>Temporary bookmaker’s employee licence</w:t>
      </w:r>
      <w:bookmarkEnd w:id="40"/>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41" w:name="_Toc377038970"/>
      <w:r>
        <w:rPr>
          <w:rStyle w:val="CharSectno"/>
        </w:rPr>
        <w:t>35</w:t>
      </w:r>
      <w:r>
        <w:t>.</w:t>
      </w:r>
      <w:r>
        <w:tab/>
        <w:t>Supervision of wagering by bookmakers</w:t>
      </w:r>
      <w:bookmarkEnd w:id="41"/>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42" w:name="_Toc377038971"/>
      <w:r>
        <w:rPr>
          <w:rStyle w:val="CharSectno"/>
        </w:rPr>
        <w:t>36</w:t>
      </w:r>
      <w:r>
        <w:t>.</w:t>
      </w:r>
      <w:r>
        <w:tab/>
        <w:t>Duty to report non</w:t>
      </w:r>
      <w:r>
        <w:noBreakHyphen/>
        <w:t>compliance</w:t>
      </w:r>
      <w:bookmarkEnd w:id="42"/>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43" w:name="_Toc377038972"/>
      <w:r>
        <w:rPr>
          <w:rStyle w:val="CharSectno"/>
        </w:rPr>
        <w:t>37</w:t>
      </w:r>
      <w:r>
        <w:t>.</w:t>
      </w:r>
      <w:r>
        <w:tab/>
        <w:t>Record of wagering transactions</w:t>
      </w:r>
      <w:bookmarkEnd w:id="43"/>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44" w:name="_Toc377038973"/>
      <w:r>
        <w:rPr>
          <w:rStyle w:val="CharSectno"/>
        </w:rPr>
        <w:t>38</w:t>
      </w:r>
      <w:r>
        <w:t>.</w:t>
      </w:r>
      <w:r>
        <w:tab/>
        <w:t>Tickets</w:t>
      </w:r>
      <w:bookmarkEnd w:id="44"/>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45" w:name="_Toc377038974"/>
      <w:r>
        <w:rPr>
          <w:rStyle w:val="CharSectno"/>
        </w:rPr>
        <w:t>39</w:t>
      </w:r>
      <w:r>
        <w:t>.</w:t>
      </w:r>
      <w:r>
        <w:tab/>
        <w:t>Betting stands</w:t>
      </w:r>
      <w:bookmarkEnd w:id="45"/>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46" w:name="_Toc377038975"/>
      <w:r>
        <w:rPr>
          <w:rStyle w:val="CharSectno"/>
        </w:rPr>
        <w:t>40</w:t>
      </w:r>
      <w:r>
        <w:t>.</w:t>
      </w:r>
      <w:r>
        <w:tab/>
        <w:t>Betting boards, charts etc.</w:t>
      </w:r>
      <w:bookmarkEnd w:id="46"/>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in Gazette 29 Nov 2013 p.</w:t>
      </w:r>
      <w:r>
        <w:rPr>
          <w:sz w:val="19"/>
        </w:rPr>
        <w:t> </w:t>
      </w:r>
      <w:r>
        <w:t>5469.]</w:t>
      </w:r>
    </w:p>
    <w:p>
      <w:pPr>
        <w:pStyle w:val="Heading5"/>
      </w:pPr>
      <w:bookmarkStart w:id="47" w:name="_Toc377038976"/>
      <w:r>
        <w:rPr>
          <w:rStyle w:val="CharSectno"/>
        </w:rPr>
        <w:t>41</w:t>
      </w:r>
      <w:r>
        <w:t>.</w:t>
      </w:r>
      <w:r>
        <w:tab/>
        <w:t>Betting turnover returns</w:t>
      </w:r>
      <w:bookmarkEnd w:id="47"/>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48" w:name="_Toc377038977"/>
      <w:r>
        <w:rPr>
          <w:rStyle w:val="CharSectno"/>
        </w:rPr>
        <w:t>42</w:t>
      </w:r>
      <w:r>
        <w:t>.</w:t>
      </w:r>
      <w:r>
        <w:tab/>
        <w:t>Collection of wagering sheets</w:t>
      </w:r>
      <w:bookmarkEnd w:id="48"/>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49" w:name="_Toc377038978"/>
      <w:r>
        <w:rPr>
          <w:rStyle w:val="CharSectno"/>
        </w:rPr>
        <w:t>43</w:t>
      </w:r>
      <w:r>
        <w:t>.</w:t>
      </w:r>
      <w:r>
        <w:tab/>
        <w:t>Minimum wager obligations</w:t>
      </w:r>
      <w:bookmarkEnd w:id="49"/>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$1 500 at a time before the horses enter onto the track and more than $1 000 once the horses have entered onto the track;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w:t>
      </w:r>
    </w:p>
    <w:p>
      <w:pPr>
        <w:pStyle w:val="Heading5"/>
      </w:pPr>
      <w:bookmarkStart w:id="50" w:name="_Toc377038979"/>
      <w:r>
        <w:rPr>
          <w:rStyle w:val="CharSectno"/>
        </w:rPr>
        <w:t>44</w:t>
      </w:r>
      <w:r>
        <w:t>.</w:t>
      </w:r>
      <w:r>
        <w:tab/>
        <w:t>Wagers with domestic betting operators and totalisators</w:t>
      </w:r>
      <w:bookmarkEnd w:id="50"/>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in Gazette 14 Jun 2013 p. 2244-5.]</w:t>
      </w:r>
    </w:p>
    <w:p>
      <w:pPr>
        <w:pStyle w:val="Heading5"/>
      </w:pPr>
      <w:bookmarkStart w:id="51" w:name="_Toc377038980"/>
      <w:r>
        <w:rPr>
          <w:rStyle w:val="CharSectno"/>
        </w:rPr>
        <w:t>45A</w:t>
      </w:r>
      <w:r>
        <w:t>.</w:t>
      </w:r>
      <w:r>
        <w:tab/>
        <w:t>Bet back by means of a betting exchange</w:t>
      </w:r>
      <w:bookmarkEnd w:id="51"/>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in Gazette 14 Jun 2013 p. 2245-6.]</w:t>
      </w:r>
    </w:p>
    <w:p>
      <w:pPr>
        <w:pStyle w:val="Heading5"/>
      </w:pPr>
      <w:bookmarkStart w:id="52" w:name="_Toc377038981"/>
      <w:r>
        <w:rPr>
          <w:rStyle w:val="CharSectno"/>
        </w:rPr>
        <w:t>45</w:t>
      </w:r>
      <w:r>
        <w:t>.</w:t>
      </w:r>
      <w:r>
        <w:tab/>
        <w:t>Telephone wagering</w:t>
      </w:r>
      <w:bookmarkEnd w:id="52"/>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53" w:name="_Toc377038982"/>
      <w:r>
        <w:rPr>
          <w:rStyle w:val="CharSectno"/>
        </w:rPr>
        <w:t>46</w:t>
      </w:r>
      <w:r>
        <w:t>.</w:t>
      </w:r>
      <w:r>
        <w:tab/>
        <w:t>Internet wagering</w:t>
      </w:r>
      <w:bookmarkEnd w:id="53"/>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54" w:name="_Toc377038983"/>
      <w:r>
        <w:rPr>
          <w:rStyle w:val="CharSectno"/>
        </w:rPr>
        <w:t>47</w:t>
      </w:r>
      <w:r>
        <w:t>.</w:t>
      </w:r>
      <w:r>
        <w:tab/>
        <w:t>Settling generally</w:t>
      </w:r>
      <w:bookmarkEnd w:id="54"/>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55" w:name="_Toc377038984"/>
      <w:r>
        <w:rPr>
          <w:rStyle w:val="CharSectno"/>
        </w:rPr>
        <w:t>48</w:t>
      </w:r>
      <w:r>
        <w:t>.</w:t>
      </w:r>
      <w:r>
        <w:tab/>
        <w:t>Defaulters in wagering</w:t>
      </w:r>
      <w:bookmarkEnd w:id="55"/>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56" w:name="_Toc377038985"/>
      <w:r>
        <w:rPr>
          <w:rStyle w:val="CharPartNo"/>
        </w:rPr>
        <w:t>Part 5</w:t>
      </w:r>
      <w:r>
        <w:rPr>
          <w:rStyle w:val="CharDivNo"/>
        </w:rPr>
        <w:t> </w:t>
      </w:r>
      <w:r>
        <w:t>—</w:t>
      </w:r>
      <w:r>
        <w:rPr>
          <w:rStyle w:val="CharDivText"/>
        </w:rPr>
        <w:t> </w:t>
      </w:r>
      <w:r>
        <w:rPr>
          <w:rStyle w:val="CharPartText"/>
        </w:rPr>
        <w:t>Rules of bookmaker wagering</w:t>
      </w:r>
      <w:bookmarkEnd w:id="56"/>
    </w:p>
    <w:p>
      <w:pPr>
        <w:pStyle w:val="Heading5"/>
        <w:spacing w:before="180"/>
      </w:pPr>
      <w:bookmarkStart w:id="57" w:name="_Toc377038986"/>
      <w:r>
        <w:rPr>
          <w:rStyle w:val="CharSectno"/>
        </w:rPr>
        <w:t>49</w:t>
      </w:r>
      <w:r>
        <w:t>.</w:t>
      </w:r>
      <w:r>
        <w:tab/>
        <w:t>Terms used</w:t>
      </w:r>
      <w:bookmarkEnd w:id="57"/>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58" w:name="_Toc377038987"/>
      <w:r>
        <w:rPr>
          <w:rStyle w:val="CharSectno"/>
        </w:rPr>
        <w:t>50</w:t>
      </w:r>
      <w:r>
        <w:t>.</w:t>
      </w:r>
      <w:r>
        <w:tab/>
        <w:t>Permitted wagers — races</w:t>
      </w:r>
      <w:bookmarkEnd w:id="58"/>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Indenta"/>
      </w:pPr>
      <w:r>
        <w:tab/>
        <w:t>(f)</w:t>
      </w:r>
      <w:r>
        <w:tab/>
        <w:t xml:space="preserve">subject to rule 51A, in a starting price guarantee wager the bookmaker offers odds against a runner winning a particular race by taking the higher of — </w:t>
      </w:r>
    </w:p>
    <w:p>
      <w:pPr>
        <w:pStyle w:val="Indenti"/>
      </w:pPr>
      <w:r>
        <w:tab/>
        <w:t>(i)</w:t>
      </w:r>
      <w:r>
        <w:tab/>
        <w:t>the fixed odds for that runner as at the time of the wager; or</w:t>
      </w:r>
    </w:p>
    <w:p>
      <w:pPr>
        <w:pStyle w:val="Indenti"/>
      </w:pPr>
      <w:r>
        <w:tab/>
        <w:t>(ii)</w:t>
      </w:r>
      <w:r>
        <w:tab/>
        <w:t>the final odds for that runner offered by on</w:t>
      </w:r>
      <w:r>
        <w:noBreakHyphen/>
        <w:t>course bookmakers as determined by the Australian Prices Network;</w:t>
      </w:r>
    </w:p>
    <w:p>
      <w:pPr>
        <w:pStyle w:val="Indenta"/>
      </w:pPr>
      <w:r>
        <w:tab/>
        <w:t>(g)</w:t>
      </w:r>
      <w:r>
        <w:tab/>
        <w:t>subject to rule 51A, in a top fluc wager the bookmaker offers odds against a runner winning a particular race with those odds being the highest odds offered by on</w:t>
      </w:r>
      <w:r>
        <w:noBreakHyphen/>
        <w:t>course bookmakers as determined by the Australian Prices Network;</w:t>
      </w:r>
    </w:p>
    <w:p>
      <w:pPr>
        <w:pStyle w:val="Indenta"/>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in Gazette 7 Apr 2006 p. 1490; 29 Nov 2013 p. 5469</w:t>
      </w:r>
      <w:r>
        <w:noBreakHyphen/>
        <w:t>71.]</w:t>
      </w:r>
    </w:p>
    <w:p>
      <w:pPr>
        <w:pStyle w:val="Heading5"/>
      </w:pPr>
      <w:bookmarkStart w:id="59" w:name="_Toc377038988"/>
      <w:r>
        <w:rPr>
          <w:rStyle w:val="CharSectno"/>
        </w:rPr>
        <w:t>51A</w:t>
      </w:r>
      <w:r>
        <w:t>.</w:t>
      </w:r>
      <w:r>
        <w:tab/>
        <w:t>Default odds for starting price guarantee and top fluc wagering</w:t>
      </w:r>
      <w:bookmarkEnd w:id="59"/>
    </w:p>
    <w:p>
      <w:pPr>
        <w:pStyle w:val="Subsection"/>
      </w:pPr>
      <w:r>
        <w:tab/>
        <w:t>(1)</w:t>
      </w:r>
      <w:r>
        <w:tab/>
        <w:t>If a bookmaker accepts a starting price guarantee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Subsection"/>
      </w:pPr>
      <w:r>
        <w:tab/>
        <w:t>(2)</w:t>
      </w:r>
      <w:r>
        <w:tab/>
        <w:t>If a bookmaker accepts a top fluc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in Gazette 29 Nov 2013 p.</w:t>
      </w:r>
      <w:r>
        <w:rPr>
          <w:sz w:val="19"/>
        </w:rPr>
        <w:t> </w:t>
      </w:r>
      <w:r>
        <w:t>5471.]</w:t>
      </w:r>
    </w:p>
    <w:p>
      <w:pPr>
        <w:pStyle w:val="Heading5"/>
        <w:keepNext w:val="0"/>
        <w:spacing w:before="180"/>
      </w:pPr>
      <w:bookmarkStart w:id="60" w:name="_Toc377038989"/>
      <w:r>
        <w:rPr>
          <w:rStyle w:val="CharSectno"/>
        </w:rPr>
        <w:t>51</w:t>
      </w:r>
      <w:r>
        <w:t>.</w:t>
      </w:r>
      <w:r>
        <w:tab/>
        <w:t>Bookmakers not to offer, make or accept certain wagers</w:t>
      </w:r>
      <w:bookmarkEnd w:id="60"/>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pPr>
      <w:r>
        <w:tab/>
        <w:t>[(c), (d)</w:t>
      </w:r>
      <w:r>
        <w:tab/>
        <w:t>deleted]</w:t>
      </w:r>
    </w:p>
    <w:p>
      <w:pPr>
        <w:pStyle w:val="Footnotesection"/>
      </w:pPr>
      <w:r>
        <w:tab/>
        <w:t>[Rule 51 amended in Gazette 14 Jun 2013 p. 2246; 29 Nov 2013 p. 5471.]</w:t>
      </w:r>
    </w:p>
    <w:p>
      <w:pPr>
        <w:pStyle w:val="Heading5"/>
      </w:pPr>
      <w:bookmarkStart w:id="61" w:name="_Toc377038990"/>
      <w:r>
        <w:rPr>
          <w:rStyle w:val="CharSectno"/>
        </w:rPr>
        <w:t>52</w:t>
      </w:r>
      <w:r>
        <w:t>.</w:t>
      </w:r>
      <w:r>
        <w:tab/>
        <w:t>Provisions as to runners</w:t>
      </w:r>
      <w:bookmarkEnd w:id="61"/>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62" w:name="_Toc377038991"/>
      <w:r>
        <w:rPr>
          <w:rStyle w:val="CharSectno"/>
        </w:rPr>
        <w:t>53</w:t>
      </w:r>
      <w:r>
        <w:t>.</w:t>
      </w:r>
      <w:r>
        <w:tab/>
        <w:t>Wagers void in certain circumstances</w:t>
      </w:r>
      <w:bookmarkEnd w:id="62"/>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63" w:name="_Toc377038992"/>
      <w:r>
        <w:rPr>
          <w:rStyle w:val="CharSectno"/>
        </w:rPr>
        <w:t>54</w:t>
      </w:r>
      <w:r>
        <w:t>.</w:t>
      </w:r>
      <w:r>
        <w:tab/>
        <w:t>When wagers are off</w:t>
      </w:r>
      <w:bookmarkEnd w:id="63"/>
    </w:p>
    <w:p>
      <w:pPr>
        <w:pStyle w:val="Subsection"/>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in Gazette 29 Nov 2013 p.</w:t>
      </w:r>
      <w:r>
        <w:rPr>
          <w:sz w:val="19"/>
        </w:rPr>
        <w:t> </w:t>
      </w:r>
      <w:r>
        <w:t>5471.]</w:t>
      </w:r>
    </w:p>
    <w:p>
      <w:pPr>
        <w:pStyle w:val="Heading5"/>
      </w:pPr>
      <w:bookmarkStart w:id="64" w:name="_Toc377038993"/>
      <w:r>
        <w:rPr>
          <w:rStyle w:val="CharSectno"/>
        </w:rPr>
        <w:t>55</w:t>
      </w:r>
      <w:r>
        <w:t>.</w:t>
      </w:r>
      <w:r>
        <w:tab/>
        <w:t>Determination and settlement of wagers</w:t>
      </w:r>
      <w:bookmarkEnd w:id="64"/>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65" w:name="_Toc377038994"/>
      <w:r>
        <w:rPr>
          <w:rStyle w:val="CharSectno"/>
        </w:rPr>
        <w:t>56</w:t>
      </w:r>
      <w:r>
        <w:t>.</w:t>
      </w:r>
      <w:r>
        <w:tab/>
        <w:t>Determination of wagers where runner withdrawn</w:t>
      </w:r>
      <w:bookmarkEnd w:id="65"/>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66" w:name="_Toc377038995"/>
      <w:r>
        <w:rPr>
          <w:rStyle w:val="CharSectno"/>
        </w:rPr>
        <w:t>57</w:t>
      </w:r>
      <w:r>
        <w:t>.</w:t>
      </w:r>
      <w:r>
        <w:tab/>
        <w:t>Wagers to be pay or play except in certain circumstances</w:t>
      </w:r>
      <w:bookmarkEnd w:id="66"/>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67" w:name="_Toc377038996"/>
      <w:r>
        <w:rPr>
          <w:rStyle w:val="CharSectno"/>
        </w:rPr>
        <w:t>58</w:t>
      </w:r>
      <w:r>
        <w:t>.</w:t>
      </w:r>
      <w:r>
        <w:tab/>
        <w:t>Provisions as to settlement of wagers following dead heat</w:t>
      </w:r>
      <w:bookmarkEnd w:id="67"/>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68" w:name="_Toc377038997"/>
      <w:r>
        <w:rPr>
          <w:rStyle w:val="CharSectno"/>
        </w:rPr>
        <w:t>59</w:t>
      </w:r>
      <w:r>
        <w:t>.</w:t>
      </w:r>
      <w:r>
        <w:tab/>
        <w:t>Provisions as to races that are re</w:t>
      </w:r>
      <w:r>
        <w:noBreakHyphen/>
        <w:t>run</w:t>
      </w:r>
      <w:bookmarkEnd w:id="68"/>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69" w:name="_Toc377038998"/>
      <w:r>
        <w:rPr>
          <w:rStyle w:val="CharSectno"/>
        </w:rPr>
        <w:t>60</w:t>
      </w:r>
      <w:r>
        <w:t>.</w:t>
      </w:r>
      <w:r>
        <w:tab/>
        <w:t>Pre</w:t>
      </w:r>
      <w:r>
        <w:noBreakHyphen/>
        <w:t>post wagering on the final of special event</w:t>
      </w:r>
      <w:bookmarkEnd w:id="69"/>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70" w:name="_Toc377038999"/>
      <w:r>
        <w:rPr>
          <w:rStyle w:val="CharSectno"/>
        </w:rPr>
        <w:t>61</w:t>
      </w:r>
      <w:r>
        <w:t>.</w:t>
      </w:r>
      <w:r>
        <w:tab/>
        <w:t>“Favout” wagering</w:t>
      </w:r>
      <w:bookmarkEnd w:id="70"/>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71" w:name="_Toc377039000"/>
      <w:r>
        <w:rPr>
          <w:rStyle w:val="CharSectno"/>
        </w:rPr>
        <w:t>62</w:t>
      </w:r>
      <w:r>
        <w:t>.</w:t>
      </w:r>
      <w:r>
        <w:tab/>
        <w:t xml:space="preserve">Wagering on sporting event, or contingency, approved under </w:t>
      </w:r>
      <w:r>
        <w:rPr>
          <w:i/>
          <w:iCs/>
        </w:rPr>
        <w:t>Betting Control Act 1954</w:t>
      </w:r>
      <w:r>
        <w:rPr>
          <w:iCs/>
        </w:rPr>
        <w:t xml:space="preserve"> s. 4B</w:t>
      </w:r>
      <w:bookmarkEnd w:id="71"/>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72" w:name="_Toc377039001"/>
      <w:r>
        <w:rPr>
          <w:rStyle w:val="CharPartNo"/>
        </w:rPr>
        <w:t>Part 6</w:t>
      </w:r>
      <w:r>
        <w:rPr>
          <w:rStyle w:val="CharDivNo"/>
        </w:rPr>
        <w:t> </w:t>
      </w:r>
      <w:r>
        <w:t>—</w:t>
      </w:r>
      <w:r>
        <w:rPr>
          <w:rStyle w:val="CharDivText"/>
        </w:rPr>
        <w:t> </w:t>
      </w:r>
      <w:r>
        <w:rPr>
          <w:rStyle w:val="CharPartText"/>
        </w:rPr>
        <w:t>Rules as to the operation of totalisator agencies</w:t>
      </w:r>
      <w:bookmarkEnd w:id="72"/>
    </w:p>
    <w:p>
      <w:pPr>
        <w:pStyle w:val="Heading5"/>
      </w:pPr>
      <w:bookmarkStart w:id="73" w:name="_Toc377039002"/>
      <w:r>
        <w:rPr>
          <w:rStyle w:val="CharSectno"/>
        </w:rPr>
        <w:t>63</w:t>
      </w:r>
      <w:r>
        <w:t>.</w:t>
      </w:r>
      <w:r>
        <w:tab/>
        <w:t>Terms used</w:t>
      </w:r>
      <w:bookmarkEnd w:id="73"/>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74" w:name="_Toc377039003"/>
      <w:r>
        <w:rPr>
          <w:rStyle w:val="CharSectno"/>
        </w:rPr>
        <w:t>64</w:t>
      </w:r>
      <w:r>
        <w:t>.</w:t>
      </w:r>
      <w:r>
        <w:tab/>
        <w:t>Obligations of agents and employees while on duty</w:t>
      </w:r>
      <w:bookmarkEnd w:id="74"/>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75" w:name="_Toc377039004"/>
      <w:r>
        <w:rPr>
          <w:rStyle w:val="CharSectno"/>
        </w:rPr>
        <w:t>65</w:t>
      </w:r>
      <w:r>
        <w:t>.</w:t>
      </w:r>
      <w:r>
        <w:tab/>
        <w:t>Use of video surveillance</w:t>
      </w:r>
      <w:bookmarkEnd w:id="75"/>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76" w:name="_Toc377039005"/>
      <w:r>
        <w:rPr>
          <w:rStyle w:val="CharSectno"/>
        </w:rPr>
        <w:t>66</w:t>
      </w:r>
      <w:r>
        <w:t>.</w:t>
      </w:r>
      <w:r>
        <w:tab/>
        <w:t>Agency bonds</w:t>
      </w:r>
      <w:bookmarkEnd w:id="76"/>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77" w:name="_Toc377039006"/>
      <w:r>
        <w:rPr>
          <w:rStyle w:val="CharSectno"/>
        </w:rPr>
        <w:t>67</w:t>
      </w:r>
      <w:r>
        <w:t>.</w:t>
      </w:r>
      <w:r>
        <w:tab/>
        <w:t>Acceptance of cheques</w:t>
      </w:r>
      <w:bookmarkEnd w:id="77"/>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8" w:name="_Toc377039007"/>
      <w:r>
        <w:rPr>
          <w:rStyle w:val="CharSchNo"/>
        </w:rPr>
        <w:t>Schedule 1</w:t>
      </w:r>
      <w:r>
        <w:t xml:space="preserve"> — </w:t>
      </w:r>
      <w:r>
        <w:rPr>
          <w:rStyle w:val="CharSchText"/>
        </w:rPr>
        <w:t>Scale of Deduction Table</w:t>
      </w:r>
      <w:bookmarkEnd w:id="78"/>
    </w:p>
    <w:p>
      <w:pPr>
        <w:pStyle w:val="yShoulderClause"/>
      </w:pPr>
      <w:r>
        <w:t>[r. 56]</w:t>
      </w:r>
    </w:p>
    <w:p>
      <w:pPr>
        <w:pStyle w:val="yNumberedItem"/>
        <w:tabs>
          <w:tab w:val="clear" w:pos="879"/>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clear" w:pos="879"/>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clear" w:pos="879"/>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clear" w:pos="879"/>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clear" w:pos="879"/>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Ind w:w="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79" w:name="_Toc377039008"/>
      <w:r>
        <w:t>Notes</w:t>
      </w:r>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80" w:name="_Toc377039009"/>
      <w:r>
        <w:t>Compilation table</w:t>
      </w:r>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Rules of Wagering 2005</w:t>
            </w:r>
          </w:p>
        </w:tc>
        <w:tc>
          <w:tcPr>
            <w:tcW w:w="1276" w:type="dxa"/>
            <w:tcBorders>
              <w:top w:val="single" w:sz="8" w:space="0" w:color="auto"/>
            </w:tcBorders>
          </w:tcPr>
          <w:p>
            <w:pPr>
              <w:pStyle w:val="nTable"/>
              <w:spacing w:after="40"/>
              <w:rPr>
                <w:sz w:val="19"/>
              </w:rPr>
            </w:pPr>
            <w:r>
              <w:rPr>
                <w:sz w:val="19"/>
              </w:rPr>
              <w:t>28 Jan 2005 p. 401</w:t>
            </w:r>
            <w:r>
              <w:rPr>
                <w:sz w:val="19"/>
              </w:rPr>
              <w:noBreakHyphen/>
              <w:t>79</w:t>
            </w:r>
          </w:p>
        </w:tc>
        <w:tc>
          <w:tcPr>
            <w:tcW w:w="2693" w:type="dxa"/>
            <w:tcBorders>
              <w:top w:val="single" w:sz="8" w:space="0" w:color="auto"/>
            </w:tcBorders>
          </w:tcPr>
          <w:p>
            <w:pPr>
              <w:pStyle w:val="nTable"/>
              <w:spacing w:after="40"/>
              <w:rPr>
                <w:sz w:val="19"/>
              </w:rPr>
            </w:pPr>
            <w:r>
              <w:rPr>
                <w:sz w:val="19"/>
              </w:rPr>
              <w:t>30 Jan 2005 (see r. 2)</w:t>
            </w:r>
          </w:p>
        </w:tc>
      </w:tr>
      <w:tr>
        <w:tc>
          <w:tcPr>
            <w:tcW w:w="3118" w:type="dxa"/>
          </w:tcPr>
          <w:p>
            <w:pPr>
              <w:pStyle w:val="nTable"/>
              <w:spacing w:after="40"/>
              <w:rPr>
                <w:i/>
                <w:noProof/>
                <w:snapToGrid w:val="0"/>
                <w:sz w:val="19"/>
              </w:rPr>
            </w:pPr>
            <w:r>
              <w:rPr>
                <w:i/>
                <w:noProof/>
                <w:snapToGrid w:val="0"/>
                <w:sz w:val="19"/>
              </w:rPr>
              <w:t>Rules of Wagering Amendment Rules 2005</w:t>
            </w:r>
          </w:p>
        </w:tc>
        <w:tc>
          <w:tcPr>
            <w:tcW w:w="1276" w:type="dxa"/>
          </w:tcPr>
          <w:p>
            <w:pPr>
              <w:pStyle w:val="nTable"/>
              <w:spacing w:after="40"/>
              <w:rPr>
                <w:sz w:val="19"/>
              </w:rPr>
            </w:pPr>
            <w:r>
              <w:rPr>
                <w:sz w:val="19"/>
              </w:rPr>
              <w:t>30 Aug 2005 p. 4055</w:t>
            </w:r>
          </w:p>
        </w:tc>
        <w:tc>
          <w:tcPr>
            <w:tcW w:w="2693" w:type="dxa"/>
          </w:tcPr>
          <w:p>
            <w:pPr>
              <w:pStyle w:val="nTable"/>
              <w:spacing w:after="40"/>
              <w:rPr>
                <w:sz w:val="19"/>
              </w:rPr>
            </w:pPr>
            <w:r>
              <w:rPr>
                <w:sz w:val="19"/>
              </w:rPr>
              <w:t>30 Aug 2005</w:t>
            </w:r>
          </w:p>
        </w:tc>
      </w:tr>
      <w:tr>
        <w:tc>
          <w:tcPr>
            <w:tcW w:w="3118" w:type="dxa"/>
          </w:tcPr>
          <w:p>
            <w:pPr>
              <w:pStyle w:val="nTable"/>
              <w:spacing w:after="40"/>
              <w:rPr>
                <w:i/>
                <w:noProof/>
                <w:snapToGrid w:val="0"/>
                <w:sz w:val="19"/>
              </w:rPr>
            </w:pPr>
            <w:r>
              <w:rPr>
                <w:i/>
                <w:noProof/>
                <w:snapToGrid w:val="0"/>
                <w:sz w:val="19"/>
              </w:rPr>
              <w:t>Rules of Wagering Amendment Rules 2006</w:t>
            </w:r>
          </w:p>
        </w:tc>
        <w:tc>
          <w:tcPr>
            <w:tcW w:w="1276" w:type="dxa"/>
          </w:tcPr>
          <w:p>
            <w:pPr>
              <w:pStyle w:val="nTable"/>
              <w:spacing w:after="40"/>
              <w:rPr>
                <w:sz w:val="19"/>
              </w:rPr>
            </w:pPr>
            <w:r>
              <w:rPr>
                <w:sz w:val="19"/>
              </w:rPr>
              <w:t>7 Apr 2006 p. 1489</w:t>
            </w:r>
            <w:r>
              <w:rPr>
                <w:sz w:val="19"/>
              </w:rPr>
              <w:noBreakHyphen/>
              <w:t>90</w:t>
            </w:r>
          </w:p>
        </w:tc>
        <w:tc>
          <w:tcPr>
            <w:tcW w:w="2693" w:type="dxa"/>
          </w:tcPr>
          <w:p>
            <w:pPr>
              <w:pStyle w:val="nTable"/>
              <w:spacing w:after="40"/>
              <w:rPr>
                <w:sz w:val="19"/>
              </w:rPr>
            </w:pPr>
            <w:r>
              <w:rPr>
                <w:sz w:val="19"/>
              </w:rPr>
              <w:t>7 Apr 2006</w:t>
            </w:r>
          </w:p>
        </w:tc>
      </w:tr>
      <w:tr>
        <w:tc>
          <w:tcPr>
            <w:tcW w:w="3118" w:type="dxa"/>
          </w:tcPr>
          <w:p>
            <w:pPr>
              <w:pStyle w:val="nTable"/>
              <w:spacing w:after="40"/>
              <w:rPr>
                <w:i/>
                <w:noProof/>
                <w:snapToGrid w:val="0"/>
                <w:sz w:val="19"/>
              </w:rPr>
            </w:pPr>
            <w:r>
              <w:rPr>
                <w:i/>
                <w:noProof/>
                <w:snapToGrid w:val="0"/>
                <w:sz w:val="19"/>
              </w:rPr>
              <w:t>Rules of Wagering Amendment Rules (No. 2) 2006</w:t>
            </w:r>
          </w:p>
        </w:tc>
        <w:tc>
          <w:tcPr>
            <w:tcW w:w="1276" w:type="dxa"/>
          </w:tcPr>
          <w:p>
            <w:pPr>
              <w:pStyle w:val="nTable"/>
              <w:spacing w:after="40"/>
              <w:rPr>
                <w:sz w:val="19"/>
              </w:rPr>
            </w:pPr>
            <w:r>
              <w:rPr>
                <w:sz w:val="19"/>
              </w:rPr>
              <w:t>18 Aug 2006 p. 3369</w:t>
            </w:r>
            <w:r>
              <w:rPr>
                <w:sz w:val="19"/>
              </w:rPr>
              <w:noBreakHyphen/>
              <w:t>70</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Rules of Wagering Amendment Rules (No. 2) 2007</w:t>
            </w:r>
          </w:p>
        </w:tc>
        <w:tc>
          <w:tcPr>
            <w:tcW w:w="1276" w:type="dxa"/>
          </w:tcPr>
          <w:p>
            <w:pPr>
              <w:pStyle w:val="nTable"/>
              <w:spacing w:after="40"/>
              <w:rPr>
                <w:sz w:val="19"/>
              </w:rPr>
            </w:pPr>
            <w:r>
              <w:rPr>
                <w:sz w:val="19"/>
              </w:rPr>
              <w:t>20 Jul 2007 p. 3629</w:t>
            </w:r>
            <w:r>
              <w:rPr>
                <w:sz w:val="19"/>
              </w:rPr>
              <w:noBreakHyphen/>
              <w:t>30</w:t>
            </w:r>
          </w:p>
        </w:tc>
        <w:tc>
          <w:tcPr>
            <w:tcW w:w="2693" w:type="dxa"/>
          </w:tcPr>
          <w:p>
            <w:pPr>
              <w:pStyle w:val="nTable"/>
              <w:spacing w:after="40"/>
              <w:rPr>
                <w:sz w:val="19"/>
              </w:rPr>
            </w:pPr>
            <w:r>
              <w:rPr>
                <w:sz w:val="19"/>
              </w:rPr>
              <w:t>20 Jul 2007</w:t>
            </w:r>
          </w:p>
        </w:tc>
      </w:tr>
      <w:tr>
        <w:tc>
          <w:tcPr>
            <w:tcW w:w="3118" w:type="dxa"/>
          </w:tcPr>
          <w:p>
            <w:pPr>
              <w:pStyle w:val="nTable"/>
              <w:spacing w:after="40"/>
              <w:rPr>
                <w:i/>
                <w:noProof/>
                <w:snapToGrid w:val="0"/>
                <w:sz w:val="19"/>
              </w:rPr>
            </w:pPr>
            <w:r>
              <w:rPr>
                <w:i/>
                <w:noProof/>
                <w:snapToGrid w:val="0"/>
                <w:sz w:val="19"/>
              </w:rPr>
              <w:t>Rules of Wagering Amendment Rules 2007</w:t>
            </w:r>
          </w:p>
        </w:tc>
        <w:tc>
          <w:tcPr>
            <w:tcW w:w="1276" w:type="dxa"/>
          </w:tcPr>
          <w:p>
            <w:pPr>
              <w:pStyle w:val="nTable"/>
              <w:spacing w:after="40"/>
              <w:rPr>
                <w:sz w:val="19"/>
              </w:rPr>
            </w:pPr>
            <w:r>
              <w:rPr>
                <w:sz w:val="19"/>
              </w:rPr>
              <w:t>18 Sep 2007 p. 4711</w:t>
            </w:r>
            <w:r>
              <w:rPr>
                <w:sz w:val="19"/>
              </w:rPr>
              <w:noBreakHyphen/>
              <w:t>14</w:t>
            </w:r>
          </w:p>
        </w:tc>
        <w:tc>
          <w:tcPr>
            <w:tcW w:w="2693" w:type="dxa"/>
          </w:tcPr>
          <w:p>
            <w:pPr>
              <w:pStyle w:val="nTable"/>
              <w:spacing w:after="40"/>
              <w:rPr>
                <w:sz w:val="19"/>
              </w:rPr>
            </w:pPr>
            <w:r>
              <w:rPr>
                <w:snapToGrid w:val="0"/>
                <w:sz w:val="19"/>
              </w:rPr>
              <w:t>r. 1 and 2: 18 Sep 2007 (see r. 2(a));</w:t>
            </w:r>
            <w:r>
              <w:rPr>
                <w:snapToGrid w:val="0"/>
                <w:sz w:val="19"/>
              </w:rPr>
              <w:br/>
              <w:t>Rules other than r. 1 and 2: 19 Sep 2007 (see r. 2(b))</w:t>
            </w:r>
          </w:p>
        </w:tc>
      </w:tr>
      <w:tr>
        <w:tc>
          <w:tcPr>
            <w:tcW w:w="3118" w:type="dxa"/>
          </w:tcPr>
          <w:p>
            <w:pPr>
              <w:pStyle w:val="nTable"/>
              <w:spacing w:after="40"/>
              <w:rPr>
                <w:i/>
                <w:noProof/>
                <w:snapToGrid w:val="0"/>
                <w:sz w:val="19"/>
              </w:rPr>
            </w:pPr>
            <w:r>
              <w:rPr>
                <w:i/>
                <w:noProof/>
                <w:snapToGrid w:val="0"/>
                <w:sz w:val="19"/>
              </w:rPr>
              <w:t>Rules of Wagering Amendment Rules (No. 2) 2010</w:t>
            </w:r>
          </w:p>
        </w:tc>
        <w:tc>
          <w:tcPr>
            <w:tcW w:w="1276" w:type="dxa"/>
          </w:tcPr>
          <w:p>
            <w:pPr>
              <w:pStyle w:val="nTable"/>
              <w:spacing w:after="40"/>
              <w:rPr>
                <w:sz w:val="19"/>
              </w:rPr>
            </w:pPr>
            <w:r>
              <w:rPr>
                <w:sz w:val="19"/>
              </w:rPr>
              <w:t>19 Oct 2010 p. 5191</w:t>
            </w:r>
            <w:r>
              <w:rPr>
                <w:sz w:val="19"/>
              </w:rPr>
              <w:noBreakHyphen/>
              <w:t>2</w:t>
            </w:r>
          </w:p>
        </w:tc>
        <w:tc>
          <w:tcPr>
            <w:tcW w:w="2693" w:type="dxa"/>
          </w:tcPr>
          <w:p>
            <w:pPr>
              <w:pStyle w:val="nTable"/>
              <w:spacing w:after="40"/>
              <w:rPr>
                <w:snapToGrid w:val="0"/>
                <w:sz w:val="19"/>
              </w:rPr>
            </w:pPr>
            <w:r>
              <w:rPr>
                <w:snapToGrid w:val="0"/>
                <w:sz w:val="19"/>
              </w:rPr>
              <w:t>r. 1 and 2: 19 Oct 2010 (see r. 2(a));</w:t>
            </w:r>
            <w:r>
              <w:rPr>
                <w:snapToGrid w:val="0"/>
                <w:sz w:val="19"/>
              </w:rPr>
              <w:br/>
              <w:t>Rules other than r. 1 and 2: 20 Oct 2010 (see r. 2(b))</w:t>
            </w:r>
          </w:p>
        </w:tc>
      </w:tr>
      <w:tr>
        <w:tc>
          <w:tcPr>
            <w:tcW w:w="3118" w:type="dxa"/>
          </w:tcPr>
          <w:p>
            <w:pPr>
              <w:pStyle w:val="nTable"/>
              <w:spacing w:after="40"/>
              <w:rPr>
                <w:i/>
                <w:noProof/>
                <w:snapToGrid w:val="0"/>
                <w:sz w:val="19"/>
              </w:rPr>
            </w:pPr>
            <w:r>
              <w:rPr>
                <w:i/>
                <w:noProof/>
                <w:snapToGrid w:val="0"/>
                <w:sz w:val="19"/>
              </w:rPr>
              <w:t>Rules of Wagering Amendment Rules 2012</w:t>
            </w:r>
          </w:p>
        </w:tc>
        <w:tc>
          <w:tcPr>
            <w:tcW w:w="1276" w:type="dxa"/>
          </w:tcPr>
          <w:p>
            <w:pPr>
              <w:pStyle w:val="nTable"/>
              <w:spacing w:after="40"/>
              <w:rPr>
                <w:sz w:val="19"/>
              </w:rPr>
            </w:pPr>
            <w:r>
              <w:rPr>
                <w:sz w:val="19"/>
              </w:rPr>
              <w:t>4 Jan 2013 p. 15</w:t>
            </w:r>
            <w:r>
              <w:rPr>
                <w:sz w:val="19"/>
              </w:rPr>
              <w:noBreakHyphen/>
              <w:t>19</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3118" w:type="dxa"/>
          </w:tcPr>
          <w:p>
            <w:pPr>
              <w:pStyle w:val="nTable"/>
              <w:spacing w:after="40"/>
              <w:rPr>
                <w:i/>
                <w:noProof/>
                <w:snapToGrid w:val="0"/>
                <w:sz w:val="19"/>
              </w:rPr>
            </w:pPr>
            <w:r>
              <w:rPr>
                <w:i/>
                <w:noProof/>
                <w:snapToGrid w:val="0"/>
                <w:sz w:val="19"/>
              </w:rPr>
              <w:t>Rules of Wagering Amendment Rules (No. 2) 2012</w:t>
            </w:r>
          </w:p>
        </w:tc>
        <w:tc>
          <w:tcPr>
            <w:tcW w:w="1276" w:type="dxa"/>
          </w:tcPr>
          <w:p>
            <w:pPr>
              <w:pStyle w:val="nTable"/>
              <w:spacing w:after="40"/>
              <w:rPr>
                <w:sz w:val="19"/>
              </w:rPr>
            </w:pPr>
            <w:r>
              <w:rPr>
                <w:sz w:val="19"/>
              </w:rPr>
              <w:t>4 Jan 2013 p. 20</w:t>
            </w:r>
            <w:r>
              <w:rPr>
                <w:sz w:val="19"/>
              </w:rPr>
              <w:noBreakHyphen/>
              <w:t>2</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7087" w:type="dxa"/>
            <w:gridSpan w:val="3"/>
            <w:shd w:val="clear" w:color="auto" w:fill="auto"/>
          </w:tcPr>
          <w:p>
            <w:pPr>
              <w:pStyle w:val="nTable"/>
              <w:spacing w:after="40"/>
              <w:rPr>
                <w:snapToGrid w:val="0"/>
                <w:sz w:val="19"/>
              </w:rPr>
            </w:pPr>
            <w:r>
              <w:rPr>
                <w:b/>
                <w:snapToGrid w:val="0"/>
                <w:sz w:val="19"/>
              </w:rPr>
              <w:t xml:space="preserve">Reprint 1:  The </w:t>
            </w:r>
            <w:r>
              <w:rPr>
                <w:b/>
                <w:i/>
                <w:snapToGrid w:val="0"/>
                <w:sz w:val="19"/>
              </w:rPr>
              <w:t>Rules of Wagering 2005</w:t>
            </w:r>
            <w:r>
              <w:rPr>
                <w:b/>
                <w:snapToGrid w:val="0"/>
                <w:sz w:val="19"/>
              </w:rPr>
              <w:t xml:space="preserve"> as at 12 Apr 2013</w:t>
            </w:r>
            <w:r>
              <w:rPr>
                <w:snapToGrid w:val="0"/>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Rules of Wagering Amendment Rules 2013</w:t>
            </w:r>
          </w:p>
        </w:tc>
        <w:tc>
          <w:tcPr>
            <w:tcW w:w="1276" w:type="dxa"/>
          </w:tcPr>
          <w:p>
            <w:pPr>
              <w:pStyle w:val="nTable"/>
              <w:spacing w:after="40"/>
              <w:rPr>
                <w:sz w:val="19"/>
              </w:rPr>
            </w:pPr>
            <w:r>
              <w:rPr>
                <w:sz w:val="19"/>
              </w:rPr>
              <w:t>14 Jun 2013 p. 2243-6</w:t>
            </w:r>
          </w:p>
        </w:tc>
        <w:tc>
          <w:tcPr>
            <w:tcW w:w="2693" w:type="dxa"/>
          </w:tcPr>
          <w:p>
            <w:pPr>
              <w:pStyle w:val="nTable"/>
              <w:spacing w:after="40"/>
              <w:rPr>
                <w:snapToGrid w:val="0"/>
                <w:sz w:val="19"/>
              </w:rPr>
            </w:pPr>
            <w:r>
              <w:rPr>
                <w:snapToGrid w:val="0"/>
                <w:sz w:val="19"/>
              </w:rPr>
              <w:t>r. 1 and 2: 14 Jun 2013 (see r. 2(a));</w:t>
            </w:r>
            <w:r>
              <w:rPr>
                <w:snapToGrid w:val="0"/>
                <w:sz w:val="19"/>
              </w:rPr>
              <w:br/>
              <w:t>Rules other than r. 1 and 2: 15 Jun 2013 (see r. 2(b))</w:t>
            </w:r>
          </w:p>
        </w:tc>
      </w:tr>
      <w:tr>
        <w:tc>
          <w:tcPr>
            <w:tcW w:w="3118" w:type="dxa"/>
            <w:tcBorders>
              <w:bottom w:val="single" w:sz="4" w:space="0" w:color="auto"/>
            </w:tcBorders>
          </w:tcPr>
          <w:p>
            <w:pPr>
              <w:pStyle w:val="nTable"/>
              <w:keepNext/>
              <w:spacing w:after="40"/>
              <w:rPr>
                <w:i/>
                <w:noProof/>
                <w:snapToGrid w:val="0"/>
                <w:sz w:val="19"/>
              </w:rPr>
            </w:pPr>
            <w:r>
              <w:rPr>
                <w:i/>
                <w:noProof/>
                <w:snapToGrid w:val="0"/>
                <w:sz w:val="19"/>
              </w:rPr>
              <w:t>Rules of Wagering Amendment Rules (No. 2) 2013</w:t>
            </w:r>
          </w:p>
        </w:tc>
        <w:tc>
          <w:tcPr>
            <w:tcW w:w="1276" w:type="dxa"/>
            <w:tcBorders>
              <w:bottom w:val="single" w:sz="4" w:space="0" w:color="auto"/>
            </w:tcBorders>
          </w:tcPr>
          <w:p>
            <w:pPr>
              <w:pStyle w:val="nTable"/>
              <w:keepNext/>
              <w:spacing w:after="40"/>
              <w:rPr>
                <w:sz w:val="19"/>
              </w:rPr>
            </w:pPr>
            <w:r>
              <w:rPr>
                <w:sz w:val="19"/>
              </w:rPr>
              <w:t>29 Nov 2013 p. 5468</w:t>
            </w:r>
            <w:r>
              <w:rPr>
                <w:sz w:val="19"/>
              </w:rPr>
              <w:noBreakHyphen/>
              <w:t>72</w:t>
            </w:r>
          </w:p>
        </w:tc>
        <w:tc>
          <w:tcPr>
            <w:tcW w:w="2693" w:type="dxa"/>
            <w:tcBorders>
              <w:bottom w:val="single" w:sz="4" w:space="0" w:color="auto"/>
            </w:tcBorders>
          </w:tcPr>
          <w:p>
            <w:pPr>
              <w:pStyle w:val="nTable"/>
              <w:keepNext/>
              <w:spacing w:after="40"/>
              <w:rPr>
                <w:snapToGrid w:val="0"/>
                <w:sz w:val="19"/>
              </w:rPr>
            </w:pPr>
            <w:r>
              <w:rPr>
                <w:bCs/>
                <w:snapToGrid w:val="0"/>
                <w:sz w:val="19"/>
              </w:rPr>
              <w:t>r. 1 and 2: 29 Nov 2013 (see r. 2(a));</w:t>
            </w:r>
            <w:r>
              <w:rPr>
                <w:bCs/>
                <w:snapToGrid w:val="0"/>
                <w:sz w:val="19"/>
              </w:rPr>
              <w:br/>
              <w:t>Rules other than r. 1 and 2: 30 Nov 2013 (see r. 2(b))</w:t>
            </w:r>
          </w:p>
        </w:tc>
      </w:tr>
    </w:tbl>
    <w:p/>
    <w:p>
      <w:pPr>
        <w:sectPr>
          <w:headerReference w:type="even" r:id="rId31"/>
          <w:headerReference w:type="default" r:id="rId32"/>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81" w:name="_Toc377039010"/>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 w:name="DefinedTerms"/>
      <w:bookmarkEnd w:id="82"/>
      <w:r>
        <w:t>agency manual</w:t>
      </w:r>
      <w:r>
        <w:tab/>
        <w:t>63</w:t>
      </w:r>
    </w:p>
    <w:p>
      <w:pPr>
        <w:pStyle w:val="DefinedTerms"/>
      </w:pPr>
      <w:r>
        <w:t>agency settlement</w:t>
      </w:r>
      <w:r>
        <w:tab/>
        <w:t>63</w:t>
      </w:r>
    </w:p>
    <w:p>
      <w:pPr>
        <w:pStyle w:val="DefinedTerms"/>
      </w:pPr>
      <w:r>
        <w:t>all</w:t>
      </w:r>
      <w:r>
        <w:noBreakHyphen/>
        <w:t>up</w:t>
      </w:r>
      <w:r>
        <w:tab/>
        <w:t>3(1)</w:t>
      </w:r>
    </w:p>
    <w:p>
      <w:pPr>
        <w:pStyle w:val="DefinedTerms"/>
      </w:pPr>
      <w:r>
        <w:t>Australian Prices Network</w:t>
      </w:r>
      <w:r>
        <w:tab/>
        <w:t>3(1)</w:t>
      </w:r>
    </w:p>
    <w:p>
      <w:pPr>
        <w:pStyle w:val="DefinedTerms"/>
      </w:pPr>
      <w:r>
        <w:t>Australian totalisator</w:t>
      </w:r>
      <w:r>
        <w:tab/>
        <w:t>3(1)</w:t>
      </w:r>
    </w:p>
    <w:p>
      <w:pPr>
        <w:pStyle w:val="DefinedTerms"/>
      </w:pPr>
      <w:r>
        <w:t>bet</w:t>
      </w:r>
      <w:r>
        <w:tab/>
        <w:t>3(2)</w:t>
      </w:r>
    </w:p>
    <w:p>
      <w:pPr>
        <w:pStyle w:val="DefinedTerms"/>
      </w:pPr>
      <w:r>
        <w:t>bet back</w:t>
      </w:r>
      <w:r>
        <w:tab/>
        <w:t>3(1)</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depositor</w:t>
      </w:r>
      <w:r>
        <w:tab/>
        <w:t>3(1)</w:t>
      </w:r>
    </w:p>
    <w:p>
      <w:pPr>
        <w:pStyle w:val="DefinedTerms"/>
      </w:pPr>
      <w:r>
        <w:t>dividend</w:t>
      </w:r>
      <w:r>
        <w:tab/>
        <w:t>3(1)</w:t>
      </w:r>
    </w:p>
    <w:p>
      <w:pPr>
        <w:pStyle w:val="DefinedTerms"/>
      </w:pPr>
      <w:r>
        <w:t>domestic betting operator</w:t>
      </w:r>
      <w:r>
        <w:tab/>
        <w:t>44(1A)</w:t>
      </w:r>
    </w:p>
    <w:p>
      <w:pPr>
        <w:pStyle w:val="DefinedTerms"/>
      </w:pPr>
      <w:r>
        <w:t>doubles</w:t>
      </w:r>
      <w:r>
        <w:tab/>
        <w:t>3(1)</w:t>
      </w:r>
    </w:p>
    <w:p>
      <w:pPr>
        <w:pStyle w:val="DefinedTerms"/>
      </w:pPr>
      <w:r>
        <w:t>draw</w:t>
      </w:r>
      <w:r>
        <w:tab/>
        <w:t>28(2)</w:t>
      </w:r>
    </w:p>
    <w:p>
      <w:pPr>
        <w:pStyle w:val="DefinedTerms"/>
      </w:pPr>
      <w:r>
        <w:t>fixed odds wager</w:t>
      </w:r>
      <w:r>
        <w:tab/>
        <w:t>3(1)</w:t>
      </w:r>
    </w:p>
    <w:p>
      <w:pPr>
        <w:pStyle w:val="DefinedTerms"/>
      </w:pPr>
      <w:r>
        <w:t>flat commission method</w:t>
      </w:r>
      <w:r>
        <w:tab/>
        <w:t>16(2)</w:t>
      </w:r>
    </w:p>
    <w:p>
      <w:pPr>
        <w:pStyle w:val="DefinedTerms"/>
      </w:pPr>
      <w:r>
        <w:t>Flexi Bet</w:t>
      </w:r>
      <w:r>
        <w:tab/>
        <w:t>3(1)</w:t>
      </w:r>
    </w:p>
    <w:p>
      <w:pPr>
        <w:pStyle w:val="DefinedTerms"/>
      </w:pPr>
      <w:r>
        <w:t>footo</w:t>
      </w:r>
      <w:r>
        <w:tab/>
        <w:t>24</w:t>
      </w:r>
    </w:p>
    <w:p>
      <w:pPr>
        <w:pStyle w:val="DefinedTerms"/>
      </w:pPr>
      <w:r>
        <w:t>footy tipping wager</w:t>
      </w:r>
      <w:r>
        <w:tab/>
        <w:t>24</w:t>
      </w:r>
    </w:p>
    <w:p>
      <w:pPr>
        <w:pStyle w:val="DefinedTerms"/>
      </w:pPr>
      <w:r>
        <w:t>game pool</w:t>
      </w:r>
      <w:r>
        <w:tab/>
        <w:t>25(2)</w:t>
      </w:r>
    </w:p>
    <w:p>
      <w:pPr>
        <w:pStyle w:val="DefinedTerms"/>
      </w:pPr>
      <w:r>
        <w:t>internet wagering</w:t>
      </w:r>
      <w:r>
        <w:tab/>
        <w:t>3(1)</w:t>
      </w:r>
    </w:p>
    <w:p>
      <w:pPr>
        <w:pStyle w:val="DefinedTerms"/>
      </w:pPr>
      <w:r>
        <w:t>investor</w:t>
      </w:r>
      <w:r>
        <w:tab/>
        <w:t>3(1)</w:t>
      </w:r>
    </w:p>
    <w:p>
      <w:pPr>
        <w:pStyle w:val="DefinedTerms"/>
      </w:pPr>
      <w:r>
        <w:t>late scratched runner</w:t>
      </w:r>
      <w:r>
        <w:tab/>
        <w:t>56(1)</w:t>
      </w:r>
    </w:p>
    <w:p>
      <w:pPr>
        <w:pStyle w:val="DefinedTerms"/>
      </w:pPr>
      <w:r>
        <w:t>losing wagers method</w:t>
      </w:r>
      <w:r>
        <w:tab/>
        <w:t>16(2)</w:t>
      </w:r>
    </w:p>
    <w:p>
      <w:pPr>
        <w:pStyle w:val="DefinedTerms"/>
      </w:pPr>
      <w:r>
        <w:t>middle dividend</w:t>
      </w:r>
      <w:r>
        <w:tab/>
        <w:t>3(1)</w:t>
      </w:r>
    </w:p>
    <w:p>
      <w:pPr>
        <w:pStyle w:val="DefinedTerms"/>
      </w:pPr>
      <w:r>
        <w:t>multiple double</w:t>
      </w:r>
      <w:r>
        <w:tab/>
        <w:t>3(1)</w:t>
      </w:r>
    </w:p>
    <w:p>
      <w:pPr>
        <w:pStyle w:val="DefinedTerms"/>
      </w:pPr>
      <w:r>
        <w:t>no race</w:t>
      </w:r>
      <w:r>
        <w:tab/>
        <w:t>3(1)</w:t>
      </w:r>
    </w:p>
    <w:p>
      <w:pPr>
        <w:pStyle w:val="DefinedTerms"/>
      </w:pPr>
      <w:r>
        <w:t>novelty wager</w:t>
      </w:r>
      <w:r>
        <w:tab/>
        <w:t>3(1)</w:t>
      </w:r>
    </w:p>
    <w:p>
      <w:pPr>
        <w:pStyle w:val="DefinedTerms"/>
      </w:pPr>
      <w:r>
        <w:t>novelty wagers</w:t>
      </w:r>
      <w:r>
        <w:tab/>
        <w:t>17(1)</w:t>
      </w:r>
    </w:p>
    <w:p>
      <w:pPr>
        <w:pStyle w:val="DefinedTerms"/>
      </w:pPr>
      <w:r>
        <w:t>objection</w:t>
      </w:r>
      <w:r>
        <w:tab/>
        <w:t>3(1)</w:t>
      </w:r>
    </w:p>
    <w:p>
      <w:pPr>
        <w:pStyle w:val="DefinedTerms"/>
      </w:pPr>
      <w:r>
        <w:t>odds</w:t>
      </w:r>
      <w:r>
        <w:tab/>
        <w:t>49(1), 56(1)</w:t>
      </w:r>
    </w:p>
    <w:p>
      <w:pPr>
        <w:pStyle w:val="DefinedTerms"/>
      </w:pPr>
      <w:r>
        <w:t>odds portion</w:t>
      </w:r>
      <w:r>
        <w:tab/>
        <w:t>49(1)</w:t>
      </w:r>
    </w:p>
    <w:p>
      <w:pPr>
        <w:pStyle w:val="DefinedTerms"/>
      </w:pPr>
      <w:r>
        <w:t>official result</w:t>
      </w:r>
      <w:r>
        <w:tab/>
        <w:t>3(1)</w:t>
      </w:r>
    </w:p>
    <w:p>
      <w:pPr>
        <w:pStyle w:val="DefinedTerms"/>
      </w:pPr>
      <w:r>
        <w:t>on</w:t>
      </w:r>
      <w:r>
        <w:noBreakHyphen/>
        <w:t>course totalisator</w:t>
      </w:r>
      <w:r>
        <w:tab/>
        <w:t>3(1)</w:t>
      </w:r>
    </w:p>
    <w:p>
      <w:pPr>
        <w:pStyle w:val="DefinedTerms"/>
      </w:pPr>
      <w:r>
        <w:t>on</w:t>
      </w:r>
      <w:r>
        <w:noBreakHyphen/>
        <w:t>course totalisator manager</w:t>
      </w:r>
      <w:r>
        <w:tab/>
        <w:t>3(1)</w:t>
      </w:r>
    </w:p>
    <w:p>
      <w:pPr>
        <w:pStyle w:val="DefinedTerms"/>
      </w:pPr>
      <w:r>
        <w:t>participant</w:t>
      </w:r>
      <w:r>
        <w:tab/>
        <w:t>3(1)</w:t>
      </w:r>
    </w:p>
    <w:p>
      <w:pPr>
        <w:pStyle w:val="DefinedTerms"/>
      </w:pPr>
      <w:r>
        <w:t>percentage</w:t>
      </w:r>
      <w:r>
        <w:tab/>
        <w:t>56(1)</w:t>
      </w:r>
    </w:p>
    <w:p>
      <w:pPr>
        <w:pStyle w:val="DefinedTerms"/>
      </w:pPr>
      <w:r>
        <w:t>place wager</w:t>
      </w:r>
      <w:r>
        <w:tab/>
        <w:t>3(1)</w:t>
      </w:r>
    </w:p>
    <w:p>
      <w:pPr>
        <w:pStyle w:val="DefinedTerms"/>
      </w:pPr>
      <w:r>
        <w:t>play or pay</w:t>
      </w:r>
      <w:r>
        <w:tab/>
        <w:t>3(1)</w:t>
      </w:r>
    </w:p>
    <w:p>
      <w:pPr>
        <w:pStyle w:val="DefinedTerms"/>
      </w:pPr>
      <w:r>
        <w:t>play or pay wager</w:t>
      </w:r>
      <w:r>
        <w:tab/>
        <w:t>56(1)</w:t>
      </w:r>
    </w:p>
    <w:p>
      <w:pPr>
        <w:pStyle w:val="DefinedTerms"/>
      </w:pPr>
      <w:r>
        <w:t>prescribed commission</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runner</w:t>
      </w:r>
      <w:r>
        <w:tab/>
        <w:t>3(1)</w:t>
      </w:r>
    </w:p>
    <w:p>
      <w:pPr>
        <w:pStyle w:val="DefinedTerms"/>
      </w:pPr>
      <w:r>
        <w:t>runs</w:t>
      </w:r>
      <w:r>
        <w:tab/>
        <w:t>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scheduled starting time</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w:t>
      </w:r>
    </w:p>
    <w:p>
      <w:pPr>
        <w:pStyle w:val="DefinedTerms"/>
      </w:pPr>
      <w:r>
        <w:t>stake</w:t>
      </w:r>
      <w:r>
        <w:tab/>
        <w:t>3(1)</w:t>
      </w:r>
    </w:p>
    <w:p>
      <w:pPr>
        <w:pStyle w:val="DefinedTerms"/>
      </w:pPr>
      <w:r>
        <w:t xml:space="preserve">starting price guarantee wager </w:t>
      </w:r>
      <w:r>
        <w:tab/>
        <w:t>3(1)</w:t>
      </w:r>
    </w:p>
    <w:p>
      <w:pPr>
        <w:pStyle w:val="DefinedTerms"/>
      </w:pPr>
      <w:r>
        <w:t>successful numbers</w:t>
      </w:r>
      <w:r>
        <w:tab/>
        <w:t>17(2)</w:t>
      </w:r>
    </w:p>
    <w:p>
      <w:pPr>
        <w:pStyle w:val="DefinedTerms"/>
      </w:pPr>
      <w:r>
        <w:t>sum percentage</w:t>
      </w:r>
      <w:r>
        <w:tab/>
        <w:t>56(1)</w:t>
      </w:r>
    </w:p>
    <w:p>
      <w:pPr>
        <w:pStyle w:val="DefinedTerms"/>
      </w:pPr>
      <w:r>
        <w:t>ticket</w:t>
      </w:r>
      <w:r>
        <w:tab/>
        <w:t>3(1)</w:t>
      </w:r>
    </w:p>
    <w:p>
      <w:pPr>
        <w:pStyle w:val="DefinedTerms"/>
      </w:pPr>
      <w:r>
        <w:t>tie</w:t>
      </w:r>
      <w:r>
        <w:tab/>
        <w:t>28(2)</w:t>
      </w:r>
    </w:p>
    <w:p>
      <w:pPr>
        <w:pStyle w:val="DefinedTerms"/>
      </w:pPr>
      <w:r>
        <w:t>top fluc wager</w:t>
      </w:r>
      <w:r>
        <w:tab/>
        <w:t>3(1)</w:t>
      </w:r>
    </w:p>
    <w:p>
      <w:pPr>
        <w:pStyle w:val="DefinedTerms"/>
      </w:pPr>
      <w:r>
        <w:t>totalisator</w:t>
      </w:r>
      <w:r>
        <w:tab/>
        <w:t>3(1), 44(1A)</w:t>
      </w:r>
    </w:p>
    <w:p>
      <w:pPr>
        <w:pStyle w:val="DefinedTerms"/>
      </w:pPr>
      <w:r>
        <w:t>totalisator agency</w:t>
      </w:r>
      <w:r>
        <w:tab/>
        <w:t>3(1)</w:t>
      </w:r>
    </w:p>
    <w:p>
      <w:pPr>
        <w:pStyle w:val="DefinedTerms"/>
      </w:pPr>
      <w:r>
        <w:t>totalisator operator</w:t>
      </w:r>
      <w:r>
        <w:tab/>
        <w:t>3(1), 16(1)</w:t>
      </w:r>
    </w:p>
    <w:p>
      <w:pPr>
        <w:pStyle w:val="DefinedTerms"/>
      </w:pPr>
      <w:r>
        <w:t>tote bet wager</w:t>
      </w:r>
      <w:r>
        <w:tab/>
        <w:t>3(1)</w:t>
      </w:r>
    </w:p>
    <w:p>
      <w:pPr>
        <w:pStyle w:val="DefinedTerms"/>
      </w:pPr>
      <w:r>
        <w:t>uncleared cheque</w:t>
      </w:r>
      <w:r>
        <w:tab/>
        <w:t>63</w:t>
      </w:r>
    </w:p>
    <w:p>
      <w:pPr>
        <w:pStyle w:val="DefinedTerms"/>
      </w:pPr>
      <w:r>
        <w:t>unit</w:t>
      </w:r>
      <w:r>
        <w:tab/>
        <w:t>3(1)</w:t>
      </w:r>
    </w:p>
    <w:p>
      <w:pPr>
        <w:pStyle w:val="DefinedTerms"/>
      </w:pPr>
      <w:r>
        <w:t>wager</w:t>
      </w:r>
      <w:r>
        <w:tab/>
        <w:t>3(2), 56(1)</w:t>
      </w:r>
    </w:p>
    <w:p>
      <w:pPr>
        <w:pStyle w:val="DefinedTerms"/>
      </w:pPr>
      <w:r>
        <w:t>wagering account</w:t>
      </w:r>
      <w:r>
        <w:tab/>
        <w:t>3(1)</w:t>
      </w:r>
    </w:p>
    <w:p>
      <w:pPr>
        <w:pStyle w:val="DefinedTerms"/>
      </w:pPr>
      <w:r>
        <w:t>walk</w:t>
      </w:r>
      <w:r>
        <w:noBreakHyphen/>
        <w:t>over</w:t>
      </w:r>
      <w:r>
        <w:tab/>
        <w:t>3(1)</w:t>
      </w:r>
    </w:p>
    <w:p>
      <w:pPr>
        <w:pStyle w:val="DefinedTerms"/>
      </w:pPr>
      <w:r>
        <w:t>win wager</w:t>
      </w:r>
      <w:r>
        <w:tab/>
        <w:t>3(1)</w:t>
      </w:r>
    </w:p>
    <w:p>
      <w:pPr>
        <w:pStyle w:val="DefinedTerms"/>
      </w:pPr>
      <w:r>
        <w:t>winning combinations</w:t>
      </w:r>
      <w:r>
        <w:tab/>
        <w:t>18(2)</w:t>
      </w:r>
    </w:p>
    <w:p>
      <w:pPr>
        <w:pStyle w:val="DefinedTerms"/>
      </w:pPr>
      <w:r>
        <w:t>winning relevant novelty wager combination</w:t>
      </w:r>
      <w:r>
        <w:tab/>
        <w:t>18A</w:t>
      </w:r>
    </w:p>
    <w:p>
      <w:pPr>
        <w:pStyle w:val="DefinedTerms"/>
      </w:pPr>
      <w:r>
        <w:t>winning wager</w:t>
      </w:r>
      <w:r>
        <w:tab/>
        <w:t>25(2)</w:t>
      </w:r>
    </w:p>
    <w:p/>
    <w:p>
      <w:pPr>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jc w:val="righ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jc w:val="righ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Conduct of totalisator wagering generally</w:t>
            </w:r>
          </w:fldSimple>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fldSimple w:instr=" styleref CharPartText ">
            <w:r>
              <w:rPr>
                <w:noProof/>
              </w:rPr>
              <w:t>Conduct of totalisator wagering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1">
    <w:nsid w:val="0BB370D7"/>
    <w:multiLevelType w:val="multilevel"/>
    <w:tmpl w:val="B9D6DF1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16880C58"/>
    <w:multiLevelType w:val="multilevel"/>
    <w:tmpl w:val="7226A03A"/>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33B6D9A"/>
    <w:multiLevelType w:val="multilevel"/>
    <w:tmpl w:val="E5E06BCA"/>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7D401A8"/>
    <w:multiLevelType w:val="singleLevel"/>
    <w:tmpl w:val="88F20B84"/>
    <w:lvl w:ilvl="0">
      <w:start w:val="1"/>
      <w:numFmt w:val="decimal"/>
      <w:lvlText w:val="%1."/>
      <w:lvlJc w:val="left"/>
      <w:pPr>
        <w:tabs>
          <w:tab w:val="num" w:pos="360"/>
        </w:tabs>
        <w:ind w:left="360" w:hanging="360"/>
      </w:pPr>
    </w:lvl>
  </w:abstractNum>
  <w:abstractNum w:abstractNumId="21">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04E64ACC"/>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9"/>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22"/>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35049"/>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B16B-97D7-4B96-9C07-39E46F79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22864</Words>
  <Characters>106089</Characters>
  <Application>Microsoft Office Word</Application>
  <DocSecurity>0</DocSecurity>
  <Lines>3214</Lines>
  <Paragraphs>1868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2005 - 01-c0-03</dc:title>
  <dc:subject/>
  <dc:creator/>
  <cp:keywords/>
  <dc:description/>
  <cp:lastModifiedBy>svcMRProcess</cp:lastModifiedBy>
  <cp:revision>4</cp:revision>
  <cp:lastPrinted>2013-04-22T07:50:00Z</cp:lastPrinted>
  <dcterms:created xsi:type="dcterms:W3CDTF">2020-02-29T03:39:00Z</dcterms:created>
  <dcterms:modified xsi:type="dcterms:W3CDTF">2020-02-29T03:39:00Z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20131130</vt:lpwstr>
  </property>
  <property fmtid="{D5CDD505-2E9C-101B-9397-08002B2CF9AE}" pid="4" name="OwlsUID">
    <vt:i4>37424</vt:i4>
  </property>
  <property fmtid="{D5CDD505-2E9C-101B-9397-08002B2CF9AE}" pid="5" name="AsAtDate">
    <vt:lpwstr>30 Nov 2013</vt:lpwstr>
  </property>
  <property fmtid="{D5CDD505-2E9C-101B-9397-08002B2CF9AE}" pid="6" name="Suffix">
    <vt:lpwstr>01-c0-03</vt:lpwstr>
  </property>
  <property fmtid="{D5CDD505-2E9C-101B-9397-08002B2CF9AE}" pid="7" name="ReprintNo">
    <vt:lpwstr>1</vt:lpwstr>
  </property>
  <property fmtid="{D5CDD505-2E9C-101B-9397-08002B2CF9AE}" pid="8" name="ReprintedAsAt">
    <vt:filetime>2013-04-11T16:00:00Z</vt:filetime>
  </property>
  <property fmtid="{D5CDD505-2E9C-101B-9397-08002B2CF9AE}" pid="9" name="DocumentType">
    <vt:lpwstr>Reg</vt:lpwstr>
  </property>
</Properties>
</file>