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Western Australian College of Teaching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November 2013</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Western Australian College of Teaching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_Toc424568315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_Toc424568316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_Toc424568317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_Toc424568318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Western Australian College of Teaching</w:t>
      </w:r>
    </w:p>
    <w:p>
      <w:pPr>
        <w:pStyle w:val="TOC4"/>
        <w:tabs>
          <w:tab w:val="right" w:leader="dot" w:pos="7077"/>
        </w:tabs>
        <w:rPr>
          <w:rFonts w:asciiTheme="minorHAnsi" w:eastAsiaTheme="minorEastAsia" w:hAnsiTheme="minorHAnsi" w:cstheme="minorBidi"/>
          <w:b w:val="0"/>
          <w:szCs w:val="22"/>
        </w:rPr>
      </w:pPr>
      <w:r>
        <w:t>Division 1 — Establishment of College</w:t>
      </w:r>
    </w:p>
    <w:p>
      <w:pPr>
        <w:pStyle w:val="TOC8"/>
        <w:rPr>
          <w:rFonts w:asciiTheme="minorHAnsi" w:eastAsiaTheme="minorEastAsia" w:hAnsiTheme="minorHAnsi" w:cstheme="minorBidi"/>
          <w:szCs w:val="22"/>
        </w:rPr>
      </w:pPr>
      <w:r>
        <w:t>5.</w:t>
      </w:r>
      <w:r>
        <w:tab/>
        <w:t>College established</w:t>
      </w:r>
      <w:r>
        <w:tab/>
      </w:r>
      <w:r>
        <w:fldChar w:fldCharType="begin"/>
      </w:r>
      <w:r>
        <w:instrText xml:space="preserve"> PAGEREF _Toc424568321 \h </w:instrText>
      </w:r>
      <w:r>
        <w:fldChar w:fldCharType="separate"/>
      </w:r>
      <w:r>
        <w:t>3</w:t>
      </w:r>
      <w:r>
        <w:fldChar w:fldCharType="end"/>
      </w:r>
    </w:p>
    <w:p>
      <w:pPr>
        <w:pStyle w:val="TOC8"/>
        <w:rPr>
          <w:rFonts w:asciiTheme="minorHAnsi" w:eastAsiaTheme="minorEastAsia" w:hAnsiTheme="minorHAnsi" w:cstheme="minorBidi"/>
          <w:szCs w:val="22"/>
        </w:rPr>
      </w:pPr>
      <w:r>
        <w:t>6.</w:t>
      </w:r>
      <w:r>
        <w:tab/>
        <w:t>College not an agent of Crown</w:t>
      </w:r>
      <w:r>
        <w:tab/>
      </w:r>
      <w:r>
        <w:fldChar w:fldCharType="begin"/>
      </w:r>
      <w:r>
        <w:instrText xml:space="preserve"> PAGEREF _Toc424568322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Board of management</w:t>
      </w:r>
    </w:p>
    <w:p>
      <w:pPr>
        <w:pStyle w:val="TOC8"/>
        <w:rPr>
          <w:rFonts w:asciiTheme="minorHAnsi" w:eastAsiaTheme="minorEastAsia" w:hAnsiTheme="minorHAnsi" w:cstheme="minorBidi"/>
          <w:szCs w:val="22"/>
        </w:rPr>
      </w:pPr>
      <w:r>
        <w:t>7.</w:t>
      </w:r>
      <w:r>
        <w:tab/>
        <w:t>Board of management</w:t>
      </w:r>
      <w:r>
        <w:tab/>
      </w:r>
      <w:r>
        <w:fldChar w:fldCharType="begin"/>
      </w:r>
      <w:r>
        <w:instrText xml:space="preserve"> PAGEREF _Toc424568324 \h </w:instrText>
      </w:r>
      <w:r>
        <w:fldChar w:fldCharType="separate"/>
      </w:r>
      <w:r>
        <w:t>3</w:t>
      </w:r>
      <w:r>
        <w:fldChar w:fldCharType="end"/>
      </w:r>
    </w:p>
    <w:p>
      <w:pPr>
        <w:pStyle w:val="TOC8"/>
        <w:rPr>
          <w:rFonts w:asciiTheme="minorHAnsi" w:eastAsiaTheme="minorEastAsia" w:hAnsiTheme="minorHAnsi" w:cstheme="minorBidi"/>
          <w:szCs w:val="22"/>
        </w:rPr>
      </w:pPr>
      <w:r>
        <w:t>8.</w:t>
      </w:r>
      <w:r>
        <w:tab/>
        <w:t>Functions of Board</w:t>
      </w:r>
      <w:r>
        <w:tab/>
      </w:r>
      <w:r>
        <w:fldChar w:fldCharType="begin"/>
      </w:r>
      <w:r>
        <w:instrText xml:space="preserve"> PAGEREF _Toc424568325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3 — Relationship of College with the Minister</w:t>
      </w:r>
    </w:p>
    <w:p>
      <w:pPr>
        <w:pStyle w:val="TOC8"/>
        <w:rPr>
          <w:rFonts w:asciiTheme="minorHAnsi" w:eastAsiaTheme="minorEastAsia" w:hAnsiTheme="minorHAnsi" w:cstheme="minorBidi"/>
          <w:szCs w:val="22"/>
        </w:rPr>
      </w:pPr>
      <w:r>
        <w:t>14.</w:t>
      </w:r>
      <w:r>
        <w:tab/>
        <w:t>College to give regard to advice of Minister</w:t>
      </w:r>
      <w:r>
        <w:tab/>
      </w:r>
      <w:r>
        <w:fldChar w:fldCharType="begin"/>
      </w:r>
      <w:r>
        <w:instrText xml:space="preserve"> PAGEREF _Toc424568327 \h </w:instrText>
      </w:r>
      <w:r>
        <w:fldChar w:fldCharType="separate"/>
      </w:r>
      <w:r>
        <w:t>4</w:t>
      </w:r>
      <w:r>
        <w:fldChar w:fldCharType="end"/>
      </w:r>
    </w:p>
    <w:p>
      <w:pPr>
        <w:pStyle w:val="TOC8"/>
        <w:rPr>
          <w:rFonts w:asciiTheme="minorHAnsi" w:eastAsiaTheme="minorEastAsia" w:hAnsiTheme="minorHAnsi" w:cstheme="minorBidi"/>
          <w:szCs w:val="22"/>
        </w:rPr>
      </w:pPr>
      <w:r>
        <w:t>15.</w:t>
      </w:r>
      <w:r>
        <w:tab/>
        <w:t>Minister to have access to information</w:t>
      </w:r>
      <w:r>
        <w:tab/>
      </w:r>
      <w:r>
        <w:fldChar w:fldCharType="begin"/>
      </w:r>
      <w:r>
        <w:instrText xml:space="preserve"> PAGEREF _Toc424568328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4 — Functions and powers</w:t>
      </w:r>
    </w:p>
    <w:p>
      <w:pPr>
        <w:pStyle w:val="TOC8"/>
        <w:rPr>
          <w:rFonts w:asciiTheme="minorHAnsi" w:eastAsiaTheme="minorEastAsia" w:hAnsiTheme="minorHAnsi" w:cstheme="minorBidi"/>
          <w:szCs w:val="22"/>
        </w:rPr>
      </w:pPr>
      <w:r>
        <w:t>16.</w:t>
      </w:r>
      <w:r>
        <w:tab/>
        <w:t>Term used: residual affairs</w:t>
      </w:r>
      <w:r>
        <w:tab/>
      </w:r>
      <w:r>
        <w:fldChar w:fldCharType="begin"/>
      </w:r>
      <w:r>
        <w:instrText xml:space="preserve"> PAGEREF _Toc424568330 \h </w:instrText>
      </w:r>
      <w:r>
        <w:fldChar w:fldCharType="separate"/>
      </w:r>
      <w:r>
        <w:t>5</w:t>
      </w:r>
      <w:r>
        <w:fldChar w:fldCharType="end"/>
      </w:r>
    </w:p>
    <w:p>
      <w:pPr>
        <w:pStyle w:val="TOC8"/>
        <w:rPr>
          <w:rFonts w:asciiTheme="minorHAnsi" w:eastAsiaTheme="minorEastAsia" w:hAnsiTheme="minorHAnsi" w:cstheme="minorBidi"/>
          <w:szCs w:val="22"/>
        </w:rPr>
      </w:pPr>
      <w:r>
        <w:t>17.</w:t>
      </w:r>
      <w:r>
        <w:tab/>
        <w:t>Function of College</w:t>
      </w:r>
      <w:r>
        <w:tab/>
      </w:r>
      <w:r>
        <w:fldChar w:fldCharType="begin"/>
      </w:r>
      <w:r>
        <w:instrText xml:space="preserve"> PAGEREF _Toc424568331 \h </w:instrText>
      </w:r>
      <w:r>
        <w:fldChar w:fldCharType="separate"/>
      </w:r>
      <w:r>
        <w:t>5</w:t>
      </w:r>
      <w:r>
        <w:fldChar w:fldCharType="end"/>
      </w:r>
    </w:p>
    <w:p>
      <w:pPr>
        <w:pStyle w:val="TOC8"/>
        <w:rPr>
          <w:rFonts w:asciiTheme="minorHAnsi" w:eastAsiaTheme="minorEastAsia" w:hAnsiTheme="minorHAnsi" w:cstheme="minorBidi"/>
          <w:szCs w:val="22"/>
        </w:rPr>
      </w:pPr>
      <w:r>
        <w:t>18.</w:t>
      </w:r>
      <w:r>
        <w:tab/>
        <w:t>Powers of College</w:t>
      </w:r>
      <w:r>
        <w:tab/>
      </w:r>
      <w:r>
        <w:fldChar w:fldCharType="begin"/>
      </w:r>
      <w:r>
        <w:instrText xml:space="preserve"> PAGEREF _Toc424568332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5 — Director and other staff</w:t>
      </w:r>
    </w:p>
    <w:p>
      <w:pPr>
        <w:pStyle w:val="TOC8"/>
        <w:rPr>
          <w:rFonts w:asciiTheme="minorHAnsi" w:eastAsiaTheme="minorEastAsia" w:hAnsiTheme="minorHAnsi" w:cstheme="minorBidi"/>
          <w:szCs w:val="22"/>
        </w:rPr>
      </w:pPr>
      <w:r>
        <w:t>22.</w:t>
      </w:r>
      <w:r>
        <w:tab/>
        <w:t>Use of government staff and facilities</w:t>
      </w:r>
      <w:r>
        <w:tab/>
      </w:r>
      <w:r>
        <w:fldChar w:fldCharType="begin"/>
      </w:r>
      <w:r>
        <w:instrText xml:space="preserve"> PAGEREF _Toc424568334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23.</w:t>
      </w:r>
      <w:r>
        <w:tab/>
        <w:t>Protection from liability</w:t>
      </w:r>
      <w:r>
        <w:tab/>
      </w:r>
      <w:r>
        <w:fldChar w:fldCharType="begin"/>
      </w:r>
      <w:r>
        <w:instrText xml:space="preserve"> PAGEREF _Toc424568336 \h </w:instrText>
      </w:r>
      <w:r>
        <w:fldChar w:fldCharType="separate"/>
      </w:r>
      <w:r>
        <w:t>6</w:t>
      </w:r>
      <w:r>
        <w:fldChar w:fldCharType="end"/>
      </w:r>
    </w:p>
    <w:p>
      <w:pPr>
        <w:pStyle w:val="TOC8"/>
        <w:rPr>
          <w:rFonts w:asciiTheme="minorHAnsi" w:eastAsiaTheme="minorEastAsia" w:hAnsiTheme="minorHAnsi" w:cstheme="minorBidi"/>
          <w:szCs w:val="22"/>
        </w:rPr>
      </w:pPr>
      <w:r>
        <w:t>24.</w:t>
      </w:r>
      <w:r>
        <w:tab/>
        <w:t>Duty not to make improper use of information</w:t>
      </w:r>
      <w:r>
        <w:tab/>
      </w:r>
      <w:r>
        <w:fldChar w:fldCharType="begin"/>
      </w:r>
      <w:r>
        <w:instrText xml:space="preserve"> PAGEREF _Toc424568337 \h </w:instrText>
      </w:r>
      <w:r>
        <w:fldChar w:fldCharType="separate"/>
      </w:r>
      <w:r>
        <w:t>7</w:t>
      </w:r>
      <w:r>
        <w:fldChar w:fldCharType="end"/>
      </w:r>
    </w:p>
    <w:p>
      <w:pPr>
        <w:pStyle w:val="TOC8"/>
        <w:rPr>
          <w:rFonts w:asciiTheme="minorHAnsi" w:eastAsiaTheme="minorEastAsia" w:hAnsiTheme="minorHAnsi" w:cstheme="minorBidi"/>
          <w:szCs w:val="22"/>
        </w:rPr>
      </w:pPr>
      <w:r>
        <w:t>25.</w:t>
      </w:r>
      <w:r>
        <w:tab/>
        <w:t>Common seal and execution of documents by College</w:t>
      </w:r>
      <w:r>
        <w:tab/>
      </w:r>
      <w:r>
        <w:fldChar w:fldCharType="begin"/>
      </w:r>
      <w:r>
        <w:instrText xml:space="preserve"> PAGEREF _Toc424568338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Financial provisions</w:t>
      </w:r>
    </w:p>
    <w:p>
      <w:pPr>
        <w:pStyle w:val="TOC8"/>
        <w:rPr>
          <w:rFonts w:asciiTheme="minorHAnsi" w:eastAsiaTheme="minorEastAsia" w:hAnsiTheme="minorHAnsi" w:cstheme="minorBidi"/>
          <w:szCs w:val="22"/>
        </w:rPr>
      </w:pPr>
      <w:r>
        <w:t>26.</w:t>
      </w:r>
      <w:r>
        <w:tab/>
        <w:t>Funds available to College</w:t>
      </w:r>
      <w:r>
        <w:tab/>
      </w:r>
      <w:r>
        <w:fldChar w:fldCharType="begin"/>
      </w:r>
      <w:r>
        <w:instrText xml:space="preserve"> PAGEREF _Toc424568340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_Toc424568342 \h </w:instrText>
      </w:r>
      <w:r>
        <w:fldChar w:fldCharType="separate"/>
      </w:r>
      <w:r>
        <w:t>10</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_Toc424568343 \h </w:instrText>
      </w:r>
      <w:r>
        <w:fldChar w:fldCharType="separate"/>
      </w:r>
      <w:r>
        <w:t>11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November 2013</w:t>
            </w:r>
          </w:p>
        </w:tc>
      </w:tr>
    </w:tbl>
    <w:p>
      <w:pPr>
        <w:pStyle w:val="WA"/>
        <w:spacing w:before="12"/>
      </w:pPr>
      <w:r>
        <w:t>Western Australia</w:t>
      </w:r>
    </w:p>
    <w:p>
      <w:pPr>
        <w:pStyle w:val="NameofActReg"/>
        <w:suppressLineNumbers/>
        <w:spacing w:before="1000"/>
        <w:ind w:left="426" w:right="424"/>
      </w:pPr>
      <w:r>
        <w:t xml:space="preserve">Western </w:t>
      </w:r>
      <w:smartTag w:uri="urn:schemas-microsoft-com:office:smarttags" w:element="PlaceName">
        <w:r>
          <w:t>Australian</w:t>
        </w:r>
      </w:smartTag>
      <w:r>
        <w:t xml:space="preserve"> </w:t>
      </w:r>
      <w:smartTag w:uri="urn:schemas-microsoft-com:office:smarttags" w:element="PlaceType">
        <w:r>
          <w:t>College</w:t>
        </w:r>
      </w:smartTag>
      <w:r>
        <w:t xml:space="preserve"> of Teaching Act 2004</w:t>
      </w:r>
    </w:p>
    <w:p>
      <w:pPr>
        <w:pStyle w:val="LongTitle"/>
        <w:suppressLineNumbers/>
        <w:outlineLvl w:val="0"/>
        <w:rPr>
          <w:noProof/>
          <w:snapToGrid w:val="0"/>
        </w:rPr>
      </w:pPr>
      <w:r>
        <w:rPr>
          <w:snapToGrid w:val="0"/>
        </w:rPr>
        <w:t>An Act to</w:t>
      </w:r>
      <w:r>
        <w:rPr>
          <w:noProof/>
          <w:snapToGrid w:val="0"/>
        </w:rPr>
        <w:t xml:space="preserve"> — </w:t>
      </w:r>
    </w:p>
    <w:p>
      <w:pPr>
        <w:pStyle w:val="LongTitle"/>
        <w:numPr>
          <w:ilvl w:val="0"/>
          <w:numId w:val="1"/>
        </w:numPr>
        <w:suppressLineNumbers/>
      </w:pPr>
      <w:r>
        <w:rPr>
          <w:snapToGrid w:val="0"/>
        </w:rPr>
        <w:t xml:space="preserve">establish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Teaching;</w:t>
      </w:r>
    </w:p>
    <w:p>
      <w:pPr>
        <w:pStyle w:val="LongTitle"/>
        <w:numPr>
          <w:ilvl w:val="0"/>
          <w:numId w:val="1"/>
        </w:numPr>
        <w:suppressLineNumbers/>
      </w:pPr>
      <w:r>
        <w:t>provide for the winding</w:t>
      </w:r>
      <w:r>
        <w:noBreakHyphen/>
        <w:t>up of that College,</w:t>
      </w:r>
    </w:p>
    <w:p>
      <w:pPr>
        <w:pStyle w:val="LongTitle"/>
        <w:suppressLineNumbers/>
        <w:rPr>
          <w:snapToGrid w:val="0"/>
        </w:rPr>
      </w:pPr>
      <w:r>
        <w:rPr>
          <w:snapToGrid w:val="0"/>
        </w:rPr>
        <w:t>and for related purposes.</w:t>
      </w:r>
    </w:p>
    <w:p>
      <w:pPr>
        <w:pStyle w:val="Footnotelongtitle"/>
      </w:pPr>
      <w:r>
        <w:tab/>
        <w:t>[Long title amended by No. 16 of 2012 s. 151.]</w:t>
      </w:r>
    </w:p>
    <w:p>
      <w:pPr>
        <w:pStyle w:val="Heading2"/>
      </w:pPr>
      <w:bookmarkStart w:id="3" w:name="_Toc381880883"/>
      <w:bookmarkStart w:id="4" w:name="_Toc424568314"/>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381880884"/>
      <w:bookmarkStart w:id="6" w:name="_Toc424568315"/>
      <w:r>
        <w:rPr>
          <w:rStyle w:val="CharSectno"/>
        </w:rPr>
        <w:t>1</w:t>
      </w:r>
      <w:r>
        <w:rPr>
          <w:snapToGrid w:val="0"/>
        </w:rPr>
        <w:t>.</w:t>
      </w:r>
      <w:r>
        <w:rPr>
          <w:snapToGrid w:val="0"/>
        </w:rPr>
        <w:tab/>
        <w:t>Short title</w:t>
      </w:r>
      <w:bookmarkEnd w:id="5"/>
      <w:bookmarkEnd w:id="6"/>
    </w:p>
    <w:p>
      <w:pPr>
        <w:pStyle w:val="Subsection"/>
      </w:pPr>
      <w:r>
        <w:rPr>
          <w:snapToGrid w:val="0"/>
        </w:rPr>
        <w:tab/>
      </w:r>
      <w:r>
        <w:rPr>
          <w:snapToGrid w:val="0"/>
        </w:rPr>
        <w:tab/>
        <w:t xml:space="preserve">This Act may be cited as the </w:t>
      </w:r>
      <w:r>
        <w:rPr>
          <w:i/>
          <w:snapToGrid w:val="0"/>
        </w:rPr>
        <w:t>Western Australian College of Teaching Act 2004</w:t>
      </w:r>
      <w:r>
        <w:rPr>
          <w:iCs/>
          <w:snapToGrid w:val="0"/>
          <w:vertAlign w:val="superscript"/>
        </w:rPr>
        <w:t> 1</w:t>
      </w:r>
      <w:r>
        <w:rPr>
          <w:snapToGrid w:val="0"/>
        </w:rPr>
        <w:t>.</w:t>
      </w:r>
    </w:p>
    <w:p>
      <w:pPr>
        <w:pStyle w:val="Heading5"/>
        <w:rPr>
          <w:snapToGrid w:val="0"/>
        </w:rPr>
      </w:pPr>
      <w:bookmarkStart w:id="7" w:name="_Toc381880885"/>
      <w:bookmarkStart w:id="8" w:name="_Toc424568316"/>
      <w:r>
        <w:rPr>
          <w:rStyle w:val="CharSectno"/>
        </w:rPr>
        <w:t>2</w:t>
      </w:r>
      <w:r>
        <w:rPr>
          <w:snapToGrid w:val="0"/>
        </w:rPr>
        <w:t>.</w:t>
      </w:r>
      <w:r>
        <w:rPr>
          <w:snapToGrid w:val="0"/>
        </w:rPr>
        <w:tab/>
        <w:t>Commencement</w:t>
      </w:r>
      <w:bookmarkEnd w:id="7"/>
      <w:bookmarkEnd w:id="8"/>
    </w:p>
    <w:p>
      <w:pPr>
        <w:pStyle w:val="Subsection"/>
      </w:pPr>
      <w:r>
        <w:tab/>
      </w:r>
      <w:r>
        <w:tab/>
        <w:t>This Act comes into operation on a day fixed by proclamation</w:t>
      </w:r>
      <w:r>
        <w:rPr>
          <w:iCs/>
          <w:snapToGrid w:val="0"/>
          <w:vertAlign w:val="superscript"/>
        </w:rPr>
        <w:t> 1</w:t>
      </w:r>
      <w:r>
        <w:t>.</w:t>
      </w:r>
    </w:p>
    <w:p>
      <w:pPr>
        <w:pStyle w:val="Heading5"/>
      </w:pPr>
      <w:bookmarkStart w:id="9" w:name="_Toc381880886"/>
      <w:bookmarkStart w:id="10" w:name="_Toc424568317"/>
      <w:r>
        <w:rPr>
          <w:rStyle w:val="CharSectno"/>
        </w:rPr>
        <w:t>3</w:t>
      </w:r>
      <w:r>
        <w:t>.</w:t>
      </w:r>
      <w:r>
        <w:tab/>
        <w:t>Terms used</w:t>
      </w:r>
      <w:bookmarkEnd w:id="9"/>
      <w:bookmarkEnd w:id="10"/>
    </w:p>
    <w:p>
      <w:pPr>
        <w:pStyle w:val="Subsection"/>
      </w:pPr>
      <w:r>
        <w:tab/>
      </w:r>
      <w:r>
        <w:tab/>
        <w:t xml:space="preserve">In this Act — </w:t>
      </w:r>
    </w:p>
    <w:p>
      <w:pPr>
        <w:pStyle w:val="Defstart"/>
      </w:pPr>
      <w:r>
        <w:tab/>
      </w:r>
      <w:r>
        <w:rPr>
          <w:rStyle w:val="CharDefText"/>
        </w:rPr>
        <w:t>Board</w:t>
      </w:r>
      <w:r>
        <w:t xml:space="preserve"> means the Board established under section 7;</w:t>
      </w:r>
    </w:p>
    <w:p>
      <w:pPr>
        <w:pStyle w:val="Defstart"/>
      </w:pPr>
      <w:r>
        <w:tab/>
      </w:r>
      <w:r>
        <w:rPr>
          <w:rStyle w:val="CharDefText"/>
        </w:rPr>
        <w:t>CEO</w:t>
      </w:r>
      <w:r>
        <w:t xml:space="preserve"> has the meaning given in the </w:t>
      </w:r>
      <w:r>
        <w:rPr>
          <w:i/>
        </w:rPr>
        <w:t>Teacher Registration Act 2012</w:t>
      </w:r>
      <w:r>
        <w:t xml:space="preserve"> section 3;</w:t>
      </w:r>
    </w:p>
    <w:p>
      <w:pPr>
        <w:pStyle w:val="Defstart"/>
      </w:pPr>
      <w:r>
        <w:tab/>
      </w:r>
      <w:r>
        <w:rPr>
          <w:rStyle w:val="CharDefText"/>
        </w:rPr>
        <w:t>College</w:t>
      </w:r>
      <w:r>
        <w:t xml:space="preserve"> means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established under section 5;</w:t>
      </w:r>
    </w:p>
    <w:p>
      <w:pPr>
        <w:pStyle w:val="Defstart"/>
      </w:pPr>
      <w:r>
        <w:tab/>
      </w:r>
      <w:r>
        <w:rPr>
          <w:rStyle w:val="CharDefText"/>
        </w:rPr>
        <w:t>commencement day</w:t>
      </w:r>
      <w:r>
        <w:t xml:space="preserve"> means the day on which the </w:t>
      </w:r>
      <w:r>
        <w:rPr>
          <w:i/>
        </w:rPr>
        <w:t>Teacher Registration Act 2012</w:t>
      </w:r>
      <w:r>
        <w:t xml:space="preserve"> Part 9 Division 1 comes into operation</w:t>
      </w:r>
      <w:r>
        <w:rPr>
          <w:iCs/>
          <w:vertAlign w:val="superscript"/>
        </w:rPr>
        <w:t> 1</w:t>
      </w:r>
      <w:r>
        <w:t>;</w:t>
      </w:r>
    </w:p>
    <w:p>
      <w:pPr>
        <w:pStyle w:val="Defstart"/>
      </w:pPr>
      <w:r>
        <w:tab/>
      </w:r>
      <w:r>
        <w:rPr>
          <w:rStyle w:val="CharDefText"/>
        </w:rPr>
        <w:t>Teacher Registration Board Account</w:t>
      </w:r>
      <w:r>
        <w:t xml:space="preserve"> means the account referred to in the </w:t>
      </w:r>
      <w:r>
        <w:rPr>
          <w:i/>
        </w:rPr>
        <w:t>Teacher Registration Act 2012</w:t>
      </w:r>
      <w:r>
        <w:t xml:space="preserve"> section 115.</w:t>
      </w:r>
    </w:p>
    <w:p>
      <w:pPr>
        <w:pStyle w:val="Footnotesection"/>
      </w:pPr>
      <w:r>
        <w:tab/>
        <w:t>[Section 3 inserted by No. 16 of 2012 s. 152.]</w:t>
      </w:r>
    </w:p>
    <w:p>
      <w:pPr>
        <w:pStyle w:val="Heading5"/>
      </w:pPr>
      <w:bookmarkStart w:id="11" w:name="_Toc381880887"/>
      <w:bookmarkStart w:id="12" w:name="_Toc424568318"/>
      <w:r>
        <w:rPr>
          <w:rStyle w:val="CharSectno"/>
        </w:rPr>
        <w:t>4</w:t>
      </w:r>
      <w:r>
        <w:t>.</w:t>
      </w:r>
      <w:r>
        <w:tab/>
        <w:t>Crown bound</w:t>
      </w:r>
      <w:bookmarkEnd w:id="11"/>
      <w:bookmarkEnd w:id="12"/>
    </w:p>
    <w:p>
      <w:pPr>
        <w:pStyle w:val="Subsection"/>
      </w:pPr>
      <w:r>
        <w:tab/>
        <w:t>(1)</w:t>
      </w:r>
      <w:r>
        <w:tab/>
        <w:t>This Act binds the Crown in right of the State.</w:t>
      </w:r>
    </w:p>
    <w:p>
      <w:pPr>
        <w:pStyle w:val="Subsection"/>
      </w:pPr>
      <w:r>
        <w:tab/>
        <w:t>(2)</w:t>
      </w:r>
      <w:r>
        <w:tab/>
        <w:t>Nothing in this Act renders the Crown liable to be prosecuted for an offence under this Act.</w:t>
      </w:r>
    </w:p>
    <w:p>
      <w:pPr>
        <w:pStyle w:val="Subsection"/>
      </w:pPr>
      <w:r>
        <w:tab/>
        <w:t>(3)</w:t>
      </w:r>
      <w:r>
        <w:tab/>
        <w:t>Subsection (2) does not affect any liability of any officer, employee or agent of the Crown to be prosecuted for an offence.</w:t>
      </w:r>
    </w:p>
    <w:p>
      <w:pPr>
        <w:pStyle w:val="Heading2"/>
      </w:pPr>
      <w:bookmarkStart w:id="13" w:name="_Toc381880888"/>
      <w:bookmarkStart w:id="14" w:name="_Toc424568319"/>
      <w:r>
        <w:rPr>
          <w:rStyle w:val="CharPartNo"/>
        </w:rPr>
        <w:t>Part 2</w:t>
      </w:r>
      <w:r>
        <w:t> — </w:t>
      </w:r>
      <w:r>
        <w:rPr>
          <w:rStyle w:val="CharPartText"/>
        </w:rPr>
        <w:t>Western Australian College of Teaching</w:t>
      </w:r>
      <w:bookmarkEnd w:id="13"/>
      <w:bookmarkEnd w:id="14"/>
    </w:p>
    <w:p>
      <w:pPr>
        <w:pStyle w:val="Heading3"/>
      </w:pPr>
      <w:bookmarkStart w:id="15" w:name="_Toc381880889"/>
      <w:bookmarkStart w:id="16" w:name="_Toc424568320"/>
      <w:r>
        <w:rPr>
          <w:rStyle w:val="CharDivNo"/>
        </w:rPr>
        <w:t>Division 1</w:t>
      </w:r>
      <w:r>
        <w:t> — </w:t>
      </w:r>
      <w:r>
        <w:rPr>
          <w:rStyle w:val="CharDivText"/>
        </w:rPr>
        <w:t>Establishment of College</w:t>
      </w:r>
      <w:bookmarkEnd w:id="15"/>
      <w:bookmarkEnd w:id="16"/>
    </w:p>
    <w:p>
      <w:pPr>
        <w:pStyle w:val="Heading5"/>
      </w:pPr>
      <w:bookmarkStart w:id="17" w:name="_Toc381880890"/>
      <w:bookmarkStart w:id="18" w:name="_Toc424568321"/>
      <w:r>
        <w:rPr>
          <w:rStyle w:val="CharSectno"/>
        </w:rPr>
        <w:t>5</w:t>
      </w:r>
      <w:r>
        <w:t>.</w:t>
      </w:r>
      <w:r>
        <w:tab/>
        <w:t>College established</w:t>
      </w:r>
      <w:bookmarkEnd w:id="17"/>
      <w:bookmarkEnd w:id="18"/>
    </w:p>
    <w:p>
      <w:pPr>
        <w:pStyle w:val="Subsection"/>
      </w:pPr>
      <w:r>
        <w:tab/>
        <w:t>(1)</w:t>
      </w:r>
      <w:r>
        <w:tab/>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is established.</w:t>
      </w:r>
    </w:p>
    <w:p>
      <w:pPr>
        <w:pStyle w:val="Subsection"/>
      </w:pPr>
      <w:r>
        <w:tab/>
        <w:t>(2)</w:t>
      </w:r>
      <w:r>
        <w:tab/>
        <w:t xml:space="preserve">The College — </w:t>
      </w:r>
    </w:p>
    <w:p>
      <w:pPr>
        <w:pStyle w:val="Indenta"/>
      </w:pPr>
      <w:r>
        <w:tab/>
        <w:t>(a)</w:t>
      </w:r>
      <w:r>
        <w:tab/>
        <w:t>is a body corporate; and</w:t>
      </w:r>
    </w:p>
    <w:p>
      <w:pPr>
        <w:pStyle w:val="Indenta"/>
      </w:pPr>
      <w:r>
        <w:tab/>
        <w:t>(b)</w:t>
      </w:r>
      <w:r>
        <w:tab/>
        <w:t>has perpetual succession and a common seal; and</w:t>
      </w:r>
    </w:p>
    <w:p>
      <w:pPr>
        <w:pStyle w:val="Indenta"/>
      </w:pPr>
      <w:r>
        <w:tab/>
        <w:t>(c)</w:t>
      </w:r>
      <w:r>
        <w:tab/>
        <w:t>may sue and be sued in its corporate name.</w:t>
      </w:r>
    </w:p>
    <w:p>
      <w:pPr>
        <w:pStyle w:val="Heading5"/>
      </w:pPr>
      <w:bookmarkStart w:id="19" w:name="_Toc381880891"/>
      <w:bookmarkStart w:id="20" w:name="_Toc424568322"/>
      <w:r>
        <w:rPr>
          <w:rStyle w:val="CharSectno"/>
        </w:rPr>
        <w:t>6</w:t>
      </w:r>
      <w:r>
        <w:t>.</w:t>
      </w:r>
      <w:r>
        <w:tab/>
        <w:t>College not an agent of Crown</w:t>
      </w:r>
      <w:bookmarkEnd w:id="19"/>
      <w:bookmarkEnd w:id="20"/>
    </w:p>
    <w:p>
      <w:pPr>
        <w:pStyle w:val="Subsection"/>
      </w:pPr>
      <w:r>
        <w:tab/>
      </w:r>
      <w:r>
        <w:tab/>
        <w:t>The College does not represent, and is not an agent of, the Crown.</w:t>
      </w:r>
    </w:p>
    <w:p>
      <w:pPr>
        <w:pStyle w:val="Heading3"/>
      </w:pPr>
      <w:bookmarkStart w:id="21" w:name="_Toc381880892"/>
      <w:bookmarkStart w:id="22" w:name="_Toc424568323"/>
      <w:r>
        <w:rPr>
          <w:rStyle w:val="CharDivNo"/>
        </w:rPr>
        <w:t>Division 2</w:t>
      </w:r>
      <w:r>
        <w:t> — </w:t>
      </w:r>
      <w:r>
        <w:rPr>
          <w:rStyle w:val="CharDivText"/>
        </w:rPr>
        <w:t>Board of management</w:t>
      </w:r>
      <w:bookmarkEnd w:id="21"/>
      <w:bookmarkEnd w:id="22"/>
    </w:p>
    <w:p>
      <w:pPr>
        <w:pStyle w:val="Heading5"/>
      </w:pPr>
      <w:bookmarkStart w:id="23" w:name="_Toc381880893"/>
      <w:bookmarkStart w:id="24" w:name="_Toc424568324"/>
      <w:r>
        <w:rPr>
          <w:rStyle w:val="CharSectno"/>
        </w:rPr>
        <w:t>7</w:t>
      </w:r>
      <w:r>
        <w:t>.</w:t>
      </w:r>
      <w:r>
        <w:tab/>
        <w:t>Board of management</w:t>
      </w:r>
      <w:bookmarkEnd w:id="23"/>
      <w:bookmarkEnd w:id="24"/>
    </w:p>
    <w:p>
      <w:pPr>
        <w:pStyle w:val="Subsection"/>
      </w:pPr>
      <w:r>
        <w:tab/>
        <w:t>(1)</w:t>
      </w:r>
      <w:r>
        <w:tab/>
        <w:t>The College is to have a board of management.</w:t>
      </w:r>
    </w:p>
    <w:p>
      <w:pPr>
        <w:pStyle w:val="Subsection"/>
      </w:pPr>
      <w:r>
        <w:tab/>
        <w:t>(2)</w:t>
      </w:r>
      <w:r>
        <w:tab/>
        <w:t>The Board is constituted by the CEO.</w:t>
      </w:r>
    </w:p>
    <w:p>
      <w:pPr>
        <w:pStyle w:val="Footnotesection"/>
      </w:pPr>
      <w:r>
        <w:tab/>
        <w:t>[Section 7 amended by No. 16 of 2012 s. 153.]</w:t>
      </w:r>
    </w:p>
    <w:p>
      <w:pPr>
        <w:pStyle w:val="Heading5"/>
      </w:pPr>
      <w:bookmarkStart w:id="25" w:name="_Toc381880894"/>
      <w:bookmarkStart w:id="26" w:name="_Toc424568325"/>
      <w:r>
        <w:rPr>
          <w:rStyle w:val="CharSectno"/>
        </w:rPr>
        <w:t>8</w:t>
      </w:r>
      <w:r>
        <w:t>.</w:t>
      </w:r>
      <w:r>
        <w:tab/>
        <w:t>Functions of Board</w:t>
      </w:r>
      <w:bookmarkEnd w:id="25"/>
      <w:bookmarkEnd w:id="26"/>
    </w:p>
    <w:p>
      <w:pPr>
        <w:pStyle w:val="Subsection"/>
      </w:pPr>
      <w:r>
        <w:tab/>
        <w:t>(1)</w:t>
      </w:r>
      <w:r>
        <w:tab/>
        <w:t>The Board is the governing body of the College.</w:t>
      </w:r>
    </w:p>
    <w:p>
      <w:pPr>
        <w:pStyle w:val="Subsection"/>
      </w:pPr>
      <w:r>
        <w:tab/>
        <w:t>(2)</w:t>
      </w:r>
      <w:r>
        <w:tab/>
        <w:t>The Board, in the name of the College, is to perform the functions, determine the policies and control the affairs of the College.</w:t>
      </w:r>
    </w:p>
    <w:p>
      <w:pPr>
        <w:pStyle w:val="Ednotesection"/>
      </w:pPr>
      <w:r>
        <w:t>[</w:t>
      </w:r>
      <w:r>
        <w:rPr>
          <w:b/>
        </w:rPr>
        <w:t>9</w:t>
      </w:r>
      <w:r>
        <w:rPr>
          <w:b/>
        </w:rPr>
        <w:noBreakHyphen/>
        <w:t>13.</w:t>
      </w:r>
      <w:r>
        <w:tab/>
        <w:t>Deleted by No. 16 of 2012 s. 154.]</w:t>
      </w:r>
    </w:p>
    <w:p>
      <w:pPr>
        <w:pStyle w:val="Heading3"/>
      </w:pPr>
      <w:bookmarkStart w:id="27" w:name="_Toc381880895"/>
      <w:bookmarkStart w:id="28" w:name="_Toc424568326"/>
      <w:r>
        <w:rPr>
          <w:rStyle w:val="CharDivNo"/>
        </w:rPr>
        <w:t>Division 3</w:t>
      </w:r>
      <w:r>
        <w:t> — </w:t>
      </w:r>
      <w:r>
        <w:rPr>
          <w:rStyle w:val="CharDivText"/>
        </w:rPr>
        <w:t>Relationship of College with the Minister</w:t>
      </w:r>
      <w:bookmarkEnd w:id="27"/>
      <w:bookmarkEnd w:id="28"/>
    </w:p>
    <w:p>
      <w:pPr>
        <w:pStyle w:val="Heading5"/>
      </w:pPr>
      <w:bookmarkStart w:id="29" w:name="_Toc381880896"/>
      <w:bookmarkStart w:id="30" w:name="_Toc424568327"/>
      <w:r>
        <w:rPr>
          <w:rStyle w:val="CharSectno"/>
        </w:rPr>
        <w:t>14</w:t>
      </w:r>
      <w:r>
        <w:t>.</w:t>
      </w:r>
      <w:r>
        <w:tab/>
        <w:t>College to give regard to advice of Minister</w:t>
      </w:r>
      <w:bookmarkEnd w:id="29"/>
      <w:bookmarkEnd w:id="30"/>
    </w:p>
    <w:p>
      <w:pPr>
        <w:pStyle w:val="Subsection"/>
      </w:pPr>
      <w:r>
        <w:tab/>
        <w:t>(1)</w:t>
      </w:r>
      <w:r>
        <w:tab/>
        <w:t>The College must give due regard to any advice given by the Minister in relation to the exercise of its powers and the performance of its functions.</w:t>
      </w:r>
    </w:p>
    <w:p>
      <w:pPr>
        <w:pStyle w:val="Subsection"/>
      </w:pPr>
      <w:r>
        <w:tab/>
        <w:t>(2)</w:t>
      </w:r>
      <w:r>
        <w:tab/>
        <w:t>The text of any written advice given under subsection (1) is to be included in the annual report of the College under section 29.</w:t>
      </w:r>
    </w:p>
    <w:p>
      <w:pPr>
        <w:pStyle w:val="Heading5"/>
      </w:pPr>
      <w:bookmarkStart w:id="31" w:name="_Toc381880897"/>
      <w:bookmarkStart w:id="32" w:name="_Toc424568328"/>
      <w:r>
        <w:rPr>
          <w:rStyle w:val="CharSectno"/>
        </w:rPr>
        <w:t>15</w:t>
      </w:r>
      <w:r>
        <w:t>.</w:t>
      </w:r>
      <w:r>
        <w:tab/>
        <w:t>Minister to have access to information</w:t>
      </w:r>
      <w:bookmarkEnd w:id="31"/>
      <w:bookmarkEnd w:id="32"/>
    </w:p>
    <w:p>
      <w:pPr>
        <w:pStyle w:val="Subsection"/>
      </w:pPr>
      <w:r>
        <w:tab/>
        <w:t>(1)</w:t>
      </w:r>
      <w:r>
        <w:tab/>
        <w:t xml:space="preserve">The Minister is entitled — </w:t>
      </w:r>
    </w:p>
    <w:p>
      <w:pPr>
        <w:pStyle w:val="Indenta"/>
      </w:pPr>
      <w:r>
        <w:tab/>
        <w:t>(a)</w:t>
      </w:r>
      <w:r>
        <w:tab/>
        <w:t>to have information in the possession of the College;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College to furnish information to the Minister;</w:t>
      </w:r>
    </w:p>
    <w:p>
      <w:pPr>
        <w:pStyle w:val="Indenta"/>
      </w:pPr>
      <w:r>
        <w:tab/>
        <w:t>(b)</w:t>
      </w:r>
      <w:r>
        <w:tab/>
        <w:t>request the College to give the Minister access to information.</w:t>
      </w:r>
    </w:p>
    <w:p>
      <w:pPr>
        <w:pStyle w:val="Ednotesubsection"/>
      </w:pPr>
      <w:r>
        <w:tab/>
        <w:t>[(3)</w:t>
      </w:r>
      <w:r>
        <w:tab/>
        <w:t>deleted]</w:t>
      </w:r>
    </w:p>
    <w:p>
      <w:pPr>
        <w:pStyle w:val="Subsection"/>
      </w:pPr>
      <w:r>
        <w:tab/>
        <w:t>(4)</w:t>
      </w:r>
      <w:r>
        <w:tab/>
        <w:t xml:space="preserve">The Minister is not entitled to have information under this section in a form that — </w:t>
      </w:r>
    </w:p>
    <w:p>
      <w:pPr>
        <w:pStyle w:val="Indenta"/>
      </w:pPr>
      <w:r>
        <w:tab/>
        <w:t>(a)</w:t>
      </w:r>
      <w:r>
        <w:tab/>
        <w:t>discloses the identity of a person involved in a particular application, complaint, proceeding or inquiry; or</w:t>
      </w:r>
    </w:p>
    <w:p>
      <w:pPr>
        <w:pStyle w:val="Indenta"/>
        <w:keepNext/>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 xml:space="preserve">In this section —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College.</w:t>
      </w:r>
    </w:p>
    <w:p>
      <w:pPr>
        <w:pStyle w:val="Footnotesection"/>
      </w:pPr>
      <w:r>
        <w:tab/>
        <w:t>[Section 15 amended by No. 16 of 2012 s. 155.]</w:t>
      </w:r>
    </w:p>
    <w:p>
      <w:pPr>
        <w:pStyle w:val="Heading3"/>
      </w:pPr>
      <w:bookmarkStart w:id="33" w:name="_Toc381880898"/>
      <w:bookmarkStart w:id="34" w:name="_Toc424568329"/>
      <w:r>
        <w:rPr>
          <w:rStyle w:val="CharDivNo"/>
        </w:rPr>
        <w:t>Division 4</w:t>
      </w:r>
      <w:r>
        <w:t> — </w:t>
      </w:r>
      <w:r>
        <w:rPr>
          <w:rStyle w:val="CharDivText"/>
        </w:rPr>
        <w:t>Functions and powers</w:t>
      </w:r>
      <w:bookmarkEnd w:id="33"/>
      <w:bookmarkEnd w:id="34"/>
    </w:p>
    <w:p>
      <w:pPr>
        <w:pStyle w:val="Heading5"/>
      </w:pPr>
      <w:bookmarkStart w:id="35" w:name="_Toc381880899"/>
      <w:bookmarkStart w:id="36" w:name="_Toc424568330"/>
      <w:r>
        <w:rPr>
          <w:rStyle w:val="CharSectno"/>
        </w:rPr>
        <w:t>16</w:t>
      </w:r>
      <w:r>
        <w:t>.</w:t>
      </w:r>
      <w:r>
        <w:tab/>
        <w:t>Term used: residual affairs</w:t>
      </w:r>
      <w:bookmarkEnd w:id="35"/>
      <w:bookmarkEnd w:id="36"/>
    </w:p>
    <w:p>
      <w:pPr>
        <w:pStyle w:val="Subsection"/>
      </w:pPr>
      <w:r>
        <w:tab/>
      </w:r>
      <w:r>
        <w:tab/>
        <w:t xml:space="preserve">In this Division — </w:t>
      </w:r>
    </w:p>
    <w:p>
      <w:pPr>
        <w:pStyle w:val="Defstart"/>
      </w:pPr>
      <w:r>
        <w:tab/>
      </w:r>
      <w:r>
        <w:rPr>
          <w:rStyle w:val="CharDefText"/>
        </w:rPr>
        <w:t>residual affairs</w:t>
      </w:r>
      <w:r>
        <w:t xml:space="preserve"> means the affairs of the College in respect of — </w:t>
      </w:r>
    </w:p>
    <w:p>
      <w:pPr>
        <w:pStyle w:val="Defpara"/>
      </w:pPr>
      <w:r>
        <w:tab/>
        <w:t>(a)</w:t>
      </w:r>
      <w:r>
        <w:tab/>
        <w:t>the real property held by the College under this Act immediately before commencement day; and</w:t>
      </w:r>
    </w:p>
    <w:p>
      <w:pPr>
        <w:pStyle w:val="Defpara"/>
      </w:pPr>
      <w:r>
        <w:tab/>
        <w:t>(b)</w:t>
      </w:r>
      <w:r>
        <w:tab/>
        <w:t>any liabilities relating to that real property.</w:t>
      </w:r>
    </w:p>
    <w:p>
      <w:pPr>
        <w:pStyle w:val="Footnotesection"/>
      </w:pPr>
      <w:r>
        <w:tab/>
        <w:t>[Section 16 inserted by No. 16 of 2012 s. 156.]</w:t>
      </w:r>
    </w:p>
    <w:p>
      <w:pPr>
        <w:pStyle w:val="Heading5"/>
      </w:pPr>
      <w:bookmarkStart w:id="37" w:name="_Toc381880900"/>
      <w:bookmarkStart w:id="38" w:name="_Toc424568331"/>
      <w:r>
        <w:rPr>
          <w:rStyle w:val="CharSectno"/>
        </w:rPr>
        <w:t>17</w:t>
      </w:r>
      <w:r>
        <w:t>.</w:t>
      </w:r>
      <w:r>
        <w:tab/>
        <w:t>Function of College</w:t>
      </w:r>
      <w:bookmarkEnd w:id="37"/>
      <w:bookmarkEnd w:id="38"/>
    </w:p>
    <w:p>
      <w:pPr>
        <w:pStyle w:val="Subsection"/>
      </w:pPr>
      <w:r>
        <w:tab/>
        <w:t>(1)</w:t>
      </w:r>
      <w:r>
        <w:tab/>
        <w:t>The function of the College is to manage and wind</w:t>
      </w:r>
      <w:r>
        <w:noBreakHyphen/>
        <w:t>up its residual affairs.</w:t>
      </w:r>
    </w:p>
    <w:p>
      <w:pPr>
        <w:pStyle w:val="Subsection"/>
      </w:pPr>
      <w:r>
        <w:tab/>
        <w:t>(2)</w:t>
      </w:r>
      <w:r>
        <w:tab/>
        <w:t>The College is to wind</w:t>
      </w:r>
      <w:r>
        <w:noBreakHyphen/>
        <w:t>up its residual affairs as soon as is reasonably practicable after commencement day.</w:t>
      </w:r>
    </w:p>
    <w:p>
      <w:pPr>
        <w:pStyle w:val="Footnotesection"/>
      </w:pPr>
      <w:r>
        <w:tab/>
        <w:t>[Section 17 inserted by No. 16 of 2012 s. 156.]</w:t>
      </w:r>
    </w:p>
    <w:p>
      <w:pPr>
        <w:pStyle w:val="Heading5"/>
      </w:pPr>
      <w:bookmarkStart w:id="39" w:name="_Toc381880901"/>
      <w:bookmarkStart w:id="40" w:name="_Toc424568332"/>
      <w:r>
        <w:rPr>
          <w:rStyle w:val="CharSectno"/>
        </w:rPr>
        <w:t>18</w:t>
      </w:r>
      <w:r>
        <w:t>.</w:t>
      </w:r>
      <w:r>
        <w:tab/>
        <w:t>Powers of College</w:t>
      </w:r>
      <w:bookmarkEnd w:id="39"/>
      <w:bookmarkEnd w:id="40"/>
    </w:p>
    <w:p>
      <w:pPr>
        <w:pStyle w:val="Subsection"/>
      </w:pPr>
      <w:r>
        <w:tab/>
        <w:t>(1)</w:t>
      </w:r>
      <w:r>
        <w:tab/>
        <w:t>The College may do all things that are necessary or expedient for managing and winding</w:t>
      </w:r>
      <w:r>
        <w:noBreakHyphen/>
        <w:t>up its residual affairs.</w:t>
      </w:r>
    </w:p>
    <w:p>
      <w:pPr>
        <w:pStyle w:val="Subsection"/>
      </w:pPr>
      <w:r>
        <w:tab/>
        <w:t>(2)</w:t>
      </w:r>
      <w:r>
        <w:tab/>
        <w:t>Without limiting what may be done to wind</w:t>
      </w:r>
      <w:r>
        <w:noBreakHyphen/>
        <w:t xml:space="preserve">up its residual affairs, the College is to — </w:t>
      </w:r>
    </w:p>
    <w:p>
      <w:pPr>
        <w:pStyle w:val="Indenta"/>
      </w:pPr>
      <w:r>
        <w:tab/>
        <w:t>(a)</w:t>
      </w:r>
      <w:r>
        <w:tab/>
        <w:t>dispose of the real property held by the College under this Act immediately before commencement day; and</w:t>
      </w:r>
    </w:p>
    <w:p>
      <w:pPr>
        <w:pStyle w:val="Indenta"/>
      </w:pPr>
      <w:r>
        <w:tab/>
        <w:t>(b)</w:t>
      </w:r>
      <w:r>
        <w:tab/>
        <w:t>discharge any remaining liabilities relating to that real property.</w:t>
      </w:r>
    </w:p>
    <w:p>
      <w:pPr>
        <w:pStyle w:val="Footnotesection"/>
      </w:pPr>
      <w:r>
        <w:tab/>
        <w:t>[Section 18 inserted by No. 16 of 2012 s. 156.]</w:t>
      </w:r>
    </w:p>
    <w:p>
      <w:pPr>
        <w:pStyle w:val="Heading3"/>
      </w:pPr>
      <w:bookmarkStart w:id="41" w:name="_Toc381880902"/>
      <w:bookmarkStart w:id="42" w:name="_Toc424568333"/>
      <w:r>
        <w:rPr>
          <w:rStyle w:val="CharDivNo"/>
        </w:rPr>
        <w:t>Division 5</w:t>
      </w:r>
      <w:r>
        <w:t> — </w:t>
      </w:r>
      <w:r>
        <w:rPr>
          <w:rStyle w:val="CharDivText"/>
        </w:rPr>
        <w:t>Director and other staff</w:t>
      </w:r>
      <w:bookmarkEnd w:id="41"/>
      <w:bookmarkEnd w:id="42"/>
    </w:p>
    <w:p>
      <w:pPr>
        <w:pStyle w:val="Ednotesection"/>
      </w:pPr>
      <w:r>
        <w:t>[</w:t>
      </w:r>
      <w:r>
        <w:rPr>
          <w:b/>
        </w:rPr>
        <w:t>19</w:t>
      </w:r>
      <w:r>
        <w:rPr>
          <w:b/>
        </w:rPr>
        <w:noBreakHyphen/>
        <w:t>21.</w:t>
      </w:r>
      <w:r>
        <w:tab/>
        <w:t>Deleted by No. 16 of 2012 s. 157.]</w:t>
      </w:r>
    </w:p>
    <w:p>
      <w:pPr>
        <w:pStyle w:val="Heading5"/>
      </w:pPr>
      <w:bookmarkStart w:id="43" w:name="_Toc381880903"/>
      <w:bookmarkStart w:id="44" w:name="_Toc424568334"/>
      <w:r>
        <w:rPr>
          <w:rStyle w:val="CharSectno"/>
        </w:rPr>
        <w:t>22</w:t>
      </w:r>
      <w:r>
        <w:t>.</w:t>
      </w:r>
      <w:r>
        <w:tab/>
        <w:t>Use of government staff and facilities</w:t>
      </w:r>
      <w:bookmarkEnd w:id="43"/>
      <w:bookmarkEnd w:id="44"/>
    </w:p>
    <w:p>
      <w:pPr>
        <w:pStyle w:val="Subsection"/>
      </w:pPr>
      <w:r>
        <w:tab/>
        <w:t>(1)</w:t>
      </w:r>
      <w:r>
        <w:tab/>
        <w:t>The College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The Board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3"/>
      </w:pPr>
      <w:bookmarkStart w:id="45" w:name="_Toc381880904"/>
      <w:bookmarkStart w:id="46" w:name="_Toc424568335"/>
      <w:r>
        <w:rPr>
          <w:rStyle w:val="CharDivNo"/>
        </w:rPr>
        <w:t>Division 6</w:t>
      </w:r>
      <w:r>
        <w:t> — </w:t>
      </w:r>
      <w:r>
        <w:rPr>
          <w:rStyle w:val="CharDivText"/>
        </w:rPr>
        <w:t>General</w:t>
      </w:r>
      <w:bookmarkEnd w:id="45"/>
      <w:bookmarkEnd w:id="46"/>
    </w:p>
    <w:p>
      <w:pPr>
        <w:pStyle w:val="Heading5"/>
      </w:pPr>
      <w:bookmarkStart w:id="47" w:name="_Toc381880905"/>
      <w:bookmarkStart w:id="48" w:name="_Toc424568336"/>
      <w:r>
        <w:rPr>
          <w:rStyle w:val="CharSectno"/>
        </w:rPr>
        <w:t>23</w:t>
      </w:r>
      <w:r>
        <w:t>.</w:t>
      </w:r>
      <w:r>
        <w:tab/>
        <w:t>Protection from liability</w:t>
      </w:r>
      <w:bookmarkEnd w:id="47"/>
      <w:bookmarkEnd w:id="48"/>
    </w:p>
    <w:p>
      <w:pPr>
        <w:pStyle w:val="Subsection"/>
      </w:pPr>
      <w:r>
        <w:tab/>
        <w:t>(1)</w:t>
      </w:r>
      <w:r>
        <w:tab/>
        <w:t>An action in tort does not lie against a person for anything that the person has, in good faith, done in the performance or purported performance of a function under this Act.</w:t>
      </w:r>
    </w:p>
    <w:p>
      <w:pPr>
        <w:pStyle w:val="Subsection"/>
      </w:pPr>
      <w:r>
        <w:tab/>
        <w:t>(2)</w:t>
      </w:r>
      <w:r>
        <w:tab/>
        <w:t>The College is also relieved of any liability it might otherwise have had for another person having done anything as described in subsection (1).</w:t>
      </w:r>
    </w:p>
    <w:p>
      <w:pPr>
        <w:pStyle w:val="Subsection"/>
      </w:pPr>
      <w:r>
        <w:tab/>
        <w:t>(3)</w:t>
      </w:r>
      <w:r>
        <w:tab/>
        <w:t>The protection given by this section applies even though the thing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49" w:name="_Toc381880906"/>
      <w:bookmarkStart w:id="50" w:name="_Toc424568337"/>
      <w:r>
        <w:rPr>
          <w:rStyle w:val="CharSectno"/>
        </w:rPr>
        <w:t>24</w:t>
      </w:r>
      <w:r>
        <w:t>.</w:t>
      </w:r>
      <w:r>
        <w:tab/>
        <w:t>Duty not to make improper use of information</w:t>
      </w:r>
      <w:bookmarkEnd w:id="49"/>
      <w:bookmarkEnd w:id="50"/>
      <w:r>
        <w:t xml:space="preserve"> </w:t>
      </w:r>
    </w:p>
    <w:p>
      <w:pPr>
        <w:pStyle w:val="Subsection"/>
        <w:tabs>
          <w:tab w:val="left" w:pos="1134"/>
        </w:tabs>
      </w:pPr>
      <w:r>
        <w:tab/>
      </w:r>
      <w:r>
        <w:tab/>
        <w:t>A member or former member of the Board or a committee must not, whether within or outside the State, make improper use of information acquired by virtue of his or her position as such to gain, directly or indirectly, an advantage for himself or herself or for any other person.</w:t>
      </w:r>
    </w:p>
    <w:p>
      <w:pPr>
        <w:pStyle w:val="Penstart"/>
      </w:pPr>
      <w:r>
        <w:tab/>
        <w:t>Penalty: $10 000.</w:t>
      </w:r>
    </w:p>
    <w:p>
      <w:pPr>
        <w:pStyle w:val="Heading5"/>
      </w:pPr>
      <w:bookmarkStart w:id="51" w:name="_Toc381880907"/>
      <w:bookmarkStart w:id="52" w:name="_Toc424568338"/>
      <w:r>
        <w:rPr>
          <w:rStyle w:val="CharSectno"/>
        </w:rPr>
        <w:t>25</w:t>
      </w:r>
      <w:r>
        <w:t>.</w:t>
      </w:r>
      <w:r>
        <w:tab/>
        <w:t>Common seal and execution of documents by College</w:t>
      </w:r>
      <w:bookmarkEnd w:id="51"/>
      <w:bookmarkEnd w:id="52"/>
    </w:p>
    <w:p>
      <w:pPr>
        <w:pStyle w:val="Subsection"/>
      </w:pPr>
      <w:r>
        <w:tab/>
        <w:t>(1)</w:t>
      </w:r>
      <w:r>
        <w:tab/>
        <w:t xml:space="preserve">A document is duly executed by the College if — </w:t>
      </w:r>
    </w:p>
    <w:p>
      <w:pPr>
        <w:pStyle w:val="Indenta"/>
      </w:pPr>
      <w:r>
        <w:tab/>
        <w:t>(a)</w:t>
      </w:r>
      <w:r>
        <w:tab/>
        <w:t>the common seal of the College is affixed in accordance with subsections (2) and (3); or</w:t>
      </w:r>
    </w:p>
    <w:p>
      <w:pPr>
        <w:pStyle w:val="Indenta"/>
      </w:pPr>
      <w:r>
        <w:tab/>
        <w:t>(b)</w:t>
      </w:r>
      <w:r>
        <w:tab/>
        <w:t>it is signed on behalf of the College by the CEO.</w:t>
      </w:r>
    </w:p>
    <w:p>
      <w:pPr>
        <w:pStyle w:val="Subsection"/>
      </w:pPr>
      <w:r>
        <w:tab/>
        <w:t>(2)</w:t>
      </w:r>
      <w:r>
        <w:tab/>
        <w:t>The common seal of the College is not to be affixed to a document except as authorised by the College.</w:t>
      </w:r>
    </w:p>
    <w:p>
      <w:pPr>
        <w:pStyle w:val="Subsection"/>
      </w:pPr>
      <w:r>
        <w:tab/>
        <w:t>(3)</w:t>
      </w:r>
      <w:r>
        <w:tab/>
        <w:t>The common seal of the College is to be affixed to a document in the presence of the CEO and the CEO is to sign the document to attest that the common seal was so affixed.</w:t>
      </w:r>
    </w:p>
    <w:p>
      <w:pPr>
        <w:pStyle w:val="Subsection"/>
      </w:pPr>
      <w:r>
        <w:tab/>
        <w:t>(4)</w:t>
      </w:r>
      <w:r>
        <w:tab/>
        <w:t xml:space="preserve">The common seal of the College is — </w:t>
      </w:r>
    </w:p>
    <w:p>
      <w:pPr>
        <w:pStyle w:val="Indenta"/>
      </w:pPr>
      <w:r>
        <w:tab/>
        <w:t>(a)</w:t>
      </w:r>
      <w:r>
        <w:tab/>
        <w:t>to be in a form determined by the College; and</w:t>
      </w:r>
    </w:p>
    <w:p>
      <w:pPr>
        <w:pStyle w:val="Indenta"/>
      </w:pPr>
      <w:r>
        <w:tab/>
        <w:t>(b)</w:t>
      </w:r>
      <w:r>
        <w:tab/>
        <w:t>to be kept in such custody as the College directs; and</w:t>
      </w:r>
    </w:p>
    <w:p>
      <w:pPr>
        <w:pStyle w:val="Indenta"/>
      </w:pPr>
      <w:r>
        <w:tab/>
        <w:t>(c)</w:t>
      </w:r>
      <w:r>
        <w:tab/>
        <w:t>not to be used except as authorised by the College.</w:t>
      </w:r>
    </w:p>
    <w:p>
      <w:pPr>
        <w:pStyle w:val="Subsection"/>
      </w:pPr>
      <w:r>
        <w:tab/>
        <w:t>(5)</w:t>
      </w:r>
      <w:r>
        <w:tab/>
        <w:t>A document purporting to be executed in accordance with this section is to be presumed to be duly executed until the contrary is shown.</w:t>
      </w:r>
    </w:p>
    <w:p>
      <w:pPr>
        <w:pStyle w:val="Subsection"/>
      </w:pPr>
      <w:r>
        <w:tab/>
        <w:t>(6)</w:t>
      </w:r>
      <w:r>
        <w:tab/>
        <w:t>When a document is produced bearing a seal purporting to be the common seal of the College, it is to be presumed that the seal is the common seal of the College until the contrary is shown.</w:t>
      </w:r>
    </w:p>
    <w:p>
      <w:pPr>
        <w:pStyle w:val="Subsection"/>
      </w:pPr>
      <w:r>
        <w:tab/>
        <w:t>(7)</w:t>
      </w:r>
      <w:r>
        <w:tab/>
        <w:t>All courts and persons acting judicially are to take notice of the common seal of the College.</w:t>
      </w:r>
    </w:p>
    <w:p>
      <w:pPr>
        <w:pStyle w:val="Footnotesection"/>
      </w:pPr>
      <w:r>
        <w:tab/>
        <w:t>[Section 25 amended by No. 16 of 2012 s. 158.]</w:t>
      </w:r>
    </w:p>
    <w:p>
      <w:pPr>
        <w:pStyle w:val="Heading2"/>
      </w:pPr>
      <w:bookmarkStart w:id="53" w:name="_Toc381880908"/>
      <w:bookmarkStart w:id="54" w:name="_Toc424568339"/>
      <w:r>
        <w:rPr>
          <w:rStyle w:val="CharPartNo"/>
        </w:rPr>
        <w:t>Part 3</w:t>
      </w:r>
      <w:r>
        <w:rPr>
          <w:rStyle w:val="CharDivNo"/>
        </w:rPr>
        <w:t> </w:t>
      </w:r>
      <w:r>
        <w:t>—</w:t>
      </w:r>
      <w:r>
        <w:rPr>
          <w:rStyle w:val="CharDivText"/>
        </w:rPr>
        <w:t> </w:t>
      </w:r>
      <w:r>
        <w:rPr>
          <w:rStyle w:val="CharPartText"/>
        </w:rPr>
        <w:t>Financial provisions</w:t>
      </w:r>
      <w:bookmarkEnd w:id="53"/>
      <w:bookmarkEnd w:id="54"/>
    </w:p>
    <w:p>
      <w:pPr>
        <w:pStyle w:val="Heading5"/>
      </w:pPr>
      <w:bookmarkStart w:id="55" w:name="_Toc381880909"/>
      <w:bookmarkStart w:id="56" w:name="_Toc424568340"/>
      <w:r>
        <w:rPr>
          <w:rStyle w:val="CharSectno"/>
        </w:rPr>
        <w:t>26</w:t>
      </w:r>
      <w:r>
        <w:t>.</w:t>
      </w:r>
      <w:r>
        <w:tab/>
        <w:t>Funds available to College</w:t>
      </w:r>
      <w:bookmarkEnd w:id="55"/>
      <w:bookmarkEnd w:id="56"/>
    </w:p>
    <w:p>
      <w:pPr>
        <w:pStyle w:val="Subsection"/>
      </w:pPr>
      <w:r>
        <w:tab/>
        <w:t>(1)</w:t>
      </w:r>
      <w:r>
        <w:tab/>
        <w:t>All moneys received by the College in performing its function under this Act, including any proceeds from the disposal of property, are to be credited to the Teacher Registration Board Account.</w:t>
      </w:r>
    </w:p>
    <w:p>
      <w:pPr>
        <w:pStyle w:val="Subsection"/>
      </w:pPr>
      <w:r>
        <w:tab/>
        <w:t>(2)</w:t>
      </w:r>
      <w:r>
        <w:tab/>
        <w:t>All expenditure incurred by the College for the purposes of performing its function, including the repayment of moneys borrowed by or advanced to the College, is to be charged to the Teacher Registration Board Account.</w:t>
      </w:r>
    </w:p>
    <w:p>
      <w:pPr>
        <w:pStyle w:val="Footnotesection"/>
      </w:pPr>
      <w:r>
        <w:tab/>
        <w:t>[Section 26 inserted by No. 16 of 2012 s. 159.]</w:t>
      </w:r>
    </w:p>
    <w:p>
      <w:pPr>
        <w:pStyle w:val="Ednotesection"/>
      </w:pPr>
      <w:r>
        <w:t>[</w:t>
      </w:r>
      <w:r>
        <w:rPr>
          <w:b/>
        </w:rPr>
        <w:t>27</w:t>
      </w:r>
      <w:r>
        <w:rPr>
          <w:b/>
        </w:rPr>
        <w:noBreakHyphen/>
        <w:t>29.</w:t>
      </w:r>
      <w:r>
        <w:tab/>
        <w:t>Deleted by No. 16 of 2012 s. 160.]</w:t>
      </w:r>
    </w:p>
    <w:p>
      <w:pPr>
        <w:pStyle w:val="Ednotepart"/>
      </w:pPr>
      <w:r>
        <w:t>[Parts 4</w:t>
      </w:r>
      <w:r>
        <w:noBreakHyphen/>
        <w:t>9 deleted by No. 16 of 2012 s. 161.]</w:t>
      </w:r>
    </w:p>
    <w:p>
      <w:pPr>
        <w:pStyle w:val="yEdnoteschedule"/>
        <w:rPr>
          <w:sz w:val="24"/>
          <w:szCs w:val="24"/>
        </w:rPr>
      </w:pPr>
      <w:r>
        <w:rPr>
          <w:sz w:val="24"/>
          <w:szCs w:val="24"/>
        </w:rPr>
        <w:t>[Schedules 1</w:t>
      </w:r>
      <w:r>
        <w:rPr>
          <w:sz w:val="24"/>
          <w:szCs w:val="24"/>
        </w:rPr>
        <w:noBreakHyphen/>
        <w:t>4 deleted by No. 16 of 2012 s. 162.]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outlineLvl w:val="0"/>
      </w:pPr>
      <w:bookmarkStart w:id="57" w:name="_Toc381880910"/>
      <w:bookmarkStart w:id="58" w:name="_Toc424568341"/>
      <w:r>
        <w:t>Notes</w:t>
      </w:r>
      <w:bookmarkEnd w:id="57"/>
      <w:bookmarkEnd w:id="58"/>
    </w:p>
    <w:p>
      <w:pPr>
        <w:pStyle w:val="nSubsection"/>
        <w:rPr>
          <w:snapToGrid w:val="0"/>
        </w:rPr>
      </w:pPr>
      <w:r>
        <w:rPr>
          <w:snapToGrid w:val="0"/>
          <w:vertAlign w:val="superscript"/>
        </w:rPr>
        <w:t>1</w:t>
      </w:r>
      <w:r>
        <w:rPr>
          <w:snapToGrid w:val="0"/>
        </w:rPr>
        <w:tab/>
        <w:t xml:space="preserve">This reprint is a compilation as at 22 November 2013 of the </w:t>
      </w:r>
      <w:r>
        <w:rPr>
          <w:i/>
          <w:noProof/>
          <w:snapToGrid w:val="0"/>
        </w:rPr>
        <w:t>Western Australian College of Teaching Act 2004</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rPr>
          <w:snapToGrid w:val="0"/>
        </w:rPr>
      </w:pPr>
      <w:bookmarkStart w:id="59" w:name="_Toc381880911"/>
      <w:bookmarkStart w:id="60" w:name="_Toc424568342"/>
      <w:r>
        <w:rPr>
          <w:snapToGrid w:val="0"/>
        </w:rPr>
        <w:t>Compilation table</w:t>
      </w:r>
      <w:bookmarkEnd w:id="59"/>
      <w:bookmarkEnd w:id="6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p>
        </w:tc>
        <w:tc>
          <w:tcPr>
            <w:tcW w:w="1134" w:type="dxa"/>
            <w:tcBorders>
              <w:top w:val="single" w:sz="8" w:space="0" w:color="auto"/>
            </w:tcBorders>
          </w:tcPr>
          <w:p>
            <w:pPr>
              <w:pStyle w:val="nTable"/>
              <w:spacing w:after="40"/>
            </w:pPr>
            <w:r>
              <w:t>8 of 2004</w:t>
            </w:r>
          </w:p>
        </w:tc>
        <w:tc>
          <w:tcPr>
            <w:tcW w:w="1134" w:type="dxa"/>
            <w:tcBorders>
              <w:top w:val="single" w:sz="8" w:space="0" w:color="auto"/>
            </w:tcBorders>
          </w:tcPr>
          <w:p>
            <w:pPr>
              <w:pStyle w:val="nTable"/>
              <w:spacing w:after="40"/>
            </w:pPr>
            <w:r>
              <w:t>10 Jun 2004</w:t>
            </w:r>
          </w:p>
        </w:tc>
        <w:tc>
          <w:tcPr>
            <w:tcW w:w="2552" w:type="dxa"/>
            <w:tcBorders>
              <w:top w:val="single" w:sz="8" w:space="0" w:color="auto"/>
            </w:tcBorders>
          </w:tcPr>
          <w:p>
            <w:pPr>
              <w:pStyle w:val="nTable"/>
              <w:spacing w:after="40"/>
            </w:pPr>
            <w:r>
              <w:t>s. 1 and 2: 10 Jun 2004;</w:t>
            </w:r>
            <w:r>
              <w:br/>
              <w:t xml:space="preserve">Act other than s. 1 and 2: 15 Sep 2004 (see s. 2 and </w:t>
            </w:r>
            <w:r>
              <w:rPr>
                <w:i/>
                <w:iCs/>
              </w:rPr>
              <w:t xml:space="preserve">Gazette </w:t>
            </w:r>
            <w:r>
              <w:t>3 Sep 2004 p. 3849)</w:t>
            </w:r>
          </w:p>
        </w:tc>
      </w:tr>
      <w:tr>
        <w:tc>
          <w:tcPr>
            <w:tcW w:w="2268" w:type="dxa"/>
          </w:tcPr>
          <w:p>
            <w:pPr>
              <w:pStyle w:val="nTable"/>
              <w:spacing w:after="4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c>
          <w:tcPr>
            <w:tcW w:w="2268" w:type="dxa"/>
          </w:tcPr>
          <w:p>
            <w:pPr>
              <w:pStyle w:val="nTable"/>
              <w:spacing w:after="40"/>
              <w:rPr>
                <w:i/>
                <w:iCs/>
                <w:snapToGrid w:val="0"/>
              </w:rPr>
            </w:pPr>
            <w:smartTag w:uri="urn:schemas-microsoft-com:office:smarttags" w:element="place">
              <w:smartTag w:uri="urn:schemas-microsoft-com:office:smarttags" w:element="PlaceName">
                <w:r>
                  <w:rPr>
                    <w:i/>
                    <w:iCs/>
                    <w:snapToGrid w:val="0"/>
                  </w:rPr>
                  <w:t>Western</w:t>
                </w:r>
              </w:smartTag>
              <w:r>
                <w:rPr>
                  <w:i/>
                  <w:iCs/>
                  <w:snapToGrid w:val="0"/>
                </w:rPr>
                <w:t xml:space="preserve"> </w:t>
              </w:r>
              <w:smartTag w:uri="urn:schemas-microsoft-com:office:smarttags" w:element="PlaceName">
                <w:r>
                  <w:rPr>
                    <w:i/>
                    <w:iCs/>
                    <w:snapToGrid w:val="0"/>
                  </w:rPr>
                  <w:t>Australian</w:t>
                </w:r>
              </w:smartTag>
              <w:r>
                <w:rPr>
                  <w:i/>
                  <w:iCs/>
                  <w:snapToGrid w:val="0"/>
                </w:rPr>
                <w:t xml:space="preserve"> </w:t>
              </w:r>
              <w:smartTag w:uri="urn:schemas-microsoft-com:office:smarttags" w:element="PlaceType">
                <w:r>
                  <w:rPr>
                    <w:i/>
                    <w:iCs/>
                    <w:snapToGrid w:val="0"/>
                  </w:rPr>
                  <w:t>College</w:t>
                </w:r>
              </w:smartTag>
            </w:smartTag>
            <w:r>
              <w:rPr>
                <w:i/>
                <w:iCs/>
                <w:snapToGrid w:val="0"/>
              </w:rPr>
              <w:t xml:space="preserve"> of Teaching Amendment Act 2007</w:t>
            </w:r>
          </w:p>
        </w:tc>
        <w:tc>
          <w:tcPr>
            <w:tcW w:w="1134" w:type="dxa"/>
          </w:tcPr>
          <w:p>
            <w:pPr>
              <w:pStyle w:val="nTable"/>
              <w:spacing w:after="40"/>
              <w:rPr>
                <w:snapToGrid w:val="0"/>
              </w:rPr>
            </w:pPr>
            <w:r>
              <w:rPr>
                <w:snapToGrid w:val="0"/>
              </w:rPr>
              <w:t>18 of 2007</w:t>
            </w:r>
          </w:p>
        </w:tc>
        <w:tc>
          <w:tcPr>
            <w:tcW w:w="1134" w:type="dxa"/>
          </w:tcPr>
          <w:p>
            <w:pPr>
              <w:pStyle w:val="nTable"/>
              <w:spacing w:after="40"/>
            </w:pPr>
            <w:r>
              <w:t>3 Jul 2007</w:t>
            </w:r>
          </w:p>
        </w:tc>
        <w:tc>
          <w:tcPr>
            <w:tcW w:w="2552" w:type="dxa"/>
          </w:tcPr>
          <w:p>
            <w:pPr>
              <w:pStyle w:val="nTable"/>
              <w:spacing w:after="40"/>
              <w:rPr>
                <w:snapToGrid w:val="0"/>
              </w:rPr>
            </w:pPr>
            <w:r>
              <w:t>s. 1 and 2: 3 Jul 2007 (see s. 2(a));</w:t>
            </w:r>
            <w:r>
              <w:br/>
              <w:t>Act other than s. 1 and 2: 4 Jul 2007 (see s. 2(b))</w:t>
            </w:r>
          </w:p>
        </w:tc>
      </w:tr>
      <w:tr>
        <w:tc>
          <w:tcPr>
            <w:tcW w:w="2268" w:type="dxa"/>
          </w:tcPr>
          <w:p>
            <w:pPr>
              <w:pStyle w:val="nTable"/>
              <w:spacing w:after="40"/>
              <w:rPr>
                <w:i/>
                <w:iCs/>
                <w:snapToGrid w:val="0"/>
              </w:rPr>
            </w:pPr>
            <w:r>
              <w:rPr>
                <w:i/>
                <w:snapToGrid w:val="0"/>
              </w:rPr>
              <w:t>Criminal Law and Evidence Amendment Act 2008</w:t>
            </w:r>
            <w:r>
              <w:rPr>
                <w:iCs/>
                <w:snapToGrid w:val="0"/>
              </w:rPr>
              <w:t xml:space="preserve"> s. 72</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iCs/>
                <w:snapToGrid w:val="0"/>
              </w:rPr>
            </w:pPr>
            <w:r>
              <w:rPr>
                <w:i/>
                <w:iCs/>
                <w:snapToGrid w:val="0"/>
              </w:rPr>
              <w:t xml:space="preserve">Legal Profession Act 2008 </w:t>
            </w:r>
            <w:r>
              <w:rPr>
                <w:snapToGrid w:val="0"/>
              </w:rPr>
              <w:t>s. 712</w:t>
            </w:r>
          </w:p>
        </w:tc>
        <w:tc>
          <w:tcPr>
            <w:tcW w:w="1134" w:type="dxa"/>
          </w:tcPr>
          <w:p>
            <w:pPr>
              <w:pStyle w:val="nTable"/>
              <w:spacing w:after="40"/>
              <w:rPr>
                <w:snapToGrid w:val="0"/>
              </w:rPr>
            </w:pPr>
            <w:r>
              <w:rPr>
                <w:snapToGrid w:val="0"/>
              </w:rPr>
              <w:t>21 of 2008</w:t>
            </w:r>
          </w:p>
        </w:tc>
        <w:tc>
          <w:tcPr>
            <w:tcW w:w="1134" w:type="dxa"/>
          </w:tcPr>
          <w:p>
            <w:pPr>
              <w:pStyle w:val="nTable"/>
              <w:spacing w:after="40"/>
            </w:pPr>
            <w:r>
              <w:t>27 May 2008</w:t>
            </w:r>
          </w:p>
        </w:tc>
        <w:tc>
          <w:tcPr>
            <w:tcW w:w="2552"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7088" w:type="dxa"/>
            <w:gridSpan w:val="4"/>
          </w:tcPr>
          <w:p>
            <w:pPr>
              <w:pStyle w:val="nTable"/>
              <w:spacing w:after="40"/>
              <w:rPr>
                <w:snapToGrid w:val="0"/>
              </w:rPr>
            </w:pPr>
            <w:r>
              <w:rPr>
                <w:b/>
                <w:bCs/>
                <w:snapToGrid w:val="0"/>
              </w:rPr>
              <w:t xml:space="preserve">Reprint 1: The </w:t>
            </w:r>
            <w:smartTag w:uri="urn:schemas-microsoft-com:office:smarttags" w:element="place">
              <w:smartTag w:uri="urn:schemas-microsoft-com:office:smarttags" w:element="PlaceName">
                <w:r>
                  <w:rPr>
                    <w:b/>
                    <w:bCs/>
                    <w:i/>
                  </w:rPr>
                  <w:t>Western</w:t>
                </w:r>
              </w:smartTag>
              <w:r>
                <w:rPr>
                  <w:b/>
                  <w:bCs/>
                  <w:i/>
                </w:rPr>
                <w:t xml:space="preserve"> </w:t>
              </w:r>
              <w:smartTag w:uri="urn:schemas-microsoft-com:office:smarttags" w:element="PlaceName">
                <w:r>
                  <w:rPr>
                    <w:b/>
                    <w:bCs/>
                    <w:i/>
                  </w:rPr>
                  <w:t>Australian</w:t>
                </w:r>
              </w:smartTag>
              <w:r>
                <w:rPr>
                  <w:b/>
                  <w:bCs/>
                  <w:i/>
                </w:rPr>
                <w:t xml:space="preserve"> </w:t>
              </w:r>
              <w:smartTag w:uri="urn:schemas-microsoft-com:office:smarttags" w:element="PlaceType">
                <w:r>
                  <w:rPr>
                    <w:b/>
                    <w:bCs/>
                    <w:i/>
                  </w:rPr>
                  <w:t>College</w:t>
                </w:r>
              </w:smartTag>
            </w:smartTag>
            <w:r>
              <w:rPr>
                <w:b/>
                <w:bCs/>
                <w:i/>
              </w:rPr>
              <w:t xml:space="preserve"> of Teaching Act 2004</w:t>
            </w:r>
            <w:r>
              <w:rPr>
                <w:b/>
                <w:bCs/>
                <w:snapToGrid w:val="0"/>
              </w:rPr>
              <w:t xml:space="preserve"> as at 5 Dec 2008</w:t>
            </w:r>
            <w:r>
              <w:rPr>
                <w:snapToGrid w:val="0"/>
              </w:rPr>
              <w:t xml:space="preserve"> (includes amendments listed above except those in the </w:t>
            </w:r>
            <w:r>
              <w:rPr>
                <w:i/>
                <w:iCs/>
                <w:snapToGrid w:val="0"/>
              </w:rPr>
              <w:t>Legal Profession Act 2008</w:t>
            </w:r>
            <w:r>
              <w:rPr>
                <w:snapToGrid w:val="0"/>
              </w:rP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135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iCs/>
                <w:snapToGrid w:val="0"/>
              </w:rPr>
            </w:pPr>
            <w:r>
              <w:rPr>
                <w:i/>
                <w:snapToGrid w:val="0"/>
              </w:rPr>
              <w:t>Curriculum Council Amendment Act 2011</w:t>
            </w:r>
            <w:r>
              <w:rPr>
                <w:snapToGrid w:val="0"/>
              </w:rPr>
              <w:t xml:space="preserve"> Pt. 3 Div. 5</w:t>
            </w:r>
          </w:p>
        </w:tc>
        <w:tc>
          <w:tcPr>
            <w:tcW w:w="1134" w:type="dxa"/>
          </w:tcPr>
          <w:p>
            <w:pPr>
              <w:pStyle w:val="nTable"/>
              <w:spacing w:after="40"/>
              <w:rPr>
                <w:snapToGrid w:val="0"/>
              </w:rPr>
            </w:pPr>
            <w:r>
              <w:rPr>
                <w:snapToGrid w:val="0"/>
              </w:rPr>
              <w:t>37 of 2011</w:t>
            </w:r>
          </w:p>
        </w:tc>
        <w:tc>
          <w:tcPr>
            <w:tcW w:w="1134" w:type="dxa"/>
          </w:tcPr>
          <w:p>
            <w:pPr>
              <w:pStyle w:val="nTable"/>
              <w:spacing w:after="40"/>
            </w:pPr>
            <w:r>
              <w:t>13 Sep 2011</w:t>
            </w:r>
          </w:p>
        </w:tc>
        <w:tc>
          <w:tcPr>
            <w:tcW w:w="2552"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shd w:val="clear" w:color="auto" w:fill="auto"/>
          </w:tcPr>
          <w:p>
            <w:pPr>
              <w:pStyle w:val="nTable"/>
              <w:spacing w:after="40"/>
              <w:ind w:right="113"/>
              <w:rPr>
                <w:i/>
                <w:snapToGrid w:val="0"/>
              </w:rPr>
            </w:pPr>
            <w:r>
              <w:rPr>
                <w:i/>
                <w:snapToGrid w:val="0"/>
              </w:rPr>
              <w:t>Teacher Registration Act 2012</w:t>
            </w:r>
            <w:r>
              <w:rPr>
                <w:snapToGrid w:val="0"/>
              </w:rPr>
              <w:t xml:space="preserve"> Pt. 9 Div. 1</w:t>
            </w:r>
          </w:p>
        </w:tc>
        <w:tc>
          <w:tcPr>
            <w:tcW w:w="1134" w:type="dxa"/>
            <w:shd w:val="clear" w:color="auto" w:fill="auto"/>
          </w:tcPr>
          <w:p>
            <w:pPr>
              <w:pStyle w:val="nTable"/>
              <w:spacing w:after="40"/>
              <w:rPr>
                <w:snapToGrid w:val="0"/>
              </w:rPr>
            </w:pPr>
            <w:r>
              <w:rPr>
                <w:snapToGrid w:val="0"/>
              </w:rPr>
              <w:t>16 of 2012</w:t>
            </w:r>
          </w:p>
        </w:tc>
        <w:tc>
          <w:tcPr>
            <w:tcW w:w="1134" w:type="dxa"/>
            <w:shd w:val="clear" w:color="auto" w:fill="auto"/>
          </w:tcPr>
          <w:p>
            <w:pPr>
              <w:pStyle w:val="nTable"/>
              <w:spacing w:after="40"/>
            </w:pPr>
            <w:r>
              <w:t>3 Jul 2012</w:t>
            </w:r>
          </w:p>
        </w:tc>
        <w:tc>
          <w:tcPr>
            <w:tcW w:w="2552" w:type="dxa"/>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rPr>
          <w:cantSplit/>
        </w:trPr>
        <w:tc>
          <w:tcPr>
            <w:tcW w:w="7088" w:type="dxa"/>
            <w:gridSpan w:val="4"/>
            <w:tcBorders>
              <w:bottom w:val="single" w:sz="8" w:space="0" w:color="auto"/>
            </w:tcBorders>
            <w:shd w:val="clear" w:color="auto" w:fill="auto"/>
          </w:tcPr>
          <w:p>
            <w:pPr>
              <w:pStyle w:val="nTable"/>
              <w:spacing w:after="40"/>
              <w:rPr>
                <w:snapToGrid w:val="0"/>
              </w:rPr>
            </w:pPr>
            <w:r>
              <w:rPr>
                <w:b/>
                <w:bCs/>
                <w:snapToGrid w:val="0"/>
              </w:rPr>
              <w:t xml:space="preserve">Reprint 2: The </w:t>
            </w:r>
            <w:smartTag w:uri="urn:schemas-microsoft-com:office:smarttags" w:element="place">
              <w:smartTag w:uri="urn:schemas-microsoft-com:office:smarttags" w:element="PlaceName">
                <w:r>
                  <w:rPr>
                    <w:b/>
                    <w:bCs/>
                    <w:i/>
                  </w:rPr>
                  <w:t>Western</w:t>
                </w:r>
              </w:smartTag>
              <w:r>
                <w:rPr>
                  <w:b/>
                  <w:bCs/>
                  <w:i/>
                </w:rPr>
                <w:t xml:space="preserve"> </w:t>
              </w:r>
              <w:smartTag w:uri="urn:schemas-microsoft-com:office:smarttags" w:element="PlaceName">
                <w:r>
                  <w:rPr>
                    <w:b/>
                    <w:bCs/>
                    <w:i/>
                  </w:rPr>
                  <w:t>Australian</w:t>
                </w:r>
              </w:smartTag>
              <w:r>
                <w:rPr>
                  <w:b/>
                  <w:bCs/>
                  <w:i/>
                </w:rPr>
                <w:t xml:space="preserve"> </w:t>
              </w:r>
              <w:smartTag w:uri="urn:schemas-microsoft-com:office:smarttags" w:element="PlaceType">
                <w:r>
                  <w:rPr>
                    <w:b/>
                    <w:bCs/>
                    <w:i/>
                  </w:rPr>
                  <w:t>College</w:t>
                </w:r>
              </w:smartTag>
            </w:smartTag>
            <w:r>
              <w:rPr>
                <w:b/>
                <w:bCs/>
                <w:i/>
              </w:rPr>
              <w:t xml:space="preserve"> of Teaching Act 2004</w:t>
            </w:r>
            <w:r>
              <w:rPr>
                <w:b/>
                <w:bCs/>
                <w:snapToGrid w:val="0"/>
              </w:rPr>
              <w:t xml:space="preserve"> as at 22 Nov 2013</w:t>
            </w:r>
            <w:r>
              <w:rPr>
                <w:snapToGrid w:val="0"/>
              </w:rPr>
              <w:t xml:space="preserve"> (includes amendments listed above)</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61" w:name="_Toc381880912"/>
      <w:bookmarkStart w:id="62" w:name="_Toc424568343"/>
      <w:r>
        <w:t>Provisions that have not come into operation</w:t>
      </w:r>
      <w:bookmarkEnd w:id="61"/>
      <w:bookmarkEnd w:id="6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bottom w:val="single" w:sz="8" w:space="0" w:color="auto"/>
            </w:tcBorders>
            <w:shd w:val="clear" w:color="auto" w:fill="auto"/>
          </w:tcPr>
          <w:p>
            <w:pPr>
              <w:pStyle w:val="nTable"/>
              <w:spacing w:after="40"/>
              <w:rPr>
                <w:snapToGrid w:val="0"/>
                <w:vertAlign w:val="superscript"/>
              </w:rPr>
            </w:pPr>
            <w:r>
              <w:rPr>
                <w:i/>
                <w:snapToGrid w:val="0"/>
              </w:rPr>
              <w:t>Teacher Registration Act 2012</w:t>
            </w:r>
            <w:r>
              <w:rPr>
                <w:snapToGrid w:val="0"/>
              </w:rPr>
              <w:t xml:space="preserve"> s. 132</w:t>
            </w:r>
            <w:r>
              <w:rPr>
                <w:snapToGrid w:val="0"/>
                <w:vertAlign w:val="superscript"/>
              </w:rPr>
              <w:t> 3</w:t>
            </w:r>
          </w:p>
        </w:tc>
        <w:tc>
          <w:tcPr>
            <w:tcW w:w="1134" w:type="dxa"/>
            <w:tcBorders>
              <w:top w:val="single" w:sz="8" w:space="0" w:color="auto"/>
              <w:bottom w:val="single" w:sz="8" w:space="0" w:color="auto"/>
            </w:tcBorders>
            <w:shd w:val="clear" w:color="auto" w:fill="auto"/>
          </w:tcPr>
          <w:p>
            <w:pPr>
              <w:pStyle w:val="nTable"/>
              <w:spacing w:after="40"/>
            </w:pPr>
            <w:r>
              <w:t>16 of 2012</w:t>
            </w:r>
          </w:p>
        </w:tc>
        <w:tc>
          <w:tcPr>
            <w:tcW w:w="1134" w:type="dxa"/>
            <w:tcBorders>
              <w:top w:val="single" w:sz="8" w:space="0" w:color="auto"/>
              <w:bottom w:val="single" w:sz="8" w:space="0" w:color="auto"/>
            </w:tcBorders>
            <w:shd w:val="clear" w:color="auto" w:fill="auto"/>
          </w:tcPr>
          <w:p>
            <w:pPr>
              <w:pStyle w:val="nTable"/>
              <w:spacing w:after="40"/>
            </w:pPr>
            <w:r>
              <w:t>3 Jul 2012</w:t>
            </w:r>
          </w:p>
        </w:tc>
        <w:tc>
          <w:tcPr>
            <w:tcW w:w="2551" w:type="dxa"/>
            <w:tcBorders>
              <w:top w:val="single" w:sz="8" w:space="0" w:color="auto"/>
              <w:bottom w:val="single" w:sz="8" w:space="0" w:color="auto"/>
            </w:tcBorders>
            <w:shd w:val="clear" w:color="auto" w:fill="auto"/>
          </w:tcPr>
          <w:p>
            <w:pPr>
              <w:pStyle w:val="nTable"/>
              <w:spacing w:after="40"/>
              <w:rPr>
                <w:snapToGrid w:val="0"/>
              </w:rPr>
            </w:pPr>
            <w:r>
              <w:rPr>
                <w:snapToGrid w:val="0"/>
              </w:rPr>
              <w:t>To be proclaimed (see s. 2(b))</w:t>
            </w:r>
          </w:p>
        </w:tc>
      </w:tr>
    </w:tbl>
    <w:p>
      <w:pPr>
        <w:pStyle w:val="nSubsection"/>
        <w:keepLines/>
      </w:pPr>
      <w:r>
        <w:rPr>
          <w:snapToGrid w:val="0"/>
          <w:vertAlign w:val="superscript"/>
        </w:rPr>
        <w:t>2</w:t>
      </w:r>
      <w:r>
        <w:rPr>
          <w:snapToGrid w:val="0"/>
          <w:vertAlign w:val="superscript"/>
        </w:rPr>
        <w:tab/>
      </w:r>
      <w:r>
        <w:t xml:space="preserve">The amendment in the </w:t>
      </w:r>
      <w:r>
        <w:rPr>
          <w:i/>
          <w:snapToGrid w:val="0"/>
        </w:rPr>
        <w:t xml:space="preserve">Prostitution Amendment Act 2008 </w:t>
      </w:r>
      <w:r>
        <w:rPr>
          <w:iCs/>
          <w:snapToGrid w:val="0"/>
        </w:rPr>
        <w:t xml:space="preserve">s. 34 </w:t>
      </w:r>
      <w:r>
        <w:t xml:space="preserve">is not included because the Schedule it sought to amend had been deleted by the </w:t>
      </w:r>
      <w:r>
        <w:rPr>
          <w:i/>
        </w:rPr>
        <w:t>Teacher Registration Act 2012</w:t>
      </w:r>
      <w:r>
        <w:t xml:space="preserve"> s. 167 before the amendment purported to come into operation.</w:t>
      </w:r>
    </w:p>
    <w:p>
      <w:pPr>
        <w:pStyle w:val="nSubsection"/>
        <w:rPr>
          <w:snapToGrid w:val="0"/>
        </w:rPr>
      </w:pPr>
      <w:r>
        <w:rPr>
          <w:snapToGrid w:val="0"/>
          <w:vertAlign w:val="superscript"/>
        </w:rPr>
        <w:t>3</w:t>
      </w:r>
      <w:r>
        <w:rPr>
          <w:snapToGrid w:val="0"/>
        </w:rPr>
        <w:tab/>
      </w:r>
      <w:r>
        <w:t xml:space="preserve">On the date as at which this </w:t>
      </w:r>
      <w:r>
        <w:rPr>
          <w:snapToGrid w:val="0"/>
        </w:rPr>
        <w:t>reprint</w:t>
      </w:r>
      <w:r>
        <w:t xml:space="preserve"> was prepared, </w:t>
      </w:r>
      <w:r>
        <w:rPr>
          <w:snapToGrid w:val="0"/>
        </w:rPr>
        <w:t xml:space="preserve">the </w:t>
      </w:r>
      <w:r>
        <w:rPr>
          <w:i/>
          <w:snapToGrid w:val="0"/>
        </w:rPr>
        <w:t>Teacher Registration Act 2012</w:t>
      </w:r>
      <w:r>
        <w:rPr>
          <w:snapToGrid w:val="0"/>
        </w:rPr>
        <w:t xml:space="preserve"> s. 132 had not come into operation.  It reads as follows:</w:t>
      </w:r>
    </w:p>
    <w:p>
      <w:pPr>
        <w:pStyle w:val="BlankOpen"/>
      </w:pPr>
    </w:p>
    <w:p>
      <w:pPr>
        <w:pStyle w:val="nzHeading5"/>
      </w:pPr>
      <w:r>
        <w:rPr>
          <w:rStyle w:val="CharSectno"/>
        </w:rPr>
        <w:t>132</w:t>
      </w:r>
      <w:r>
        <w:t>.</w:t>
      </w:r>
      <w:r>
        <w:tab/>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repealed</w:t>
      </w:r>
    </w:p>
    <w:p>
      <w:pPr>
        <w:pStyle w:val="nzSubsection"/>
      </w:pPr>
      <w:r>
        <w:tab/>
        <w:t>(1)</w:t>
      </w:r>
      <w:r>
        <w:tab/>
        <w:t xml:space="preserve">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is repealed.</w:t>
      </w:r>
    </w:p>
    <w:p>
      <w:pPr>
        <w:pStyle w:val="nzSubsection"/>
      </w:pPr>
      <w:r>
        <w:tab/>
        <w:t>(2)</w:t>
      </w:r>
      <w:r>
        <w:tab/>
        <w:t>If, when this section comes into operation, Part 9 Division 1 is not in operation, then Part 9 Division 1 is repealed.</w:t>
      </w:r>
    </w:p>
    <w:p>
      <w:pPr>
        <w:pStyle w:val="BlankClose"/>
      </w:pP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Board</w:t>
      </w:r>
      <w:r>
        <w:tab/>
        <w:t>3</w:t>
      </w:r>
    </w:p>
    <w:p>
      <w:pPr>
        <w:pStyle w:val="DefinedTerms"/>
      </w:pPr>
      <w:r>
        <w:t>CEO</w:t>
      </w:r>
      <w:r>
        <w:tab/>
        <w:t>3</w:t>
      </w:r>
    </w:p>
    <w:p>
      <w:pPr>
        <w:pStyle w:val="DefinedTerms"/>
      </w:pPr>
      <w:r>
        <w:t>College</w:t>
      </w:r>
      <w:r>
        <w:tab/>
        <w:t>3</w:t>
      </w:r>
    </w:p>
    <w:p>
      <w:pPr>
        <w:pStyle w:val="DefinedTerms"/>
      </w:pPr>
      <w:r>
        <w:t>commencement day</w:t>
      </w:r>
      <w:r>
        <w:tab/>
        <w:t>3</w:t>
      </w:r>
    </w:p>
    <w:p>
      <w:pPr>
        <w:pStyle w:val="DefinedTerms"/>
      </w:pPr>
      <w:r>
        <w:t>document</w:t>
      </w:r>
      <w:r>
        <w:tab/>
        <w:t>15(5)</w:t>
      </w:r>
    </w:p>
    <w:p>
      <w:pPr>
        <w:pStyle w:val="DefinedTerms"/>
      </w:pPr>
      <w:r>
        <w:t>information</w:t>
      </w:r>
      <w:r>
        <w:tab/>
        <w:t>15(5)</w:t>
      </w:r>
    </w:p>
    <w:p>
      <w:pPr>
        <w:pStyle w:val="DefinedTerms"/>
      </w:pPr>
      <w:r>
        <w:t>residual affairs</w:t>
      </w:r>
      <w:r>
        <w:tab/>
        <w:t>16</w:t>
      </w:r>
    </w:p>
    <w:p>
      <w:pPr>
        <w:pStyle w:val="DefinedTerms"/>
      </w:pPr>
      <w:r>
        <w:t>Teacher Registration Board Account</w:t>
      </w:r>
      <w:r>
        <w:tab/>
        <w:t>3</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Western Australian College of Teaching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College of Teaching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3" w:name="Compilation"/>
    <w:bookmarkEnd w:id="6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College of Teaching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College of Teaching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4" w:name="DefinedTerms"/>
    <w:bookmarkEnd w:id="6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 w:name="Coversheet"/>
    <w:bookmarkEnd w:id="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College of Teaching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College of Teaching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College of Teaching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College of Teaching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163E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5D0D2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9D0E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92601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3A6AA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CE1F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DE4D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C264D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40D2C8"/>
    <w:lvl w:ilvl="0">
      <w:start w:val="1"/>
      <w:numFmt w:val="decimal"/>
      <w:pStyle w:val="ListNumber"/>
      <w:lvlText w:val="%1."/>
      <w:lvlJc w:val="left"/>
      <w:pPr>
        <w:tabs>
          <w:tab w:val="num" w:pos="360"/>
        </w:tabs>
        <w:ind w:left="360" w:hanging="360"/>
      </w:pPr>
    </w:lvl>
  </w:abstractNum>
  <w:abstractNum w:abstractNumId="9">
    <w:nsid w:val="FFFFFF89"/>
    <w:multiLevelType w:val="singleLevel"/>
    <w:tmpl w:val="2DD6BE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0FCDB1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98D4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1528"/>
    <w:docVar w:name="WAFER_20140114101239" w:val="RemoveTocBookmarks,RemoveUnusedBookmarks,RemoveLanguageTags,UsedStyles,ResetPageSize,UpdateArrangement"/>
    <w:docVar w:name="WAFER_20140114101239_GUID" w:val="5ce7467b-01ae-47bb-9176-eed6745aa4ec"/>
    <w:docVar w:name="WAFER_20140114103230" w:val="RemoveTocBookmarks,RunningHeaders"/>
    <w:docVar w:name="WAFER_20140114103230_GUID" w:val="ad32bf82-449c-459e-9496-3cf89213fbf3"/>
    <w:docVar w:name="WAFER_20140306140557" w:val="RemoveTocBookmarks,RemoveUnusedBookmarks,RemoveLanguageTags,UsedStyles,ResetPageSize"/>
    <w:docVar w:name="WAFER_20140306140557_GUID" w:val="f9190a00-6b82-44aa-a647-9efc06346430"/>
    <w:docVar w:name="WAFER_20140306141113" w:val="RemoveTocBookmarks,RunningHeaders"/>
    <w:docVar w:name="WAFER_20140306141113_GUID" w:val="45006f7a-f901-4c05-9510-6dad1efad2f9"/>
    <w:docVar w:name="WAFER_20150713160243" w:val="ResetPageSize,UpdateArrangement,UpdateNTable"/>
    <w:docVar w:name="WAFER_20150713160243_GUID" w:val="1e3a2a2c-0e68-4174-b20c-c334544650dc"/>
    <w:docVar w:name="WAFER_20151110121528" w:val="UpdateStyles,UsedStyles"/>
    <w:docVar w:name="WAFER_20151110121528_GUID" w:val="01c250b6-e126-439c-b86c-f9d06c69d2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2496</Words>
  <Characters>11387</Characters>
  <Application>Microsoft Office Word</Application>
  <DocSecurity>0</DocSecurity>
  <Lines>406</Lines>
  <Paragraphs>308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13575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Act 2004 - 02-a0-04</dc:title>
  <dc:subject/>
  <dc:creator/>
  <cp:keywords/>
  <dc:description/>
  <cp:lastModifiedBy>svcMRProcess</cp:lastModifiedBy>
  <cp:revision>4</cp:revision>
  <cp:lastPrinted>2013-11-27T03:19:00Z</cp:lastPrinted>
  <dcterms:created xsi:type="dcterms:W3CDTF">2018-09-09T08:57:00Z</dcterms:created>
  <dcterms:modified xsi:type="dcterms:W3CDTF">2018-09-09T08:57:00Z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2004</vt:lpwstr>
  </property>
  <property fmtid="{D5CDD505-2E9C-101B-9397-08002B2CF9AE}" pid="3" name="CommencementDate">
    <vt:lpwstr>20131122</vt:lpwstr>
  </property>
  <property fmtid="{D5CDD505-2E9C-101B-9397-08002B2CF9AE}" pid="4" name="DocumentType">
    <vt:lpwstr>Act</vt:lpwstr>
  </property>
  <property fmtid="{D5CDD505-2E9C-101B-9397-08002B2CF9AE}" pid="5" name="OwlsUID">
    <vt:i4>7020</vt:i4>
  </property>
  <property fmtid="{D5CDD505-2E9C-101B-9397-08002B2CF9AE}" pid="6" name="ReprintNo">
    <vt:lpwstr>2</vt:lpwstr>
  </property>
  <property fmtid="{D5CDD505-2E9C-101B-9397-08002B2CF9AE}" pid="7" name="ReprintedAsAt">
    <vt:filetime>2013-11-21T16:00:00Z</vt:filetime>
  </property>
  <property fmtid="{D5CDD505-2E9C-101B-9397-08002B2CF9AE}" pid="8" name="AsAtDate">
    <vt:lpwstr>22 Nov 2013</vt:lpwstr>
  </property>
  <property fmtid="{D5CDD505-2E9C-101B-9397-08002B2CF9AE}" pid="9" name="Suffix">
    <vt:lpwstr>02-a0-04</vt:lpwstr>
  </property>
</Properties>
</file>